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eastAsiaTheme="minorEastAsia" w:hAnsi="Calibri" w:cs="Calibri"/>
          <w:spacing w:val="0"/>
          <w:kern w:val="2"/>
          <w:sz w:val="22"/>
          <w:szCs w:val="22"/>
        </w:rPr>
        <w:id w:val="-1394497458"/>
        <w:docPartObj>
          <w:docPartGallery w:val="Table of Contents"/>
          <w:docPartUnique/>
        </w:docPartObj>
      </w:sdtPr>
      <w:sdtEndPr>
        <w:rPr>
          <w:b/>
          <w:bCs/>
          <w:noProof/>
        </w:rPr>
      </w:sdtEndPr>
      <w:sdtContent>
        <w:p w14:paraId="319EE519" w14:textId="1AAC60A1" w:rsidR="00B356C6" w:rsidRPr="00D633FF" w:rsidRDefault="00B356C6" w:rsidP="00A62838">
          <w:pPr>
            <w:pStyle w:val="Title"/>
            <w:spacing w:line="360" w:lineRule="auto"/>
            <w:rPr>
              <w:rFonts w:ascii="Calibri" w:eastAsiaTheme="minorEastAsia" w:hAnsi="Calibri" w:cs="Calibri"/>
            </w:rPr>
          </w:pPr>
          <w:r w:rsidRPr="00D633FF">
            <w:rPr>
              <w:rFonts w:ascii="Calibri" w:eastAsiaTheme="minorEastAsia" w:hAnsi="Calibri" w:cs="Calibri"/>
            </w:rPr>
            <w:t>Evidence Summary Report</w:t>
          </w:r>
        </w:p>
        <w:p w14:paraId="37C7BEAF" w14:textId="77777777" w:rsidR="00B356C6" w:rsidRPr="00D633FF" w:rsidRDefault="00B356C6" w:rsidP="00A62838">
          <w:pPr>
            <w:spacing w:line="360" w:lineRule="auto"/>
            <w:rPr>
              <w:rFonts w:ascii="Calibri" w:hAnsi="Calibri" w:cs="Calibri"/>
            </w:rPr>
          </w:pPr>
        </w:p>
        <w:p w14:paraId="2FD0DA8B" w14:textId="77777777" w:rsidR="00B356C6" w:rsidRPr="00D633FF" w:rsidRDefault="00B356C6" w:rsidP="00A62838">
          <w:pPr>
            <w:spacing w:line="360" w:lineRule="auto"/>
            <w:rPr>
              <w:rFonts w:ascii="Calibri" w:hAnsi="Calibri" w:cs="Calibri"/>
            </w:rPr>
          </w:pPr>
        </w:p>
        <w:p w14:paraId="55E68E22" w14:textId="77777777" w:rsidR="00B356C6" w:rsidRPr="00D633FF" w:rsidRDefault="00B356C6" w:rsidP="00A62838">
          <w:pPr>
            <w:spacing w:line="360" w:lineRule="auto"/>
            <w:rPr>
              <w:rFonts w:ascii="Calibri" w:hAnsi="Calibri" w:cs="Calibri"/>
            </w:rPr>
          </w:pPr>
        </w:p>
        <w:p w14:paraId="04EB07CF" w14:textId="55596A58" w:rsidR="00B356C6" w:rsidRPr="00D633FF" w:rsidRDefault="00B356C6" w:rsidP="00A62838">
          <w:pPr>
            <w:pStyle w:val="Subtitle"/>
            <w:spacing w:line="360" w:lineRule="auto"/>
            <w:rPr>
              <w:rFonts w:ascii="Calibri" w:hAnsi="Calibri" w:cs="Calibri"/>
            </w:rPr>
          </w:pPr>
          <w:r w:rsidRPr="00D633FF">
            <w:rPr>
              <w:rFonts w:ascii="Calibri" w:hAnsi="Calibri" w:cs="Calibri"/>
            </w:rPr>
            <w:t xml:space="preserve">Summary of the evidence used to inform development of </w:t>
          </w:r>
          <w:r w:rsidR="00B23FD7" w:rsidRPr="00D633FF">
            <w:rPr>
              <w:rFonts w:ascii="Calibri" w:hAnsi="Calibri" w:cs="Calibri"/>
            </w:rPr>
            <w:t xml:space="preserve">Selenium </w:t>
          </w:r>
          <w:r w:rsidR="00690859" w:rsidRPr="00D633FF">
            <w:rPr>
              <w:rFonts w:ascii="Calibri" w:hAnsi="Calibri" w:cs="Calibri"/>
            </w:rPr>
            <w:t>Upper L</w:t>
          </w:r>
          <w:r w:rsidR="008A3419" w:rsidRPr="00D633FF">
            <w:rPr>
              <w:rFonts w:ascii="Calibri" w:hAnsi="Calibri" w:cs="Calibri"/>
            </w:rPr>
            <w:t xml:space="preserve">evels of Intake </w:t>
          </w:r>
          <w:r w:rsidRPr="00D633FF">
            <w:rPr>
              <w:rFonts w:ascii="Calibri" w:hAnsi="Calibri" w:cs="Calibri"/>
            </w:rPr>
            <w:t>for Australia and New Zealand</w:t>
          </w:r>
          <w:r w:rsidR="005C56C6" w:rsidRPr="00D633FF">
            <w:rPr>
              <w:rFonts w:ascii="Calibri" w:hAnsi="Calibri" w:cs="Calibri"/>
            </w:rPr>
            <w:t xml:space="preserve"> </w:t>
          </w:r>
          <w:r w:rsidR="00006257" w:rsidRPr="00D633FF">
            <w:rPr>
              <w:rFonts w:ascii="Calibri" w:hAnsi="Calibri" w:cs="Calibri"/>
            </w:rPr>
            <w:t>Nutrient Reference Values</w:t>
          </w:r>
        </w:p>
        <w:p w14:paraId="47974792" w14:textId="77777777" w:rsidR="00B356C6" w:rsidRPr="00D633FF" w:rsidRDefault="00B356C6" w:rsidP="00A62838">
          <w:pPr>
            <w:spacing w:line="360" w:lineRule="auto"/>
            <w:rPr>
              <w:rFonts w:ascii="Calibri" w:hAnsi="Calibri" w:cs="Calibri"/>
            </w:rPr>
          </w:pPr>
        </w:p>
        <w:p w14:paraId="11A18ECC" w14:textId="77777777" w:rsidR="00B356C6" w:rsidRPr="00D633FF" w:rsidRDefault="00B356C6" w:rsidP="00A62838">
          <w:pPr>
            <w:spacing w:line="360" w:lineRule="auto"/>
            <w:rPr>
              <w:rFonts w:ascii="Calibri" w:hAnsi="Calibri" w:cs="Calibri"/>
            </w:rPr>
          </w:pPr>
        </w:p>
        <w:p w14:paraId="6328A1CB" w14:textId="37923F1C" w:rsidR="009A6227" w:rsidRPr="00D633FF" w:rsidRDefault="006F1F4D" w:rsidP="00A62838">
          <w:pPr>
            <w:spacing w:line="360" w:lineRule="auto"/>
            <w:rPr>
              <w:rFonts w:ascii="Calibri" w:hAnsi="Calibri" w:cs="Calibri"/>
              <w:b/>
              <w:bCs/>
            </w:rPr>
          </w:pPr>
          <w:r w:rsidRPr="00D633FF">
            <w:rPr>
              <w:rFonts w:ascii="Calibri" w:hAnsi="Calibri" w:cs="Calibri"/>
              <w:b/>
              <w:bCs/>
            </w:rPr>
            <w:t xml:space="preserve">October </w:t>
          </w:r>
          <w:r w:rsidR="00DB6C9D" w:rsidRPr="00D633FF">
            <w:rPr>
              <w:rFonts w:ascii="Calibri" w:hAnsi="Calibri" w:cs="Calibri"/>
              <w:b/>
              <w:bCs/>
            </w:rPr>
            <w:t>2025 V1</w:t>
          </w:r>
          <w:r w:rsidR="009A6227" w:rsidRPr="00D633FF">
            <w:rPr>
              <w:rFonts w:ascii="Calibri" w:hAnsi="Calibri" w:cs="Calibri"/>
              <w:b/>
              <w:bCs/>
            </w:rPr>
            <w:br w:type="page"/>
          </w:r>
        </w:p>
        <w:p w14:paraId="68B4B0FF" w14:textId="5C430B40" w:rsidR="00ED39E6" w:rsidRPr="00D633FF" w:rsidRDefault="00ED39E6" w:rsidP="00A62838">
          <w:pPr>
            <w:pStyle w:val="TOCHeading"/>
            <w:spacing w:line="360" w:lineRule="auto"/>
            <w:rPr>
              <w:rFonts w:ascii="Calibri" w:hAnsi="Calibri" w:cs="Calibri"/>
            </w:rPr>
          </w:pPr>
          <w:r w:rsidRPr="00D633FF">
            <w:rPr>
              <w:rFonts w:ascii="Calibri" w:hAnsi="Calibri" w:cs="Calibri"/>
            </w:rPr>
            <w:lastRenderedPageBreak/>
            <w:t>Contents</w:t>
          </w:r>
        </w:p>
        <w:p w14:paraId="3DBFBCF7" w14:textId="7D4EBE6C" w:rsidR="00A64B67" w:rsidRDefault="00ED39E6">
          <w:pPr>
            <w:pStyle w:val="TOC2"/>
            <w:tabs>
              <w:tab w:val="right" w:leader="dot" w:pos="9016"/>
            </w:tabs>
            <w:rPr>
              <w:rFonts w:eastAsiaTheme="minorEastAsia"/>
              <w:noProof/>
              <w:sz w:val="24"/>
              <w:szCs w:val="24"/>
              <w:lang w:eastAsia="en-AU"/>
            </w:rPr>
          </w:pPr>
          <w:r w:rsidRPr="00D633FF">
            <w:rPr>
              <w:rFonts w:ascii="Calibri" w:hAnsi="Calibri" w:cs="Calibri"/>
            </w:rPr>
            <w:fldChar w:fldCharType="begin"/>
          </w:r>
          <w:r w:rsidRPr="00D633FF">
            <w:rPr>
              <w:rFonts w:ascii="Calibri" w:hAnsi="Calibri" w:cs="Calibri"/>
            </w:rPr>
            <w:instrText xml:space="preserve"> TOC \o "1-3" \h \z \u </w:instrText>
          </w:r>
          <w:r w:rsidRPr="00D633FF">
            <w:rPr>
              <w:rFonts w:ascii="Calibri" w:hAnsi="Calibri" w:cs="Calibri"/>
            </w:rPr>
            <w:fldChar w:fldCharType="separate"/>
          </w:r>
          <w:hyperlink w:anchor="_Toc218527944" w:history="1">
            <w:r w:rsidR="00A64B67" w:rsidRPr="0026370B">
              <w:rPr>
                <w:rStyle w:val="Hyperlink"/>
                <w:rFonts w:ascii="Calibri" w:hAnsi="Calibri" w:cs="Calibri"/>
                <w:b/>
                <w:bCs/>
                <w:noProof/>
              </w:rPr>
              <w:t>Purpose</w:t>
            </w:r>
            <w:r w:rsidR="00A64B67">
              <w:rPr>
                <w:noProof/>
                <w:webHidden/>
              </w:rPr>
              <w:tab/>
            </w:r>
            <w:r w:rsidR="00A64B67">
              <w:rPr>
                <w:noProof/>
                <w:webHidden/>
              </w:rPr>
              <w:fldChar w:fldCharType="begin"/>
            </w:r>
            <w:r w:rsidR="00A64B67">
              <w:rPr>
                <w:noProof/>
                <w:webHidden/>
              </w:rPr>
              <w:instrText xml:space="preserve"> PAGEREF _Toc218527944 \h </w:instrText>
            </w:r>
            <w:r w:rsidR="00A64B67">
              <w:rPr>
                <w:noProof/>
                <w:webHidden/>
              </w:rPr>
            </w:r>
            <w:r w:rsidR="00A64B67">
              <w:rPr>
                <w:noProof/>
                <w:webHidden/>
              </w:rPr>
              <w:fldChar w:fldCharType="separate"/>
            </w:r>
            <w:r w:rsidR="00A64B67">
              <w:rPr>
                <w:noProof/>
                <w:webHidden/>
              </w:rPr>
              <w:t>4</w:t>
            </w:r>
            <w:r w:rsidR="00A64B67">
              <w:rPr>
                <w:noProof/>
                <w:webHidden/>
              </w:rPr>
              <w:fldChar w:fldCharType="end"/>
            </w:r>
          </w:hyperlink>
        </w:p>
        <w:p w14:paraId="7FC1321C" w14:textId="0F4F6C82" w:rsidR="00A64B67" w:rsidRDefault="00A64B67">
          <w:pPr>
            <w:pStyle w:val="TOC2"/>
            <w:tabs>
              <w:tab w:val="right" w:leader="dot" w:pos="9016"/>
            </w:tabs>
            <w:rPr>
              <w:rFonts w:eastAsiaTheme="minorEastAsia"/>
              <w:noProof/>
              <w:sz w:val="24"/>
              <w:szCs w:val="24"/>
              <w:lang w:eastAsia="en-AU"/>
            </w:rPr>
          </w:pPr>
          <w:hyperlink w:anchor="_Toc218527945" w:history="1">
            <w:r w:rsidRPr="0026370B">
              <w:rPr>
                <w:rStyle w:val="Hyperlink"/>
                <w:rFonts w:ascii="Calibri" w:hAnsi="Calibri" w:cs="Calibri"/>
                <w:b/>
                <w:noProof/>
              </w:rPr>
              <w:t>Rationale for prioritising this update</w:t>
            </w:r>
            <w:r>
              <w:rPr>
                <w:noProof/>
                <w:webHidden/>
              </w:rPr>
              <w:tab/>
            </w:r>
            <w:r>
              <w:rPr>
                <w:noProof/>
                <w:webHidden/>
              </w:rPr>
              <w:fldChar w:fldCharType="begin"/>
            </w:r>
            <w:r>
              <w:rPr>
                <w:noProof/>
                <w:webHidden/>
              </w:rPr>
              <w:instrText xml:space="preserve"> PAGEREF _Toc218527945 \h </w:instrText>
            </w:r>
            <w:r>
              <w:rPr>
                <w:noProof/>
                <w:webHidden/>
              </w:rPr>
            </w:r>
            <w:r>
              <w:rPr>
                <w:noProof/>
                <w:webHidden/>
              </w:rPr>
              <w:fldChar w:fldCharType="separate"/>
            </w:r>
            <w:r>
              <w:rPr>
                <w:noProof/>
                <w:webHidden/>
              </w:rPr>
              <w:t>4</w:t>
            </w:r>
            <w:r>
              <w:rPr>
                <w:noProof/>
                <w:webHidden/>
              </w:rPr>
              <w:fldChar w:fldCharType="end"/>
            </w:r>
          </w:hyperlink>
        </w:p>
        <w:p w14:paraId="31AC48F8" w14:textId="7AC6D5E9" w:rsidR="00A64B67" w:rsidRDefault="00A64B67">
          <w:pPr>
            <w:pStyle w:val="TOC2"/>
            <w:tabs>
              <w:tab w:val="right" w:leader="dot" w:pos="9016"/>
            </w:tabs>
            <w:rPr>
              <w:rFonts w:eastAsiaTheme="minorEastAsia"/>
              <w:noProof/>
              <w:sz w:val="24"/>
              <w:szCs w:val="24"/>
              <w:lang w:eastAsia="en-AU"/>
            </w:rPr>
          </w:pPr>
          <w:hyperlink w:anchor="_Toc218527946" w:history="1">
            <w:r w:rsidRPr="0026370B">
              <w:rPr>
                <w:rStyle w:val="Hyperlink"/>
                <w:rFonts w:ascii="Calibri" w:hAnsi="Calibri" w:cs="Calibri"/>
                <w:b/>
                <w:bCs/>
                <w:noProof/>
              </w:rPr>
              <w:t>Methods summary</w:t>
            </w:r>
            <w:r>
              <w:rPr>
                <w:noProof/>
                <w:webHidden/>
              </w:rPr>
              <w:tab/>
            </w:r>
            <w:r>
              <w:rPr>
                <w:noProof/>
                <w:webHidden/>
              </w:rPr>
              <w:fldChar w:fldCharType="begin"/>
            </w:r>
            <w:r>
              <w:rPr>
                <w:noProof/>
                <w:webHidden/>
              </w:rPr>
              <w:instrText xml:space="preserve"> PAGEREF _Toc218527946 \h </w:instrText>
            </w:r>
            <w:r>
              <w:rPr>
                <w:noProof/>
                <w:webHidden/>
              </w:rPr>
            </w:r>
            <w:r>
              <w:rPr>
                <w:noProof/>
                <w:webHidden/>
              </w:rPr>
              <w:fldChar w:fldCharType="separate"/>
            </w:r>
            <w:r>
              <w:rPr>
                <w:noProof/>
                <w:webHidden/>
              </w:rPr>
              <w:t>5</w:t>
            </w:r>
            <w:r>
              <w:rPr>
                <w:noProof/>
                <w:webHidden/>
              </w:rPr>
              <w:fldChar w:fldCharType="end"/>
            </w:r>
          </w:hyperlink>
        </w:p>
        <w:p w14:paraId="3978220B" w14:textId="3350E55C" w:rsidR="00A64B67" w:rsidRDefault="00A64B67">
          <w:pPr>
            <w:pStyle w:val="TOC2"/>
            <w:tabs>
              <w:tab w:val="right" w:leader="dot" w:pos="9016"/>
            </w:tabs>
            <w:rPr>
              <w:rFonts w:eastAsiaTheme="minorEastAsia"/>
              <w:noProof/>
              <w:sz w:val="24"/>
              <w:szCs w:val="24"/>
              <w:lang w:eastAsia="en-AU"/>
            </w:rPr>
          </w:pPr>
          <w:hyperlink w:anchor="_Toc218527947" w:history="1">
            <w:r w:rsidRPr="0026370B">
              <w:rPr>
                <w:rStyle w:val="Hyperlink"/>
                <w:rFonts w:ascii="Calibri" w:hAnsi="Calibri" w:cs="Calibri"/>
                <w:b/>
                <w:bCs/>
                <w:noProof/>
              </w:rPr>
              <w:t>Governance</w:t>
            </w:r>
            <w:r>
              <w:rPr>
                <w:noProof/>
                <w:webHidden/>
              </w:rPr>
              <w:tab/>
            </w:r>
            <w:r>
              <w:rPr>
                <w:noProof/>
                <w:webHidden/>
              </w:rPr>
              <w:fldChar w:fldCharType="begin"/>
            </w:r>
            <w:r>
              <w:rPr>
                <w:noProof/>
                <w:webHidden/>
              </w:rPr>
              <w:instrText xml:space="preserve"> PAGEREF _Toc218527947 \h </w:instrText>
            </w:r>
            <w:r>
              <w:rPr>
                <w:noProof/>
                <w:webHidden/>
              </w:rPr>
            </w:r>
            <w:r>
              <w:rPr>
                <w:noProof/>
                <w:webHidden/>
              </w:rPr>
              <w:fldChar w:fldCharType="separate"/>
            </w:r>
            <w:r>
              <w:rPr>
                <w:noProof/>
                <w:webHidden/>
              </w:rPr>
              <w:t>5</w:t>
            </w:r>
            <w:r>
              <w:rPr>
                <w:noProof/>
                <w:webHidden/>
              </w:rPr>
              <w:fldChar w:fldCharType="end"/>
            </w:r>
          </w:hyperlink>
        </w:p>
        <w:p w14:paraId="50BED291" w14:textId="42606FFE" w:rsidR="00A64B67" w:rsidRDefault="00A64B67">
          <w:pPr>
            <w:pStyle w:val="TOC1"/>
            <w:tabs>
              <w:tab w:val="right" w:leader="dot" w:pos="9016"/>
            </w:tabs>
            <w:rPr>
              <w:rFonts w:eastAsiaTheme="minorEastAsia"/>
              <w:noProof/>
              <w:sz w:val="24"/>
              <w:szCs w:val="24"/>
              <w:lang w:eastAsia="en-AU"/>
            </w:rPr>
          </w:pPr>
          <w:hyperlink w:anchor="_Toc218527948" w:history="1">
            <w:r w:rsidRPr="0026370B">
              <w:rPr>
                <w:rStyle w:val="Hyperlink"/>
                <w:rFonts w:ascii="Calibri" w:hAnsi="Calibri" w:cs="Calibri"/>
                <w:b/>
                <w:bCs/>
                <w:noProof/>
              </w:rPr>
              <w:t>Selenium background</w:t>
            </w:r>
            <w:r>
              <w:rPr>
                <w:noProof/>
                <w:webHidden/>
              </w:rPr>
              <w:tab/>
            </w:r>
            <w:r>
              <w:rPr>
                <w:noProof/>
                <w:webHidden/>
              </w:rPr>
              <w:fldChar w:fldCharType="begin"/>
            </w:r>
            <w:r>
              <w:rPr>
                <w:noProof/>
                <w:webHidden/>
              </w:rPr>
              <w:instrText xml:space="preserve"> PAGEREF _Toc218527948 \h </w:instrText>
            </w:r>
            <w:r>
              <w:rPr>
                <w:noProof/>
                <w:webHidden/>
              </w:rPr>
            </w:r>
            <w:r>
              <w:rPr>
                <w:noProof/>
                <w:webHidden/>
              </w:rPr>
              <w:fldChar w:fldCharType="separate"/>
            </w:r>
            <w:r>
              <w:rPr>
                <w:noProof/>
                <w:webHidden/>
              </w:rPr>
              <w:t>6</w:t>
            </w:r>
            <w:r>
              <w:rPr>
                <w:noProof/>
                <w:webHidden/>
              </w:rPr>
              <w:fldChar w:fldCharType="end"/>
            </w:r>
          </w:hyperlink>
        </w:p>
        <w:p w14:paraId="43A0E4F5" w14:textId="2B0D7DAF" w:rsidR="00A64B67" w:rsidRDefault="00A64B67">
          <w:pPr>
            <w:pStyle w:val="TOC2"/>
            <w:tabs>
              <w:tab w:val="right" w:leader="dot" w:pos="9016"/>
            </w:tabs>
            <w:rPr>
              <w:rFonts w:eastAsiaTheme="minorEastAsia"/>
              <w:noProof/>
              <w:sz w:val="24"/>
              <w:szCs w:val="24"/>
              <w:lang w:eastAsia="en-AU"/>
            </w:rPr>
          </w:pPr>
          <w:hyperlink w:anchor="_Toc218527949" w:history="1">
            <w:r w:rsidRPr="0026370B">
              <w:rPr>
                <w:rStyle w:val="Hyperlink"/>
                <w:rFonts w:ascii="Calibri" w:hAnsi="Calibri" w:cs="Calibri"/>
                <w:b/>
                <w:bCs/>
                <w:noProof/>
              </w:rPr>
              <w:t>Function, physiology and metabolism</w:t>
            </w:r>
            <w:r>
              <w:rPr>
                <w:noProof/>
                <w:webHidden/>
              </w:rPr>
              <w:tab/>
            </w:r>
            <w:r>
              <w:rPr>
                <w:noProof/>
                <w:webHidden/>
              </w:rPr>
              <w:fldChar w:fldCharType="begin"/>
            </w:r>
            <w:r>
              <w:rPr>
                <w:noProof/>
                <w:webHidden/>
              </w:rPr>
              <w:instrText xml:space="preserve"> PAGEREF _Toc218527949 \h </w:instrText>
            </w:r>
            <w:r>
              <w:rPr>
                <w:noProof/>
                <w:webHidden/>
              </w:rPr>
            </w:r>
            <w:r>
              <w:rPr>
                <w:noProof/>
                <w:webHidden/>
              </w:rPr>
              <w:fldChar w:fldCharType="separate"/>
            </w:r>
            <w:r>
              <w:rPr>
                <w:noProof/>
                <w:webHidden/>
              </w:rPr>
              <w:t>6</w:t>
            </w:r>
            <w:r>
              <w:rPr>
                <w:noProof/>
                <w:webHidden/>
              </w:rPr>
              <w:fldChar w:fldCharType="end"/>
            </w:r>
          </w:hyperlink>
        </w:p>
        <w:p w14:paraId="0E7C7482" w14:textId="4937B4BE" w:rsidR="00A64B67" w:rsidRDefault="00A64B67">
          <w:pPr>
            <w:pStyle w:val="TOC2"/>
            <w:tabs>
              <w:tab w:val="right" w:leader="dot" w:pos="9016"/>
            </w:tabs>
            <w:rPr>
              <w:rFonts w:eastAsiaTheme="minorEastAsia"/>
              <w:noProof/>
              <w:sz w:val="24"/>
              <w:szCs w:val="24"/>
              <w:lang w:eastAsia="en-AU"/>
            </w:rPr>
          </w:pPr>
          <w:hyperlink w:anchor="_Toc218527950" w:history="1">
            <w:r w:rsidRPr="0026370B">
              <w:rPr>
                <w:rStyle w:val="Hyperlink"/>
                <w:rFonts w:ascii="Calibri" w:hAnsi="Calibri" w:cs="Calibri"/>
                <w:b/>
                <w:bCs/>
                <w:noProof/>
              </w:rPr>
              <w:t>Dietary sources of selenium</w:t>
            </w:r>
            <w:r>
              <w:rPr>
                <w:noProof/>
                <w:webHidden/>
              </w:rPr>
              <w:tab/>
            </w:r>
            <w:r>
              <w:rPr>
                <w:noProof/>
                <w:webHidden/>
              </w:rPr>
              <w:fldChar w:fldCharType="begin"/>
            </w:r>
            <w:r>
              <w:rPr>
                <w:noProof/>
                <w:webHidden/>
              </w:rPr>
              <w:instrText xml:space="preserve"> PAGEREF _Toc218527950 \h </w:instrText>
            </w:r>
            <w:r>
              <w:rPr>
                <w:noProof/>
                <w:webHidden/>
              </w:rPr>
            </w:r>
            <w:r>
              <w:rPr>
                <w:noProof/>
                <w:webHidden/>
              </w:rPr>
              <w:fldChar w:fldCharType="separate"/>
            </w:r>
            <w:r>
              <w:rPr>
                <w:noProof/>
                <w:webHidden/>
              </w:rPr>
              <w:t>6</w:t>
            </w:r>
            <w:r>
              <w:rPr>
                <w:noProof/>
                <w:webHidden/>
              </w:rPr>
              <w:fldChar w:fldCharType="end"/>
            </w:r>
          </w:hyperlink>
        </w:p>
        <w:p w14:paraId="578E491C" w14:textId="0461A96F" w:rsidR="00A64B67" w:rsidRDefault="00A64B67">
          <w:pPr>
            <w:pStyle w:val="TOC3"/>
            <w:tabs>
              <w:tab w:val="right" w:leader="dot" w:pos="9016"/>
            </w:tabs>
            <w:rPr>
              <w:rFonts w:eastAsiaTheme="minorEastAsia"/>
              <w:noProof/>
              <w:sz w:val="24"/>
              <w:szCs w:val="24"/>
              <w:lang w:eastAsia="en-AU"/>
            </w:rPr>
          </w:pPr>
          <w:hyperlink w:anchor="_Toc218527951" w:history="1">
            <w:r w:rsidRPr="0026370B">
              <w:rPr>
                <w:rStyle w:val="Hyperlink"/>
                <w:rFonts w:ascii="Calibri" w:hAnsi="Calibri" w:cs="Calibri"/>
                <w:noProof/>
              </w:rPr>
              <w:t>Food</w:t>
            </w:r>
            <w:r>
              <w:rPr>
                <w:noProof/>
                <w:webHidden/>
              </w:rPr>
              <w:tab/>
            </w:r>
            <w:r>
              <w:rPr>
                <w:noProof/>
                <w:webHidden/>
              </w:rPr>
              <w:fldChar w:fldCharType="begin"/>
            </w:r>
            <w:r>
              <w:rPr>
                <w:noProof/>
                <w:webHidden/>
              </w:rPr>
              <w:instrText xml:space="preserve"> PAGEREF _Toc218527951 \h </w:instrText>
            </w:r>
            <w:r>
              <w:rPr>
                <w:noProof/>
                <w:webHidden/>
              </w:rPr>
            </w:r>
            <w:r>
              <w:rPr>
                <w:noProof/>
                <w:webHidden/>
              </w:rPr>
              <w:fldChar w:fldCharType="separate"/>
            </w:r>
            <w:r>
              <w:rPr>
                <w:noProof/>
                <w:webHidden/>
              </w:rPr>
              <w:t>6</w:t>
            </w:r>
            <w:r>
              <w:rPr>
                <w:noProof/>
                <w:webHidden/>
              </w:rPr>
              <w:fldChar w:fldCharType="end"/>
            </w:r>
          </w:hyperlink>
        </w:p>
        <w:p w14:paraId="0897A59F" w14:textId="72374CE2" w:rsidR="00A64B67" w:rsidRDefault="00A64B67">
          <w:pPr>
            <w:pStyle w:val="TOC3"/>
            <w:tabs>
              <w:tab w:val="right" w:leader="dot" w:pos="9016"/>
            </w:tabs>
            <w:rPr>
              <w:rFonts w:eastAsiaTheme="minorEastAsia"/>
              <w:noProof/>
              <w:sz w:val="24"/>
              <w:szCs w:val="24"/>
              <w:lang w:eastAsia="en-AU"/>
            </w:rPr>
          </w:pPr>
          <w:hyperlink w:anchor="_Toc218527952" w:history="1">
            <w:r w:rsidRPr="0026370B">
              <w:rPr>
                <w:rStyle w:val="Hyperlink"/>
                <w:rFonts w:ascii="Calibri" w:hAnsi="Calibri" w:cs="Calibri"/>
                <w:noProof/>
              </w:rPr>
              <w:t>Water</w:t>
            </w:r>
            <w:r>
              <w:rPr>
                <w:noProof/>
                <w:webHidden/>
              </w:rPr>
              <w:tab/>
            </w:r>
            <w:r>
              <w:rPr>
                <w:noProof/>
                <w:webHidden/>
              </w:rPr>
              <w:fldChar w:fldCharType="begin"/>
            </w:r>
            <w:r>
              <w:rPr>
                <w:noProof/>
                <w:webHidden/>
              </w:rPr>
              <w:instrText xml:space="preserve"> PAGEREF _Toc218527952 \h </w:instrText>
            </w:r>
            <w:r>
              <w:rPr>
                <w:noProof/>
                <w:webHidden/>
              </w:rPr>
            </w:r>
            <w:r>
              <w:rPr>
                <w:noProof/>
                <w:webHidden/>
              </w:rPr>
              <w:fldChar w:fldCharType="separate"/>
            </w:r>
            <w:r>
              <w:rPr>
                <w:noProof/>
                <w:webHidden/>
              </w:rPr>
              <w:t>7</w:t>
            </w:r>
            <w:r>
              <w:rPr>
                <w:noProof/>
                <w:webHidden/>
              </w:rPr>
              <w:fldChar w:fldCharType="end"/>
            </w:r>
          </w:hyperlink>
        </w:p>
        <w:p w14:paraId="3CB96E33" w14:textId="20A6019C" w:rsidR="00A64B67" w:rsidRDefault="00A64B67">
          <w:pPr>
            <w:pStyle w:val="TOC3"/>
            <w:tabs>
              <w:tab w:val="right" w:leader="dot" w:pos="9016"/>
            </w:tabs>
            <w:rPr>
              <w:rFonts w:eastAsiaTheme="minorEastAsia"/>
              <w:noProof/>
              <w:sz w:val="24"/>
              <w:szCs w:val="24"/>
              <w:lang w:eastAsia="en-AU"/>
            </w:rPr>
          </w:pPr>
          <w:hyperlink w:anchor="_Toc218527953" w:history="1">
            <w:r w:rsidRPr="0026370B">
              <w:rPr>
                <w:rStyle w:val="Hyperlink"/>
                <w:rFonts w:ascii="Calibri" w:hAnsi="Calibri" w:cs="Calibri"/>
                <w:noProof/>
              </w:rPr>
              <w:t>Supplements</w:t>
            </w:r>
            <w:r>
              <w:rPr>
                <w:noProof/>
                <w:webHidden/>
              </w:rPr>
              <w:tab/>
            </w:r>
            <w:r>
              <w:rPr>
                <w:noProof/>
                <w:webHidden/>
              </w:rPr>
              <w:fldChar w:fldCharType="begin"/>
            </w:r>
            <w:r>
              <w:rPr>
                <w:noProof/>
                <w:webHidden/>
              </w:rPr>
              <w:instrText xml:space="preserve"> PAGEREF _Toc218527953 \h </w:instrText>
            </w:r>
            <w:r>
              <w:rPr>
                <w:noProof/>
                <w:webHidden/>
              </w:rPr>
            </w:r>
            <w:r>
              <w:rPr>
                <w:noProof/>
                <w:webHidden/>
              </w:rPr>
              <w:fldChar w:fldCharType="separate"/>
            </w:r>
            <w:r>
              <w:rPr>
                <w:noProof/>
                <w:webHidden/>
              </w:rPr>
              <w:t>7</w:t>
            </w:r>
            <w:r>
              <w:rPr>
                <w:noProof/>
                <w:webHidden/>
              </w:rPr>
              <w:fldChar w:fldCharType="end"/>
            </w:r>
          </w:hyperlink>
        </w:p>
        <w:p w14:paraId="30C55F2A" w14:textId="421FB1A4" w:rsidR="00A64B67" w:rsidRDefault="00A64B67">
          <w:pPr>
            <w:pStyle w:val="TOC2"/>
            <w:tabs>
              <w:tab w:val="right" w:leader="dot" w:pos="9016"/>
            </w:tabs>
            <w:rPr>
              <w:rFonts w:eastAsiaTheme="minorEastAsia"/>
              <w:noProof/>
              <w:sz w:val="24"/>
              <w:szCs w:val="24"/>
              <w:lang w:eastAsia="en-AU"/>
            </w:rPr>
          </w:pPr>
          <w:hyperlink w:anchor="_Toc218527954" w:history="1">
            <w:r w:rsidRPr="0026370B">
              <w:rPr>
                <w:rStyle w:val="Hyperlink"/>
                <w:rFonts w:ascii="Calibri" w:hAnsi="Calibri" w:cs="Calibri"/>
                <w:b/>
                <w:bCs/>
                <w:noProof/>
              </w:rPr>
              <w:t>Bioavailability factors</w:t>
            </w:r>
            <w:r>
              <w:rPr>
                <w:noProof/>
                <w:webHidden/>
              </w:rPr>
              <w:tab/>
            </w:r>
            <w:r>
              <w:rPr>
                <w:noProof/>
                <w:webHidden/>
              </w:rPr>
              <w:fldChar w:fldCharType="begin"/>
            </w:r>
            <w:r>
              <w:rPr>
                <w:noProof/>
                <w:webHidden/>
              </w:rPr>
              <w:instrText xml:space="preserve"> PAGEREF _Toc218527954 \h </w:instrText>
            </w:r>
            <w:r>
              <w:rPr>
                <w:noProof/>
                <w:webHidden/>
              </w:rPr>
            </w:r>
            <w:r>
              <w:rPr>
                <w:noProof/>
                <w:webHidden/>
              </w:rPr>
              <w:fldChar w:fldCharType="separate"/>
            </w:r>
            <w:r>
              <w:rPr>
                <w:noProof/>
                <w:webHidden/>
              </w:rPr>
              <w:t>8</w:t>
            </w:r>
            <w:r>
              <w:rPr>
                <w:noProof/>
                <w:webHidden/>
              </w:rPr>
              <w:fldChar w:fldCharType="end"/>
            </w:r>
          </w:hyperlink>
        </w:p>
        <w:p w14:paraId="1EE0906C" w14:textId="65304F84" w:rsidR="00A64B67" w:rsidRDefault="00A64B67">
          <w:pPr>
            <w:pStyle w:val="TOC2"/>
            <w:tabs>
              <w:tab w:val="right" w:leader="dot" w:pos="9016"/>
            </w:tabs>
            <w:rPr>
              <w:rFonts w:eastAsiaTheme="minorEastAsia"/>
              <w:noProof/>
              <w:sz w:val="24"/>
              <w:szCs w:val="24"/>
              <w:lang w:eastAsia="en-AU"/>
            </w:rPr>
          </w:pPr>
          <w:hyperlink w:anchor="_Toc218527955" w:history="1">
            <w:r w:rsidRPr="0026370B">
              <w:rPr>
                <w:rStyle w:val="Hyperlink"/>
                <w:rFonts w:ascii="Calibri" w:hAnsi="Calibri" w:cs="Calibri"/>
                <w:b/>
                <w:bCs/>
                <w:noProof/>
              </w:rPr>
              <w:t>Health effects of excess</w:t>
            </w:r>
            <w:r>
              <w:rPr>
                <w:noProof/>
                <w:webHidden/>
              </w:rPr>
              <w:tab/>
            </w:r>
            <w:r>
              <w:rPr>
                <w:noProof/>
                <w:webHidden/>
              </w:rPr>
              <w:fldChar w:fldCharType="begin"/>
            </w:r>
            <w:r>
              <w:rPr>
                <w:noProof/>
                <w:webHidden/>
              </w:rPr>
              <w:instrText xml:space="preserve"> PAGEREF _Toc218527955 \h </w:instrText>
            </w:r>
            <w:r>
              <w:rPr>
                <w:noProof/>
                <w:webHidden/>
              </w:rPr>
            </w:r>
            <w:r>
              <w:rPr>
                <w:noProof/>
                <w:webHidden/>
              </w:rPr>
              <w:fldChar w:fldCharType="separate"/>
            </w:r>
            <w:r>
              <w:rPr>
                <w:noProof/>
                <w:webHidden/>
              </w:rPr>
              <w:t>9</w:t>
            </w:r>
            <w:r>
              <w:rPr>
                <w:noProof/>
                <w:webHidden/>
              </w:rPr>
              <w:fldChar w:fldCharType="end"/>
            </w:r>
          </w:hyperlink>
        </w:p>
        <w:p w14:paraId="2811419F" w14:textId="5ED04306" w:rsidR="00A64B67" w:rsidRDefault="00A64B67">
          <w:pPr>
            <w:pStyle w:val="TOC3"/>
            <w:tabs>
              <w:tab w:val="right" w:leader="dot" w:pos="9016"/>
            </w:tabs>
            <w:rPr>
              <w:rFonts w:eastAsiaTheme="minorEastAsia"/>
              <w:noProof/>
              <w:sz w:val="24"/>
              <w:szCs w:val="24"/>
              <w:lang w:eastAsia="en-AU"/>
            </w:rPr>
          </w:pPr>
          <w:hyperlink w:anchor="_Toc218527956" w:history="1">
            <w:r w:rsidRPr="0026370B">
              <w:rPr>
                <w:rStyle w:val="Hyperlink"/>
                <w:rFonts w:ascii="Calibri" w:hAnsi="Calibri" w:cs="Calibri"/>
                <w:noProof/>
              </w:rPr>
              <w:t>Excess selenium</w:t>
            </w:r>
            <w:r>
              <w:rPr>
                <w:noProof/>
                <w:webHidden/>
              </w:rPr>
              <w:tab/>
            </w:r>
            <w:r>
              <w:rPr>
                <w:noProof/>
                <w:webHidden/>
              </w:rPr>
              <w:fldChar w:fldCharType="begin"/>
            </w:r>
            <w:r>
              <w:rPr>
                <w:noProof/>
                <w:webHidden/>
              </w:rPr>
              <w:instrText xml:space="preserve"> PAGEREF _Toc218527956 \h </w:instrText>
            </w:r>
            <w:r>
              <w:rPr>
                <w:noProof/>
                <w:webHidden/>
              </w:rPr>
            </w:r>
            <w:r>
              <w:rPr>
                <w:noProof/>
                <w:webHidden/>
              </w:rPr>
              <w:fldChar w:fldCharType="separate"/>
            </w:r>
            <w:r>
              <w:rPr>
                <w:noProof/>
                <w:webHidden/>
              </w:rPr>
              <w:t>9</w:t>
            </w:r>
            <w:r>
              <w:rPr>
                <w:noProof/>
                <w:webHidden/>
              </w:rPr>
              <w:fldChar w:fldCharType="end"/>
            </w:r>
          </w:hyperlink>
        </w:p>
        <w:p w14:paraId="390F480E" w14:textId="2DCF1B37" w:rsidR="00A64B67" w:rsidRDefault="00A64B67">
          <w:pPr>
            <w:pStyle w:val="TOC3"/>
            <w:tabs>
              <w:tab w:val="right" w:leader="dot" w:pos="9016"/>
            </w:tabs>
            <w:rPr>
              <w:rFonts w:eastAsiaTheme="minorEastAsia"/>
              <w:noProof/>
              <w:sz w:val="24"/>
              <w:szCs w:val="24"/>
              <w:lang w:eastAsia="en-AU"/>
            </w:rPr>
          </w:pPr>
          <w:hyperlink w:anchor="_Toc218527957" w:history="1">
            <w:r w:rsidRPr="0026370B">
              <w:rPr>
                <w:rStyle w:val="Hyperlink"/>
                <w:rFonts w:ascii="Calibri" w:hAnsi="Calibri" w:cs="Calibri"/>
                <w:noProof/>
              </w:rPr>
              <w:t>Sensitive or at-risk groups</w:t>
            </w:r>
            <w:r>
              <w:rPr>
                <w:noProof/>
                <w:webHidden/>
              </w:rPr>
              <w:tab/>
            </w:r>
            <w:r>
              <w:rPr>
                <w:noProof/>
                <w:webHidden/>
              </w:rPr>
              <w:fldChar w:fldCharType="begin"/>
            </w:r>
            <w:r>
              <w:rPr>
                <w:noProof/>
                <w:webHidden/>
              </w:rPr>
              <w:instrText xml:space="preserve"> PAGEREF _Toc218527957 \h </w:instrText>
            </w:r>
            <w:r>
              <w:rPr>
                <w:noProof/>
                <w:webHidden/>
              </w:rPr>
            </w:r>
            <w:r>
              <w:rPr>
                <w:noProof/>
                <w:webHidden/>
              </w:rPr>
              <w:fldChar w:fldCharType="separate"/>
            </w:r>
            <w:r>
              <w:rPr>
                <w:noProof/>
                <w:webHidden/>
              </w:rPr>
              <w:t>9</w:t>
            </w:r>
            <w:r>
              <w:rPr>
                <w:noProof/>
                <w:webHidden/>
              </w:rPr>
              <w:fldChar w:fldCharType="end"/>
            </w:r>
          </w:hyperlink>
        </w:p>
        <w:p w14:paraId="1A4C0C04" w14:textId="1726D3D3" w:rsidR="00A64B67" w:rsidRDefault="00A64B67">
          <w:pPr>
            <w:pStyle w:val="TOC2"/>
            <w:tabs>
              <w:tab w:val="right" w:leader="dot" w:pos="9016"/>
            </w:tabs>
            <w:rPr>
              <w:rFonts w:eastAsiaTheme="minorEastAsia"/>
              <w:noProof/>
              <w:sz w:val="24"/>
              <w:szCs w:val="24"/>
              <w:lang w:eastAsia="en-AU"/>
            </w:rPr>
          </w:pPr>
          <w:hyperlink w:anchor="_Toc218527958" w:history="1">
            <w:r w:rsidRPr="0026370B">
              <w:rPr>
                <w:rStyle w:val="Hyperlink"/>
                <w:rFonts w:ascii="Calibri" w:hAnsi="Calibri" w:cs="Calibri"/>
                <w:b/>
                <w:bCs/>
                <w:noProof/>
              </w:rPr>
              <w:t>Measuring intake or status</w:t>
            </w:r>
            <w:r>
              <w:rPr>
                <w:noProof/>
                <w:webHidden/>
              </w:rPr>
              <w:tab/>
            </w:r>
            <w:r>
              <w:rPr>
                <w:noProof/>
                <w:webHidden/>
              </w:rPr>
              <w:fldChar w:fldCharType="begin"/>
            </w:r>
            <w:r>
              <w:rPr>
                <w:noProof/>
                <w:webHidden/>
              </w:rPr>
              <w:instrText xml:space="preserve"> PAGEREF _Toc218527958 \h </w:instrText>
            </w:r>
            <w:r>
              <w:rPr>
                <w:noProof/>
                <w:webHidden/>
              </w:rPr>
            </w:r>
            <w:r>
              <w:rPr>
                <w:noProof/>
                <w:webHidden/>
              </w:rPr>
              <w:fldChar w:fldCharType="separate"/>
            </w:r>
            <w:r>
              <w:rPr>
                <w:noProof/>
                <w:webHidden/>
              </w:rPr>
              <w:t>10</w:t>
            </w:r>
            <w:r>
              <w:rPr>
                <w:noProof/>
                <w:webHidden/>
              </w:rPr>
              <w:fldChar w:fldCharType="end"/>
            </w:r>
          </w:hyperlink>
        </w:p>
        <w:p w14:paraId="7275C181" w14:textId="55CA93EE" w:rsidR="00A64B67" w:rsidRDefault="00A64B67">
          <w:pPr>
            <w:pStyle w:val="TOC3"/>
            <w:tabs>
              <w:tab w:val="right" w:leader="dot" w:pos="9016"/>
            </w:tabs>
            <w:rPr>
              <w:rFonts w:eastAsiaTheme="minorEastAsia"/>
              <w:noProof/>
              <w:sz w:val="24"/>
              <w:szCs w:val="24"/>
              <w:lang w:eastAsia="en-AU"/>
            </w:rPr>
          </w:pPr>
          <w:hyperlink w:anchor="_Toc218527959" w:history="1">
            <w:r w:rsidRPr="0026370B">
              <w:rPr>
                <w:rStyle w:val="Hyperlink"/>
                <w:rFonts w:ascii="Calibri" w:hAnsi="Calibri" w:cs="Calibri"/>
                <w:noProof/>
              </w:rPr>
              <w:t>Dietary assessment methods</w:t>
            </w:r>
            <w:r>
              <w:rPr>
                <w:noProof/>
                <w:webHidden/>
              </w:rPr>
              <w:tab/>
            </w:r>
            <w:r>
              <w:rPr>
                <w:noProof/>
                <w:webHidden/>
              </w:rPr>
              <w:fldChar w:fldCharType="begin"/>
            </w:r>
            <w:r>
              <w:rPr>
                <w:noProof/>
                <w:webHidden/>
              </w:rPr>
              <w:instrText xml:space="preserve"> PAGEREF _Toc218527959 \h </w:instrText>
            </w:r>
            <w:r>
              <w:rPr>
                <w:noProof/>
                <w:webHidden/>
              </w:rPr>
            </w:r>
            <w:r>
              <w:rPr>
                <w:noProof/>
                <w:webHidden/>
              </w:rPr>
              <w:fldChar w:fldCharType="separate"/>
            </w:r>
            <w:r>
              <w:rPr>
                <w:noProof/>
                <w:webHidden/>
              </w:rPr>
              <w:t>10</w:t>
            </w:r>
            <w:r>
              <w:rPr>
                <w:noProof/>
                <w:webHidden/>
              </w:rPr>
              <w:fldChar w:fldCharType="end"/>
            </w:r>
          </w:hyperlink>
        </w:p>
        <w:p w14:paraId="2A8D59B7" w14:textId="49A7DAD4" w:rsidR="00A64B67" w:rsidRDefault="00A64B67">
          <w:pPr>
            <w:pStyle w:val="TOC3"/>
            <w:tabs>
              <w:tab w:val="right" w:leader="dot" w:pos="9016"/>
            </w:tabs>
            <w:rPr>
              <w:rFonts w:eastAsiaTheme="minorEastAsia"/>
              <w:noProof/>
              <w:sz w:val="24"/>
              <w:szCs w:val="24"/>
              <w:lang w:eastAsia="en-AU"/>
            </w:rPr>
          </w:pPr>
          <w:hyperlink w:anchor="_Toc218527960" w:history="1">
            <w:r w:rsidRPr="0026370B">
              <w:rPr>
                <w:rStyle w:val="Hyperlink"/>
                <w:rFonts w:ascii="Calibri" w:hAnsi="Calibri" w:cs="Calibri"/>
                <w:noProof/>
              </w:rPr>
              <w:t>Biomarkers of intake or status</w:t>
            </w:r>
            <w:r>
              <w:rPr>
                <w:noProof/>
                <w:webHidden/>
              </w:rPr>
              <w:tab/>
            </w:r>
            <w:r>
              <w:rPr>
                <w:noProof/>
                <w:webHidden/>
              </w:rPr>
              <w:fldChar w:fldCharType="begin"/>
            </w:r>
            <w:r>
              <w:rPr>
                <w:noProof/>
                <w:webHidden/>
              </w:rPr>
              <w:instrText xml:space="preserve"> PAGEREF _Toc218527960 \h </w:instrText>
            </w:r>
            <w:r>
              <w:rPr>
                <w:noProof/>
                <w:webHidden/>
              </w:rPr>
            </w:r>
            <w:r>
              <w:rPr>
                <w:noProof/>
                <w:webHidden/>
              </w:rPr>
              <w:fldChar w:fldCharType="separate"/>
            </w:r>
            <w:r>
              <w:rPr>
                <w:noProof/>
                <w:webHidden/>
              </w:rPr>
              <w:t>10</w:t>
            </w:r>
            <w:r>
              <w:rPr>
                <w:noProof/>
                <w:webHidden/>
              </w:rPr>
              <w:fldChar w:fldCharType="end"/>
            </w:r>
          </w:hyperlink>
        </w:p>
        <w:p w14:paraId="0BB79208" w14:textId="03CF0DFD" w:rsidR="00A64B67" w:rsidRDefault="00A64B67">
          <w:pPr>
            <w:pStyle w:val="TOC1"/>
            <w:tabs>
              <w:tab w:val="right" w:leader="dot" w:pos="9016"/>
            </w:tabs>
            <w:rPr>
              <w:rFonts w:eastAsiaTheme="minorEastAsia"/>
              <w:noProof/>
              <w:sz w:val="24"/>
              <w:szCs w:val="24"/>
              <w:lang w:eastAsia="en-AU"/>
            </w:rPr>
          </w:pPr>
          <w:hyperlink w:anchor="_Toc218527961" w:history="1">
            <w:r w:rsidRPr="0026370B">
              <w:rPr>
                <w:rStyle w:val="Hyperlink"/>
                <w:rFonts w:ascii="Calibri" w:hAnsi="Calibri" w:cs="Calibri"/>
                <w:b/>
                <w:bCs/>
                <w:noProof/>
              </w:rPr>
              <w:t>Current recommendations and international comparisons</w:t>
            </w:r>
            <w:r>
              <w:rPr>
                <w:noProof/>
                <w:webHidden/>
              </w:rPr>
              <w:tab/>
            </w:r>
            <w:r>
              <w:rPr>
                <w:noProof/>
                <w:webHidden/>
              </w:rPr>
              <w:fldChar w:fldCharType="begin"/>
            </w:r>
            <w:r>
              <w:rPr>
                <w:noProof/>
                <w:webHidden/>
              </w:rPr>
              <w:instrText xml:space="preserve"> PAGEREF _Toc218527961 \h </w:instrText>
            </w:r>
            <w:r>
              <w:rPr>
                <w:noProof/>
                <w:webHidden/>
              </w:rPr>
            </w:r>
            <w:r>
              <w:rPr>
                <w:noProof/>
                <w:webHidden/>
              </w:rPr>
              <w:fldChar w:fldCharType="separate"/>
            </w:r>
            <w:r>
              <w:rPr>
                <w:noProof/>
                <w:webHidden/>
              </w:rPr>
              <w:t>13</w:t>
            </w:r>
            <w:r>
              <w:rPr>
                <w:noProof/>
                <w:webHidden/>
              </w:rPr>
              <w:fldChar w:fldCharType="end"/>
            </w:r>
          </w:hyperlink>
        </w:p>
        <w:p w14:paraId="1C69FA80" w14:textId="0D41A247" w:rsidR="00A64B67" w:rsidRDefault="00A64B67">
          <w:pPr>
            <w:pStyle w:val="TOC3"/>
            <w:tabs>
              <w:tab w:val="right" w:leader="dot" w:pos="9016"/>
            </w:tabs>
            <w:rPr>
              <w:rFonts w:eastAsiaTheme="minorEastAsia"/>
              <w:noProof/>
              <w:sz w:val="24"/>
              <w:szCs w:val="24"/>
              <w:lang w:eastAsia="en-AU"/>
            </w:rPr>
          </w:pPr>
          <w:hyperlink w:anchor="_Toc218527962" w:history="1">
            <w:r w:rsidRPr="0026370B">
              <w:rPr>
                <w:rStyle w:val="Hyperlink"/>
                <w:rFonts w:ascii="Calibri" w:hAnsi="Calibri" w:cs="Calibri"/>
                <w:noProof/>
              </w:rPr>
              <w:t>Basis for current UL recommendations</w:t>
            </w:r>
            <w:r>
              <w:rPr>
                <w:noProof/>
                <w:webHidden/>
              </w:rPr>
              <w:tab/>
            </w:r>
            <w:r>
              <w:rPr>
                <w:noProof/>
                <w:webHidden/>
              </w:rPr>
              <w:fldChar w:fldCharType="begin"/>
            </w:r>
            <w:r>
              <w:rPr>
                <w:noProof/>
                <w:webHidden/>
              </w:rPr>
              <w:instrText xml:space="preserve"> PAGEREF _Toc218527962 \h </w:instrText>
            </w:r>
            <w:r>
              <w:rPr>
                <w:noProof/>
                <w:webHidden/>
              </w:rPr>
            </w:r>
            <w:r>
              <w:rPr>
                <w:noProof/>
                <w:webHidden/>
              </w:rPr>
              <w:fldChar w:fldCharType="separate"/>
            </w:r>
            <w:r>
              <w:rPr>
                <w:noProof/>
                <w:webHidden/>
              </w:rPr>
              <w:t>13</w:t>
            </w:r>
            <w:r>
              <w:rPr>
                <w:noProof/>
                <w:webHidden/>
              </w:rPr>
              <w:fldChar w:fldCharType="end"/>
            </w:r>
          </w:hyperlink>
        </w:p>
        <w:p w14:paraId="28BBBFD1" w14:textId="25BD68CF" w:rsidR="00A64B67" w:rsidRDefault="00A64B67">
          <w:pPr>
            <w:pStyle w:val="TOC3"/>
            <w:tabs>
              <w:tab w:val="right" w:leader="dot" w:pos="9016"/>
            </w:tabs>
            <w:rPr>
              <w:rFonts w:eastAsiaTheme="minorEastAsia"/>
              <w:noProof/>
              <w:sz w:val="24"/>
              <w:szCs w:val="24"/>
              <w:lang w:eastAsia="en-AU"/>
            </w:rPr>
          </w:pPr>
          <w:hyperlink w:anchor="_Toc218527963" w:history="1">
            <w:r w:rsidRPr="0026370B">
              <w:rPr>
                <w:rStyle w:val="Hyperlink"/>
                <w:rFonts w:ascii="Calibri" w:hAnsi="Calibri" w:cs="Calibri"/>
                <w:noProof/>
              </w:rPr>
              <w:t>Current recommendations for nutritional requirements</w:t>
            </w:r>
            <w:r>
              <w:rPr>
                <w:noProof/>
                <w:webHidden/>
              </w:rPr>
              <w:tab/>
            </w:r>
            <w:r>
              <w:rPr>
                <w:noProof/>
                <w:webHidden/>
              </w:rPr>
              <w:fldChar w:fldCharType="begin"/>
            </w:r>
            <w:r>
              <w:rPr>
                <w:noProof/>
                <w:webHidden/>
              </w:rPr>
              <w:instrText xml:space="preserve"> PAGEREF _Toc218527963 \h </w:instrText>
            </w:r>
            <w:r>
              <w:rPr>
                <w:noProof/>
                <w:webHidden/>
              </w:rPr>
            </w:r>
            <w:r>
              <w:rPr>
                <w:noProof/>
                <w:webHidden/>
              </w:rPr>
              <w:fldChar w:fldCharType="separate"/>
            </w:r>
            <w:r>
              <w:rPr>
                <w:noProof/>
                <w:webHidden/>
              </w:rPr>
              <w:t>15</w:t>
            </w:r>
            <w:r>
              <w:rPr>
                <w:noProof/>
                <w:webHidden/>
              </w:rPr>
              <w:fldChar w:fldCharType="end"/>
            </w:r>
          </w:hyperlink>
        </w:p>
        <w:p w14:paraId="45BA7B0F" w14:textId="08416E3A" w:rsidR="00A64B67" w:rsidRDefault="00A64B67">
          <w:pPr>
            <w:pStyle w:val="TOC1"/>
            <w:tabs>
              <w:tab w:val="right" w:leader="dot" w:pos="9016"/>
            </w:tabs>
            <w:rPr>
              <w:rFonts w:eastAsiaTheme="minorEastAsia"/>
              <w:noProof/>
              <w:sz w:val="24"/>
              <w:szCs w:val="24"/>
              <w:lang w:eastAsia="en-AU"/>
            </w:rPr>
          </w:pPr>
          <w:hyperlink w:anchor="_Toc218527964" w:history="1">
            <w:r w:rsidRPr="0026370B">
              <w:rPr>
                <w:rStyle w:val="Hyperlink"/>
                <w:rFonts w:ascii="Calibri" w:hAnsi="Calibri" w:cs="Calibri"/>
                <w:b/>
                <w:bCs/>
                <w:noProof/>
              </w:rPr>
              <w:t>Australian and New Zealand context</w:t>
            </w:r>
            <w:r>
              <w:rPr>
                <w:noProof/>
                <w:webHidden/>
              </w:rPr>
              <w:tab/>
            </w:r>
            <w:r>
              <w:rPr>
                <w:noProof/>
                <w:webHidden/>
              </w:rPr>
              <w:fldChar w:fldCharType="begin"/>
            </w:r>
            <w:r>
              <w:rPr>
                <w:noProof/>
                <w:webHidden/>
              </w:rPr>
              <w:instrText xml:space="preserve"> PAGEREF _Toc218527964 \h </w:instrText>
            </w:r>
            <w:r>
              <w:rPr>
                <w:noProof/>
                <w:webHidden/>
              </w:rPr>
            </w:r>
            <w:r>
              <w:rPr>
                <w:noProof/>
                <w:webHidden/>
              </w:rPr>
              <w:fldChar w:fldCharType="separate"/>
            </w:r>
            <w:r>
              <w:rPr>
                <w:noProof/>
                <w:webHidden/>
              </w:rPr>
              <w:t>17</w:t>
            </w:r>
            <w:r>
              <w:rPr>
                <w:noProof/>
                <w:webHidden/>
              </w:rPr>
              <w:fldChar w:fldCharType="end"/>
            </w:r>
          </w:hyperlink>
        </w:p>
        <w:p w14:paraId="1E0FC8E4" w14:textId="7CEF6086" w:rsidR="00A64B67" w:rsidRDefault="00A64B67">
          <w:pPr>
            <w:pStyle w:val="TOC2"/>
            <w:tabs>
              <w:tab w:val="right" w:leader="dot" w:pos="9016"/>
            </w:tabs>
            <w:rPr>
              <w:rFonts w:eastAsiaTheme="minorEastAsia"/>
              <w:noProof/>
              <w:sz w:val="24"/>
              <w:szCs w:val="24"/>
              <w:lang w:eastAsia="en-AU"/>
            </w:rPr>
          </w:pPr>
          <w:hyperlink w:anchor="_Toc218527965" w:history="1">
            <w:r w:rsidRPr="0026370B">
              <w:rPr>
                <w:rStyle w:val="Hyperlink"/>
                <w:rFonts w:ascii="Calibri" w:hAnsi="Calibri" w:cs="Calibri"/>
                <w:noProof/>
              </w:rPr>
              <w:t>Population status and intakes</w:t>
            </w:r>
            <w:r>
              <w:rPr>
                <w:noProof/>
                <w:webHidden/>
              </w:rPr>
              <w:tab/>
            </w:r>
            <w:r>
              <w:rPr>
                <w:noProof/>
                <w:webHidden/>
              </w:rPr>
              <w:fldChar w:fldCharType="begin"/>
            </w:r>
            <w:r>
              <w:rPr>
                <w:noProof/>
                <w:webHidden/>
              </w:rPr>
              <w:instrText xml:space="preserve"> PAGEREF _Toc218527965 \h </w:instrText>
            </w:r>
            <w:r>
              <w:rPr>
                <w:noProof/>
                <w:webHidden/>
              </w:rPr>
            </w:r>
            <w:r>
              <w:rPr>
                <w:noProof/>
                <w:webHidden/>
              </w:rPr>
              <w:fldChar w:fldCharType="separate"/>
            </w:r>
            <w:r>
              <w:rPr>
                <w:noProof/>
                <w:webHidden/>
              </w:rPr>
              <w:t>17</w:t>
            </w:r>
            <w:r>
              <w:rPr>
                <w:noProof/>
                <w:webHidden/>
              </w:rPr>
              <w:fldChar w:fldCharType="end"/>
            </w:r>
          </w:hyperlink>
        </w:p>
        <w:p w14:paraId="5E9A8F85" w14:textId="515F0F73" w:rsidR="00A64B67" w:rsidRDefault="00A64B67">
          <w:pPr>
            <w:pStyle w:val="TOC3"/>
            <w:tabs>
              <w:tab w:val="right" w:leader="dot" w:pos="9016"/>
            </w:tabs>
            <w:rPr>
              <w:rFonts w:eastAsiaTheme="minorEastAsia"/>
              <w:noProof/>
              <w:sz w:val="24"/>
              <w:szCs w:val="24"/>
              <w:lang w:eastAsia="en-AU"/>
            </w:rPr>
          </w:pPr>
          <w:hyperlink w:anchor="_Toc218527966" w:history="1">
            <w:r w:rsidRPr="0026370B">
              <w:rPr>
                <w:rStyle w:val="Hyperlink"/>
                <w:rFonts w:ascii="Calibri" w:hAnsi="Calibri" w:cs="Calibri"/>
                <w:noProof/>
              </w:rPr>
              <w:t>Selenium intake</w:t>
            </w:r>
            <w:r>
              <w:rPr>
                <w:noProof/>
                <w:webHidden/>
              </w:rPr>
              <w:tab/>
            </w:r>
            <w:r>
              <w:rPr>
                <w:noProof/>
                <w:webHidden/>
              </w:rPr>
              <w:fldChar w:fldCharType="begin"/>
            </w:r>
            <w:r>
              <w:rPr>
                <w:noProof/>
                <w:webHidden/>
              </w:rPr>
              <w:instrText xml:space="preserve"> PAGEREF _Toc218527966 \h </w:instrText>
            </w:r>
            <w:r>
              <w:rPr>
                <w:noProof/>
                <w:webHidden/>
              </w:rPr>
            </w:r>
            <w:r>
              <w:rPr>
                <w:noProof/>
                <w:webHidden/>
              </w:rPr>
              <w:fldChar w:fldCharType="separate"/>
            </w:r>
            <w:r>
              <w:rPr>
                <w:noProof/>
                <w:webHidden/>
              </w:rPr>
              <w:t>17</w:t>
            </w:r>
            <w:r>
              <w:rPr>
                <w:noProof/>
                <w:webHidden/>
              </w:rPr>
              <w:fldChar w:fldCharType="end"/>
            </w:r>
          </w:hyperlink>
        </w:p>
        <w:p w14:paraId="6A80C019" w14:textId="31DFA4CD" w:rsidR="00A64B67" w:rsidRDefault="00A64B67">
          <w:pPr>
            <w:pStyle w:val="TOC3"/>
            <w:tabs>
              <w:tab w:val="right" w:leader="dot" w:pos="9016"/>
            </w:tabs>
            <w:rPr>
              <w:rFonts w:eastAsiaTheme="minorEastAsia"/>
              <w:noProof/>
              <w:sz w:val="24"/>
              <w:szCs w:val="24"/>
              <w:lang w:eastAsia="en-AU"/>
            </w:rPr>
          </w:pPr>
          <w:hyperlink w:anchor="_Toc218527967" w:history="1">
            <w:r w:rsidRPr="0026370B">
              <w:rPr>
                <w:rStyle w:val="Hyperlink"/>
                <w:rFonts w:ascii="Calibri" w:hAnsi="Calibri" w:cs="Calibri"/>
                <w:noProof/>
              </w:rPr>
              <w:t>Selenium status</w:t>
            </w:r>
            <w:r>
              <w:rPr>
                <w:noProof/>
                <w:webHidden/>
              </w:rPr>
              <w:tab/>
            </w:r>
            <w:r>
              <w:rPr>
                <w:noProof/>
                <w:webHidden/>
              </w:rPr>
              <w:fldChar w:fldCharType="begin"/>
            </w:r>
            <w:r>
              <w:rPr>
                <w:noProof/>
                <w:webHidden/>
              </w:rPr>
              <w:instrText xml:space="preserve"> PAGEREF _Toc218527967 \h </w:instrText>
            </w:r>
            <w:r>
              <w:rPr>
                <w:noProof/>
                <w:webHidden/>
              </w:rPr>
            </w:r>
            <w:r>
              <w:rPr>
                <w:noProof/>
                <w:webHidden/>
              </w:rPr>
              <w:fldChar w:fldCharType="separate"/>
            </w:r>
            <w:r>
              <w:rPr>
                <w:noProof/>
                <w:webHidden/>
              </w:rPr>
              <w:t>22</w:t>
            </w:r>
            <w:r>
              <w:rPr>
                <w:noProof/>
                <w:webHidden/>
              </w:rPr>
              <w:fldChar w:fldCharType="end"/>
            </w:r>
          </w:hyperlink>
        </w:p>
        <w:p w14:paraId="685676AA" w14:textId="0F845C6C" w:rsidR="00A64B67" w:rsidRDefault="00A64B67">
          <w:pPr>
            <w:pStyle w:val="TOC3"/>
            <w:tabs>
              <w:tab w:val="right" w:leader="dot" w:pos="9016"/>
            </w:tabs>
            <w:rPr>
              <w:rFonts w:eastAsiaTheme="minorEastAsia"/>
              <w:noProof/>
              <w:sz w:val="24"/>
              <w:szCs w:val="24"/>
              <w:lang w:eastAsia="en-AU"/>
            </w:rPr>
          </w:pPr>
          <w:hyperlink w:anchor="_Toc218527968" w:history="1">
            <w:r w:rsidRPr="0026370B">
              <w:rPr>
                <w:rStyle w:val="Hyperlink"/>
                <w:rFonts w:ascii="Calibri" w:hAnsi="Calibri" w:cs="Calibri"/>
                <w:noProof/>
              </w:rPr>
              <w:t>New Zealand</w:t>
            </w:r>
            <w:r>
              <w:rPr>
                <w:noProof/>
                <w:webHidden/>
              </w:rPr>
              <w:tab/>
            </w:r>
            <w:r>
              <w:rPr>
                <w:noProof/>
                <w:webHidden/>
              </w:rPr>
              <w:fldChar w:fldCharType="begin"/>
            </w:r>
            <w:r>
              <w:rPr>
                <w:noProof/>
                <w:webHidden/>
              </w:rPr>
              <w:instrText xml:space="preserve"> PAGEREF _Toc218527968 \h </w:instrText>
            </w:r>
            <w:r>
              <w:rPr>
                <w:noProof/>
                <w:webHidden/>
              </w:rPr>
            </w:r>
            <w:r>
              <w:rPr>
                <w:noProof/>
                <w:webHidden/>
              </w:rPr>
              <w:fldChar w:fldCharType="separate"/>
            </w:r>
            <w:r>
              <w:rPr>
                <w:noProof/>
                <w:webHidden/>
              </w:rPr>
              <w:t>25</w:t>
            </w:r>
            <w:r>
              <w:rPr>
                <w:noProof/>
                <w:webHidden/>
              </w:rPr>
              <w:fldChar w:fldCharType="end"/>
            </w:r>
          </w:hyperlink>
        </w:p>
        <w:p w14:paraId="58135410" w14:textId="4AD0995B" w:rsidR="00A64B67" w:rsidRDefault="00A64B67">
          <w:pPr>
            <w:pStyle w:val="TOC2"/>
            <w:tabs>
              <w:tab w:val="right" w:leader="dot" w:pos="9016"/>
            </w:tabs>
            <w:rPr>
              <w:rFonts w:eastAsiaTheme="minorEastAsia"/>
              <w:noProof/>
              <w:sz w:val="24"/>
              <w:szCs w:val="24"/>
              <w:lang w:eastAsia="en-AU"/>
            </w:rPr>
          </w:pPr>
          <w:hyperlink w:anchor="_Toc218527969" w:history="1">
            <w:r w:rsidRPr="0026370B">
              <w:rPr>
                <w:rStyle w:val="Hyperlink"/>
                <w:rFonts w:ascii="Calibri" w:hAnsi="Calibri" w:cs="Calibri"/>
                <w:noProof/>
              </w:rPr>
              <w:t>Key health outcomes of relevance for Australia and New Zealand</w:t>
            </w:r>
            <w:r>
              <w:rPr>
                <w:noProof/>
                <w:webHidden/>
              </w:rPr>
              <w:tab/>
            </w:r>
            <w:r>
              <w:rPr>
                <w:noProof/>
                <w:webHidden/>
              </w:rPr>
              <w:fldChar w:fldCharType="begin"/>
            </w:r>
            <w:r>
              <w:rPr>
                <w:noProof/>
                <w:webHidden/>
              </w:rPr>
              <w:instrText xml:space="preserve"> PAGEREF _Toc218527969 \h </w:instrText>
            </w:r>
            <w:r>
              <w:rPr>
                <w:noProof/>
                <w:webHidden/>
              </w:rPr>
            </w:r>
            <w:r>
              <w:rPr>
                <w:noProof/>
                <w:webHidden/>
              </w:rPr>
              <w:fldChar w:fldCharType="separate"/>
            </w:r>
            <w:r>
              <w:rPr>
                <w:noProof/>
                <w:webHidden/>
              </w:rPr>
              <w:t>25</w:t>
            </w:r>
            <w:r>
              <w:rPr>
                <w:noProof/>
                <w:webHidden/>
              </w:rPr>
              <w:fldChar w:fldCharType="end"/>
            </w:r>
          </w:hyperlink>
        </w:p>
        <w:p w14:paraId="788CD0C3" w14:textId="480A7531" w:rsidR="00A64B67" w:rsidRDefault="00A64B67">
          <w:pPr>
            <w:pStyle w:val="TOC1"/>
            <w:tabs>
              <w:tab w:val="right" w:leader="dot" w:pos="9016"/>
            </w:tabs>
            <w:rPr>
              <w:rFonts w:eastAsiaTheme="minorEastAsia"/>
              <w:noProof/>
              <w:sz w:val="24"/>
              <w:szCs w:val="24"/>
              <w:lang w:eastAsia="en-AU"/>
            </w:rPr>
          </w:pPr>
          <w:hyperlink w:anchor="_Toc218527970" w:history="1">
            <w:r w:rsidRPr="0026370B">
              <w:rPr>
                <w:rStyle w:val="Hyperlink"/>
                <w:rFonts w:ascii="Calibri" w:hAnsi="Calibri" w:cs="Calibri"/>
                <w:b/>
                <w:bCs/>
                <w:noProof/>
              </w:rPr>
              <w:t>Summary of Evidence</w:t>
            </w:r>
            <w:r>
              <w:rPr>
                <w:noProof/>
                <w:webHidden/>
              </w:rPr>
              <w:tab/>
            </w:r>
            <w:r>
              <w:rPr>
                <w:noProof/>
                <w:webHidden/>
              </w:rPr>
              <w:fldChar w:fldCharType="begin"/>
            </w:r>
            <w:r>
              <w:rPr>
                <w:noProof/>
                <w:webHidden/>
              </w:rPr>
              <w:instrText xml:space="preserve"> PAGEREF _Toc218527970 \h </w:instrText>
            </w:r>
            <w:r>
              <w:rPr>
                <w:noProof/>
                <w:webHidden/>
              </w:rPr>
            </w:r>
            <w:r>
              <w:rPr>
                <w:noProof/>
                <w:webHidden/>
              </w:rPr>
              <w:fldChar w:fldCharType="separate"/>
            </w:r>
            <w:r>
              <w:rPr>
                <w:noProof/>
                <w:webHidden/>
              </w:rPr>
              <w:t>27</w:t>
            </w:r>
            <w:r>
              <w:rPr>
                <w:noProof/>
                <w:webHidden/>
              </w:rPr>
              <w:fldChar w:fldCharType="end"/>
            </w:r>
          </w:hyperlink>
        </w:p>
        <w:p w14:paraId="4D31B8B5" w14:textId="0515C6B8" w:rsidR="00A64B67" w:rsidRDefault="00A64B67">
          <w:pPr>
            <w:pStyle w:val="TOC2"/>
            <w:tabs>
              <w:tab w:val="right" w:leader="dot" w:pos="9016"/>
            </w:tabs>
            <w:rPr>
              <w:rFonts w:eastAsiaTheme="minorEastAsia"/>
              <w:noProof/>
              <w:sz w:val="24"/>
              <w:szCs w:val="24"/>
              <w:lang w:eastAsia="en-AU"/>
            </w:rPr>
          </w:pPr>
          <w:hyperlink w:anchor="_Toc218527971" w:history="1">
            <w:r w:rsidRPr="0026370B">
              <w:rPr>
                <w:rStyle w:val="Hyperlink"/>
                <w:rFonts w:ascii="Calibri" w:hAnsi="Calibri" w:cs="Calibri"/>
                <w:noProof/>
              </w:rPr>
              <w:t>Intake, status and health relationships</w:t>
            </w:r>
            <w:r>
              <w:rPr>
                <w:noProof/>
                <w:webHidden/>
              </w:rPr>
              <w:tab/>
            </w:r>
            <w:r>
              <w:rPr>
                <w:noProof/>
                <w:webHidden/>
              </w:rPr>
              <w:fldChar w:fldCharType="begin"/>
            </w:r>
            <w:r>
              <w:rPr>
                <w:noProof/>
                <w:webHidden/>
              </w:rPr>
              <w:instrText xml:space="preserve"> PAGEREF _Toc218527971 \h </w:instrText>
            </w:r>
            <w:r>
              <w:rPr>
                <w:noProof/>
                <w:webHidden/>
              </w:rPr>
            </w:r>
            <w:r>
              <w:rPr>
                <w:noProof/>
                <w:webHidden/>
              </w:rPr>
              <w:fldChar w:fldCharType="separate"/>
            </w:r>
            <w:r>
              <w:rPr>
                <w:noProof/>
                <w:webHidden/>
              </w:rPr>
              <w:t>27</w:t>
            </w:r>
            <w:r>
              <w:rPr>
                <w:noProof/>
                <w:webHidden/>
              </w:rPr>
              <w:fldChar w:fldCharType="end"/>
            </w:r>
          </w:hyperlink>
        </w:p>
        <w:p w14:paraId="0787D8F1" w14:textId="3DCF8630" w:rsidR="00A64B67" w:rsidRDefault="00A64B67">
          <w:pPr>
            <w:pStyle w:val="TOC3"/>
            <w:tabs>
              <w:tab w:val="right" w:leader="dot" w:pos="9016"/>
            </w:tabs>
            <w:rPr>
              <w:rFonts w:eastAsiaTheme="minorEastAsia"/>
              <w:noProof/>
              <w:sz w:val="24"/>
              <w:szCs w:val="24"/>
              <w:lang w:eastAsia="en-AU"/>
            </w:rPr>
          </w:pPr>
          <w:hyperlink w:anchor="_Toc218527972" w:history="1">
            <w:r w:rsidRPr="0026370B">
              <w:rPr>
                <w:rStyle w:val="Hyperlink"/>
                <w:rFonts w:ascii="Calibri" w:hAnsi="Calibri" w:cs="Calibri"/>
                <w:i/>
                <w:iCs/>
                <w:noProof/>
              </w:rPr>
              <w:t>Alopecia</w:t>
            </w:r>
            <w:r>
              <w:rPr>
                <w:noProof/>
                <w:webHidden/>
              </w:rPr>
              <w:tab/>
            </w:r>
            <w:r>
              <w:rPr>
                <w:noProof/>
                <w:webHidden/>
              </w:rPr>
              <w:fldChar w:fldCharType="begin"/>
            </w:r>
            <w:r>
              <w:rPr>
                <w:noProof/>
                <w:webHidden/>
              </w:rPr>
              <w:instrText xml:space="preserve"> PAGEREF _Toc218527972 \h </w:instrText>
            </w:r>
            <w:r>
              <w:rPr>
                <w:noProof/>
                <w:webHidden/>
              </w:rPr>
            </w:r>
            <w:r>
              <w:rPr>
                <w:noProof/>
                <w:webHidden/>
              </w:rPr>
              <w:fldChar w:fldCharType="separate"/>
            </w:r>
            <w:r>
              <w:rPr>
                <w:noProof/>
                <w:webHidden/>
              </w:rPr>
              <w:t>27</w:t>
            </w:r>
            <w:r>
              <w:rPr>
                <w:noProof/>
                <w:webHidden/>
              </w:rPr>
              <w:fldChar w:fldCharType="end"/>
            </w:r>
          </w:hyperlink>
        </w:p>
        <w:p w14:paraId="019A3939" w14:textId="206D06A9" w:rsidR="00A64B67" w:rsidRDefault="00A64B67">
          <w:pPr>
            <w:pStyle w:val="TOC3"/>
            <w:tabs>
              <w:tab w:val="right" w:leader="dot" w:pos="9016"/>
            </w:tabs>
            <w:rPr>
              <w:rFonts w:eastAsiaTheme="minorEastAsia"/>
              <w:noProof/>
              <w:sz w:val="24"/>
              <w:szCs w:val="24"/>
              <w:lang w:eastAsia="en-AU"/>
            </w:rPr>
          </w:pPr>
          <w:hyperlink w:anchor="_Toc218527973" w:history="1">
            <w:r w:rsidRPr="0026370B">
              <w:rPr>
                <w:rStyle w:val="Hyperlink"/>
                <w:rFonts w:ascii="Calibri" w:hAnsi="Calibri" w:cs="Calibri"/>
                <w:i/>
                <w:iCs/>
                <w:noProof/>
              </w:rPr>
              <w:t>Other health outcomes</w:t>
            </w:r>
            <w:r>
              <w:rPr>
                <w:noProof/>
                <w:webHidden/>
              </w:rPr>
              <w:tab/>
            </w:r>
            <w:r>
              <w:rPr>
                <w:noProof/>
                <w:webHidden/>
              </w:rPr>
              <w:fldChar w:fldCharType="begin"/>
            </w:r>
            <w:r>
              <w:rPr>
                <w:noProof/>
                <w:webHidden/>
              </w:rPr>
              <w:instrText xml:space="preserve"> PAGEREF _Toc218527973 \h </w:instrText>
            </w:r>
            <w:r>
              <w:rPr>
                <w:noProof/>
                <w:webHidden/>
              </w:rPr>
            </w:r>
            <w:r>
              <w:rPr>
                <w:noProof/>
                <w:webHidden/>
              </w:rPr>
              <w:fldChar w:fldCharType="separate"/>
            </w:r>
            <w:r>
              <w:rPr>
                <w:noProof/>
                <w:webHidden/>
              </w:rPr>
              <w:t>27</w:t>
            </w:r>
            <w:r>
              <w:rPr>
                <w:noProof/>
                <w:webHidden/>
              </w:rPr>
              <w:fldChar w:fldCharType="end"/>
            </w:r>
          </w:hyperlink>
        </w:p>
        <w:p w14:paraId="1491DE81" w14:textId="0C4005CA" w:rsidR="00A64B67" w:rsidRDefault="00A64B67">
          <w:pPr>
            <w:pStyle w:val="TOC1"/>
            <w:tabs>
              <w:tab w:val="right" w:leader="dot" w:pos="9016"/>
            </w:tabs>
            <w:rPr>
              <w:rFonts w:eastAsiaTheme="minorEastAsia"/>
              <w:noProof/>
              <w:sz w:val="24"/>
              <w:szCs w:val="24"/>
              <w:lang w:eastAsia="en-AU"/>
            </w:rPr>
          </w:pPr>
          <w:hyperlink w:anchor="_Toc218527974" w:history="1">
            <w:r w:rsidRPr="0026370B">
              <w:rPr>
                <w:rStyle w:val="Hyperlink"/>
                <w:rFonts w:ascii="Calibri" w:hAnsi="Calibri" w:cs="Calibri"/>
                <w:b/>
                <w:bCs/>
                <w:noProof/>
              </w:rPr>
              <w:t>Derivation of draft NRVs</w:t>
            </w:r>
            <w:r>
              <w:rPr>
                <w:noProof/>
                <w:webHidden/>
              </w:rPr>
              <w:tab/>
            </w:r>
            <w:r>
              <w:rPr>
                <w:noProof/>
                <w:webHidden/>
              </w:rPr>
              <w:fldChar w:fldCharType="begin"/>
            </w:r>
            <w:r>
              <w:rPr>
                <w:noProof/>
                <w:webHidden/>
              </w:rPr>
              <w:instrText xml:space="preserve"> PAGEREF _Toc218527974 \h </w:instrText>
            </w:r>
            <w:r>
              <w:rPr>
                <w:noProof/>
                <w:webHidden/>
              </w:rPr>
            </w:r>
            <w:r>
              <w:rPr>
                <w:noProof/>
                <w:webHidden/>
              </w:rPr>
              <w:fldChar w:fldCharType="separate"/>
            </w:r>
            <w:r>
              <w:rPr>
                <w:noProof/>
                <w:webHidden/>
              </w:rPr>
              <w:t>30</w:t>
            </w:r>
            <w:r>
              <w:rPr>
                <w:noProof/>
                <w:webHidden/>
              </w:rPr>
              <w:fldChar w:fldCharType="end"/>
            </w:r>
          </w:hyperlink>
        </w:p>
        <w:p w14:paraId="3B11C771" w14:textId="7583A621" w:rsidR="00A64B67" w:rsidRDefault="00A64B67">
          <w:pPr>
            <w:pStyle w:val="TOC2"/>
            <w:tabs>
              <w:tab w:val="right" w:leader="dot" w:pos="9016"/>
            </w:tabs>
            <w:rPr>
              <w:rFonts w:eastAsiaTheme="minorEastAsia"/>
              <w:noProof/>
              <w:sz w:val="24"/>
              <w:szCs w:val="24"/>
              <w:lang w:eastAsia="en-AU"/>
            </w:rPr>
          </w:pPr>
          <w:hyperlink w:anchor="_Toc218527975" w:history="1">
            <w:r w:rsidRPr="0026370B">
              <w:rPr>
                <w:rStyle w:val="Hyperlink"/>
                <w:rFonts w:ascii="Calibri" w:hAnsi="Calibri" w:cs="Calibri"/>
                <w:noProof/>
              </w:rPr>
              <w:t>Nutritional adequacy recommendations</w:t>
            </w:r>
            <w:r>
              <w:rPr>
                <w:noProof/>
                <w:webHidden/>
              </w:rPr>
              <w:tab/>
            </w:r>
            <w:r>
              <w:rPr>
                <w:noProof/>
                <w:webHidden/>
              </w:rPr>
              <w:fldChar w:fldCharType="begin"/>
            </w:r>
            <w:r>
              <w:rPr>
                <w:noProof/>
                <w:webHidden/>
              </w:rPr>
              <w:instrText xml:space="preserve"> PAGEREF _Toc218527975 \h </w:instrText>
            </w:r>
            <w:r>
              <w:rPr>
                <w:noProof/>
                <w:webHidden/>
              </w:rPr>
            </w:r>
            <w:r>
              <w:rPr>
                <w:noProof/>
                <w:webHidden/>
              </w:rPr>
              <w:fldChar w:fldCharType="separate"/>
            </w:r>
            <w:r>
              <w:rPr>
                <w:noProof/>
                <w:webHidden/>
              </w:rPr>
              <w:t>30</w:t>
            </w:r>
            <w:r>
              <w:rPr>
                <w:noProof/>
                <w:webHidden/>
              </w:rPr>
              <w:fldChar w:fldCharType="end"/>
            </w:r>
          </w:hyperlink>
        </w:p>
        <w:p w14:paraId="341D1175" w14:textId="67CA0811" w:rsidR="00A64B67" w:rsidRDefault="00A64B67">
          <w:pPr>
            <w:pStyle w:val="TOC2"/>
            <w:tabs>
              <w:tab w:val="right" w:leader="dot" w:pos="9016"/>
            </w:tabs>
            <w:rPr>
              <w:rFonts w:eastAsiaTheme="minorEastAsia"/>
              <w:noProof/>
              <w:sz w:val="24"/>
              <w:szCs w:val="24"/>
              <w:lang w:eastAsia="en-AU"/>
            </w:rPr>
          </w:pPr>
          <w:hyperlink w:anchor="_Toc218527976" w:history="1">
            <w:r w:rsidRPr="0026370B">
              <w:rPr>
                <w:rStyle w:val="Hyperlink"/>
                <w:rFonts w:ascii="Calibri" w:hAnsi="Calibri" w:cs="Calibri"/>
                <w:noProof/>
              </w:rPr>
              <w:t>Upper level (UL)</w:t>
            </w:r>
            <w:r>
              <w:rPr>
                <w:noProof/>
                <w:webHidden/>
              </w:rPr>
              <w:tab/>
            </w:r>
            <w:r>
              <w:rPr>
                <w:noProof/>
                <w:webHidden/>
              </w:rPr>
              <w:fldChar w:fldCharType="begin"/>
            </w:r>
            <w:r>
              <w:rPr>
                <w:noProof/>
                <w:webHidden/>
              </w:rPr>
              <w:instrText xml:space="preserve"> PAGEREF _Toc218527976 \h </w:instrText>
            </w:r>
            <w:r>
              <w:rPr>
                <w:noProof/>
                <w:webHidden/>
              </w:rPr>
            </w:r>
            <w:r>
              <w:rPr>
                <w:noProof/>
                <w:webHidden/>
              </w:rPr>
              <w:fldChar w:fldCharType="separate"/>
            </w:r>
            <w:r>
              <w:rPr>
                <w:noProof/>
                <w:webHidden/>
              </w:rPr>
              <w:t>31</w:t>
            </w:r>
            <w:r>
              <w:rPr>
                <w:noProof/>
                <w:webHidden/>
              </w:rPr>
              <w:fldChar w:fldCharType="end"/>
            </w:r>
          </w:hyperlink>
        </w:p>
        <w:p w14:paraId="5A3377BD" w14:textId="59513E98" w:rsidR="00A64B67" w:rsidRDefault="00A64B67">
          <w:pPr>
            <w:pStyle w:val="TOC3"/>
            <w:tabs>
              <w:tab w:val="right" w:leader="dot" w:pos="9016"/>
            </w:tabs>
            <w:rPr>
              <w:rFonts w:eastAsiaTheme="minorEastAsia"/>
              <w:noProof/>
              <w:sz w:val="24"/>
              <w:szCs w:val="24"/>
              <w:lang w:eastAsia="en-AU"/>
            </w:rPr>
          </w:pPr>
          <w:hyperlink w:anchor="_Toc218527977" w:history="1">
            <w:r w:rsidRPr="0026370B">
              <w:rPr>
                <w:rStyle w:val="Hyperlink"/>
                <w:rFonts w:ascii="Calibri" w:hAnsi="Calibri" w:cs="Calibri"/>
                <w:noProof/>
              </w:rPr>
              <w:t>Adults</w:t>
            </w:r>
            <w:r>
              <w:rPr>
                <w:noProof/>
                <w:webHidden/>
              </w:rPr>
              <w:tab/>
            </w:r>
            <w:r>
              <w:rPr>
                <w:noProof/>
                <w:webHidden/>
              </w:rPr>
              <w:fldChar w:fldCharType="begin"/>
            </w:r>
            <w:r>
              <w:rPr>
                <w:noProof/>
                <w:webHidden/>
              </w:rPr>
              <w:instrText xml:space="preserve"> PAGEREF _Toc218527977 \h </w:instrText>
            </w:r>
            <w:r>
              <w:rPr>
                <w:noProof/>
                <w:webHidden/>
              </w:rPr>
            </w:r>
            <w:r>
              <w:rPr>
                <w:noProof/>
                <w:webHidden/>
              </w:rPr>
              <w:fldChar w:fldCharType="separate"/>
            </w:r>
            <w:r>
              <w:rPr>
                <w:noProof/>
                <w:webHidden/>
              </w:rPr>
              <w:t>31</w:t>
            </w:r>
            <w:r>
              <w:rPr>
                <w:noProof/>
                <w:webHidden/>
              </w:rPr>
              <w:fldChar w:fldCharType="end"/>
            </w:r>
          </w:hyperlink>
        </w:p>
        <w:p w14:paraId="03857D62" w14:textId="203987D2" w:rsidR="00A64B67" w:rsidRDefault="00A64B67">
          <w:pPr>
            <w:pStyle w:val="TOC3"/>
            <w:tabs>
              <w:tab w:val="right" w:leader="dot" w:pos="9016"/>
            </w:tabs>
            <w:rPr>
              <w:rFonts w:eastAsiaTheme="minorEastAsia"/>
              <w:noProof/>
              <w:sz w:val="24"/>
              <w:szCs w:val="24"/>
              <w:lang w:eastAsia="en-AU"/>
            </w:rPr>
          </w:pPr>
          <w:hyperlink w:anchor="_Toc218527978" w:history="1">
            <w:r w:rsidRPr="0026370B">
              <w:rPr>
                <w:rStyle w:val="Hyperlink"/>
                <w:rFonts w:ascii="Calibri" w:hAnsi="Calibri" w:cs="Calibri"/>
                <w:noProof/>
              </w:rPr>
              <w:t>Pregnancy and lactation</w:t>
            </w:r>
            <w:r>
              <w:rPr>
                <w:noProof/>
                <w:webHidden/>
              </w:rPr>
              <w:tab/>
            </w:r>
            <w:r>
              <w:rPr>
                <w:noProof/>
                <w:webHidden/>
              </w:rPr>
              <w:fldChar w:fldCharType="begin"/>
            </w:r>
            <w:r>
              <w:rPr>
                <w:noProof/>
                <w:webHidden/>
              </w:rPr>
              <w:instrText xml:space="preserve"> PAGEREF _Toc218527978 \h </w:instrText>
            </w:r>
            <w:r>
              <w:rPr>
                <w:noProof/>
                <w:webHidden/>
              </w:rPr>
            </w:r>
            <w:r>
              <w:rPr>
                <w:noProof/>
                <w:webHidden/>
              </w:rPr>
              <w:fldChar w:fldCharType="separate"/>
            </w:r>
            <w:r>
              <w:rPr>
                <w:noProof/>
                <w:webHidden/>
              </w:rPr>
              <w:t>32</w:t>
            </w:r>
            <w:r>
              <w:rPr>
                <w:noProof/>
                <w:webHidden/>
              </w:rPr>
              <w:fldChar w:fldCharType="end"/>
            </w:r>
          </w:hyperlink>
        </w:p>
        <w:p w14:paraId="3327C569" w14:textId="0822E6BB" w:rsidR="00A64B67" w:rsidRDefault="00A64B67">
          <w:pPr>
            <w:pStyle w:val="TOC3"/>
            <w:tabs>
              <w:tab w:val="right" w:leader="dot" w:pos="9016"/>
            </w:tabs>
            <w:rPr>
              <w:rFonts w:eastAsiaTheme="minorEastAsia"/>
              <w:noProof/>
              <w:sz w:val="24"/>
              <w:szCs w:val="24"/>
              <w:lang w:eastAsia="en-AU"/>
            </w:rPr>
          </w:pPr>
          <w:hyperlink w:anchor="_Toc218527979" w:history="1">
            <w:r w:rsidRPr="0026370B">
              <w:rPr>
                <w:rStyle w:val="Hyperlink"/>
                <w:rFonts w:ascii="Calibri" w:hAnsi="Calibri" w:cs="Calibri"/>
                <w:noProof/>
              </w:rPr>
              <w:t>Children and adolescents</w:t>
            </w:r>
            <w:r>
              <w:rPr>
                <w:noProof/>
                <w:webHidden/>
              </w:rPr>
              <w:tab/>
            </w:r>
            <w:r>
              <w:rPr>
                <w:noProof/>
                <w:webHidden/>
              </w:rPr>
              <w:fldChar w:fldCharType="begin"/>
            </w:r>
            <w:r>
              <w:rPr>
                <w:noProof/>
                <w:webHidden/>
              </w:rPr>
              <w:instrText xml:space="preserve"> PAGEREF _Toc218527979 \h </w:instrText>
            </w:r>
            <w:r>
              <w:rPr>
                <w:noProof/>
                <w:webHidden/>
              </w:rPr>
            </w:r>
            <w:r>
              <w:rPr>
                <w:noProof/>
                <w:webHidden/>
              </w:rPr>
              <w:fldChar w:fldCharType="separate"/>
            </w:r>
            <w:r>
              <w:rPr>
                <w:noProof/>
                <w:webHidden/>
              </w:rPr>
              <w:t>32</w:t>
            </w:r>
            <w:r>
              <w:rPr>
                <w:noProof/>
                <w:webHidden/>
              </w:rPr>
              <w:fldChar w:fldCharType="end"/>
            </w:r>
          </w:hyperlink>
        </w:p>
        <w:p w14:paraId="17CD1873" w14:textId="46D72A34" w:rsidR="00A64B67" w:rsidRDefault="00A64B67">
          <w:pPr>
            <w:pStyle w:val="TOC1"/>
            <w:tabs>
              <w:tab w:val="right" w:leader="dot" w:pos="9016"/>
            </w:tabs>
            <w:rPr>
              <w:rFonts w:eastAsiaTheme="minorEastAsia"/>
              <w:noProof/>
              <w:sz w:val="24"/>
              <w:szCs w:val="24"/>
              <w:lang w:eastAsia="en-AU"/>
            </w:rPr>
          </w:pPr>
          <w:hyperlink w:anchor="_Toc218527980" w:history="1">
            <w:r w:rsidRPr="0026370B">
              <w:rPr>
                <w:rStyle w:val="Hyperlink"/>
                <w:rFonts w:ascii="Calibri" w:hAnsi="Calibri" w:cs="Calibri"/>
                <w:b/>
                <w:bCs/>
                <w:noProof/>
              </w:rPr>
              <w:t>Benchmarking</w:t>
            </w:r>
            <w:r>
              <w:rPr>
                <w:noProof/>
                <w:webHidden/>
              </w:rPr>
              <w:tab/>
            </w:r>
            <w:r>
              <w:rPr>
                <w:noProof/>
                <w:webHidden/>
              </w:rPr>
              <w:fldChar w:fldCharType="begin"/>
            </w:r>
            <w:r>
              <w:rPr>
                <w:noProof/>
                <w:webHidden/>
              </w:rPr>
              <w:instrText xml:space="preserve"> PAGEREF _Toc218527980 \h </w:instrText>
            </w:r>
            <w:r>
              <w:rPr>
                <w:noProof/>
                <w:webHidden/>
              </w:rPr>
            </w:r>
            <w:r>
              <w:rPr>
                <w:noProof/>
                <w:webHidden/>
              </w:rPr>
              <w:fldChar w:fldCharType="separate"/>
            </w:r>
            <w:r>
              <w:rPr>
                <w:noProof/>
                <w:webHidden/>
              </w:rPr>
              <w:t>34</w:t>
            </w:r>
            <w:r>
              <w:rPr>
                <w:noProof/>
                <w:webHidden/>
              </w:rPr>
              <w:fldChar w:fldCharType="end"/>
            </w:r>
          </w:hyperlink>
        </w:p>
        <w:p w14:paraId="322FBC4F" w14:textId="50150F90" w:rsidR="00A64B67" w:rsidRDefault="00A64B67">
          <w:pPr>
            <w:pStyle w:val="TOC2"/>
            <w:tabs>
              <w:tab w:val="right" w:leader="dot" w:pos="9016"/>
            </w:tabs>
            <w:rPr>
              <w:rFonts w:eastAsiaTheme="minorEastAsia"/>
              <w:noProof/>
              <w:sz w:val="24"/>
              <w:szCs w:val="24"/>
              <w:lang w:eastAsia="en-AU"/>
            </w:rPr>
          </w:pPr>
          <w:hyperlink w:anchor="_Toc218527981" w:history="1">
            <w:r w:rsidRPr="0026370B">
              <w:rPr>
                <w:rStyle w:val="Hyperlink"/>
                <w:rFonts w:ascii="Calibri" w:hAnsi="Calibri" w:cs="Calibri"/>
                <w:noProof/>
              </w:rPr>
              <w:t>International comparisons</w:t>
            </w:r>
            <w:r>
              <w:rPr>
                <w:noProof/>
                <w:webHidden/>
              </w:rPr>
              <w:tab/>
            </w:r>
            <w:r>
              <w:rPr>
                <w:noProof/>
                <w:webHidden/>
              </w:rPr>
              <w:fldChar w:fldCharType="begin"/>
            </w:r>
            <w:r>
              <w:rPr>
                <w:noProof/>
                <w:webHidden/>
              </w:rPr>
              <w:instrText xml:space="preserve"> PAGEREF _Toc218527981 \h </w:instrText>
            </w:r>
            <w:r>
              <w:rPr>
                <w:noProof/>
                <w:webHidden/>
              </w:rPr>
            </w:r>
            <w:r>
              <w:rPr>
                <w:noProof/>
                <w:webHidden/>
              </w:rPr>
              <w:fldChar w:fldCharType="separate"/>
            </w:r>
            <w:r>
              <w:rPr>
                <w:noProof/>
                <w:webHidden/>
              </w:rPr>
              <w:t>34</w:t>
            </w:r>
            <w:r>
              <w:rPr>
                <w:noProof/>
                <w:webHidden/>
              </w:rPr>
              <w:fldChar w:fldCharType="end"/>
            </w:r>
          </w:hyperlink>
        </w:p>
        <w:p w14:paraId="6C57F5F1" w14:textId="3202B5A4" w:rsidR="00A64B67" w:rsidRDefault="00A64B67">
          <w:pPr>
            <w:pStyle w:val="TOC2"/>
            <w:tabs>
              <w:tab w:val="right" w:leader="dot" w:pos="9016"/>
            </w:tabs>
            <w:rPr>
              <w:rFonts w:eastAsiaTheme="minorEastAsia"/>
              <w:noProof/>
              <w:sz w:val="24"/>
              <w:szCs w:val="24"/>
              <w:lang w:eastAsia="en-AU"/>
            </w:rPr>
          </w:pPr>
          <w:hyperlink w:anchor="_Toc218527982" w:history="1">
            <w:r w:rsidRPr="0026370B">
              <w:rPr>
                <w:rStyle w:val="Hyperlink"/>
                <w:rFonts w:ascii="Calibri" w:hAnsi="Calibri" w:cs="Calibri"/>
                <w:noProof/>
              </w:rPr>
              <w:t>Food system and foundation diet modelling</w:t>
            </w:r>
            <w:r>
              <w:rPr>
                <w:noProof/>
                <w:webHidden/>
              </w:rPr>
              <w:tab/>
            </w:r>
            <w:r>
              <w:rPr>
                <w:noProof/>
                <w:webHidden/>
              </w:rPr>
              <w:fldChar w:fldCharType="begin"/>
            </w:r>
            <w:r>
              <w:rPr>
                <w:noProof/>
                <w:webHidden/>
              </w:rPr>
              <w:instrText xml:space="preserve"> PAGEREF _Toc218527982 \h </w:instrText>
            </w:r>
            <w:r>
              <w:rPr>
                <w:noProof/>
                <w:webHidden/>
              </w:rPr>
            </w:r>
            <w:r>
              <w:rPr>
                <w:noProof/>
                <w:webHidden/>
              </w:rPr>
              <w:fldChar w:fldCharType="separate"/>
            </w:r>
            <w:r>
              <w:rPr>
                <w:noProof/>
                <w:webHidden/>
              </w:rPr>
              <w:t>36</w:t>
            </w:r>
            <w:r>
              <w:rPr>
                <w:noProof/>
                <w:webHidden/>
              </w:rPr>
              <w:fldChar w:fldCharType="end"/>
            </w:r>
          </w:hyperlink>
        </w:p>
        <w:p w14:paraId="05831730" w14:textId="52ECC454" w:rsidR="00A64B67" w:rsidRDefault="00A64B67">
          <w:pPr>
            <w:pStyle w:val="TOC3"/>
            <w:tabs>
              <w:tab w:val="right" w:leader="dot" w:pos="9016"/>
            </w:tabs>
            <w:rPr>
              <w:rFonts w:eastAsiaTheme="minorEastAsia"/>
              <w:noProof/>
              <w:sz w:val="24"/>
              <w:szCs w:val="24"/>
              <w:lang w:eastAsia="en-AU"/>
            </w:rPr>
          </w:pPr>
          <w:hyperlink w:anchor="_Toc218527983" w:history="1">
            <w:r w:rsidRPr="0026370B">
              <w:rPr>
                <w:rStyle w:val="Hyperlink"/>
                <w:rFonts w:ascii="Calibri" w:hAnsi="Calibri" w:cs="Calibri"/>
                <w:noProof/>
              </w:rPr>
              <w:t>Adults</w:t>
            </w:r>
            <w:r>
              <w:rPr>
                <w:noProof/>
                <w:webHidden/>
              </w:rPr>
              <w:tab/>
            </w:r>
            <w:r>
              <w:rPr>
                <w:noProof/>
                <w:webHidden/>
              </w:rPr>
              <w:fldChar w:fldCharType="begin"/>
            </w:r>
            <w:r>
              <w:rPr>
                <w:noProof/>
                <w:webHidden/>
              </w:rPr>
              <w:instrText xml:space="preserve"> PAGEREF _Toc218527983 \h </w:instrText>
            </w:r>
            <w:r>
              <w:rPr>
                <w:noProof/>
                <w:webHidden/>
              </w:rPr>
            </w:r>
            <w:r>
              <w:rPr>
                <w:noProof/>
                <w:webHidden/>
              </w:rPr>
              <w:fldChar w:fldCharType="separate"/>
            </w:r>
            <w:r>
              <w:rPr>
                <w:noProof/>
                <w:webHidden/>
              </w:rPr>
              <w:t>36</w:t>
            </w:r>
            <w:r>
              <w:rPr>
                <w:noProof/>
                <w:webHidden/>
              </w:rPr>
              <w:fldChar w:fldCharType="end"/>
            </w:r>
          </w:hyperlink>
        </w:p>
        <w:p w14:paraId="111D5100" w14:textId="6101CCAA" w:rsidR="00A64B67" w:rsidRDefault="00A64B67">
          <w:pPr>
            <w:pStyle w:val="TOC3"/>
            <w:tabs>
              <w:tab w:val="right" w:leader="dot" w:pos="9016"/>
            </w:tabs>
            <w:rPr>
              <w:rFonts w:eastAsiaTheme="minorEastAsia"/>
              <w:noProof/>
              <w:sz w:val="24"/>
              <w:szCs w:val="24"/>
              <w:lang w:eastAsia="en-AU"/>
            </w:rPr>
          </w:pPr>
          <w:hyperlink w:anchor="_Toc218527984" w:history="1">
            <w:r w:rsidRPr="0026370B">
              <w:rPr>
                <w:rStyle w:val="Hyperlink"/>
                <w:rFonts w:ascii="Calibri" w:hAnsi="Calibri" w:cs="Calibri"/>
                <w:noProof/>
              </w:rPr>
              <w:t>Pregnancy</w:t>
            </w:r>
            <w:r>
              <w:rPr>
                <w:noProof/>
                <w:webHidden/>
              </w:rPr>
              <w:tab/>
            </w:r>
            <w:r>
              <w:rPr>
                <w:noProof/>
                <w:webHidden/>
              </w:rPr>
              <w:fldChar w:fldCharType="begin"/>
            </w:r>
            <w:r>
              <w:rPr>
                <w:noProof/>
                <w:webHidden/>
              </w:rPr>
              <w:instrText xml:space="preserve"> PAGEREF _Toc218527984 \h </w:instrText>
            </w:r>
            <w:r>
              <w:rPr>
                <w:noProof/>
                <w:webHidden/>
              </w:rPr>
            </w:r>
            <w:r>
              <w:rPr>
                <w:noProof/>
                <w:webHidden/>
              </w:rPr>
              <w:fldChar w:fldCharType="separate"/>
            </w:r>
            <w:r>
              <w:rPr>
                <w:noProof/>
                <w:webHidden/>
              </w:rPr>
              <w:t>37</w:t>
            </w:r>
            <w:r>
              <w:rPr>
                <w:noProof/>
                <w:webHidden/>
              </w:rPr>
              <w:fldChar w:fldCharType="end"/>
            </w:r>
          </w:hyperlink>
        </w:p>
        <w:p w14:paraId="2CB92832" w14:textId="5E4C8560" w:rsidR="00A64B67" w:rsidRDefault="00A64B67">
          <w:pPr>
            <w:pStyle w:val="TOC3"/>
            <w:tabs>
              <w:tab w:val="right" w:leader="dot" w:pos="9016"/>
            </w:tabs>
            <w:rPr>
              <w:rFonts w:eastAsiaTheme="minorEastAsia"/>
              <w:noProof/>
              <w:sz w:val="24"/>
              <w:szCs w:val="24"/>
              <w:lang w:eastAsia="en-AU"/>
            </w:rPr>
          </w:pPr>
          <w:hyperlink w:anchor="_Toc218527985" w:history="1">
            <w:r w:rsidRPr="0026370B">
              <w:rPr>
                <w:rStyle w:val="Hyperlink"/>
                <w:rFonts w:ascii="Calibri" w:hAnsi="Calibri" w:cs="Calibri"/>
                <w:noProof/>
              </w:rPr>
              <w:t>Lactation</w:t>
            </w:r>
            <w:r>
              <w:rPr>
                <w:noProof/>
                <w:webHidden/>
              </w:rPr>
              <w:tab/>
            </w:r>
            <w:r>
              <w:rPr>
                <w:noProof/>
                <w:webHidden/>
              </w:rPr>
              <w:fldChar w:fldCharType="begin"/>
            </w:r>
            <w:r>
              <w:rPr>
                <w:noProof/>
                <w:webHidden/>
              </w:rPr>
              <w:instrText xml:space="preserve"> PAGEREF _Toc218527985 \h </w:instrText>
            </w:r>
            <w:r>
              <w:rPr>
                <w:noProof/>
                <w:webHidden/>
              </w:rPr>
            </w:r>
            <w:r>
              <w:rPr>
                <w:noProof/>
                <w:webHidden/>
              </w:rPr>
              <w:fldChar w:fldCharType="separate"/>
            </w:r>
            <w:r>
              <w:rPr>
                <w:noProof/>
                <w:webHidden/>
              </w:rPr>
              <w:t>37</w:t>
            </w:r>
            <w:r>
              <w:rPr>
                <w:noProof/>
                <w:webHidden/>
              </w:rPr>
              <w:fldChar w:fldCharType="end"/>
            </w:r>
          </w:hyperlink>
        </w:p>
        <w:p w14:paraId="5647CCAC" w14:textId="4653A7F3" w:rsidR="00A64B67" w:rsidRDefault="00A64B67">
          <w:pPr>
            <w:pStyle w:val="TOC3"/>
            <w:tabs>
              <w:tab w:val="right" w:leader="dot" w:pos="9016"/>
            </w:tabs>
            <w:rPr>
              <w:rFonts w:eastAsiaTheme="minorEastAsia"/>
              <w:noProof/>
              <w:sz w:val="24"/>
              <w:szCs w:val="24"/>
              <w:lang w:eastAsia="en-AU"/>
            </w:rPr>
          </w:pPr>
          <w:hyperlink w:anchor="_Toc218527986" w:history="1">
            <w:r w:rsidRPr="0026370B">
              <w:rPr>
                <w:rStyle w:val="Hyperlink"/>
                <w:rFonts w:ascii="Calibri" w:hAnsi="Calibri" w:cs="Calibri"/>
                <w:noProof/>
              </w:rPr>
              <w:t>Children and adolescents</w:t>
            </w:r>
            <w:r>
              <w:rPr>
                <w:noProof/>
                <w:webHidden/>
              </w:rPr>
              <w:tab/>
            </w:r>
            <w:r>
              <w:rPr>
                <w:noProof/>
                <w:webHidden/>
              </w:rPr>
              <w:fldChar w:fldCharType="begin"/>
            </w:r>
            <w:r>
              <w:rPr>
                <w:noProof/>
                <w:webHidden/>
              </w:rPr>
              <w:instrText xml:space="preserve"> PAGEREF _Toc218527986 \h </w:instrText>
            </w:r>
            <w:r>
              <w:rPr>
                <w:noProof/>
                <w:webHidden/>
              </w:rPr>
            </w:r>
            <w:r>
              <w:rPr>
                <w:noProof/>
                <w:webHidden/>
              </w:rPr>
              <w:fldChar w:fldCharType="separate"/>
            </w:r>
            <w:r>
              <w:rPr>
                <w:noProof/>
                <w:webHidden/>
              </w:rPr>
              <w:t>38</w:t>
            </w:r>
            <w:r>
              <w:rPr>
                <w:noProof/>
                <w:webHidden/>
              </w:rPr>
              <w:fldChar w:fldCharType="end"/>
            </w:r>
          </w:hyperlink>
        </w:p>
        <w:p w14:paraId="1B83B967" w14:textId="5DC3522F" w:rsidR="00A64B67" w:rsidRDefault="00A64B67">
          <w:pPr>
            <w:pStyle w:val="TOC1"/>
            <w:tabs>
              <w:tab w:val="right" w:leader="dot" w:pos="9016"/>
            </w:tabs>
            <w:rPr>
              <w:rFonts w:eastAsiaTheme="minorEastAsia"/>
              <w:noProof/>
              <w:sz w:val="24"/>
              <w:szCs w:val="24"/>
              <w:lang w:eastAsia="en-AU"/>
            </w:rPr>
          </w:pPr>
          <w:hyperlink w:anchor="_Toc218527987" w:history="1">
            <w:r w:rsidRPr="0026370B">
              <w:rPr>
                <w:rStyle w:val="Hyperlink"/>
                <w:rFonts w:ascii="Calibri" w:hAnsi="Calibri" w:cs="Calibri"/>
                <w:b/>
                <w:bCs/>
                <w:noProof/>
              </w:rPr>
              <w:t>Proposed Recommendations</w:t>
            </w:r>
            <w:r>
              <w:rPr>
                <w:noProof/>
                <w:webHidden/>
              </w:rPr>
              <w:tab/>
            </w:r>
            <w:r>
              <w:rPr>
                <w:noProof/>
                <w:webHidden/>
              </w:rPr>
              <w:fldChar w:fldCharType="begin"/>
            </w:r>
            <w:r>
              <w:rPr>
                <w:noProof/>
                <w:webHidden/>
              </w:rPr>
              <w:instrText xml:space="preserve"> PAGEREF _Toc218527987 \h </w:instrText>
            </w:r>
            <w:r>
              <w:rPr>
                <w:noProof/>
                <w:webHidden/>
              </w:rPr>
            </w:r>
            <w:r>
              <w:rPr>
                <w:noProof/>
                <w:webHidden/>
              </w:rPr>
              <w:fldChar w:fldCharType="separate"/>
            </w:r>
            <w:r>
              <w:rPr>
                <w:noProof/>
                <w:webHidden/>
              </w:rPr>
              <w:t>40</w:t>
            </w:r>
            <w:r>
              <w:rPr>
                <w:noProof/>
                <w:webHidden/>
              </w:rPr>
              <w:fldChar w:fldCharType="end"/>
            </w:r>
          </w:hyperlink>
        </w:p>
        <w:p w14:paraId="276C72DF" w14:textId="65E1F045" w:rsidR="00A64B67" w:rsidRDefault="00A64B67">
          <w:pPr>
            <w:pStyle w:val="TOC1"/>
            <w:tabs>
              <w:tab w:val="right" w:leader="dot" w:pos="9016"/>
            </w:tabs>
            <w:rPr>
              <w:rFonts w:eastAsiaTheme="minorEastAsia"/>
              <w:noProof/>
              <w:sz w:val="24"/>
              <w:szCs w:val="24"/>
              <w:lang w:eastAsia="en-AU"/>
            </w:rPr>
          </w:pPr>
          <w:hyperlink w:anchor="_Toc218527988" w:history="1">
            <w:r w:rsidRPr="0026370B">
              <w:rPr>
                <w:rStyle w:val="Hyperlink"/>
                <w:rFonts w:ascii="Calibri" w:hAnsi="Calibri" w:cs="Calibri"/>
                <w:b/>
                <w:bCs/>
                <w:noProof/>
              </w:rPr>
              <w:t>References</w:t>
            </w:r>
            <w:r>
              <w:rPr>
                <w:noProof/>
                <w:webHidden/>
              </w:rPr>
              <w:tab/>
            </w:r>
            <w:r>
              <w:rPr>
                <w:noProof/>
                <w:webHidden/>
              </w:rPr>
              <w:fldChar w:fldCharType="begin"/>
            </w:r>
            <w:r>
              <w:rPr>
                <w:noProof/>
                <w:webHidden/>
              </w:rPr>
              <w:instrText xml:space="preserve"> PAGEREF _Toc218527988 \h </w:instrText>
            </w:r>
            <w:r>
              <w:rPr>
                <w:noProof/>
                <w:webHidden/>
              </w:rPr>
            </w:r>
            <w:r>
              <w:rPr>
                <w:noProof/>
                <w:webHidden/>
              </w:rPr>
              <w:fldChar w:fldCharType="separate"/>
            </w:r>
            <w:r>
              <w:rPr>
                <w:noProof/>
                <w:webHidden/>
              </w:rPr>
              <w:t>41</w:t>
            </w:r>
            <w:r>
              <w:rPr>
                <w:noProof/>
                <w:webHidden/>
              </w:rPr>
              <w:fldChar w:fldCharType="end"/>
            </w:r>
          </w:hyperlink>
        </w:p>
        <w:p w14:paraId="067F8F4F" w14:textId="4619D35A" w:rsidR="00A64B67" w:rsidRDefault="00A64B67">
          <w:pPr>
            <w:pStyle w:val="TOC1"/>
            <w:tabs>
              <w:tab w:val="right" w:leader="dot" w:pos="9016"/>
            </w:tabs>
            <w:rPr>
              <w:rFonts w:eastAsiaTheme="minorEastAsia"/>
              <w:noProof/>
              <w:sz w:val="24"/>
              <w:szCs w:val="24"/>
              <w:lang w:eastAsia="en-AU"/>
            </w:rPr>
          </w:pPr>
          <w:hyperlink w:anchor="_Toc218527989" w:history="1">
            <w:r w:rsidRPr="0026370B">
              <w:rPr>
                <w:rStyle w:val="Hyperlink"/>
                <w:rFonts w:ascii="Calibri" w:hAnsi="Calibri" w:cs="Calibri"/>
                <w:b/>
                <w:bCs/>
                <w:noProof/>
                <w:lang w:eastAsia="en-AU"/>
              </w:rPr>
              <w:t>Appendix A</w:t>
            </w:r>
            <w:r w:rsidRPr="0026370B">
              <w:rPr>
                <w:rStyle w:val="Hyperlink"/>
                <w:rFonts w:ascii="Calibri" w:hAnsi="Calibri" w:cs="Calibri"/>
                <w:noProof/>
                <w:lang w:eastAsia="en-AU"/>
              </w:rPr>
              <w:t xml:space="preserve"> - </w:t>
            </w:r>
            <w:r w:rsidRPr="0026370B">
              <w:rPr>
                <w:rStyle w:val="Hyperlink"/>
                <w:rFonts w:ascii="Calibri" w:hAnsi="Calibri" w:cs="Calibri"/>
                <w:noProof/>
              </w:rPr>
              <w:t>Administrative and technical criteria for assessing existing nutrient reference values for adopting or adapting</w:t>
            </w:r>
            <w:r>
              <w:rPr>
                <w:noProof/>
                <w:webHidden/>
              </w:rPr>
              <w:tab/>
            </w:r>
            <w:r>
              <w:rPr>
                <w:noProof/>
                <w:webHidden/>
              </w:rPr>
              <w:fldChar w:fldCharType="begin"/>
            </w:r>
            <w:r>
              <w:rPr>
                <w:noProof/>
                <w:webHidden/>
              </w:rPr>
              <w:instrText xml:space="preserve"> PAGEREF _Toc218527989 \h </w:instrText>
            </w:r>
            <w:r>
              <w:rPr>
                <w:noProof/>
                <w:webHidden/>
              </w:rPr>
            </w:r>
            <w:r>
              <w:rPr>
                <w:noProof/>
                <w:webHidden/>
              </w:rPr>
              <w:fldChar w:fldCharType="separate"/>
            </w:r>
            <w:r>
              <w:rPr>
                <w:noProof/>
                <w:webHidden/>
              </w:rPr>
              <w:t>48</w:t>
            </w:r>
            <w:r>
              <w:rPr>
                <w:noProof/>
                <w:webHidden/>
              </w:rPr>
              <w:fldChar w:fldCharType="end"/>
            </w:r>
          </w:hyperlink>
        </w:p>
        <w:p w14:paraId="66A98950" w14:textId="6298B88E" w:rsidR="00A64B67" w:rsidRDefault="00A64B67">
          <w:pPr>
            <w:pStyle w:val="TOC2"/>
            <w:tabs>
              <w:tab w:val="right" w:leader="dot" w:pos="9016"/>
            </w:tabs>
            <w:rPr>
              <w:rFonts w:eastAsiaTheme="minorEastAsia"/>
              <w:noProof/>
              <w:sz w:val="24"/>
              <w:szCs w:val="24"/>
              <w:lang w:eastAsia="en-AU"/>
            </w:rPr>
          </w:pPr>
          <w:hyperlink w:anchor="_Toc218527990" w:history="1">
            <w:r w:rsidRPr="0026370B">
              <w:rPr>
                <w:rStyle w:val="Hyperlink"/>
                <w:rFonts w:ascii="Calibri" w:eastAsia="Times New Roman" w:hAnsi="Calibri" w:cs="Calibri"/>
                <w:noProof/>
                <w:kern w:val="0"/>
                <w:lang w:eastAsia="en-AU"/>
                <w14:ligatures w14:val="none"/>
              </w:rPr>
              <w:t>Overall guidance/advice development process</w:t>
            </w:r>
            <w:r>
              <w:rPr>
                <w:noProof/>
                <w:webHidden/>
              </w:rPr>
              <w:tab/>
            </w:r>
            <w:r>
              <w:rPr>
                <w:noProof/>
                <w:webHidden/>
              </w:rPr>
              <w:fldChar w:fldCharType="begin"/>
            </w:r>
            <w:r>
              <w:rPr>
                <w:noProof/>
                <w:webHidden/>
              </w:rPr>
              <w:instrText xml:space="preserve"> PAGEREF _Toc218527990 \h </w:instrText>
            </w:r>
            <w:r>
              <w:rPr>
                <w:noProof/>
                <w:webHidden/>
              </w:rPr>
            </w:r>
            <w:r>
              <w:rPr>
                <w:noProof/>
                <w:webHidden/>
              </w:rPr>
              <w:fldChar w:fldCharType="separate"/>
            </w:r>
            <w:r>
              <w:rPr>
                <w:noProof/>
                <w:webHidden/>
              </w:rPr>
              <w:t>48</w:t>
            </w:r>
            <w:r>
              <w:rPr>
                <w:noProof/>
                <w:webHidden/>
              </w:rPr>
              <w:fldChar w:fldCharType="end"/>
            </w:r>
          </w:hyperlink>
        </w:p>
        <w:p w14:paraId="1105A412" w14:textId="7B37A499" w:rsidR="00A64B67" w:rsidRDefault="00A64B67">
          <w:pPr>
            <w:pStyle w:val="TOC2"/>
            <w:tabs>
              <w:tab w:val="right" w:leader="dot" w:pos="9016"/>
            </w:tabs>
            <w:rPr>
              <w:rFonts w:eastAsiaTheme="minorEastAsia"/>
              <w:noProof/>
              <w:sz w:val="24"/>
              <w:szCs w:val="24"/>
              <w:lang w:eastAsia="en-AU"/>
            </w:rPr>
          </w:pPr>
          <w:hyperlink w:anchor="_Toc218527991" w:history="1">
            <w:r w:rsidRPr="0026370B">
              <w:rPr>
                <w:rStyle w:val="Hyperlink"/>
                <w:rFonts w:ascii="Calibri" w:eastAsia="Times New Roman" w:hAnsi="Calibri" w:cs="Calibri"/>
                <w:noProof/>
                <w:kern w:val="0"/>
                <w:lang w:eastAsia="en-AU"/>
                <w14:ligatures w14:val="none"/>
              </w:rPr>
              <w:t>Evidence review parameters</w:t>
            </w:r>
            <w:r>
              <w:rPr>
                <w:noProof/>
                <w:webHidden/>
              </w:rPr>
              <w:tab/>
            </w:r>
            <w:r>
              <w:rPr>
                <w:noProof/>
                <w:webHidden/>
              </w:rPr>
              <w:fldChar w:fldCharType="begin"/>
            </w:r>
            <w:r>
              <w:rPr>
                <w:noProof/>
                <w:webHidden/>
              </w:rPr>
              <w:instrText xml:space="preserve"> PAGEREF _Toc218527991 \h </w:instrText>
            </w:r>
            <w:r>
              <w:rPr>
                <w:noProof/>
                <w:webHidden/>
              </w:rPr>
            </w:r>
            <w:r>
              <w:rPr>
                <w:noProof/>
                <w:webHidden/>
              </w:rPr>
              <w:fldChar w:fldCharType="separate"/>
            </w:r>
            <w:r>
              <w:rPr>
                <w:noProof/>
                <w:webHidden/>
              </w:rPr>
              <w:t>49</w:t>
            </w:r>
            <w:r>
              <w:rPr>
                <w:noProof/>
                <w:webHidden/>
              </w:rPr>
              <w:fldChar w:fldCharType="end"/>
            </w:r>
          </w:hyperlink>
        </w:p>
        <w:p w14:paraId="2074107F" w14:textId="7D0F97D5" w:rsidR="00A64B67" w:rsidRDefault="00A64B67">
          <w:pPr>
            <w:pStyle w:val="TOC2"/>
            <w:tabs>
              <w:tab w:val="right" w:leader="dot" w:pos="9016"/>
            </w:tabs>
            <w:rPr>
              <w:rFonts w:eastAsiaTheme="minorEastAsia"/>
              <w:noProof/>
              <w:sz w:val="24"/>
              <w:szCs w:val="24"/>
              <w:lang w:eastAsia="en-AU"/>
            </w:rPr>
          </w:pPr>
          <w:hyperlink w:anchor="_Toc218527992" w:history="1">
            <w:r w:rsidRPr="0026370B">
              <w:rPr>
                <w:rStyle w:val="Hyperlink"/>
                <w:rFonts w:ascii="Calibri" w:eastAsia="Times New Roman" w:hAnsi="Calibri" w:cs="Calibri"/>
                <w:noProof/>
                <w:kern w:val="0"/>
                <w:lang w:eastAsia="en-AU"/>
                <w14:ligatures w14:val="none"/>
              </w:rPr>
              <w:t>Evidence search</w:t>
            </w:r>
            <w:r>
              <w:rPr>
                <w:noProof/>
                <w:webHidden/>
              </w:rPr>
              <w:tab/>
            </w:r>
            <w:r>
              <w:rPr>
                <w:noProof/>
                <w:webHidden/>
              </w:rPr>
              <w:fldChar w:fldCharType="begin"/>
            </w:r>
            <w:r>
              <w:rPr>
                <w:noProof/>
                <w:webHidden/>
              </w:rPr>
              <w:instrText xml:space="preserve"> PAGEREF _Toc218527992 \h </w:instrText>
            </w:r>
            <w:r>
              <w:rPr>
                <w:noProof/>
                <w:webHidden/>
              </w:rPr>
            </w:r>
            <w:r>
              <w:rPr>
                <w:noProof/>
                <w:webHidden/>
              </w:rPr>
              <w:fldChar w:fldCharType="separate"/>
            </w:r>
            <w:r>
              <w:rPr>
                <w:noProof/>
                <w:webHidden/>
              </w:rPr>
              <w:t>50</w:t>
            </w:r>
            <w:r>
              <w:rPr>
                <w:noProof/>
                <w:webHidden/>
              </w:rPr>
              <w:fldChar w:fldCharType="end"/>
            </w:r>
          </w:hyperlink>
        </w:p>
        <w:p w14:paraId="1FA99654" w14:textId="011ABEF3" w:rsidR="00A64B67" w:rsidRDefault="00A64B67">
          <w:pPr>
            <w:pStyle w:val="TOC2"/>
            <w:tabs>
              <w:tab w:val="right" w:leader="dot" w:pos="9016"/>
            </w:tabs>
            <w:rPr>
              <w:rFonts w:eastAsiaTheme="minorEastAsia"/>
              <w:noProof/>
              <w:sz w:val="24"/>
              <w:szCs w:val="24"/>
              <w:lang w:eastAsia="en-AU"/>
            </w:rPr>
          </w:pPr>
          <w:hyperlink w:anchor="_Toc218527993" w:history="1">
            <w:r w:rsidRPr="0026370B">
              <w:rPr>
                <w:rStyle w:val="Hyperlink"/>
                <w:rFonts w:ascii="Calibri" w:eastAsia="Times New Roman" w:hAnsi="Calibri" w:cs="Calibri"/>
                <w:noProof/>
                <w:kern w:val="0"/>
                <w:lang w:eastAsia="en-AU"/>
                <w14:ligatures w14:val="none"/>
              </w:rPr>
              <w:t>Critical appraisal methods and tools</w:t>
            </w:r>
            <w:r>
              <w:rPr>
                <w:noProof/>
                <w:webHidden/>
              </w:rPr>
              <w:tab/>
            </w:r>
            <w:r>
              <w:rPr>
                <w:noProof/>
                <w:webHidden/>
              </w:rPr>
              <w:fldChar w:fldCharType="begin"/>
            </w:r>
            <w:r>
              <w:rPr>
                <w:noProof/>
                <w:webHidden/>
              </w:rPr>
              <w:instrText xml:space="preserve"> PAGEREF _Toc218527993 \h </w:instrText>
            </w:r>
            <w:r>
              <w:rPr>
                <w:noProof/>
                <w:webHidden/>
              </w:rPr>
            </w:r>
            <w:r>
              <w:rPr>
                <w:noProof/>
                <w:webHidden/>
              </w:rPr>
              <w:fldChar w:fldCharType="separate"/>
            </w:r>
            <w:r>
              <w:rPr>
                <w:noProof/>
                <w:webHidden/>
              </w:rPr>
              <w:t>50</w:t>
            </w:r>
            <w:r>
              <w:rPr>
                <w:noProof/>
                <w:webHidden/>
              </w:rPr>
              <w:fldChar w:fldCharType="end"/>
            </w:r>
          </w:hyperlink>
        </w:p>
        <w:p w14:paraId="47F8E537" w14:textId="219AB70F" w:rsidR="00A64B67" w:rsidRDefault="00A64B67">
          <w:pPr>
            <w:pStyle w:val="TOC2"/>
            <w:tabs>
              <w:tab w:val="right" w:leader="dot" w:pos="9016"/>
            </w:tabs>
            <w:rPr>
              <w:rFonts w:eastAsiaTheme="minorEastAsia"/>
              <w:noProof/>
              <w:sz w:val="24"/>
              <w:szCs w:val="24"/>
              <w:lang w:eastAsia="en-AU"/>
            </w:rPr>
          </w:pPr>
          <w:hyperlink w:anchor="_Toc218527994" w:history="1">
            <w:r w:rsidRPr="0026370B">
              <w:rPr>
                <w:rStyle w:val="Hyperlink"/>
                <w:rFonts w:ascii="Calibri" w:eastAsia="Times New Roman" w:hAnsi="Calibri" w:cs="Calibri"/>
                <w:noProof/>
                <w:kern w:val="0"/>
                <w:lang w:eastAsia="en-AU"/>
                <w14:ligatures w14:val="none"/>
              </w:rPr>
              <w:t>Derivation of nutrient reference values</w:t>
            </w:r>
            <w:r>
              <w:rPr>
                <w:noProof/>
                <w:webHidden/>
              </w:rPr>
              <w:tab/>
            </w:r>
            <w:r>
              <w:rPr>
                <w:noProof/>
                <w:webHidden/>
              </w:rPr>
              <w:fldChar w:fldCharType="begin"/>
            </w:r>
            <w:r>
              <w:rPr>
                <w:noProof/>
                <w:webHidden/>
              </w:rPr>
              <w:instrText xml:space="preserve"> PAGEREF _Toc218527994 \h </w:instrText>
            </w:r>
            <w:r>
              <w:rPr>
                <w:noProof/>
                <w:webHidden/>
              </w:rPr>
            </w:r>
            <w:r>
              <w:rPr>
                <w:noProof/>
                <w:webHidden/>
              </w:rPr>
              <w:fldChar w:fldCharType="separate"/>
            </w:r>
            <w:r>
              <w:rPr>
                <w:noProof/>
                <w:webHidden/>
              </w:rPr>
              <w:t>51</w:t>
            </w:r>
            <w:r>
              <w:rPr>
                <w:noProof/>
                <w:webHidden/>
              </w:rPr>
              <w:fldChar w:fldCharType="end"/>
            </w:r>
          </w:hyperlink>
        </w:p>
        <w:p w14:paraId="327E3A82" w14:textId="507A3C97" w:rsidR="00A64B67" w:rsidRDefault="00A64B67">
          <w:pPr>
            <w:pStyle w:val="TOC2"/>
            <w:tabs>
              <w:tab w:val="right" w:leader="dot" w:pos="9016"/>
            </w:tabs>
            <w:rPr>
              <w:rFonts w:eastAsiaTheme="minorEastAsia"/>
              <w:noProof/>
              <w:sz w:val="24"/>
              <w:szCs w:val="24"/>
              <w:lang w:eastAsia="en-AU"/>
            </w:rPr>
          </w:pPr>
          <w:hyperlink w:anchor="_Toc218527995" w:history="1">
            <w:r w:rsidRPr="0026370B">
              <w:rPr>
                <w:rStyle w:val="Hyperlink"/>
                <w:rFonts w:ascii="Calibri" w:eastAsia="Times New Roman" w:hAnsi="Calibri" w:cs="Calibri"/>
                <w:noProof/>
                <w:kern w:val="0"/>
                <w:lang w:eastAsia="en-AU"/>
                <w14:ligatures w14:val="none"/>
              </w:rPr>
              <w:t>Suitability for adopting vs adapting</w:t>
            </w:r>
            <w:r>
              <w:rPr>
                <w:noProof/>
                <w:webHidden/>
              </w:rPr>
              <w:tab/>
            </w:r>
            <w:r>
              <w:rPr>
                <w:noProof/>
                <w:webHidden/>
              </w:rPr>
              <w:fldChar w:fldCharType="begin"/>
            </w:r>
            <w:r>
              <w:rPr>
                <w:noProof/>
                <w:webHidden/>
              </w:rPr>
              <w:instrText xml:space="preserve"> PAGEREF _Toc218527995 \h </w:instrText>
            </w:r>
            <w:r>
              <w:rPr>
                <w:noProof/>
                <w:webHidden/>
              </w:rPr>
            </w:r>
            <w:r>
              <w:rPr>
                <w:noProof/>
                <w:webHidden/>
              </w:rPr>
              <w:fldChar w:fldCharType="separate"/>
            </w:r>
            <w:r>
              <w:rPr>
                <w:noProof/>
                <w:webHidden/>
              </w:rPr>
              <w:t>53</w:t>
            </w:r>
            <w:r>
              <w:rPr>
                <w:noProof/>
                <w:webHidden/>
              </w:rPr>
              <w:fldChar w:fldCharType="end"/>
            </w:r>
          </w:hyperlink>
        </w:p>
        <w:p w14:paraId="2F976AAA" w14:textId="6F3217E6" w:rsidR="00A64B67" w:rsidRDefault="00A64B67">
          <w:pPr>
            <w:pStyle w:val="TOC1"/>
            <w:tabs>
              <w:tab w:val="right" w:leader="dot" w:pos="9016"/>
            </w:tabs>
            <w:rPr>
              <w:rFonts w:eastAsiaTheme="minorEastAsia"/>
              <w:noProof/>
              <w:sz w:val="24"/>
              <w:szCs w:val="24"/>
              <w:lang w:eastAsia="en-AU"/>
            </w:rPr>
          </w:pPr>
          <w:hyperlink w:anchor="_Toc218527996" w:history="1">
            <w:r w:rsidRPr="0026370B">
              <w:rPr>
                <w:rStyle w:val="Hyperlink"/>
                <w:rFonts w:ascii="Calibri" w:hAnsi="Calibri" w:cs="Calibri"/>
                <w:b/>
                <w:bCs/>
                <w:noProof/>
                <w:lang w:eastAsia="en-AU"/>
              </w:rPr>
              <w:t>Appendix B</w:t>
            </w:r>
            <w:r w:rsidRPr="0026370B">
              <w:rPr>
                <w:rStyle w:val="Hyperlink"/>
                <w:rFonts w:ascii="Calibri" w:hAnsi="Calibri" w:cs="Calibri"/>
                <w:noProof/>
                <w:lang w:eastAsia="en-AU"/>
              </w:rPr>
              <w:t xml:space="preserve"> – </w:t>
            </w:r>
            <w:r w:rsidRPr="0026370B">
              <w:rPr>
                <w:rStyle w:val="Hyperlink"/>
                <w:rFonts w:ascii="Calibri" w:hAnsi="Calibri" w:cs="Calibri"/>
                <w:noProof/>
              </w:rPr>
              <w:t>Evidence-to-Decision Frameworks</w:t>
            </w:r>
            <w:r>
              <w:rPr>
                <w:noProof/>
                <w:webHidden/>
              </w:rPr>
              <w:tab/>
            </w:r>
            <w:r>
              <w:rPr>
                <w:noProof/>
                <w:webHidden/>
              </w:rPr>
              <w:fldChar w:fldCharType="begin"/>
            </w:r>
            <w:r>
              <w:rPr>
                <w:noProof/>
                <w:webHidden/>
              </w:rPr>
              <w:instrText xml:space="preserve"> PAGEREF _Toc218527996 \h </w:instrText>
            </w:r>
            <w:r>
              <w:rPr>
                <w:noProof/>
                <w:webHidden/>
              </w:rPr>
            </w:r>
            <w:r>
              <w:rPr>
                <w:noProof/>
                <w:webHidden/>
              </w:rPr>
              <w:fldChar w:fldCharType="separate"/>
            </w:r>
            <w:r>
              <w:rPr>
                <w:noProof/>
                <w:webHidden/>
              </w:rPr>
              <w:t>54</w:t>
            </w:r>
            <w:r>
              <w:rPr>
                <w:noProof/>
                <w:webHidden/>
              </w:rPr>
              <w:fldChar w:fldCharType="end"/>
            </w:r>
          </w:hyperlink>
        </w:p>
        <w:p w14:paraId="5EE3C2A3" w14:textId="79782D30" w:rsidR="00A64B67" w:rsidRDefault="00A64B67">
          <w:pPr>
            <w:pStyle w:val="TOC2"/>
            <w:tabs>
              <w:tab w:val="right" w:leader="dot" w:pos="9016"/>
            </w:tabs>
            <w:rPr>
              <w:rFonts w:eastAsiaTheme="minorEastAsia"/>
              <w:noProof/>
              <w:sz w:val="24"/>
              <w:szCs w:val="24"/>
              <w:lang w:eastAsia="en-AU"/>
            </w:rPr>
          </w:pPr>
          <w:hyperlink w:anchor="_Toc218527997" w:history="1">
            <w:r w:rsidRPr="0026370B">
              <w:rPr>
                <w:rStyle w:val="Hyperlink"/>
                <w:rFonts w:ascii="Calibri" w:eastAsia="SimHei" w:hAnsi="Calibri" w:cs="Calibri"/>
                <w:noProof/>
                <w:kern w:val="0"/>
              </w:rPr>
              <w:t>Selenium – Upper Levels</w:t>
            </w:r>
            <w:r>
              <w:rPr>
                <w:noProof/>
                <w:webHidden/>
              </w:rPr>
              <w:tab/>
            </w:r>
            <w:r>
              <w:rPr>
                <w:noProof/>
                <w:webHidden/>
              </w:rPr>
              <w:fldChar w:fldCharType="begin"/>
            </w:r>
            <w:r>
              <w:rPr>
                <w:noProof/>
                <w:webHidden/>
              </w:rPr>
              <w:instrText xml:space="preserve"> PAGEREF _Toc218527997 \h </w:instrText>
            </w:r>
            <w:r>
              <w:rPr>
                <w:noProof/>
                <w:webHidden/>
              </w:rPr>
            </w:r>
            <w:r>
              <w:rPr>
                <w:noProof/>
                <w:webHidden/>
              </w:rPr>
              <w:fldChar w:fldCharType="separate"/>
            </w:r>
            <w:r>
              <w:rPr>
                <w:noProof/>
                <w:webHidden/>
              </w:rPr>
              <w:t>54</w:t>
            </w:r>
            <w:r>
              <w:rPr>
                <w:noProof/>
                <w:webHidden/>
              </w:rPr>
              <w:fldChar w:fldCharType="end"/>
            </w:r>
          </w:hyperlink>
        </w:p>
        <w:p w14:paraId="62AEE0F9" w14:textId="1861B4DA" w:rsidR="00A64B67" w:rsidRDefault="00A64B67">
          <w:pPr>
            <w:pStyle w:val="TOC3"/>
            <w:tabs>
              <w:tab w:val="right" w:leader="dot" w:pos="9016"/>
            </w:tabs>
            <w:rPr>
              <w:rFonts w:eastAsiaTheme="minorEastAsia"/>
              <w:noProof/>
              <w:sz w:val="24"/>
              <w:szCs w:val="24"/>
              <w:lang w:eastAsia="en-AU"/>
            </w:rPr>
          </w:pPr>
          <w:hyperlink w:anchor="_Toc218527998" w:history="1">
            <w:r w:rsidRPr="0026370B">
              <w:rPr>
                <w:rStyle w:val="Hyperlink"/>
                <w:rFonts w:ascii="Calibri" w:eastAsia="SimHei" w:hAnsi="Calibri" w:cs="Calibri"/>
                <w:noProof/>
              </w:rPr>
              <w:t>Background</w:t>
            </w:r>
            <w:r>
              <w:rPr>
                <w:noProof/>
                <w:webHidden/>
              </w:rPr>
              <w:tab/>
            </w:r>
            <w:r>
              <w:rPr>
                <w:noProof/>
                <w:webHidden/>
              </w:rPr>
              <w:fldChar w:fldCharType="begin"/>
            </w:r>
            <w:r>
              <w:rPr>
                <w:noProof/>
                <w:webHidden/>
              </w:rPr>
              <w:instrText xml:space="preserve"> PAGEREF _Toc218527998 \h </w:instrText>
            </w:r>
            <w:r>
              <w:rPr>
                <w:noProof/>
                <w:webHidden/>
              </w:rPr>
            </w:r>
            <w:r>
              <w:rPr>
                <w:noProof/>
                <w:webHidden/>
              </w:rPr>
              <w:fldChar w:fldCharType="separate"/>
            </w:r>
            <w:r>
              <w:rPr>
                <w:noProof/>
                <w:webHidden/>
              </w:rPr>
              <w:t>54</w:t>
            </w:r>
            <w:r>
              <w:rPr>
                <w:noProof/>
                <w:webHidden/>
              </w:rPr>
              <w:fldChar w:fldCharType="end"/>
            </w:r>
          </w:hyperlink>
        </w:p>
        <w:p w14:paraId="69F990AA" w14:textId="49163352" w:rsidR="00A64B67" w:rsidRDefault="00A64B67">
          <w:pPr>
            <w:pStyle w:val="TOC2"/>
            <w:tabs>
              <w:tab w:val="right" w:leader="dot" w:pos="9016"/>
            </w:tabs>
            <w:rPr>
              <w:rFonts w:eastAsiaTheme="minorEastAsia"/>
              <w:noProof/>
              <w:sz w:val="24"/>
              <w:szCs w:val="24"/>
              <w:lang w:eastAsia="en-AU"/>
            </w:rPr>
          </w:pPr>
          <w:hyperlink w:anchor="_Toc218527999" w:history="1">
            <w:r w:rsidRPr="0026370B">
              <w:rPr>
                <w:rStyle w:val="Hyperlink"/>
                <w:rFonts w:ascii="Calibri" w:eastAsia="SimHei" w:hAnsi="Calibri" w:cs="Calibri"/>
                <w:noProof/>
                <w:kern w:val="0"/>
              </w:rPr>
              <w:t>Evidence to decision tables – selenium UL</w:t>
            </w:r>
            <w:r>
              <w:rPr>
                <w:noProof/>
                <w:webHidden/>
              </w:rPr>
              <w:tab/>
            </w:r>
            <w:r>
              <w:rPr>
                <w:noProof/>
                <w:webHidden/>
              </w:rPr>
              <w:fldChar w:fldCharType="begin"/>
            </w:r>
            <w:r>
              <w:rPr>
                <w:noProof/>
                <w:webHidden/>
              </w:rPr>
              <w:instrText xml:space="preserve"> PAGEREF _Toc218527999 \h </w:instrText>
            </w:r>
            <w:r>
              <w:rPr>
                <w:noProof/>
                <w:webHidden/>
              </w:rPr>
            </w:r>
            <w:r>
              <w:rPr>
                <w:noProof/>
                <w:webHidden/>
              </w:rPr>
              <w:fldChar w:fldCharType="separate"/>
            </w:r>
            <w:r>
              <w:rPr>
                <w:noProof/>
                <w:webHidden/>
              </w:rPr>
              <w:t>57</w:t>
            </w:r>
            <w:r>
              <w:rPr>
                <w:noProof/>
                <w:webHidden/>
              </w:rPr>
              <w:fldChar w:fldCharType="end"/>
            </w:r>
          </w:hyperlink>
        </w:p>
        <w:p w14:paraId="262FAC4A" w14:textId="014E7702" w:rsidR="00A64B67" w:rsidRDefault="00A64B67">
          <w:pPr>
            <w:pStyle w:val="TOC3"/>
            <w:tabs>
              <w:tab w:val="right" w:leader="dot" w:pos="9016"/>
            </w:tabs>
            <w:rPr>
              <w:rFonts w:eastAsiaTheme="minorEastAsia"/>
              <w:noProof/>
              <w:sz w:val="24"/>
              <w:szCs w:val="24"/>
              <w:lang w:eastAsia="en-AU"/>
            </w:rPr>
          </w:pPr>
          <w:hyperlink w:anchor="_Toc218528000" w:history="1">
            <w:r w:rsidRPr="0026370B">
              <w:rPr>
                <w:rStyle w:val="Hyperlink"/>
                <w:rFonts w:ascii="Calibri" w:eastAsia="SimHei" w:hAnsi="Calibri" w:cs="Calibri"/>
                <w:noProof/>
              </w:rPr>
              <w:t>Adults</w:t>
            </w:r>
            <w:r>
              <w:rPr>
                <w:noProof/>
                <w:webHidden/>
              </w:rPr>
              <w:tab/>
            </w:r>
            <w:r>
              <w:rPr>
                <w:noProof/>
                <w:webHidden/>
              </w:rPr>
              <w:fldChar w:fldCharType="begin"/>
            </w:r>
            <w:r>
              <w:rPr>
                <w:noProof/>
                <w:webHidden/>
              </w:rPr>
              <w:instrText xml:space="preserve"> PAGEREF _Toc218528000 \h </w:instrText>
            </w:r>
            <w:r>
              <w:rPr>
                <w:noProof/>
                <w:webHidden/>
              </w:rPr>
            </w:r>
            <w:r>
              <w:rPr>
                <w:noProof/>
                <w:webHidden/>
              </w:rPr>
              <w:fldChar w:fldCharType="separate"/>
            </w:r>
            <w:r>
              <w:rPr>
                <w:noProof/>
                <w:webHidden/>
              </w:rPr>
              <w:t>57</w:t>
            </w:r>
            <w:r>
              <w:rPr>
                <w:noProof/>
                <w:webHidden/>
              </w:rPr>
              <w:fldChar w:fldCharType="end"/>
            </w:r>
          </w:hyperlink>
        </w:p>
        <w:p w14:paraId="0DF16741" w14:textId="1C49744A" w:rsidR="00A64B67" w:rsidRDefault="00A64B67">
          <w:pPr>
            <w:pStyle w:val="TOC3"/>
            <w:tabs>
              <w:tab w:val="right" w:leader="dot" w:pos="9016"/>
            </w:tabs>
            <w:rPr>
              <w:rFonts w:eastAsiaTheme="minorEastAsia"/>
              <w:noProof/>
              <w:sz w:val="24"/>
              <w:szCs w:val="24"/>
              <w:lang w:eastAsia="en-AU"/>
            </w:rPr>
          </w:pPr>
          <w:hyperlink w:anchor="_Toc218528001" w:history="1">
            <w:r w:rsidRPr="0026370B">
              <w:rPr>
                <w:rStyle w:val="Hyperlink"/>
                <w:rFonts w:ascii="Calibri" w:eastAsia="SimHei" w:hAnsi="Calibri" w:cs="Calibri"/>
                <w:noProof/>
              </w:rPr>
              <w:t>Children and adolescents</w:t>
            </w:r>
            <w:r>
              <w:rPr>
                <w:noProof/>
                <w:webHidden/>
              </w:rPr>
              <w:tab/>
            </w:r>
            <w:r>
              <w:rPr>
                <w:noProof/>
                <w:webHidden/>
              </w:rPr>
              <w:fldChar w:fldCharType="begin"/>
            </w:r>
            <w:r>
              <w:rPr>
                <w:noProof/>
                <w:webHidden/>
              </w:rPr>
              <w:instrText xml:space="preserve"> PAGEREF _Toc218528001 \h </w:instrText>
            </w:r>
            <w:r>
              <w:rPr>
                <w:noProof/>
                <w:webHidden/>
              </w:rPr>
            </w:r>
            <w:r>
              <w:rPr>
                <w:noProof/>
                <w:webHidden/>
              </w:rPr>
              <w:fldChar w:fldCharType="separate"/>
            </w:r>
            <w:r>
              <w:rPr>
                <w:noProof/>
                <w:webHidden/>
              </w:rPr>
              <w:t>68</w:t>
            </w:r>
            <w:r>
              <w:rPr>
                <w:noProof/>
                <w:webHidden/>
              </w:rPr>
              <w:fldChar w:fldCharType="end"/>
            </w:r>
          </w:hyperlink>
        </w:p>
        <w:p w14:paraId="76F71DFF" w14:textId="0112F053" w:rsidR="00ED39E6" w:rsidRPr="00D633FF" w:rsidRDefault="00ED39E6" w:rsidP="00A62838">
          <w:pPr>
            <w:spacing w:line="360" w:lineRule="auto"/>
            <w:rPr>
              <w:rFonts w:ascii="Calibri" w:hAnsi="Calibri" w:cs="Calibri"/>
            </w:rPr>
          </w:pPr>
          <w:r w:rsidRPr="00D633FF">
            <w:rPr>
              <w:rFonts w:ascii="Calibri" w:hAnsi="Calibri" w:cs="Calibri"/>
              <w:b/>
              <w:bCs/>
              <w:noProof/>
            </w:rPr>
            <w:fldChar w:fldCharType="end"/>
          </w:r>
        </w:p>
      </w:sdtContent>
    </w:sdt>
    <w:p w14:paraId="5ADD423D" w14:textId="77777777" w:rsidR="005432A2" w:rsidRPr="00D633FF" w:rsidRDefault="005432A2">
      <w:pPr>
        <w:rPr>
          <w:rFonts w:ascii="Calibri" w:eastAsiaTheme="majorEastAsia" w:hAnsi="Calibri" w:cs="Calibri"/>
          <w:b/>
          <w:bCs/>
          <w:color w:val="0F4761" w:themeColor="accent1" w:themeShade="BF"/>
          <w:sz w:val="40"/>
          <w:szCs w:val="40"/>
        </w:rPr>
      </w:pPr>
      <w:bookmarkStart w:id="0" w:name="_Ref207103675"/>
      <w:r w:rsidRPr="00D633FF">
        <w:rPr>
          <w:rFonts w:ascii="Calibri" w:hAnsi="Calibri" w:cs="Calibri"/>
          <w:b/>
          <w:bCs/>
        </w:rPr>
        <w:br w:type="page"/>
      </w:r>
    </w:p>
    <w:p w14:paraId="08013D2B" w14:textId="20398CDA" w:rsidR="00214700" w:rsidRPr="00D633FF" w:rsidRDefault="00214700" w:rsidP="00D47070">
      <w:pPr>
        <w:pStyle w:val="Heading2"/>
        <w:rPr>
          <w:rFonts w:ascii="Calibri" w:hAnsi="Calibri" w:cs="Calibri"/>
          <w:b/>
          <w:bCs/>
        </w:rPr>
      </w:pPr>
      <w:bookmarkStart w:id="1" w:name="_Toc218527944"/>
      <w:r w:rsidRPr="00D633FF">
        <w:rPr>
          <w:rFonts w:ascii="Calibri" w:hAnsi="Calibri" w:cs="Calibri"/>
          <w:b/>
          <w:bCs/>
        </w:rPr>
        <w:lastRenderedPageBreak/>
        <w:t>Purpose</w:t>
      </w:r>
      <w:bookmarkEnd w:id="0"/>
      <w:bookmarkEnd w:id="1"/>
    </w:p>
    <w:p w14:paraId="4D2B800F" w14:textId="6877AD9F" w:rsidR="00F27CBA" w:rsidRPr="00D633FF" w:rsidRDefault="0090730E" w:rsidP="00A62838">
      <w:pPr>
        <w:spacing w:line="360" w:lineRule="auto"/>
        <w:rPr>
          <w:rFonts w:ascii="Calibri" w:hAnsi="Calibri" w:cs="Calibri"/>
        </w:rPr>
      </w:pPr>
      <w:r w:rsidRPr="00D633FF">
        <w:rPr>
          <w:rFonts w:ascii="Calibri" w:hAnsi="Calibri" w:cs="Calibri"/>
        </w:rPr>
        <w:t xml:space="preserve">This report has been prepared to inform the </w:t>
      </w:r>
      <w:r w:rsidR="0014208B" w:rsidRPr="00D633FF">
        <w:rPr>
          <w:rFonts w:ascii="Calibri" w:hAnsi="Calibri" w:cs="Calibri"/>
        </w:rPr>
        <w:t xml:space="preserve">process of </w:t>
      </w:r>
      <w:r w:rsidR="005F51E8" w:rsidRPr="00D633FF">
        <w:rPr>
          <w:rFonts w:ascii="Calibri" w:hAnsi="Calibri" w:cs="Calibri"/>
        </w:rPr>
        <w:t xml:space="preserve">updating </w:t>
      </w:r>
      <w:r w:rsidR="0026112B" w:rsidRPr="00D633FF">
        <w:rPr>
          <w:rFonts w:ascii="Calibri" w:hAnsi="Calibri" w:cs="Calibri"/>
        </w:rPr>
        <w:t>the National Health and Medical Research Council</w:t>
      </w:r>
      <w:r w:rsidR="00142C26" w:rsidRPr="00D633FF">
        <w:rPr>
          <w:rFonts w:ascii="Calibri" w:hAnsi="Calibri" w:cs="Calibri"/>
        </w:rPr>
        <w:t>’s (</w:t>
      </w:r>
      <w:r w:rsidR="00365BC1" w:rsidRPr="00D633FF">
        <w:rPr>
          <w:rFonts w:ascii="Calibri" w:hAnsi="Calibri" w:cs="Calibri"/>
        </w:rPr>
        <w:t>NHMRC</w:t>
      </w:r>
      <w:r w:rsidR="00142C26" w:rsidRPr="00D633FF">
        <w:rPr>
          <w:rFonts w:ascii="Calibri" w:hAnsi="Calibri" w:cs="Calibri"/>
        </w:rPr>
        <w:t>)</w:t>
      </w:r>
      <w:r w:rsidR="00365BC1" w:rsidRPr="00D633FF">
        <w:rPr>
          <w:rFonts w:ascii="Calibri" w:hAnsi="Calibri" w:cs="Calibri"/>
        </w:rPr>
        <w:t xml:space="preserve"> selenium </w:t>
      </w:r>
      <w:r w:rsidR="00142C26" w:rsidRPr="00D633FF">
        <w:rPr>
          <w:rFonts w:ascii="Calibri" w:hAnsi="Calibri" w:cs="Calibri"/>
        </w:rPr>
        <w:t xml:space="preserve">Upper Level </w:t>
      </w:r>
      <w:r w:rsidR="00712D8D" w:rsidRPr="00D633FF">
        <w:rPr>
          <w:rFonts w:ascii="Calibri" w:hAnsi="Calibri" w:cs="Calibri"/>
        </w:rPr>
        <w:t xml:space="preserve">of Intake </w:t>
      </w:r>
      <w:r w:rsidR="00142C26" w:rsidRPr="00D633FF">
        <w:rPr>
          <w:rFonts w:ascii="Calibri" w:hAnsi="Calibri" w:cs="Calibri"/>
        </w:rPr>
        <w:t>(</w:t>
      </w:r>
      <w:r w:rsidR="00365BC1" w:rsidRPr="00D633FF">
        <w:rPr>
          <w:rFonts w:ascii="Calibri" w:hAnsi="Calibri" w:cs="Calibri"/>
        </w:rPr>
        <w:t>UL</w:t>
      </w:r>
      <w:r w:rsidR="00142C26" w:rsidRPr="00D633FF">
        <w:rPr>
          <w:rFonts w:ascii="Calibri" w:hAnsi="Calibri" w:cs="Calibri"/>
        </w:rPr>
        <w:t>)</w:t>
      </w:r>
      <w:r w:rsidR="00365BC1" w:rsidRPr="00D633FF">
        <w:rPr>
          <w:rFonts w:ascii="Calibri" w:hAnsi="Calibri" w:cs="Calibri"/>
        </w:rPr>
        <w:t xml:space="preserve"> by </w:t>
      </w:r>
      <w:r w:rsidR="0014208B" w:rsidRPr="00D633FF">
        <w:rPr>
          <w:rFonts w:ascii="Calibri" w:hAnsi="Calibri" w:cs="Calibri"/>
        </w:rPr>
        <w:t>adopting</w:t>
      </w:r>
      <w:r w:rsidR="00142C26" w:rsidRPr="00D633FF">
        <w:rPr>
          <w:rFonts w:ascii="Calibri" w:hAnsi="Calibri" w:cs="Calibri"/>
        </w:rPr>
        <w:t xml:space="preserve"> or </w:t>
      </w:r>
      <w:r w:rsidR="0014208B" w:rsidRPr="00D633FF">
        <w:rPr>
          <w:rFonts w:ascii="Calibri" w:hAnsi="Calibri" w:cs="Calibri"/>
        </w:rPr>
        <w:t>adapting the 2023 selenium UL developed by the European Food Safety Authority (EFSA). It aims to summarise evidence for consideration by the Steering Group Advisory Committee alongside existing evidence sources, including the following:</w:t>
      </w:r>
    </w:p>
    <w:p w14:paraId="6D2BD9C3" w14:textId="32D20C87" w:rsidR="007B4858" w:rsidRPr="00D633FF" w:rsidRDefault="007B4858" w:rsidP="00F1381E">
      <w:pPr>
        <w:numPr>
          <w:ilvl w:val="0"/>
          <w:numId w:val="2"/>
        </w:numPr>
        <w:tabs>
          <w:tab w:val="clear" w:pos="720"/>
          <w:tab w:val="num" w:pos="1080"/>
        </w:tabs>
        <w:spacing w:line="360" w:lineRule="auto"/>
        <w:rPr>
          <w:rFonts w:ascii="Calibri" w:hAnsi="Calibri" w:cs="Calibri"/>
        </w:rPr>
      </w:pPr>
      <w:r w:rsidRPr="00D633FF">
        <w:rPr>
          <w:rFonts w:ascii="Calibri" w:hAnsi="Calibri" w:cs="Calibri"/>
        </w:rPr>
        <w:t xml:space="preserve">Evidence reviews commissioned or conducted by comparable international bodies for the purposes of establishing a selenium </w:t>
      </w:r>
      <w:r w:rsidR="00104744" w:rsidRPr="00D633FF">
        <w:rPr>
          <w:rFonts w:ascii="Calibri" w:hAnsi="Calibri" w:cs="Calibri"/>
        </w:rPr>
        <w:t>UL</w:t>
      </w:r>
      <w:r w:rsidRPr="00D633FF">
        <w:rPr>
          <w:rFonts w:ascii="Calibri" w:hAnsi="Calibri" w:cs="Calibri"/>
        </w:rPr>
        <w:t>:</w:t>
      </w:r>
    </w:p>
    <w:p w14:paraId="5F0EB1CC" w14:textId="6AFE9972" w:rsidR="00E1707D" w:rsidRPr="00D633FF" w:rsidRDefault="007B4858" w:rsidP="00F1381E">
      <w:pPr>
        <w:numPr>
          <w:ilvl w:val="0"/>
          <w:numId w:val="5"/>
        </w:numPr>
        <w:spacing w:line="360" w:lineRule="auto"/>
        <w:rPr>
          <w:rFonts w:ascii="Calibri" w:hAnsi="Calibri" w:cs="Calibri"/>
        </w:rPr>
      </w:pPr>
      <w:r w:rsidRPr="00D633FF">
        <w:rPr>
          <w:rFonts w:ascii="Calibri" w:hAnsi="Calibri" w:cs="Calibri"/>
        </w:rPr>
        <w:t>EFSA (2023) - </w:t>
      </w:r>
      <w:r w:rsidRPr="00D633FF">
        <w:rPr>
          <w:rFonts w:ascii="Calibri" w:hAnsi="Calibri" w:cs="Calibri"/>
          <w:i/>
          <w:iCs/>
        </w:rPr>
        <w:t xml:space="preserve">Scientific opinion on the tolerable upper intake level for selenium </w:t>
      </w:r>
    </w:p>
    <w:p w14:paraId="096B6FB4" w14:textId="02308A5C" w:rsidR="005C765A" w:rsidRPr="00D633FF" w:rsidRDefault="00F41A14" w:rsidP="00F1381E">
      <w:pPr>
        <w:numPr>
          <w:ilvl w:val="0"/>
          <w:numId w:val="5"/>
        </w:numPr>
        <w:spacing w:line="360" w:lineRule="auto"/>
        <w:rPr>
          <w:rFonts w:ascii="Calibri" w:hAnsi="Calibri" w:cs="Calibri"/>
        </w:rPr>
      </w:pPr>
      <w:r w:rsidRPr="00D633FF">
        <w:rPr>
          <w:rFonts w:ascii="Calibri" w:hAnsi="Calibri" w:cs="Calibri"/>
          <w:noProof/>
        </w:rPr>
        <w:t>Alexander and Olsen (2023)</w:t>
      </w:r>
      <w:r w:rsidR="00571044" w:rsidRPr="00D633FF">
        <w:rPr>
          <w:rFonts w:ascii="Calibri" w:hAnsi="Calibri" w:cs="Calibri"/>
        </w:rPr>
        <w:t xml:space="preserve"> – </w:t>
      </w:r>
      <w:r w:rsidR="00571044" w:rsidRPr="00D633FF">
        <w:rPr>
          <w:rFonts w:ascii="Calibri" w:hAnsi="Calibri" w:cs="Calibri"/>
          <w:i/>
          <w:iCs/>
        </w:rPr>
        <w:t>Selenium: a scoping review for Nordic Nutrition Recommendations 2023</w:t>
      </w:r>
      <w:r w:rsidR="00571044" w:rsidRPr="00D633FF">
        <w:rPr>
          <w:rFonts w:ascii="Calibri" w:hAnsi="Calibri" w:cs="Calibri"/>
        </w:rPr>
        <w:t> </w:t>
      </w:r>
    </w:p>
    <w:p w14:paraId="6CA882D5" w14:textId="0E7895EE" w:rsidR="007B4858" w:rsidRPr="00D633FF" w:rsidRDefault="007B4858" w:rsidP="00F1381E">
      <w:pPr>
        <w:numPr>
          <w:ilvl w:val="0"/>
          <w:numId w:val="3"/>
        </w:numPr>
        <w:tabs>
          <w:tab w:val="clear" w:pos="720"/>
          <w:tab w:val="num" w:pos="1080"/>
        </w:tabs>
        <w:spacing w:line="360" w:lineRule="auto"/>
        <w:rPr>
          <w:rFonts w:ascii="Calibri" w:hAnsi="Calibri" w:cs="Calibri"/>
        </w:rPr>
      </w:pPr>
      <w:r w:rsidRPr="00D633FF">
        <w:rPr>
          <w:rFonts w:ascii="Calibri" w:hAnsi="Calibri" w:cs="Calibri"/>
        </w:rPr>
        <w:t xml:space="preserve">Other reports published by key international bodies relevant to </w:t>
      </w:r>
      <w:r w:rsidR="00F37E0C" w:rsidRPr="00D633FF">
        <w:rPr>
          <w:rFonts w:ascii="Calibri" w:hAnsi="Calibri" w:cs="Calibri"/>
        </w:rPr>
        <w:t>establishing selenium</w:t>
      </w:r>
      <w:r w:rsidRPr="00D633FF">
        <w:rPr>
          <w:rFonts w:ascii="Calibri" w:hAnsi="Calibri" w:cs="Calibri"/>
        </w:rPr>
        <w:t xml:space="preserve"> nutrient reference values:  </w:t>
      </w:r>
    </w:p>
    <w:p w14:paraId="5845FD6A" w14:textId="0FB4A201" w:rsidR="007B4858" w:rsidRPr="00D633FF" w:rsidRDefault="007B4858" w:rsidP="00F1381E">
      <w:pPr>
        <w:numPr>
          <w:ilvl w:val="1"/>
          <w:numId w:val="6"/>
        </w:numPr>
        <w:spacing w:line="360" w:lineRule="auto"/>
        <w:rPr>
          <w:rFonts w:ascii="Calibri" w:hAnsi="Calibri" w:cs="Calibri"/>
          <w:i/>
          <w:iCs/>
        </w:rPr>
      </w:pPr>
      <w:r w:rsidRPr="00D633FF">
        <w:rPr>
          <w:rFonts w:ascii="Calibri" w:hAnsi="Calibri" w:cs="Calibri"/>
        </w:rPr>
        <w:t xml:space="preserve">UK </w:t>
      </w:r>
      <w:r w:rsidR="00F41A14" w:rsidRPr="00D633FF">
        <w:rPr>
          <w:rFonts w:ascii="Calibri" w:hAnsi="Calibri" w:cs="Calibri"/>
          <w:noProof/>
        </w:rPr>
        <w:t>SACN (2013)</w:t>
      </w:r>
      <w:r w:rsidR="00EB6F6A" w:rsidRPr="00D633FF">
        <w:rPr>
          <w:rFonts w:ascii="Calibri" w:hAnsi="Calibri" w:cs="Calibri"/>
        </w:rPr>
        <w:t xml:space="preserve"> </w:t>
      </w:r>
      <w:r w:rsidR="0036235A" w:rsidRPr="00D633FF">
        <w:rPr>
          <w:rFonts w:ascii="Calibri" w:hAnsi="Calibri" w:cs="Calibri"/>
        </w:rPr>
        <w:t xml:space="preserve">- </w:t>
      </w:r>
      <w:r w:rsidR="003D0FDC" w:rsidRPr="00D633FF">
        <w:rPr>
          <w:rFonts w:ascii="Calibri" w:hAnsi="Calibri" w:cs="Calibri"/>
          <w:i/>
          <w:iCs/>
        </w:rPr>
        <w:t xml:space="preserve">Position </w:t>
      </w:r>
      <w:r w:rsidRPr="00D633FF">
        <w:rPr>
          <w:rFonts w:ascii="Calibri" w:hAnsi="Calibri" w:cs="Calibri"/>
          <w:i/>
          <w:iCs/>
        </w:rPr>
        <w:t>Statement on Selenium and Health</w:t>
      </w:r>
    </w:p>
    <w:p w14:paraId="0F27F060" w14:textId="1DADDB51" w:rsidR="007F21FA" w:rsidRPr="00D633FF" w:rsidRDefault="007B4858" w:rsidP="00F1381E">
      <w:pPr>
        <w:numPr>
          <w:ilvl w:val="0"/>
          <w:numId w:val="7"/>
        </w:numPr>
        <w:spacing w:line="360" w:lineRule="auto"/>
        <w:rPr>
          <w:rFonts w:ascii="Calibri" w:hAnsi="Calibri" w:cs="Calibri"/>
        </w:rPr>
      </w:pPr>
      <w:r w:rsidRPr="00D633FF">
        <w:rPr>
          <w:rFonts w:ascii="Calibri" w:hAnsi="Calibri" w:cs="Calibri"/>
        </w:rPr>
        <w:t>FAO &amp; WHO Codex nutrient reference values</w:t>
      </w:r>
      <w:r w:rsidR="00E42D0A" w:rsidRPr="00D633FF">
        <w:rPr>
          <w:rFonts w:ascii="Calibri" w:hAnsi="Calibri" w:cs="Calibri"/>
        </w:rPr>
        <w:t xml:space="preserve"> </w:t>
      </w:r>
      <w:r w:rsidR="00F41A14" w:rsidRPr="00D633FF">
        <w:rPr>
          <w:rFonts w:ascii="Calibri" w:hAnsi="Calibri" w:cs="Calibri"/>
          <w:noProof/>
        </w:rPr>
        <w:t>(Lewis 2019)</w:t>
      </w:r>
    </w:p>
    <w:p w14:paraId="5F3D186A" w14:textId="25C52115" w:rsidR="007B4858" w:rsidRPr="00D633FF" w:rsidRDefault="007B4858" w:rsidP="00F1381E">
      <w:pPr>
        <w:numPr>
          <w:ilvl w:val="0"/>
          <w:numId w:val="4"/>
        </w:numPr>
        <w:spacing w:line="360" w:lineRule="auto"/>
        <w:rPr>
          <w:rFonts w:ascii="Calibri" w:hAnsi="Calibri" w:cs="Calibri"/>
        </w:rPr>
      </w:pPr>
      <w:r w:rsidRPr="00D633FF">
        <w:rPr>
          <w:rFonts w:ascii="Calibri" w:hAnsi="Calibri" w:cs="Calibri"/>
        </w:rPr>
        <w:t>Primary evidence or data relevant to the Australian and New Zealand context</w:t>
      </w:r>
      <w:r w:rsidR="00374C9C" w:rsidRPr="00D633FF">
        <w:rPr>
          <w:rFonts w:ascii="Calibri" w:hAnsi="Calibri" w:cs="Calibri"/>
        </w:rPr>
        <w:t>.</w:t>
      </w:r>
      <w:r w:rsidRPr="00D633FF">
        <w:rPr>
          <w:rFonts w:ascii="Calibri" w:hAnsi="Calibri" w:cs="Calibri"/>
        </w:rPr>
        <w:t>  </w:t>
      </w:r>
    </w:p>
    <w:p w14:paraId="6FEA0467" w14:textId="77777777" w:rsidR="000B72AD" w:rsidRPr="00D633FF" w:rsidRDefault="000B72AD" w:rsidP="000B72AD">
      <w:pPr>
        <w:rPr>
          <w:rFonts w:ascii="Calibri" w:hAnsi="Calibri" w:cs="Calibri"/>
        </w:rPr>
      </w:pPr>
    </w:p>
    <w:p w14:paraId="0BE7FB55" w14:textId="77777777" w:rsidR="009F7E9F" w:rsidRPr="00D633FF" w:rsidRDefault="009F7E9F" w:rsidP="00D47070">
      <w:pPr>
        <w:pStyle w:val="Heading2"/>
        <w:rPr>
          <w:rFonts w:ascii="Calibri" w:hAnsi="Calibri" w:cs="Calibri"/>
          <w:b/>
          <w:i/>
          <w:iCs/>
        </w:rPr>
      </w:pPr>
      <w:bookmarkStart w:id="2" w:name="_Ref207294784"/>
      <w:bookmarkStart w:id="3" w:name="_Toc218527945"/>
      <w:r w:rsidRPr="00D633FF">
        <w:rPr>
          <w:rFonts w:ascii="Calibri" w:hAnsi="Calibri" w:cs="Calibri"/>
          <w:b/>
        </w:rPr>
        <w:t>Rationale for prioritising this update</w:t>
      </w:r>
      <w:bookmarkEnd w:id="2"/>
      <w:bookmarkEnd w:id="3"/>
    </w:p>
    <w:p w14:paraId="6387D541" w14:textId="42582F87" w:rsidR="00D63739" w:rsidRPr="00D633FF" w:rsidRDefault="00575E56" w:rsidP="006F0586">
      <w:pPr>
        <w:spacing w:line="360" w:lineRule="auto"/>
        <w:rPr>
          <w:rFonts w:ascii="Calibri" w:eastAsia="Times New Roman" w:hAnsi="Calibri" w:cs="Calibri"/>
          <w:szCs w:val="20"/>
        </w:rPr>
      </w:pPr>
      <w:r w:rsidRPr="00D633FF">
        <w:rPr>
          <w:rFonts w:ascii="Calibri" w:eastAsia="Times New Roman" w:hAnsi="Calibri" w:cs="Calibri"/>
          <w:szCs w:val="20"/>
        </w:rPr>
        <w:t xml:space="preserve">In 2006, </w:t>
      </w:r>
      <w:r w:rsidR="009F7E9F" w:rsidRPr="00D633FF">
        <w:rPr>
          <w:rFonts w:ascii="Calibri" w:eastAsia="Times New Roman" w:hAnsi="Calibri" w:cs="Calibri"/>
          <w:szCs w:val="20"/>
        </w:rPr>
        <w:t xml:space="preserve">NHMRC published its current </w:t>
      </w:r>
      <w:r w:rsidRPr="00D633FF">
        <w:rPr>
          <w:rFonts w:ascii="Calibri" w:eastAsia="Times New Roman" w:hAnsi="Calibri" w:cs="Calibri"/>
          <w:szCs w:val="20"/>
        </w:rPr>
        <w:t>Nutrient Reference Values (</w:t>
      </w:r>
      <w:r w:rsidR="009F7E9F" w:rsidRPr="00D633FF">
        <w:rPr>
          <w:rFonts w:ascii="Calibri" w:eastAsia="Times New Roman" w:hAnsi="Calibri" w:cs="Calibri"/>
          <w:szCs w:val="20"/>
        </w:rPr>
        <w:t>NRVs</w:t>
      </w:r>
      <w:r w:rsidRPr="00D633FF">
        <w:rPr>
          <w:rFonts w:ascii="Calibri" w:eastAsia="Times New Roman" w:hAnsi="Calibri" w:cs="Calibri"/>
          <w:szCs w:val="20"/>
        </w:rPr>
        <w:t>)</w:t>
      </w:r>
      <w:r w:rsidR="009F7E9F" w:rsidRPr="00D633FF">
        <w:rPr>
          <w:rFonts w:ascii="Calibri" w:eastAsia="Times New Roman" w:hAnsi="Calibri" w:cs="Calibri"/>
          <w:szCs w:val="20"/>
        </w:rPr>
        <w:t xml:space="preserve"> </w:t>
      </w:r>
      <w:r w:rsidR="00FE6597" w:rsidRPr="00D633FF">
        <w:rPr>
          <w:rFonts w:ascii="Calibri" w:eastAsia="Times New Roman" w:hAnsi="Calibri" w:cs="Calibri"/>
          <w:szCs w:val="20"/>
        </w:rPr>
        <w:t xml:space="preserve">for selenium </w:t>
      </w:r>
      <w:r w:rsidR="00F41A14" w:rsidRPr="00D633FF">
        <w:rPr>
          <w:rFonts w:ascii="Calibri" w:eastAsia="Times New Roman" w:hAnsi="Calibri" w:cs="Calibri"/>
          <w:noProof/>
          <w:szCs w:val="20"/>
        </w:rPr>
        <w:t>(NHMRC 2006)</w:t>
      </w:r>
      <w:r w:rsidR="007A3C05" w:rsidRPr="00D633FF">
        <w:rPr>
          <w:rFonts w:ascii="Calibri" w:eastAsia="Times New Roman" w:hAnsi="Calibri" w:cs="Calibri"/>
          <w:szCs w:val="20"/>
        </w:rPr>
        <w:t>.</w:t>
      </w:r>
      <w:r w:rsidR="009F7E9F" w:rsidRPr="00D633FF">
        <w:rPr>
          <w:rFonts w:ascii="Calibri" w:eastAsia="Times New Roman" w:hAnsi="Calibri" w:cs="Calibri"/>
          <w:szCs w:val="20"/>
        </w:rPr>
        <w:t xml:space="preserve"> </w:t>
      </w:r>
      <w:r w:rsidR="007A3C05" w:rsidRPr="00D633FF">
        <w:rPr>
          <w:rFonts w:ascii="Calibri" w:eastAsia="Times New Roman" w:hAnsi="Calibri" w:cs="Calibri"/>
          <w:szCs w:val="20"/>
        </w:rPr>
        <w:t>T</w:t>
      </w:r>
      <w:r w:rsidR="00C06688" w:rsidRPr="00D633FF">
        <w:rPr>
          <w:rFonts w:ascii="Calibri" w:eastAsia="Times New Roman" w:hAnsi="Calibri" w:cs="Calibri"/>
          <w:szCs w:val="20"/>
        </w:rPr>
        <w:t xml:space="preserve">hese values were </w:t>
      </w:r>
      <w:r w:rsidR="009F7E9F" w:rsidRPr="00D633FF">
        <w:rPr>
          <w:rFonts w:ascii="Calibri" w:eastAsia="Times New Roman" w:hAnsi="Calibri" w:cs="Calibri"/>
          <w:szCs w:val="20"/>
        </w:rPr>
        <w:t>adopted from the US Institute of Medicine</w:t>
      </w:r>
      <w:r w:rsidR="00EA729A" w:rsidRPr="00D633FF">
        <w:rPr>
          <w:rFonts w:ascii="Calibri" w:eastAsia="Times New Roman" w:hAnsi="Calibri" w:cs="Calibri"/>
          <w:szCs w:val="20"/>
        </w:rPr>
        <w:t>’s</w:t>
      </w:r>
      <w:r w:rsidR="00FE6597" w:rsidRPr="00D633FF">
        <w:rPr>
          <w:rFonts w:ascii="Calibri" w:eastAsia="Times New Roman" w:hAnsi="Calibri" w:cs="Calibri"/>
          <w:szCs w:val="20"/>
        </w:rPr>
        <w:t xml:space="preserve"> Dietary Reference Intakes for selenium </w:t>
      </w:r>
      <w:r w:rsidR="00F41A14" w:rsidRPr="00D633FF">
        <w:rPr>
          <w:rFonts w:ascii="Calibri" w:eastAsia="Times New Roman" w:hAnsi="Calibri" w:cs="Calibri"/>
          <w:noProof/>
          <w:szCs w:val="20"/>
        </w:rPr>
        <w:t>(IOM 2000)</w:t>
      </w:r>
      <w:r w:rsidR="009F7E9F" w:rsidRPr="00D633FF">
        <w:rPr>
          <w:rFonts w:ascii="Calibri" w:eastAsia="Times New Roman" w:hAnsi="Calibri" w:cs="Calibri"/>
          <w:szCs w:val="20"/>
        </w:rPr>
        <w:t xml:space="preserve">. </w:t>
      </w:r>
    </w:p>
    <w:p w14:paraId="122AD320" w14:textId="33513C7E" w:rsidR="00134313" w:rsidRPr="00D633FF" w:rsidRDefault="009F7E9F" w:rsidP="006F0586">
      <w:pPr>
        <w:spacing w:line="360" w:lineRule="auto"/>
        <w:rPr>
          <w:rFonts w:ascii="Calibri" w:eastAsia="Times New Roman" w:hAnsi="Calibri" w:cs="Calibri"/>
          <w:szCs w:val="20"/>
        </w:rPr>
      </w:pPr>
      <w:r w:rsidRPr="00D633FF">
        <w:rPr>
          <w:rFonts w:ascii="Calibri" w:eastAsia="Times New Roman" w:hAnsi="Calibri" w:cs="Calibri"/>
          <w:szCs w:val="20"/>
        </w:rPr>
        <w:t>In 2023, EFSA updated their UL for selenium</w:t>
      </w:r>
      <w:r w:rsidR="00816A59" w:rsidRPr="00D633FF">
        <w:rPr>
          <w:rFonts w:ascii="Calibri" w:eastAsia="Times New Roman" w:hAnsi="Calibri" w:cs="Calibri"/>
          <w:szCs w:val="20"/>
        </w:rPr>
        <w:t xml:space="preserve"> </w:t>
      </w:r>
      <w:r w:rsidR="00F41A14" w:rsidRPr="00D633FF">
        <w:rPr>
          <w:rFonts w:ascii="Calibri" w:eastAsia="Times New Roman" w:hAnsi="Calibri" w:cs="Calibri"/>
          <w:noProof/>
          <w:szCs w:val="20"/>
        </w:rPr>
        <w:t>(EFSA 2023)</w:t>
      </w:r>
      <w:r w:rsidRPr="00D633FF">
        <w:rPr>
          <w:rFonts w:ascii="Calibri" w:eastAsia="Times New Roman" w:hAnsi="Calibri" w:cs="Calibri"/>
          <w:szCs w:val="20"/>
        </w:rPr>
        <w:t xml:space="preserve"> based on a large, high-quality </w:t>
      </w:r>
      <w:r w:rsidR="00FE6597" w:rsidRPr="00D633FF">
        <w:rPr>
          <w:rFonts w:ascii="Calibri" w:eastAsia="Times New Roman" w:hAnsi="Calibri" w:cs="Calibri"/>
          <w:szCs w:val="20"/>
        </w:rPr>
        <w:t>randomised controlled trial (</w:t>
      </w:r>
      <w:r w:rsidRPr="00D633FF">
        <w:rPr>
          <w:rFonts w:ascii="Calibri" w:eastAsia="Times New Roman" w:hAnsi="Calibri" w:cs="Calibri"/>
          <w:szCs w:val="20"/>
        </w:rPr>
        <w:t>RCT</w:t>
      </w:r>
      <w:r w:rsidR="00FE6597" w:rsidRPr="00D633FF">
        <w:rPr>
          <w:rFonts w:ascii="Calibri" w:eastAsia="Times New Roman" w:hAnsi="Calibri" w:cs="Calibri"/>
          <w:szCs w:val="20"/>
        </w:rPr>
        <w:t>)</w:t>
      </w:r>
      <w:r w:rsidR="00EE324B" w:rsidRPr="00D633FF">
        <w:rPr>
          <w:rFonts w:ascii="Calibri" w:eastAsia="Times New Roman" w:hAnsi="Calibri" w:cs="Calibri"/>
          <w:szCs w:val="20"/>
        </w:rPr>
        <w:t xml:space="preserve"> </w:t>
      </w:r>
      <w:r w:rsidR="00F41A14" w:rsidRPr="00D633FF">
        <w:rPr>
          <w:rFonts w:ascii="Calibri" w:eastAsia="Times New Roman" w:hAnsi="Calibri" w:cs="Calibri"/>
          <w:noProof/>
          <w:szCs w:val="20"/>
        </w:rPr>
        <w:t>(Lippman et al. 2009)</w:t>
      </w:r>
      <w:r w:rsidRPr="00D633FF">
        <w:rPr>
          <w:rFonts w:ascii="Calibri" w:eastAsia="Times New Roman" w:hAnsi="Calibri" w:cs="Calibri"/>
          <w:szCs w:val="20"/>
        </w:rPr>
        <w:t xml:space="preserve">. NHMRC </w:t>
      </w:r>
      <w:r w:rsidR="00F943B9" w:rsidRPr="00D633FF">
        <w:rPr>
          <w:rFonts w:ascii="Calibri" w:eastAsia="Times New Roman" w:hAnsi="Calibri" w:cs="Calibri"/>
          <w:szCs w:val="20"/>
        </w:rPr>
        <w:t xml:space="preserve">recently </w:t>
      </w:r>
      <w:r w:rsidRPr="00D633FF">
        <w:rPr>
          <w:rFonts w:ascii="Calibri" w:eastAsia="Times New Roman" w:hAnsi="Calibri" w:cs="Calibri"/>
          <w:szCs w:val="20"/>
        </w:rPr>
        <w:t xml:space="preserve">updated </w:t>
      </w:r>
      <w:r w:rsidR="00FE6597" w:rsidRPr="00D633FF">
        <w:rPr>
          <w:rFonts w:ascii="Calibri" w:eastAsia="Times New Roman" w:hAnsi="Calibri" w:cs="Calibri"/>
          <w:szCs w:val="20"/>
        </w:rPr>
        <w:t xml:space="preserve">their </w:t>
      </w:r>
      <w:r w:rsidRPr="00D633FF">
        <w:rPr>
          <w:rFonts w:ascii="Calibri" w:eastAsia="Times New Roman" w:hAnsi="Calibri" w:cs="Calibri"/>
          <w:szCs w:val="20"/>
        </w:rPr>
        <w:t>health-based guideline value for selenium levels in drinking water</w:t>
      </w:r>
      <w:r w:rsidR="00D32D71" w:rsidRPr="00D633FF">
        <w:rPr>
          <w:rFonts w:ascii="Calibri" w:eastAsia="Times New Roman" w:hAnsi="Calibri" w:cs="Calibri"/>
          <w:szCs w:val="20"/>
        </w:rPr>
        <w:t xml:space="preserve"> </w:t>
      </w:r>
      <w:r w:rsidR="00F41A14" w:rsidRPr="00D633FF">
        <w:rPr>
          <w:rFonts w:ascii="Calibri" w:eastAsia="Times New Roman" w:hAnsi="Calibri" w:cs="Calibri"/>
          <w:noProof/>
          <w:szCs w:val="20"/>
        </w:rPr>
        <w:t>(</w:t>
      </w:r>
      <w:r w:rsidR="004F6727" w:rsidRPr="00D633FF">
        <w:rPr>
          <w:rFonts w:ascii="Calibri" w:eastAsia="Times New Roman" w:hAnsi="Calibri" w:cs="Calibri"/>
          <w:noProof/>
          <w:szCs w:val="20"/>
        </w:rPr>
        <w:t>NHMRC 2025a</w:t>
      </w:r>
      <w:r w:rsidR="00F41A14" w:rsidRPr="00D633FF">
        <w:rPr>
          <w:rFonts w:ascii="Calibri" w:eastAsia="Times New Roman" w:hAnsi="Calibri" w:cs="Calibri"/>
          <w:noProof/>
          <w:szCs w:val="20"/>
        </w:rPr>
        <w:t>)</w:t>
      </w:r>
      <w:r w:rsidRPr="00D633FF">
        <w:rPr>
          <w:rFonts w:ascii="Calibri" w:eastAsia="Times New Roman" w:hAnsi="Calibri" w:cs="Calibri"/>
          <w:szCs w:val="20"/>
        </w:rPr>
        <w:t xml:space="preserve"> based on the same RCT</w:t>
      </w:r>
      <w:r w:rsidR="00F943B9" w:rsidRPr="00D633FF">
        <w:rPr>
          <w:rFonts w:ascii="Calibri" w:eastAsia="Times New Roman" w:hAnsi="Calibri" w:cs="Calibri"/>
          <w:szCs w:val="20"/>
        </w:rPr>
        <w:t xml:space="preserve"> </w:t>
      </w:r>
      <w:r w:rsidR="00F41A14" w:rsidRPr="00D633FF">
        <w:rPr>
          <w:rFonts w:ascii="Calibri" w:eastAsia="Times New Roman" w:hAnsi="Calibri" w:cs="Calibri"/>
          <w:noProof/>
          <w:szCs w:val="20"/>
        </w:rPr>
        <w:t>(Lippman et al. 2009)</w:t>
      </w:r>
      <w:r w:rsidRPr="00D633FF">
        <w:rPr>
          <w:rFonts w:ascii="Calibri" w:eastAsia="Times New Roman" w:hAnsi="Calibri" w:cs="Calibri"/>
          <w:szCs w:val="20"/>
        </w:rPr>
        <w:t xml:space="preserve">. </w:t>
      </w:r>
    </w:p>
    <w:p w14:paraId="0109E87A" w14:textId="51BEA640" w:rsidR="00031554" w:rsidRPr="00D633FF" w:rsidRDefault="000A6832" w:rsidP="00031554">
      <w:pPr>
        <w:spacing w:line="360" w:lineRule="auto"/>
        <w:rPr>
          <w:rFonts w:ascii="Calibri" w:eastAsia="Times New Roman" w:hAnsi="Calibri" w:cs="Calibri"/>
          <w:szCs w:val="20"/>
        </w:rPr>
      </w:pPr>
      <w:r w:rsidRPr="00D633FF">
        <w:rPr>
          <w:rFonts w:ascii="Calibri" w:eastAsia="Times New Roman" w:hAnsi="Calibri" w:cs="Calibri"/>
          <w:szCs w:val="20"/>
        </w:rPr>
        <w:t xml:space="preserve">To save resources and minimise duplication of effort, </w:t>
      </w:r>
      <w:r w:rsidR="00FF5A37" w:rsidRPr="00D633FF">
        <w:rPr>
          <w:rFonts w:ascii="Calibri" w:eastAsia="Times New Roman" w:hAnsi="Calibri" w:cs="Calibri"/>
          <w:szCs w:val="20"/>
        </w:rPr>
        <w:t xml:space="preserve">NHMRC </w:t>
      </w:r>
      <w:r w:rsidR="00871CC4" w:rsidRPr="00D633FF">
        <w:rPr>
          <w:rFonts w:ascii="Calibri" w:eastAsia="Times New Roman" w:hAnsi="Calibri" w:cs="Calibri"/>
          <w:szCs w:val="20"/>
        </w:rPr>
        <w:t xml:space="preserve">was </w:t>
      </w:r>
      <w:r w:rsidR="00ED3733" w:rsidRPr="00D633FF">
        <w:rPr>
          <w:rFonts w:ascii="Calibri" w:eastAsia="Times New Roman" w:hAnsi="Calibri" w:cs="Calibri"/>
          <w:szCs w:val="20"/>
        </w:rPr>
        <w:t xml:space="preserve">seeking to </w:t>
      </w:r>
      <w:r w:rsidR="00FF5A37" w:rsidRPr="00D633FF">
        <w:rPr>
          <w:rFonts w:ascii="Calibri" w:eastAsia="Times New Roman" w:hAnsi="Calibri" w:cs="Calibri"/>
          <w:szCs w:val="20"/>
        </w:rPr>
        <w:t>pilot a process for updating NRVs b</w:t>
      </w:r>
      <w:r w:rsidR="00ED3733" w:rsidRPr="00D633FF">
        <w:rPr>
          <w:rFonts w:ascii="Calibri" w:eastAsia="Times New Roman" w:hAnsi="Calibri" w:cs="Calibri"/>
          <w:szCs w:val="20"/>
        </w:rPr>
        <w:t>y adopting or adapting recommendations from</w:t>
      </w:r>
      <w:r w:rsidR="00FF5A37" w:rsidRPr="00D633FF">
        <w:rPr>
          <w:rFonts w:ascii="Calibri" w:eastAsia="Times New Roman" w:hAnsi="Calibri" w:cs="Calibri"/>
          <w:szCs w:val="20"/>
        </w:rPr>
        <w:t xml:space="preserve"> other </w:t>
      </w:r>
      <w:r w:rsidR="00ED3733" w:rsidRPr="00D633FF">
        <w:rPr>
          <w:rFonts w:ascii="Calibri" w:eastAsia="Times New Roman" w:hAnsi="Calibri" w:cs="Calibri"/>
          <w:szCs w:val="20"/>
        </w:rPr>
        <w:t xml:space="preserve">comparable </w:t>
      </w:r>
      <w:r w:rsidR="00FF5A37" w:rsidRPr="00D633FF">
        <w:rPr>
          <w:rFonts w:ascii="Calibri" w:eastAsia="Times New Roman" w:hAnsi="Calibri" w:cs="Calibri"/>
          <w:szCs w:val="20"/>
        </w:rPr>
        <w:t>jurisdictions. This approach is i</w:t>
      </w:r>
      <w:r w:rsidR="00031554" w:rsidRPr="00D633FF">
        <w:rPr>
          <w:rFonts w:ascii="Calibri" w:eastAsia="Times New Roman" w:hAnsi="Calibri" w:cs="Calibri"/>
          <w:szCs w:val="20"/>
        </w:rPr>
        <w:t>n line with the international NRV community’s efforts towards harmonis</w:t>
      </w:r>
      <w:r w:rsidR="007E6B49" w:rsidRPr="00D633FF">
        <w:rPr>
          <w:rFonts w:ascii="Calibri" w:eastAsia="Times New Roman" w:hAnsi="Calibri" w:cs="Calibri"/>
          <w:szCs w:val="20"/>
        </w:rPr>
        <w:t>ing</w:t>
      </w:r>
      <w:r w:rsidR="00031554" w:rsidRPr="00D633FF">
        <w:rPr>
          <w:rFonts w:ascii="Calibri" w:eastAsia="Times New Roman" w:hAnsi="Calibri" w:cs="Calibri"/>
          <w:szCs w:val="20"/>
        </w:rPr>
        <w:t xml:space="preserve"> methods and sharing resources</w:t>
      </w:r>
      <w:r w:rsidR="009F7E9F" w:rsidRPr="00D633FF">
        <w:rPr>
          <w:rFonts w:ascii="Calibri" w:eastAsia="Times New Roman" w:hAnsi="Calibri" w:cs="Calibri"/>
          <w:szCs w:val="20"/>
        </w:rPr>
        <w:t xml:space="preserve">. Updating </w:t>
      </w:r>
      <w:r w:rsidR="00870F11" w:rsidRPr="00D633FF">
        <w:rPr>
          <w:rFonts w:ascii="Calibri" w:eastAsia="Times New Roman" w:hAnsi="Calibri" w:cs="Calibri"/>
          <w:szCs w:val="20"/>
        </w:rPr>
        <w:t>the</w:t>
      </w:r>
      <w:r w:rsidR="009F7E9F" w:rsidRPr="00D633FF">
        <w:rPr>
          <w:rFonts w:ascii="Calibri" w:eastAsia="Times New Roman" w:hAnsi="Calibri" w:cs="Calibri"/>
          <w:szCs w:val="20"/>
        </w:rPr>
        <w:t xml:space="preserve"> selenium </w:t>
      </w:r>
      <w:r w:rsidR="00870F11" w:rsidRPr="00D633FF">
        <w:rPr>
          <w:rFonts w:ascii="Calibri" w:eastAsia="Times New Roman" w:hAnsi="Calibri" w:cs="Calibri"/>
          <w:szCs w:val="20"/>
        </w:rPr>
        <w:t xml:space="preserve">UL </w:t>
      </w:r>
      <w:r w:rsidR="009F7E9F" w:rsidRPr="00D633FF">
        <w:rPr>
          <w:rFonts w:ascii="Calibri" w:eastAsia="Times New Roman" w:hAnsi="Calibri" w:cs="Calibri"/>
          <w:szCs w:val="20"/>
        </w:rPr>
        <w:t xml:space="preserve">was an opportunity to develop and test these </w:t>
      </w:r>
      <w:r w:rsidR="009F7E9F" w:rsidRPr="00D633FF">
        <w:rPr>
          <w:rFonts w:ascii="Calibri" w:eastAsia="Times New Roman" w:hAnsi="Calibri" w:cs="Calibri"/>
          <w:szCs w:val="20"/>
        </w:rPr>
        <w:lastRenderedPageBreak/>
        <w:t>methods</w:t>
      </w:r>
      <w:r w:rsidR="004B58BB" w:rsidRPr="00D633FF">
        <w:rPr>
          <w:rFonts w:ascii="Calibri" w:eastAsia="Times New Roman" w:hAnsi="Calibri" w:cs="Calibri"/>
          <w:szCs w:val="20"/>
        </w:rPr>
        <w:t xml:space="preserve"> and </w:t>
      </w:r>
      <w:r w:rsidR="007E6B49" w:rsidRPr="00D633FF">
        <w:rPr>
          <w:rFonts w:ascii="Calibri" w:eastAsia="Times New Roman" w:hAnsi="Calibri" w:cs="Calibri"/>
          <w:szCs w:val="20"/>
        </w:rPr>
        <w:t xml:space="preserve">achieve </w:t>
      </w:r>
      <w:r w:rsidR="004B58BB" w:rsidRPr="00D633FF">
        <w:rPr>
          <w:rFonts w:ascii="Calibri" w:eastAsia="Times New Roman" w:hAnsi="Calibri" w:cs="Calibri"/>
          <w:szCs w:val="20"/>
        </w:rPr>
        <w:t>greater consistency</w:t>
      </w:r>
      <w:r w:rsidR="00A5634A" w:rsidRPr="00D633FF">
        <w:rPr>
          <w:rFonts w:ascii="Calibri" w:eastAsia="Times New Roman" w:hAnsi="Calibri" w:cs="Calibri"/>
          <w:szCs w:val="20"/>
        </w:rPr>
        <w:t xml:space="preserve"> in selenium UL</w:t>
      </w:r>
      <w:r w:rsidR="00870F11" w:rsidRPr="00D633FF">
        <w:rPr>
          <w:rFonts w:ascii="Calibri" w:eastAsia="Times New Roman" w:hAnsi="Calibri" w:cs="Calibri"/>
          <w:szCs w:val="20"/>
        </w:rPr>
        <w:t>s</w:t>
      </w:r>
      <w:r w:rsidR="008E7118" w:rsidRPr="00D633FF">
        <w:rPr>
          <w:rFonts w:ascii="Calibri" w:eastAsia="Times New Roman" w:hAnsi="Calibri" w:cs="Calibri"/>
          <w:szCs w:val="20"/>
        </w:rPr>
        <w:t xml:space="preserve"> both within the NHMRC and internationally</w:t>
      </w:r>
      <w:r w:rsidR="00031554" w:rsidRPr="00D633FF">
        <w:rPr>
          <w:rFonts w:ascii="Calibri" w:eastAsia="Times New Roman" w:hAnsi="Calibri" w:cs="Calibri"/>
          <w:szCs w:val="20"/>
        </w:rPr>
        <w:t>.</w:t>
      </w:r>
    </w:p>
    <w:p w14:paraId="2815E978" w14:textId="77777777" w:rsidR="00561527" w:rsidRPr="00D633FF" w:rsidRDefault="00561527" w:rsidP="00A5634A">
      <w:pPr>
        <w:spacing w:line="360" w:lineRule="auto"/>
        <w:rPr>
          <w:rFonts w:ascii="Calibri" w:eastAsia="Times New Roman" w:hAnsi="Calibri" w:cs="Calibri"/>
          <w:szCs w:val="20"/>
        </w:rPr>
      </w:pPr>
    </w:p>
    <w:p w14:paraId="313A79EB" w14:textId="77777777" w:rsidR="00736276" w:rsidRPr="00D633FF" w:rsidRDefault="00736276" w:rsidP="00561527">
      <w:pPr>
        <w:pStyle w:val="Heading2"/>
        <w:rPr>
          <w:rFonts w:ascii="Calibri" w:hAnsi="Calibri" w:cs="Calibri"/>
          <w:b/>
          <w:bCs/>
        </w:rPr>
      </w:pPr>
      <w:bookmarkStart w:id="4" w:name="_Toc218527946"/>
      <w:r w:rsidRPr="00D633FF">
        <w:rPr>
          <w:rFonts w:ascii="Calibri" w:hAnsi="Calibri" w:cs="Calibri"/>
          <w:b/>
          <w:bCs/>
        </w:rPr>
        <w:t>Methods summary</w:t>
      </w:r>
      <w:bookmarkEnd w:id="4"/>
    </w:p>
    <w:p w14:paraId="2B63E864" w14:textId="3011CB48" w:rsidR="00736276" w:rsidRPr="00D633FF" w:rsidRDefault="00736276" w:rsidP="00736276">
      <w:pPr>
        <w:spacing w:line="360" w:lineRule="auto"/>
        <w:rPr>
          <w:rFonts w:ascii="Calibri" w:hAnsi="Calibri" w:cs="Calibri"/>
        </w:rPr>
      </w:pPr>
      <w:r w:rsidRPr="00D633FF">
        <w:rPr>
          <w:rFonts w:ascii="Calibri" w:hAnsi="Calibri" w:cs="Calibri"/>
        </w:rPr>
        <w:t xml:space="preserve">The review of selenium NRVs </w:t>
      </w:r>
      <w:r w:rsidR="00CE0BCA" w:rsidRPr="00D633FF">
        <w:rPr>
          <w:rFonts w:ascii="Calibri" w:hAnsi="Calibri" w:cs="Calibri"/>
        </w:rPr>
        <w:t>w</w:t>
      </w:r>
      <w:r w:rsidRPr="00D633FF">
        <w:rPr>
          <w:rFonts w:ascii="Calibri" w:hAnsi="Calibri" w:cs="Calibri"/>
        </w:rPr>
        <w:t xml:space="preserve">as conducted in accordance with the </w:t>
      </w:r>
      <w:r w:rsidR="00CE0BCA" w:rsidRPr="00D633FF">
        <w:rPr>
          <w:rFonts w:ascii="Calibri" w:hAnsi="Calibri" w:cs="Calibri"/>
        </w:rPr>
        <w:t>Methodological Framework for the Review of Nutrient Reference Values</w:t>
      </w:r>
      <w:r w:rsidR="00F57519" w:rsidRPr="00D633FF">
        <w:rPr>
          <w:rFonts w:ascii="Calibri" w:hAnsi="Calibri" w:cs="Calibri"/>
        </w:rPr>
        <w:t xml:space="preserve"> </w:t>
      </w:r>
      <w:r w:rsidR="00F41A14" w:rsidRPr="00D633FF">
        <w:rPr>
          <w:rFonts w:ascii="Calibri" w:hAnsi="Calibri" w:cs="Calibri"/>
          <w:noProof/>
        </w:rPr>
        <w:t>(</w:t>
      </w:r>
      <w:r w:rsidR="004F6727" w:rsidRPr="00D633FF">
        <w:rPr>
          <w:rFonts w:ascii="Calibri" w:hAnsi="Calibri" w:cs="Calibri"/>
          <w:noProof/>
        </w:rPr>
        <w:t>NHMRC 2025b</w:t>
      </w:r>
      <w:r w:rsidR="00F41A14" w:rsidRPr="00D633FF">
        <w:rPr>
          <w:rFonts w:ascii="Calibri" w:hAnsi="Calibri" w:cs="Calibri"/>
          <w:noProof/>
        </w:rPr>
        <w:t>)</w:t>
      </w:r>
      <w:r w:rsidR="00A81B97" w:rsidRPr="00D633FF">
        <w:rPr>
          <w:rFonts w:ascii="Calibri" w:hAnsi="Calibri" w:cs="Calibri"/>
        </w:rPr>
        <w:t>.</w:t>
      </w:r>
    </w:p>
    <w:p w14:paraId="49EEEFA9" w14:textId="61998C8E" w:rsidR="00CE0BCA" w:rsidRPr="00D633FF" w:rsidRDefault="00074078" w:rsidP="00736276">
      <w:pPr>
        <w:spacing w:line="360" w:lineRule="auto"/>
        <w:rPr>
          <w:rFonts w:ascii="Calibri" w:hAnsi="Calibri" w:cs="Calibri"/>
        </w:rPr>
      </w:pPr>
      <w:r w:rsidRPr="00D633FF">
        <w:rPr>
          <w:rFonts w:ascii="Calibri" w:eastAsia="Times New Roman" w:hAnsi="Calibri" w:cs="Calibri"/>
        </w:rPr>
        <w:t>When assessed against predetermined criteria, t</w:t>
      </w:r>
      <w:r w:rsidR="00C108E7" w:rsidRPr="00D633FF">
        <w:rPr>
          <w:rFonts w:ascii="Calibri" w:eastAsia="Times New Roman" w:hAnsi="Calibri" w:cs="Calibri"/>
        </w:rPr>
        <w:t xml:space="preserve">he 2023 </w:t>
      </w:r>
      <w:r w:rsidR="006403DA" w:rsidRPr="00D633FF">
        <w:rPr>
          <w:rFonts w:ascii="Calibri" w:eastAsia="Times New Roman" w:hAnsi="Calibri" w:cs="Calibri"/>
        </w:rPr>
        <w:t xml:space="preserve">EFSA selenium UL </w:t>
      </w:r>
      <w:r w:rsidR="00C108E7" w:rsidRPr="00D633FF">
        <w:rPr>
          <w:rFonts w:ascii="Calibri" w:eastAsia="Times New Roman" w:hAnsi="Calibri" w:cs="Calibri"/>
        </w:rPr>
        <w:t xml:space="preserve">was </w:t>
      </w:r>
      <w:r w:rsidR="006403DA" w:rsidRPr="00D633FF">
        <w:rPr>
          <w:rFonts w:ascii="Calibri" w:eastAsia="Times New Roman" w:hAnsi="Calibri" w:cs="Calibri"/>
        </w:rPr>
        <w:t>found to have been</w:t>
      </w:r>
      <w:r w:rsidR="00EF5E2C" w:rsidRPr="00D633FF">
        <w:rPr>
          <w:rFonts w:ascii="Calibri" w:eastAsia="Times New Roman" w:hAnsi="Calibri" w:cs="Calibri"/>
        </w:rPr>
        <w:t xml:space="preserve"> </w:t>
      </w:r>
      <w:r w:rsidR="006D60D5" w:rsidRPr="00D633FF">
        <w:rPr>
          <w:rFonts w:ascii="Calibri" w:eastAsia="Times New Roman" w:hAnsi="Calibri" w:cs="Calibri"/>
        </w:rPr>
        <w:t>develop</w:t>
      </w:r>
      <w:r w:rsidR="002D203A" w:rsidRPr="00D633FF">
        <w:rPr>
          <w:rFonts w:ascii="Calibri" w:eastAsia="Times New Roman" w:hAnsi="Calibri" w:cs="Calibri"/>
        </w:rPr>
        <w:t xml:space="preserve">ed in a manner </w:t>
      </w:r>
      <w:r w:rsidR="00F1639D" w:rsidRPr="00D633FF">
        <w:rPr>
          <w:rFonts w:ascii="Calibri" w:eastAsia="Times New Roman" w:hAnsi="Calibri" w:cs="Calibri"/>
        </w:rPr>
        <w:t xml:space="preserve">consistent with </w:t>
      </w:r>
      <w:r w:rsidR="00EF5E2C" w:rsidRPr="00D633FF">
        <w:rPr>
          <w:rFonts w:ascii="Calibri" w:eastAsia="Times New Roman" w:hAnsi="Calibri" w:cs="Calibri"/>
        </w:rPr>
        <w:t xml:space="preserve">the NHMRC Standards for Guidelines </w:t>
      </w:r>
      <w:r w:rsidR="00F41A14" w:rsidRPr="00D633FF">
        <w:rPr>
          <w:rFonts w:ascii="Calibri" w:eastAsia="Times New Roman" w:hAnsi="Calibri" w:cs="Calibri"/>
          <w:noProof/>
        </w:rPr>
        <w:t>(NHMRC 2016)</w:t>
      </w:r>
      <w:r w:rsidR="00023C84" w:rsidRPr="00D633FF">
        <w:rPr>
          <w:rFonts w:ascii="Calibri" w:eastAsia="Times New Roman" w:hAnsi="Calibri" w:cs="Calibri"/>
        </w:rPr>
        <w:t xml:space="preserve">, </w:t>
      </w:r>
      <w:r w:rsidR="008016C6" w:rsidRPr="00D633FF">
        <w:rPr>
          <w:rFonts w:ascii="Calibri" w:eastAsia="Times New Roman" w:hAnsi="Calibri" w:cs="Calibri"/>
        </w:rPr>
        <w:t xml:space="preserve">and </w:t>
      </w:r>
      <w:r w:rsidR="003D1290" w:rsidRPr="00D633FF">
        <w:rPr>
          <w:rFonts w:ascii="Calibri" w:eastAsia="Times New Roman" w:hAnsi="Calibri" w:cs="Calibri"/>
        </w:rPr>
        <w:t xml:space="preserve">was </w:t>
      </w:r>
      <w:r w:rsidR="00395721" w:rsidRPr="00D633FF">
        <w:rPr>
          <w:rFonts w:ascii="Calibri" w:eastAsia="Times New Roman" w:hAnsi="Calibri" w:cs="Calibri"/>
        </w:rPr>
        <w:t xml:space="preserve">considered </w:t>
      </w:r>
      <w:r w:rsidR="001B27D2" w:rsidRPr="00D633FF">
        <w:rPr>
          <w:rFonts w:ascii="Calibri" w:eastAsia="Times New Roman" w:hAnsi="Calibri" w:cs="Calibri"/>
        </w:rPr>
        <w:t>suitable for adopting or adapting to the Australian and New Zealand context (see</w:t>
      </w:r>
      <w:r w:rsidR="001B27D2" w:rsidRPr="00D633FF">
        <w:rPr>
          <w:rFonts w:ascii="Calibri" w:eastAsia="Times New Roman" w:hAnsi="Calibri" w:cs="Calibri"/>
          <w:i/>
          <w:iCs/>
        </w:rPr>
        <w:t xml:space="preserve"> </w:t>
      </w:r>
      <w:r w:rsidR="001B27D2" w:rsidRPr="00D633FF">
        <w:rPr>
          <w:rFonts w:ascii="Calibri" w:eastAsia="Times New Roman" w:hAnsi="Calibri" w:cs="Calibri"/>
          <w:i/>
          <w:iCs/>
        </w:rPr>
        <w:fldChar w:fldCharType="begin" w:fldLock="1"/>
      </w:r>
      <w:r w:rsidR="001B27D2" w:rsidRPr="00D633FF">
        <w:rPr>
          <w:rFonts w:ascii="Calibri" w:eastAsia="Times New Roman" w:hAnsi="Calibri" w:cs="Calibri"/>
          <w:i/>
          <w:iCs/>
        </w:rPr>
        <w:instrText xml:space="preserve"> REF _Ref207103684 \h  \* MERGEFORMAT </w:instrText>
      </w:r>
      <w:r w:rsidR="001B27D2" w:rsidRPr="00D633FF">
        <w:rPr>
          <w:rFonts w:ascii="Calibri" w:eastAsia="Times New Roman" w:hAnsi="Calibri" w:cs="Calibri"/>
          <w:i/>
          <w:iCs/>
        </w:rPr>
      </w:r>
      <w:r w:rsidR="001B27D2" w:rsidRPr="00D633FF">
        <w:rPr>
          <w:rFonts w:ascii="Calibri" w:eastAsia="Times New Roman" w:hAnsi="Calibri" w:cs="Calibri"/>
          <w:i/>
          <w:iCs/>
        </w:rPr>
        <w:fldChar w:fldCharType="separate"/>
      </w:r>
      <w:r w:rsidR="001B27D2" w:rsidRPr="00D633FF">
        <w:rPr>
          <w:rFonts w:ascii="Calibri" w:hAnsi="Calibri" w:cs="Calibri"/>
          <w:lang w:eastAsia="en-AU"/>
        </w:rPr>
        <w:t>Appendix A</w:t>
      </w:r>
      <w:r w:rsidR="001B27D2" w:rsidRPr="00D633FF">
        <w:rPr>
          <w:rFonts w:ascii="Calibri" w:eastAsia="Times New Roman" w:hAnsi="Calibri" w:cs="Calibri"/>
          <w:i/>
          <w:iCs/>
        </w:rPr>
        <w:fldChar w:fldCharType="end"/>
      </w:r>
      <w:r w:rsidR="001B27D2" w:rsidRPr="00D633FF">
        <w:rPr>
          <w:rFonts w:ascii="Calibri" w:eastAsia="Times New Roman" w:hAnsi="Calibri" w:cs="Calibri"/>
        </w:rPr>
        <w:t>).</w:t>
      </w:r>
      <w:r w:rsidR="00C108E7" w:rsidRPr="00D633FF">
        <w:rPr>
          <w:rFonts w:ascii="Calibri" w:eastAsia="Times New Roman" w:hAnsi="Calibri" w:cs="Calibri"/>
        </w:rPr>
        <w:t xml:space="preserve"> </w:t>
      </w:r>
      <w:r w:rsidR="002C1E6B" w:rsidRPr="00D633FF">
        <w:rPr>
          <w:rFonts w:ascii="Calibri" w:hAnsi="Calibri" w:cs="Calibri"/>
        </w:rPr>
        <w:t xml:space="preserve">Further evidence was identified </w:t>
      </w:r>
      <w:r w:rsidR="006D1F44" w:rsidRPr="00D633FF">
        <w:rPr>
          <w:rFonts w:ascii="Calibri" w:hAnsi="Calibri" w:cs="Calibri"/>
        </w:rPr>
        <w:t>to inform</w:t>
      </w:r>
      <w:r w:rsidR="00D3098D" w:rsidRPr="00D633FF">
        <w:rPr>
          <w:rFonts w:ascii="Calibri" w:hAnsi="Calibri" w:cs="Calibri"/>
        </w:rPr>
        <w:t xml:space="preserve"> </w:t>
      </w:r>
      <w:r w:rsidR="00DF2406" w:rsidRPr="00D633FF">
        <w:rPr>
          <w:rFonts w:ascii="Calibri" w:hAnsi="Calibri" w:cs="Calibri"/>
        </w:rPr>
        <w:t xml:space="preserve">the adaptation </w:t>
      </w:r>
      <w:r w:rsidR="00D3098D" w:rsidRPr="00D633FF">
        <w:rPr>
          <w:rFonts w:ascii="Calibri" w:hAnsi="Calibri" w:cs="Calibri"/>
        </w:rPr>
        <w:t xml:space="preserve">of EFSA recommendations to </w:t>
      </w:r>
      <w:r w:rsidR="00DF2406" w:rsidRPr="00D633FF">
        <w:rPr>
          <w:rFonts w:ascii="Calibri" w:hAnsi="Calibri" w:cs="Calibri"/>
        </w:rPr>
        <w:t xml:space="preserve">the </w:t>
      </w:r>
      <w:r w:rsidR="00D3098D" w:rsidRPr="00D633FF">
        <w:rPr>
          <w:rFonts w:ascii="Calibri" w:hAnsi="Calibri" w:cs="Calibri"/>
        </w:rPr>
        <w:t>Australia</w:t>
      </w:r>
      <w:r w:rsidR="00DF2406" w:rsidRPr="00D633FF">
        <w:rPr>
          <w:rFonts w:ascii="Calibri" w:hAnsi="Calibri" w:cs="Calibri"/>
        </w:rPr>
        <w:t>n</w:t>
      </w:r>
      <w:r w:rsidR="00D3098D" w:rsidRPr="00D633FF">
        <w:rPr>
          <w:rFonts w:ascii="Calibri" w:hAnsi="Calibri" w:cs="Calibri"/>
        </w:rPr>
        <w:t xml:space="preserve"> and New Zealand</w:t>
      </w:r>
      <w:r w:rsidR="00DF2406" w:rsidRPr="00D633FF">
        <w:rPr>
          <w:rFonts w:ascii="Calibri" w:hAnsi="Calibri" w:cs="Calibri"/>
        </w:rPr>
        <w:t xml:space="preserve"> context</w:t>
      </w:r>
      <w:r w:rsidR="00D3098D" w:rsidRPr="00D633FF">
        <w:rPr>
          <w:rFonts w:ascii="Calibri" w:hAnsi="Calibri" w:cs="Calibri"/>
        </w:rPr>
        <w:t xml:space="preserve">. </w:t>
      </w:r>
    </w:p>
    <w:p w14:paraId="32D70AC3" w14:textId="242500E8" w:rsidR="00736276" w:rsidRPr="00D633FF" w:rsidRDefault="00736276" w:rsidP="00736276">
      <w:pPr>
        <w:spacing w:line="360" w:lineRule="auto"/>
        <w:rPr>
          <w:rFonts w:ascii="Calibri" w:hAnsi="Calibri" w:cs="Calibri"/>
          <w:u w:val="single"/>
        </w:rPr>
      </w:pPr>
      <w:r w:rsidRPr="00D633FF">
        <w:rPr>
          <w:rFonts w:ascii="Calibri" w:hAnsi="Calibri" w:cs="Calibri"/>
        </w:rPr>
        <w:t>The evidence for benefits and harms</w:t>
      </w:r>
      <w:r w:rsidR="00AC4CE9" w:rsidRPr="00D633FF">
        <w:rPr>
          <w:rFonts w:ascii="Calibri" w:hAnsi="Calibri" w:cs="Calibri"/>
        </w:rPr>
        <w:t>-</w:t>
      </w:r>
      <w:r w:rsidRPr="00D633FF">
        <w:rPr>
          <w:rFonts w:ascii="Calibri" w:hAnsi="Calibri" w:cs="Calibri"/>
        </w:rPr>
        <w:t xml:space="preserve"> along with other relevant contextual factors</w:t>
      </w:r>
      <w:r w:rsidR="00AC4CE9" w:rsidRPr="00D633FF">
        <w:rPr>
          <w:rFonts w:ascii="Calibri" w:hAnsi="Calibri" w:cs="Calibri"/>
        </w:rPr>
        <w:t>-</w:t>
      </w:r>
      <w:r w:rsidRPr="00D633FF">
        <w:rPr>
          <w:rFonts w:ascii="Calibri" w:hAnsi="Calibri" w:cs="Calibri"/>
        </w:rPr>
        <w:t xml:space="preserve"> were then weighed and balanced to arrive at final recommendations. Further information about the development of recommendations is provided below and in attachments. Outcomes of this process are presented in a series of Evidence-to-Decision (</w:t>
      </w:r>
      <w:proofErr w:type="spellStart"/>
      <w:r w:rsidRPr="00D633FF">
        <w:rPr>
          <w:rFonts w:ascii="Calibri" w:hAnsi="Calibri" w:cs="Calibri"/>
        </w:rPr>
        <w:t>EtD</w:t>
      </w:r>
      <w:proofErr w:type="spellEnd"/>
      <w:r w:rsidRPr="00D633FF">
        <w:rPr>
          <w:rFonts w:ascii="Calibri" w:hAnsi="Calibri" w:cs="Calibri"/>
        </w:rPr>
        <w:t>) frameworks</w:t>
      </w:r>
      <w:r w:rsidR="00CE0BCA" w:rsidRPr="00D633FF">
        <w:rPr>
          <w:rFonts w:ascii="Calibri" w:hAnsi="Calibri" w:cs="Calibri"/>
        </w:rPr>
        <w:t xml:space="preserve"> (</w:t>
      </w:r>
      <w:r w:rsidR="00CE0BCA" w:rsidRPr="00D633FF">
        <w:rPr>
          <w:rFonts w:ascii="Calibri" w:hAnsi="Calibri" w:cs="Calibri"/>
        </w:rPr>
        <w:fldChar w:fldCharType="begin" w:fldLock="1"/>
      </w:r>
      <w:r w:rsidR="00CE0BCA" w:rsidRPr="00D633FF">
        <w:rPr>
          <w:rFonts w:ascii="Calibri" w:hAnsi="Calibri" w:cs="Calibri"/>
        </w:rPr>
        <w:instrText xml:space="preserve"> REF _Ref210837358 \h </w:instrText>
      </w:r>
      <w:r w:rsidR="00D633FF">
        <w:rPr>
          <w:rFonts w:ascii="Calibri" w:hAnsi="Calibri" w:cs="Calibri"/>
        </w:rPr>
        <w:instrText xml:space="preserve"> \* MERGEFORMAT </w:instrText>
      </w:r>
      <w:r w:rsidR="00CE0BCA" w:rsidRPr="00D633FF">
        <w:rPr>
          <w:rFonts w:ascii="Calibri" w:hAnsi="Calibri" w:cs="Calibri"/>
        </w:rPr>
      </w:r>
      <w:r w:rsidR="00CE0BCA" w:rsidRPr="00D633FF">
        <w:rPr>
          <w:rFonts w:ascii="Calibri" w:hAnsi="Calibri" w:cs="Calibri"/>
        </w:rPr>
        <w:fldChar w:fldCharType="separate"/>
      </w:r>
      <w:r w:rsidR="00CE0BCA" w:rsidRPr="00D633FF">
        <w:rPr>
          <w:rFonts w:ascii="Calibri" w:hAnsi="Calibri" w:cs="Calibri"/>
          <w:lang w:eastAsia="en-AU"/>
        </w:rPr>
        <w:t xml:space="preserve">Appendix </w:t>
      </w:r>
      <w:r w:rsidR="00CA082E" w:rsidRPr="00D633FF">
        <w:rPr>
          <w:rFonts w:ascii="Calibri" w:hAnsi="Calibri" w:cs="Calibri"/>
          <w:lang w:eastAsia="en-AU"/>
        </w:rPr>
        <w:t>B</w:t>
      </w:r>
      <w:r w:rsidR="00CE0BCA" w:rsidRPr="00D633FF">
        <w:rPr>
          <w:rFonts w:ascii="Calibri" w:hAnsi="Calibri" w:cs="Calibri"/>
        </w:rPr>
        <w:fldChar w:fldCharType="end"/>
      </w:r>
      <w:r w:rsidR="00CE0BCA" w:rsidRPr="00D633FF">
        <w:rPr>
          <w:rFonts w:ascii="Calibri" w:hAnsi="Calibri" w:cs="Calibri"/>
        </w:rPr>
        <w:t>)</w:t>
      </w:r>
      <w:r w:rsidR="007620C9" w:rsidRPr="00D633FF">
        <w:rPr>
          <w:rFonts w:ascii="Calibri" w:hAnsi="Calibri" w:cs="Calibri"/>
        </w:rPr>
        <w:t xml:space="preserve">. More detailed information on </w:t>
      </w:r>
      <w:r w:rsidR="006B0EFA" w:rsidRPr="00D633FF">
        <w:rPr>
          <w:rFonts w:ascii="Calibri" w:hAnsi="Calibri" w:cs="Calibri"/>
        </w:rPr>
        <w:t xml:space="preserve">NHMRC </w:t>
      </w:r>
      <w:r w:rsidR="00DC5D4D" w:rsidRPr="00D633FF">
        <w:rPr>
          <w:rFonts w:ascii="Calibri" w:hAnsi="Calibri" w:cs="Calibri"/>
        </w:rPr>
        <w:t xml:space="preserve">methods </w:t>
      </w:r>
      <w:r w:rsidR="006B0EFA" w:rsidRPr="00D633FF">
        <w:rPr>
          <w:rFonts w:ascii="Calibri" w:hAnsi="Calibri" w:cs="Calibri"/>
        </w:rPr>
        <w:t xml:space="preserve">for deriving NRVs </w:t>
      </w:r>
      <w:r w:rsidR="00DC5D4D" w:rsidRPr="00D633FF">
        <w:rPr>
          <w:rFonts w:ascii="Calibri" w:hAnsi="Calibri" w:cs="Calibri"/>
        </w:rPr>
        <w:t xml:space="preserve">can be found in the </w:t>
      </w:r>
      <w:r w:rsidR="006B0EFA" w:rsidRPr="00D633FF">
        <w:rPr>
          <w:rFonts w:ascii="Calibri" w:hAnsi="Calibri" w:cs="Calibri"/>
        </w:rPr>
        <w:t>Methodological Framework for the Review of Nutrient Reference Values</w:t>
      </w:r>
      <w:r w:rsidR="00DF28BA" w:rsidRPr="00D633FF">
        <w:rPr>
          <w:rFonts w:ascii="Calibri" w:hAnsi="Calibri" w:cs="Calibri"/>
        </w:rPr>
        <w:t xml:space="preserve"> </w:t>
      </w:r>
      <w:r w:rsidR="00F41A14" w:rsidRPr="00D633FF">
        <w:rPr>
          <w:rFonts w:ascii="Calibri" w:hAnsi="Calibri" w:cs="Calibri"/>
          <w:noProof/>
        </w:rPr>
        <w:t>(</w:t>
      </w:r>
      <w:r w:rsidR="004F6727" w:rsidRPr="00D633FF">
        <w:rPr>
          <w:rFonts w:ascii="Calibri" w:hAnsi="Calibri" w:cs="Calibri"/>
          <w:noProof/>
        </w:rPr>
        <w:t>NHMRC 2025b</w:t>
      </w:r>
      <w:r w:rsidR="00F41A14" w:rsidRPr="00D633FF">
        <w:rPr>
          <w:rFonts w:ascii="Calibri" w:hAnsi="Calibri" w:cs="Calibri"/>
          <w:noProof/>
        </w:rPr>
        <w:t>)</w:t>
      </w:r>
      <w:r w:rsidR="000F5FCE" w:rsidRPr="00D633FF">
        <w:rPr>
          <w:rFonts w:ascii="Calibri" w:hAnsi="Calibri" w:cs="Calibri"/>
        </w:rPr>
        <w:t>.</w:t>
      </w:r>
    </w:p>
    <w:p w14:paraId="7EC4AAC9" w14:textId="7DD04BBF" w:rsidR="00736276" w:rsidRPr="00D633FF" w:rsidRDefault="00736276" w:rsidP="00561527">
      <w:pPr>
        <w:pStyle w:val="Heading2"/>
        <w:rPr>
          <w:rFonts w:ascii="Calibri" w:hAnsi="Calibri" w:cs="Calibri"/>
          <w:b/>
          <w:bCs/>
        </w:rPr>
      </w:pPr>
      <w:bookmarkStart w:id="5" w:name="_Toc218527947"/>
      <w:r w:rsidRPr="00D633FF">
        <w:rPr>
          <w:rFonts w:ascii="Calibri" w:hAnsi="Calibri" w:cs="Calibri"/>
          <w:b/>
          <w:bCs/>
        </w:rPr>
        <w:t>Governance</w:t>
      </w:r>
      <w:bookmarkEnd w:id="5"/>
    </w:p>
    <w:p w14:paraId="59D8D9F4" w14:textId="1D39ADDB" w:rsidR="00736276" w:rsidRPr="00D633FF" w:rsidRDefault="00736276" w:rsidP="00561527">
      <w:pPr>
        <w:spacing w:line="360" w:lineRule="auto"/>
        <w:rPr>
          <w:rFonts w:ascii="Calibri" w:hAnsi="Calibri" w:cs="Calibri"/>
        </w:rPr>
      </w:pPr>
      <w:r w:rsidRPr="00D633FF">
        <w:rPr>
          <w:rFonts w:ascii="Calibri" w:hAnsi="Calibri" w:cs="Calibri"/>
        </w:rPr>
        <w:t xml:space="preserve">Governance processes for </w:t>
      </w:r>
      <w:r w:rsidR="00873445" w:rsidRPr="00D633FF">
        <w:rPr>
          <w:rFonts w:ascii="Calibri" w:hAnsi="Calibri" w:cs="Calibri"/>
        </w:rPr>
        <w:t xml:space="preserve">the </w:t>
      </w:r>
      <w:r w:rsidR="003A24EB" w:rsidRPr="00D633FF">
        <w:rPr>
          <w:rFonts w:ascii="Calibri" w:hAnsi="Calibri" w:cs="Calibri"/>
        </w:rPr>
        <w:t>selenium UL</w:t>
      </w:r>
      <w:r w:rsidRPr="00D633FF">
        <w:rPr>
          <w:rFonts w:ascii="Calibri" w:hAnsi="Calibri" w:cs="Calibri"/>
        </w:rPr>
        <w:t xml:space="preserve"> reviews </w:t>
      </w:r>
      <w:r w:rsidR="00AC4CE9" w:rsidRPr="00D633FF">
        <w:rPr>
          <w:rFonts w:ascii="Calibri" w:hAnsi="Calibri" w:cs="Calibri"/>
        </w:rPr>
        <w:t>comprise</w:t>
      </w:r>
      <w:r w:rsidRPr="00D633FF">
        <w:rPr>
          <w:rFonts w:ascii="Calibri" w:hAnsi="Calibri" w:cs="Calibri"/>
        </w:rPr>
        <w:t>:</w:t>
      </w:r>
    </w:p>
    <w:p w14:paraId="6F2E4612" w14:textId="77777777" w:rsidR="00736276" w:rsidRPr="00CF4160" w:rsidRDefault="00736276" w:rsidP="00561527">
      <w:pPr>
        <w:pStyle w:val="ListBullet"/>
        <w:spacing w:after="160" w:line="360" w:lineRule="auto"/>
        <w:ind w:left="714" w:hanging="357"/>
        <w:rPr>
          <w:rFonts w:ascii="Calibri" w:hAnsi="Calibri" w:cs="Calibri"/>
          <w:sz w:val="22"/>
          <w:szCs w:val="22"/>
        </w:rPr>
      </w:pPr>
      <w:r w:rsidRPr="00CF4160">
        <w:rPr>
          <w:rFonts w:ascii="Calibri" w:hAnsi="Calibri" w:cs="Calibri"/>
          <w:sz w:val="22"/>
          <w:szCs w:val="22"/>
        </w:rPr>
        <w:t>a Steering Group, comprising NHMRC, the Department and New Zealand Ministry of Health</w:t>
      </w:r>
    </w:p>
    <w:p w14:paraId="71FB99F9" w14:textId="52060816" w:rsidR="00736276" w:rsidRPr="00CF4160" w:rsidRDefault="00736276" w:rsidP="00FE3FC5">
      <w:pPr>
        <w:pStyle w:val="ListBullet"/>
        <w:spacing w:after="160" w:line="360" w:lineRule="auto"/>
        <w:ind w:left="714" w:hanging="357"/>
        <w:rPr>
          <w:rFonts w:ascii="Calibri" w:hAnsi="Calibri" w:cs="Calibri"/>
          <w:sz w:val="22"/>
          <w:szCs w:val="22"/>
        </w:rPr>
      </w:pPr>
      <w:r w:rsidRPr="00CF4160">
        <w:rPr>
          <w:rFonts w:ascii="Calibri" w:hAnsi="Calibri" w:cs="Calibri"/>
          <w:sz w:val="22"/>
          <w:szCs w:val="22"/>
        </w:rPr>
        <w:t xml:space="preserve">a Steering Group Advisory Committee </w:t>
      </w:r>
      <w:r w:rsidR="00FE3FC5" w:rsidRPr="00CF4160">
        <w:rPr>
          <w:rFonts w:ascii="Calibri" w:hAnsi="Calibri" w:cs="Calibri"/>
          <w:sz w:val="22"/>
          <w:szCs w:val="22"/>
        </w:rPr>
        <w:t>(Advisory Committee)</w:t>
      </w:r>
      <w:r w:rsidRPr="00CF4160">
        <w:rPr>
          <w:rFonts w:ascii="Calibri" w:hAnsi="Calibri" w:cs="Calibri"/>
          <w:sz w:val="22"/>
          <w:szCs w:val="22"/>
        </w:rPr>
        <w:t xml:space="preserve"> to advise the Steering Group</w:t>
      </w:r>
      <w:r w:rsidR="00FE3FC5" w:rsidRPr="00CF4160">
        <w:rPr>
          <w:rFonts w:ascii="Calibri" w:hAnsi="Calibri" w:cs="Calibri"/>
          <w:sz w:val="22"/>
          <w:szCs w:val="22"/>
        </w:rPr>
        <w:t xml:space="preserve"> with </w:t>
      </w:r>
      <w:r w:rsidR="003A24EB" w:rsidRPr="00CF4160">
        <w:rPr>
          <w:rFonts w:ascii="Calibri" w:hAnsi="Calibri" w:cs="Calibri"/>
          <w:sz w:val="22"/>
          <w:szCs w:val="22"/>
        </w:rPr>
        <w:t xml:space="preserve">selenium experts </w:t>
      </w:r>
      <w:r w:rsidR="009C43E8" w:rsidRPr="00CF4160">
        <w:rPr>
          <w:rFonts w:ascii="Calibri" w:hAnsi="Calibri" w:cs="Calibri"/>
          <w:sz w:val="22"/>
          <w:szCs w:val="22"/>
        </w:rPr>
        <w:t>to provide nutrient-specific advice</w:t>
      </w:r>
      <w:r w:rsidR="0058146A" w:rsidRPr="00CF4160">
        <w:rPr>
          <w:rFonts w:ascii="Calibri" w:hAnsi="Calibri" w:cs="Calibri"/>
          <w:sz w:val="22"/>
          <w:szCs w:val="22"/>
        </w:rPr>
        <w:t>.</w:t>
      </w:r>
    </w:p>
    <w:p w14:paraId="5C4EE296" w14:textId="1032323A" w:rsidR="00736276" w:rsidRPr="00CF4160" w:rsidRDefault="00736276" w:rsidP="00561527">
      <w:pPr>
        <w:pStyle w:val="ListBullet"/>
        <w:numPr>
          <w:ilvl w:val="0"/>
          <w:numId w:val="0"/>
        </w:numPr>
        <w:spacing w:after="160" w:line="360" w:lineRule="auto"/>
        <w:rPr>
          <w:rFonts w:ascii="Calibri" w:hAnsi="Calibri" w:cs="Calibri"/>
          <w:sz w:val="22"/>
          <w:szCs w:val="22"/>
        </w:rPr>
      </w:pPr>
      <w:r w:rsidRPr="00CF4160">
        <w:rPr>
          <w:rFonts w:ascii="Calibri" w:hAnsi="Calibri" w:cs="Calibri"/>
          <w:sz w:val="22"/>
          <w:szCs w:val="22"/>
        </w:rPr>
        <w:t xml:space="preserve">The Steering Group prioritised </w:t>
      </w:r>
      <w:r w:rsidR="00913E6F" w:rsidRPr="00CF4160">
        <w:rPr>
          <w:rFonts w:ascii="Calibri" w:hAnsi="Calibri" w:cs="Calibri"/>
          <w:sz w:val="22"/>
          <w:szCs w:val="22"/>
        </w:rPr>
        <w:t xml:space="preserve">updating the </w:t>
      </w:r>
      <w:r w:rsidR="00FB6E04" w:rsidRPr="00CF4160">
        <w:rPr>
          <w:rFonts w:ascii="Calibri" w:hAnsi="Calibri" w:cs="Calibri"/>
          <w:sz w:val="22"/>
          <w:szCs w:val="22"/>
        </w:rPr>
        <w:t xml:space="preserve">selenium </w:t>
      </w:r>
      <w:r w:rsidR="00913E6F" w:rsidRPr="00CF4160">
        <w:rPr>
          <w:rFonts w:ascii="Calibri" w:hAnsi="Calibri" w:cs="Calibri"/>
          <w:sz w:val="22"/>
          <w:szCs w:val="22"/>
        </w:rPr>
        <w:t xml:space="preserve">UL </w:t>
      </w:r>
      <w:r w:rsidR="009B4B75" w:rsidRPr="00CF4160">
        <w:rPr>
          <w:rFonts w:ascii="Calibri" w:hAnsi="Calibri" w:cs="Calibri"/>
          <w:sz w:val="22"/>
          <w:szCs w:val="22"/>
        </w:rPr>
        <w:t xml:space="preserve">to pilot </w:t>
      </w:r>
      <w:r w:rsidR="00913E6F" w:rsidRPr="00CF4160">
        <w:rPr>
          <w:rFonts w:ascii="Calibri" w:hAnsi="Calibri" w:cs="Calibri"/>
          <w:sz w:val="22"/>
          <w:szCs w:val="22"/>
        </w:rPr>
        <w:t xml:space="preserve">the </w:t>
      </w:r>
      <w:r w:rsidR="009B4B75" w:rsidRPr="00CF4160">
        <w:rPr>
          <w:rFonts w:ascii="Calibri" w:hAnsi="Calibri" w:cs="Calibri"/>
          <w:sz w:val="22"/>
          <w:szCs w:val="22"/>
        </w:rPr>
        <w:t>adopt/adapt method</w:t>
      </w:r>
      <w:r w:rsidR="00913E6F" w:rsidRPr="00CF4160">
        <w:rPr>
          <w:rFonts w:ascii="Calibri" w:hAnsi="Calibri" w:cs="Calibri"/>
          <w:sz w:val="22"/>
          <w:szCs w:val="22"/>
        </w:rPr>
        <w:t>ology</w:t>
      </w:r>
      <w:r w:rsidRPr="00CF4160">
        <w:rPr>
          <w:rFonts w:ascii="Calibri" w:hAnsi="Calibri" w:cs="Calibri"/>
          <w:sz w:val="22"/>
          <w:szCs w:val="22"/>
        </w:rPr>
        <w:t xml:space="preserve">. Throughout the review, the </w:t>
      </w:r>
      <w:r w:rsidR="00FE3FC5" w:rsidRPr="00CF4160">
        <w:rPr>
          <w:rFonts w:ascii="Calibri" w:hAnsi="Calibri" w:cs="Calibri"/>
          <w:sz w:val="22"/>
          <w:szCs w:val="22"/>
        </w:rPr>
        <w:t xml:space="preserve">Advisory Committee provided advice </w:t>
      </w:r>
      <w:r w:rsidRPr="00CF4160">
        <w:rPr>
          <w:rFonts w:ascii="Calibri" w:hAnsi="Calibri" w:cs="Calibri"/>
          <w:sz w:val="22"/>
          <w:szCs w:val="22"/>
        </w:rPr>
        <w:t xml:space="preserve">on the application of the methodological framework and methods for deriving NRVs, whilst the </w:t>
      </w:r>
      <w:r w:rsidR="009B4B75" w:rsidRPr="00CF4160">
        <w:rPr>
          <w:rFonts w:ascii="Calibri" w:hAnsi="Calibri" w:cs="Calibri"/>
          <w:sz w:val="22"/>
          <w:szCs w:val="22"/>
        </w:rPr>
        <w:t>selenium experts</w:t>
      </w:r>
      <w:r w:rsidRPr="00CF4160">
        <w:rPr>
          <w:rFonts w:ascii="Calibri" w:hAnsi="Calibri" w:cs="Calibri"/>
          <w:sz w:val="22"/>
          <w:szCs w:val="22"/>
        </w:rPr>
        <w:t xml:space="preserve"> provided technical advice on considerations specific to </w:t>
      </w:r>
      <w:r w:rsidR="009B4B75" w:rsidRPr="00CF4160">
        <w:rPr>
          <w:rFonts w:ascii="Calibri" w:hAnsi="Calibri" w:cs="Calibri"/>
          <w:sz w:val="22"/>
          <w:szCs w:val="22"/>
        </w:rPr>
        <w:t>selenium</w:t>
      </w:r>
      <w:r w:rsidRPr="00CF4160">
        <w:rPr>
          <w:rFonts w:ascii="Calibri" w:hAnsi="Calibri" w:cs="Calibri"/>
          <w:sz w:val="22"/>
          <w:szCs w:val="22"/>
        </w:rPr>
        <w:t xml:space="preserve"> nutrition</w:t>
      </w:r>
      <w:r w:rsidR="00C2312C" w:rsidRPr="00CF4160">
        <w:rPr>
          <w:rFonts w:ascii="Calibri" w:hAnsi="Calibri" w:cs="Calibri"/>
          <w:sz w:val="22"/>
          <w:szCs w:val="22"/>
        </w:rPr>
        <w:t xml:space="preserve">. </w:t>
      </w:r>
      <w:r w:rsidR="00D322B4" w:rsidRPr="00CF4160">
        <w:rPr>
          <w:rFonts w:ascii="Calibri" w:hAnsi="Calibri" w:cs="Calibri"/>
          <w:sz w:val="22"/>
          <w:szCs w:val="22"/>
        </w:rPr>
        <w:t xml:space="preserve">Members’ interests were declared and managed </w:t>
      </w:r>
      <w:r w:rsidR="00C42932" w:rsidRPr="00CF4160">
        <w:rPr>
          <w:rFonts w:ascii="Calibri" w:hAnsi="Calibri" w:cs="Calibri"/>
          <w:sz w:val="22"/>
          <w:szCs w:val="22"/>
        </w:rPr>
        <w:t xml:space="preserve">in line with </w:t>
      </w:r>
      <w:r w:rsidR="00D322B4" w:rsidRPr="00CF4160">
        <w:rPr>
          <w:rFonts w:ascii="Calibri" w:hAnsi="Calibri" w:cs="Calibri"/>
          <w:sz w:val="22"/>
          <w:szCs w:val="22"/>
        </w:rPr>
        <w:t>NHMRC’s</w:t>
      </w:r>
      <w:r w:rsidR="00D322B4" w:rsidRPr="00CF4160">
        <w:rPr>
          <w:rFonts w:ascii="Calibri" w:eastAsiaTheme="minorHAnsi" w:hAnsi="Calibri" w:cs="Calibri"/>
          <w:kern w:val="2"/>
          <w:sz w:val="22"/>
          <w:szCs w:val="22"/>
          <w:lang w:eastAsia="en-US"/>
          <w14:ligatures w14:val="standardContextual"/>
        </w:rPr>
        <w:t xml:space="preserve"> </w:t>
      </w:r>
      <w:r w:rsidR="00D322B4" w:rsidRPr="00CF4160">
        <w:rPr>
          <w:rFonts w:ascii="Calibri" w:hAnsi="Calibri" w:cs="Calibri"/>
          <w:sz w:val="22"/>
          <w:szCs w:val="22"/>
        </w:rPr>
        <w:t xml:space="preserve">Policy on the Disclosure of Interests Requirements for Prospective and Appointed NHMRC Committee Members </w:t>
      </w:r>
      <w:r w:rsidR="00F41A14" w:rsidRPr="00CF4160">
        <w:rPr>
          <w:rFonts w:ascii="Calibri" w:hAnsi="Calibri" w:cs="Calibri"/>
          <w:noProof/>
          <w:sz w:val="22"/>
          <w:szCs w:val="22"/>
        </w:rPr>
        <w:t>(NHMRC 2019)</w:t>
      </w:r>
      <w:r w:rsidR="00097269" w:rsidRPr="00CF4160">
        <w:rPr>
          <w:rFonts w:ascii="Calibri" w:hAnsi="Calibri" w:cs="Calibri"/>
          <w:sz w:val="22"/>
          <w:szCs w:val="22"/>
        </w:rPr>
        <w:t>.</w:t>
      </w:r>
      <w:r w:rsidR="00D322B4" w:rsidRPr="00CF4160">
        <w:rPr>
          <w:rFonts w:ascii="Calibri" w:hAnsi="Calibri" w:cs="Calibri"/>
          <w:sz w:val="22"/>
          <w:szCs w:val="22"/>
        </w:rPr>
        <w:t xml:space="preserve"> </w:t>
      </w:r>
    </w:p>
    <w:p w14:paraId="67FA2E38" w14:textId="75B1D576" w:rsidR="00031554" w:rsidRPr="00D633FF" w:rsidRDefault="00DB2062" w:rsidP="00D47070">
      <w:pPr>
        <w:pStyle w:val="Heading1"/>
        <w:rPr>
          <w:rFonts w:ascii="Calibri" w:hAnsi="Calibri" w:cs="Calibri"/>
          <w:b/>
          <w:bCs/>
        </w:rPr>
      </w:pPr>
      <w:bookmarkStart w:id="6" w:name="_Toc218527948"/>
      <w:bookmarkStart w:id="7" w:name="_Hlk213257920"/>
      <w:r w:rsidRPr="00D633FF">
        <w:rPr>
          <w:rFonts w:ascii="Calibri" w:hAnsi="Calibri" w:cs="Calibri"/>
          <w:b/>
          <w:bCs/>
        </w:rPr>
        <w:lastRenderedPageBreak/>
        <w:t>Selenium background</w:t>
      </w:r>
      <w:bookmarkEnd w:id="6"/>
    </w:p>
    <w:p w14:paraId="4068D9F6" w14:textId="1D4C8B53" w:rsidR="00C939DD" w:rsidRPr="00D633FF" w:rsidRDefault="00C939DD" w:rsidP="00A62838">
      <w:pPr>
        <w:pStyle w:val="Heading2"/>
        <w:tabs>
          <w:tab w:val="left" w:pos="5546"/>
        </w:tabs>
        <w:spacing w:line="360" w:lineRule="auto"/>
        <w:rPr>
          <w:rFonts w:ascii="Calibri" w:hAnsi="Calibri" w:cs="Calibri"/>
          <w:b/>
          <w:bCs/>
        </w:rPr>
      </w:pPr>
      <w:bookmarkStart w:id="8" w:name="_Toc218527949"/>
      <w:r w:rsidRPr="00D633FF">
        <w:rPr>
          <w:rFonts w:ascii="Calibri" w:hAnsi="Calibri" w:cs="Calibri"/>
          <w:b/>
          <w:bCs/>
        </w:rPr>
        <w:t>Function</w:t>
      </w:r>
      <w:r w:rsidR="001425AD" w:rsidRPr="00D633FF">
        <w:rPr>
          <w:rFonts w:ascii="Calibri" w:hAnsi="Calibri" w:cs="Calibri"/>
          <w:b/>
          <w:bCs/>
        </w:rPr>
        <w:t>, physiology</w:t>
      </w:r>
      <w:r w:rsidRPr="00D633FF">
        <w:rPr>
          <w:rFonts w:ascii="Calibri" w:hAnsi="Calibri" w:cs="Calibri"/>
          <w:b/>
          <w:bCs/>
        </w:rPr>
        <w:t xml:space="preserve"> and metabolism</w:t>
      </w:r>
      <w:bookmarkEnd w:id="8"/>
      <w:r w:rsidRPr="00D633FF">
        <w:rPr>
          <w:rFonts w:ascii="Calibri" w:hAnsi="Calibri" w:cs="Calibri"/>
        </w:rPr>
        <w:tab/>
      </w:r>
      <w:bookmarkEnd w:id="7"/>
    </w:p>
    <w:p w14:paraId="72AA8F11" w14:textId="5A286E9E" w:rsidR="00516B21" w:rsidRPr="00D633FF" w:rsidRDefault="00AB3893" w:rsidP="00B75106">
      <w:pPr>
        <w:spacing w:line="360" w:lineRule="auto"/>
        <w:rPr>
          <w:rFonts w:ascii="Calibri" w:hAnsi="Calibri" w:cs="Calibri"/>
        </w:rPr>
      </w:pPr>
      <w:r w:rsidRPr="00D633FF">
        <w:rPr>
          <w:rFonts w:ascii="Calibri" w:hAnsi="Calibri" w:cs="Calibri"/>
        </w:rPr>
        <w:t>Selenium is an essential</w:t>
      </w:r>
      <w:r w:rsidR="00221C8A" w:rsidRPr="00D633FF">
        <w:rPr>
          <w:rFonts w:ascii="Calibri" w:hAnsi="Calibri" w:cs="Calibri"/>
        </w:rPr>
        <w:t xml:space="preserve"> trace</w:t>
      </w:r>
      <w:r w:rsidRPr="00D633FF">
        <w:rPr>
          <w:rFonts w:ascii="Calibri" w:hAnsi="Calibri" w:cs="Calibri"/>
        </w:rPr>
        <w:t xml:space="preserve"> mineral that occurs</w:t>
      </w:r>
      <w:r w:rsidR="008544C2" w:rsidRPr="00D633FF">
        <w:rPr>
          <w:rFonts w:ascii="Calibri" w:hAnsi="Calibri" w:cs="Calibri"/>
        </w:rPr>
        <w:t xml:space="preserve"> naturally</w:t>
      </w:r>
      <w:r w:rsidRPr="00D633FF">
        <w:rPr>
          <w:rFonts w:ascii="Calibri" w:hAnsi="Calibri" w:cs="Calibri"/>
        </w:rPr>
        <w:t xml:space="preserve"> in various foods. Selenium </w:t>
      </w:r>
      <w:r w:rsidR="00592D39" w:rsidRPr="00D633FF">
        <w:rPr>
          <w:rFonts w:ascii="Calibri" w:hAnsi="Calibri" w:cs="Calibri"/>
        </w:rPr>
        <w:t xml:space="preserve">is found in all tissues and </w:t>
      </w:r>
      <w:r w:rsidRPr="00D633FF">
        <w:rPr>
          <w:rFonts w:ascii="Calibri" w:hAnsi="Calibri" w:cs="Calibri"/>
        </w:rPr>
        <w:t xml:space="preserve">plays a vital role in various </w:t>
      </w:r>
      <w:r w:rsidR="00592D39" w:rsidRPr="00D633FF">
        <w:rPr>
          <w:rFonts w:ascii="Calibri" w:hAnsi="Calibri" w:cs="Calibri"/>
        </w:rPr>
        <w:t xml:space="preserve">metabolic </w:t>
      </w:r>
      <w:r w:rsidRPr="00D633FF">
        <w:rPr>
          <w:rFonts w:ascii="Calibri" w:hAnsi="Calibri" w:cs="Calibri"/>
        </w:rPr>
        <w:t>processes</w:t>
      </w:r>
      <w:r w:rsidR="00F71286" w:rsidRPr="00D633FF">
        <w:rPr>
          <w:rFonts w:ascii="Calibri" w:hAnsi="Calibri" w:cs="Calibri"/>
        </w:rPr>
        <w:t>, such as antioxidant activities, thyroid hormon</w:t>
      </w:r>
      <w:r w:rsidR="00623372" w:rsidRPr="00D633FF">
        <w:rPr>
          <w:rFonts w:ascii="Calibri" w:hAnsi="Calibri" w:cs="Calibri"/>
        </w:rPr>
        <w:t>e</w:t>
      </w:r>
      <w:r w:rsidR="00F71286" w:rsidRPr="00D633FF">
        <w:rPr>
          <w:rFonts w:ascii="Calibri" w:hAnsi="Calibri" w:cs="Calibri"/>
        </w:rPr>
        <w:t xml:space="preserve"> metabolism and DNA synthesis </w:t>
      </w:r>
      <w:r w:rsidR="00F41A14" w:rsidRPr="00D633FF">
        <w:rPr>
          <w:rFonts w:ascii="Calibri" w:hAnsi="Calibri" w:cs="Calibri"/>
          <w:noProof/>
        </w:rPr>
        <w:t>(Alexander &amp; Olsen 2023)</w:t>
      </w:r>
      <w:r w:rsidR="00F71286" w:rsidRPr="00D633FF">
        <w:rPr>
          <w:rFonts w:ascii="Calibri" w:hAnsi="Calibri" w:cs="Calibri"/>
        </w:rPr>
        <w:t>.</w:t>
      </w:r>
      <w:r w:rsidR="00623372" w:rsidRPr="00D633FF">
        <w:rPr>
          <w:rFonts w:ascii="Calibri" w:hAnsi="Calibri" w:cs="Calibri"/>
        </w:rPr>
        <w:t xml:space="preserve"> </w:t>
      </w:r>
      <w:r w:rsidR="00776188" w:rsidRPr="00D633FF">
        <w:rPr>
          <w:rFonts w:ascii="Calibri" w:hAnsi="Calibri" w:cs="Calibri"/>
        </w:rPr>
        <w:t>It further supports</w:t>
      </w:r>
      <w:r w:rsidR="00516B21" w:rsidRPr="00D633FF">
        <w:rPr>
          <w:rFonts w:ascii="Calibri" w:hAnsi="Calibri" w:cs="Calibri"/>
        </w:rPr>
        <w:t xml:space="preserve"> reproductive health and immune function. </w:t>
      </w:r>
    </w:p>
    <w:p w14:paraId="714229AD" w14:textId="1A75B8B5" w:rsidR="0084786F" w:rsidRPr="00D633FF" w:rsidRDefault="00E44A3C" w:rsidP="00A62838">
      <w:pPr>
        <w:spacing w:line="360" w:lineRule="auto"/>
        <w:rPr>
          <w:rFonts w:ascii="Calibri" w:hAnsi="Calibri" w:cs="Calibri"/>
        </w:rPr>
      </w:pPr>
      <w:r w:rsidRPr="00D633FF">
        <w:rPr>
          <w:rFonts w:ascii="Calibri" w:hAnsi="Calibri" w:cs="Calibri"/>
        </w:rPr>
        <w:t xml:space="preserve">Selenium is primarily present as </w:t>
      </w:r>
      <w:proofErr w:type="spellStart"/>
      <w:r w:rsidRPr="00D633FF">
        <w:rPr>
          <w:rFonts w:ascii="Calibri" w:hAnsi="Calibri" w:cs="Calibri"/>
        </w:rPr>
        <w:t>selenomethionine</w:t>
      </w:r>
      <w:proofErr w:type="spellEnd"/>
      <w:r w:rsidRPr="00D633FF">
        <w:rPr>
          <w:rFonts w:ascii="Calibri" w:hAnsi="Calibri" w:cs="Calibri"/>
        </w:rPr>
        <w:t xml:space="preserve">, which is incorporated into several </w:t>
      </w:r>
      <w:proofErr w:type="spellStart"/>
      <w:r w:rsidRPr="00D633FF">
        <w:rPr>
          <w:rFonts w:ascii="Calibri" w:hAnsi="Calibri" w:cs="Calibri"/>
        </w:rPr>
        <w:t>selenoproteins</w:t>
      </w:r>
      <w:proofErr w:type="spellEnd"/>
      <w:r w:rsidRPr="00D633FF">
        <w:rPr>
          <w:rFonts w:ascii="Calibri" w:hAnsi="Calibri" w:cs="Calibri"/>
        </w:rPr>
        <w:t xml:space="preserve">. The most significant of these are </w:t>
      </w:r>
      <w:bookmarkStart w:id="9" w:name="_Hlk220578104"/>
      <w:r w:rsidRPr="00D633FF">
        <w:rPr>
          <w:rFonts w:ascii="Calibri" w:hAnsi="Calibri" w:cs="Calibri"/>
        </w:rPr>
        <w:t>glutathione peroxidase</w:t>
      </w:r>
      <w:r w:rsidR="00751CA5" w:rsidRPr="00D633FF">
        <w:rPr>
          <w:rFonts w:ascii="Calibri" w:hAnsi="Calibri" w:cs="Calibri"/>
        </w:rPr>
        <w:t xml:space="preserve"> </w:t>
      </w:r>
      <w:bookmarkEnd w:id="9"/>
      <w:r w:rsidR="00751CA5" w:rsidRPr="00D633FF">
        <w:rPr>
          <w:rFonts w:ascii="Calibri" w:hAnsi="Calibri" w:cs="Calibri"/>
        </w:rPr>
        <w:t>(</w:t>
      </w:r>
      <w:proofErr w:type="spellStart"/>
      <w:r w:rsidR="00751CA5" w:rsidRPr="00D633FF">
        <w:rPr>
          <w:rFonts w:ascii="Calibri" w:hAnsi="Calibri" w:cs="Calibri"/>
        </w:rPr>
        <w:t>GPx</w:t>
      </w:r>
      <w:proofErr w:type="spellEnd"/>
      <w:r w:rsidR="00751CA5" w:rsidRPr="00D633FF">
        <w:rPr>
          <w:rFonts w:ascii="Calibri" w:hAnsi="Calibri" w:cs="Calibri"/>
        </w:rPr>
        <w:t>)</w:t>
      </w:r>
      <w:r w:rsidRPr="00D633FF">
        <w:rPr>
          <w:rFonts w:ascii="Calibri" w:hAnsi="Calibri" w:cs="Calibri"/>
        </w:rPr>
        <w:t>, selenoprotein P, iodothyronine 5’-deiodinase, and thioredoxin reductase</w:t>
      </w:r>
      <w:r w:rsidR="00AB3893" w:rsidRPr="00D633FF">
        <w:rPr>
          <w:rFonts w:ascii="Calibri" w:hAnsi="Calibri" w:cs="Calibri"/>
        </w:rPr>
        <w:t xml:space="preserve"> </w:t>
      </w:r>
      <w:r w:rsidR="00F41A14" w:rsidRPr="00D633FF">
        <w:rPr>
          <w:rFonts w:ascii="Calibri" w:hAnsi="Calibri" w:cs="Calibri"/>
          <w:noProof/>
        </w:rPr>
        <w:t>(Gladyshev et al. 2016)</w:t>
      </w:r>
      <w:r w:rsidR="00100174" w:rsidRPr="00D633FF">
        <w:rPr>
          <w:rFonts w:ascii="Calibri" w:hAnsi="Calibri" w:cs="Calibri"/>
        </w:rPr>
        <w:t>.</w:t>
      </w:r>
      <w:r w:rsidR="00AB3893" w:rsidRPr="00D633FF">
        <w:rPr>
          <w:rFonts w:ascii="Calibri" w:hAnsi="Calibri" w:cs="Calibri"/>
        </w:rPr>
        <w:t xml:space="preserve"> </w:t>
      </w:r>
    </w:p>
    <w:p w14:paraId="12B099CD" w14:textId="77777777" w:rsidR="00CA1A13" w:rsidRPr="00D633FF" w:rsidRDefault="00CA1A13" w:rsidP="00930ACB">
      <w:pPr>
        <w:spacing w:line="360" w:lineRule="auto"/>
        <w:rPr>
          <w:rFonts w:ascii="Calibri" w:hAnsi="Calibri" w:cs="Calibri"/>
          <w:b/>
          <w:bCs/>
        </w:rPr>
      </w:pPr>
    </w:p>
    <w:p w14:paraId="055F1E38" w14:textId="62A9445D" w:rsidR="000B079E" w:rsidRPr="00D633FF" w:rsidRDefault="00C939DD" w:rsidP="00CC63A7">
      <w:pPr>
        <w:pStyle w:val="Heading2"/>
        <w:tabs>
          <w:tab w:val="left" w:pos="5546"/>
        </w:tabs>
        <w:spacing w:line="360" w:lineRule="auto"/>
        <w:rPr>
          <w:rFonts w:ascii="Calibri" w:hAnsi="Calibri" w:cs="Calibri"/>
          <w:b/>
          <w:bCs/>
        </w:rPr>
      </w:pPr>
      <w:bookmarkStart w:id="10" w:name="_Toc218527950"/>
      <w:r w:rsidRPr="00D633FF">
        <w:rPr>
          <w:rFonts w:ascii="Calibri" w:hAnsi="Calibri" w:cs="Calibri"/>
          <w:b/>
          <w:bCs/>
        </w:rPr>
        <w:t xml:space="preserve">Dietary sources of </w:t>
      </w:r>
      <w:r w:rsidR="00C85052" w:rsidRPr="00D633FF">
        <w:rPr>
          <w:rFonts w:ascii="Calibri" w:hAnsi="Calibri" w:cs="Calibri"/>
          <w:b/>
          <w:bCs/>
        </w:rPr>
        <w:t>selenium</w:t>
      </w:r>
      <w:bookmarkEnd w:id="10"/>
    </w:p>
    <w:p w14:paraId="26D7BC6F" w14:textId="1D283C69" w:rsidR="004A16B6" w:rsidRPr="00D633FF" w:rsidRDefault="004A16B6" w:rsidP="00CC63A7">
      <w:pPr>
        <w:pStyle w:val="Heading3"/>
        <w:rPr>
          <w:rFonts w:ascii="Calibri" w:hAnsi="Calibri" w:cs="Calibri"/>
        </w:rPr>
      </w:pPr>
      <w:bookmarkStart w:id="11" w:name="_Toc218527951"/>
      <w:r w:rsidRPr="00D633FF">
        <w:rPr>
          <w:rFonts w:ascii="Calibri" w:hAnsi="Calibri" w:cs="Calibri"/>
        </w:rPr>
        <w:t>Food</w:t>
      </w:r>
      <w:bookmarkEnd w:id="11"/>
    </w:p>
    <w:p w14:paraId="1B6C0F85" w14:textId="0F3296FA" w:rsidR="00D82E3D" w:rsidRPr="00D633FF" w:rsidRDefault="00CE6CD4" w:rsidP="00D82E3D">
      <w:pPr>
        <w:spacing w:line="360" w:lineRule="auto"/>
        <w:rPr>
          <w:rFonts w:ascii="Calibri" w:hAnsi="Calibri" w:cs="Calibri"/>
        </w:rPr>
      </w:pPr>
      <w:r w:rsidRPr="00D633FF">
        <w:rPr>
          <w:rFonts w:ascii="Calibri" w:hAnsi="Calibri" w:cs="Calibri"/>
        </w:rPr>
        <w:t>Food is the primary source of selenium</w:t>
      </w:r>
      <w:r w:rsidR="00713DD9" w:rsidRPr="00D633FF">
        <w:rPr>
          <w:rFonts w:ascii="Calibri" w:hAnsi="Calibri" w:cs="Calibri"/>
        </w:rPr>
        <w:t xml:space="preserve"> for humans</w:t>
      </w:r>
      <w:r w:rsidRPr="00D633FF">
        <w:rPr>
          <w:rFonts w:ascii="Calibri" w:hAnsi="Calibri" w:cs="Calibri"/>
        </w:rPr>
        <w:t xml:space="preserve">, while drinking water and air contribute only minor amounts </w:t>
      </w:r>
      <w:r w:rsidR="00F41A14" w:rsidRPr="00D633FF">
        <w:rPr>
          <w:rFonts w:ascii="Calibri" w:hAnsi="Calibri" w:cs="Calibri"/>
          <w:noProof/>
        </w:rPr>
        <w:t>(Barceloux 1999)</w:t>
      </w:r>
      <w:r w:rsidR="00100174" w:rsidRPr="00D633FF">
        <w:rPr>
          <w:rFonts w:ascii="Calibri" w:hAnsi="Calibri" w:cs="Calibri"/>
        </w:rPr>
        <w:t>.</w:t>
      </w:r>
      <w:r w:rsidR="00235A7B" w:rsidRPr="00D633FF">
        <w:rPr>
          <w:rFonts w:ascii="Calibri" w:hAnsi="Calibri" w:cs="Calibri"/>
        </w:rPr>
        <w:t xml:space="preserve"> </w:t>
      </w:r>
      <w:r w:rsidR="00D82E3D" w:rsidRPr="00D633FF">
        <w:rPr>
          <w:rFonts w:ascii="Calibri" w:hAnsi="Calibri" w:cs="Calibri"/>
        </w:rPr>
        <w:t xml:space="preserve">According to Australian food composition data, the following foods are rich sources of selenium; seafood, dried chickpeas, poultry, eggs and muscle meats </w:t>
      </w:r>
      <w:r w:rsidR="00F41A14" w:rsidRPr="00D633FF">
        <w:rPr>
          <w:rFonts w:ascii="Calibri" w:hAnsi="Calibri" w:cs="Calibri"/>
          <w:noProof/>
        </w:rPr>
        <w:t>(Food Standards Australia New Zealand 2022)</w:t>
      </w:r>
      <w:r w:rsidR="00D82E3D" w:rsidRPr="00D633FF">
        <w:rPr>
          <w:rFonts w:ascii="Calibri" w:hAnsi="Calibri" w:cs="Calibri"/>
        </w:rPr>
        <w:t xml:space="preserve">. The food with the highest selenium concentration is Brazil nuts with an average of 575 </w:t>
      </w:r>
      <w:r w:rsidR="002D3606">
        <w:rPr>
          <w:rFonts w:ascii="Calibri" w:hAnsi="Calibri" w:cs="Calibri"/>
        </w:rPr>
        <w:t>micrograms (</w:t>
      </w:r>
      <w:r w:rsidR="00D82E3D" w:rsidRPr="00D633FF">
        <w:rPr>
          <w:rFonts w:ascii="Calibri" w:hAnsi="Calibri" w:cs="Calibri"/>
        </w:rPr>
        <w:t>µg</w:t>
      </w:r>
      <w:r w:rsidR="002D3606">
        <w:rPr>
          <w:rFonts w:ascii="Calibri" w:hAnsi="Calibri" w:cs="Calibri"/>
        </w:rPr>
        <w:t>)</w:t>
      </w:r>
      <w:r w:rsidR="00D82E3D" w:rsidRPr="00D633FF">
        <w:rPr>
          <w:rFonts w:ascii="Calibri" w:hAnsi="Calibri" w:cs="Calibri"/>
        </w:rPr>
        <w:t xml:space="preserve"> per 30g, followed by mustard powder (48 µg per 30g) and yelloweye mullet (33 µg per 30g) </w:t>
      </w:r>
      <w:r w:rsidR="00F41A14" w:rsidRPr="00D633FF">
        <w:rPr>
          <w:rFonts w:ascii="Calibri" w:hAnsi="Calibri" w:cs="Calibri"/>
          <w:noProof/>
        </w:rPr>
        <w:t>(FSANZ 2022)</w:t>
      </w:r>
      <w:r w:rsidR="00A30372" w:rsidRPr="00D633FF">
        <w:rPr>
          <w:rFonts w:ascii="Calibri" w:hAnsi="Calibri" w:cs="Calibri"/>
        </w:rPr>
        <w:t>.</w:t>
      </w:r>
      <w:r w:rsidR="00D82E3D" w:rsidRPr="00D633FF">
        <w:rPr>
          <w:rFonts w:ascii="Calibri" w:hAnsi="Calibri" w:cs="Calibri"/>
        </w:rPr>
        <w:t xml:space="preserve"> The Australian Health Survey indicates that meat, poultry, fish, seafood and game products</w:t>
      </w:r>
      <w:r w:rsidR="005E5654" w:rsidRPr="00D633FF">
        <w:rPr>
          <w:rFonts w:ascii="Calibri" w:hAnsi="Calibri" w:cs="Calibri"/>
        </w:rPr>
        <w:t xml:space="preserve"> -</w:t>
      </w:r>
      <w:r w:rsidR="00D82E3D" w:rsidRPr="00D633FF">
        <w:rPr>
          <w:rFonts w:ascii="Calibri" w:hAnsi="Calibri" w:cs="Calibri"/>
        </w:rPr>
        <w:t xml:space="preserve"> along with cereal-based products and dishes</w:t>
      </w:r>
      <w:r w:rsidR="00581687">
        <w:rPr>
          <w:rFonts w:ascii="Calibri" w:hAnsi="Calibri" w:cs="Calibri"/>
        </w:rPr>
        <w:t xml:space="preserve"> </w:t>
      </w:r>
      <w:r w:rsidR="005E5654" w:rsidRPr="00D633FF">
        <w:rPr>
          <w:rFonts w:ascii="Calibri" w:hAnsi="Calibri" w:cs="Calibri"/>
        </w:rPr>
        <w:t>-</w:t>
      </w:r>
      <w:r w:rsidR="00D82E3D" w:rsidRPr="00D633FF">
        <w:rPr>
          <w:rFonts w:ascii="Calibri" w:hAnsi="Calibri" w:cs="Calibri"/>
        </w:rPr>
        <w:t xml:space="preserve"> are the main dietary contributors to selenium intake for the Australian population, including children and teenagers </w:t>
      </w:r>
      <w:r w:rsidR="00F41A14" w:rsidRPr="00D633FF">
        <w:rPr>
          <w:rFonts w:ascii="Calibri" w:hAnsi="Calibri" w:cs="Calibri"/>
          <w:noProof/>
        </w:rPr>
        <w:t>(ABS 2019)</w:t>
      </w:r>
      <w:r w:rsidR="00D82E3D" w:rsidRPr="00D633FF">
        <w:rPr>
          <w:rFonts w:ascii="Calibri" w:hAnsi="Calibri" w:cs="Calibri"/>
        </w:rPr>
        <w:t xml:space="preserve">. </w:t>
      </w:r>
    </w:p>
    <w:p w14:paraId="44A16DC5" w14:textId="2D5AE44F" w:rsidR="00DC6195" w:rsidRPr="00D633FF" w:rsidRDefault="005259CD" w:rsidP="00D82E3D">
      <w:pPr>
        <w:spacing w:line="360" w:lineRule="auto"/>
        <w:rPr>
          <w:rFonts w:ascii="Calibri" w:hAnsi="Calibri" w:cs="Calibri"/>
        </w:rPr>
      </w:pPr>
      <w:r w:rsidRPr="00D633FF">
        <w:rPr>
          <w:rFonts w:ascii="Calibri" w:hAnsi="Calibri" w:cs="Calibri"/>
        </w:rPr>
        <w:t xml:space="preserve">According to the 2016 </w:t>
      </w:r>
      <w:r w:rsidR="00D82E3D" w:rsidRPr="00D633FF">
        <w:rPr>
          <w:rFonts w:ascii="Calibri" w:hAnsi="Calibri" w:cs="Calibri"/>
        </w:rPr>
        <w:t>New Zealand</w:t>
      </w:r>
      <w:r w:rsidRPr="00D633FF">
        <w:rPr>
          <w:rFonts w:ascii="Calibri" w:hAnsi="Calibri" w:cs="Calibri"/>
        </w:rPr>
        <w:t xml:space="preserve"> Total Diet</w:t>
      </w:r>
      <w:r w:rsidR="003A246B" w:rsidRPr="00D633FF">
        <w:rPr>
          <w:rFonts w:ascii="Calibri" w:hAnsi="Calibri" w:cs="Calibri"/>
        </w:rPr>
        <w:t xml:space="preserve"> Study</w:t>
      </w:r>
      <w:r w:rsidR="00D82E3D" w:rsidRPr="00D633FF">
        <w:rPr>
          <w:rFonts w:ascii="Calibri" w:hAnsi="Calibri" w:cs="Calibri"/>
        </w:rPr>
        <w:t xml:space="preserve">, the highest dietary concentrations of selenium were found in mussels, oysters and fresh and canned fish, with intermediate levels found in mushrooms and eggs. Fish, chicken, meat and eggs </w:t>
      </w:r>
      <w:r w:rsidR="00C85F02" w:rsidRPr="00D633FF">
        <w:rPr>
          <w:rFonts w:ascii="Calibri" w:hAnsi="Calibri" w:cs="Calibri"/>
        </w:rPr>
        <w:t>we</w:t>
      </w:r>
      <w:r w:rsidR="00D82E3D" w:rsidRPr="00D633FF">
        <w:rPr>
          <w:rFonts w:ascii="Calibri" w:hAnsi="Calibri" w:cs="Calibri"/>
        </w:rPr>
        <w:t xml:space="preserve">re the primary dietary sources of selenium across all age and sex groups, while grain-based foods </w:t>
      </w:r>
      <w:r w:rsidR="00C85F02" w:rsidRPr="00D633FF">
        <w:rPr>
          <w:rFonts w:ascii="Calibri" w:hAnsi="Calibri" w:cs="Calibri"/>
        </w:rPr>
        <w:t>we</w:t>
      </w:r>
      <w:r w:rsidR="00D82E3D" w:rsidRPr="00D633FF">
        <w:rPr>
          <w:rFonts w:ascii="Calibri" w:hAnsi="Calibri" w:cs="Calibri"/>
        </w:rPr>
        <w:t>re especially important for infants, children and teenagers</w:t>
      </w:r>
      <w:r w:rsidR="00C85F02" w:rsidRPr="00D633FF">
        <w:rPr>
          <w:rFonts w:ascii="Calibri" w:hAnsi="Calibri" w:cs="Calibri"/>
        </w:rPr>
        <w:t xml:space="preserve"> </w:t>
      </w:r>
      <w:r w:rsidR="00F41A14" w:rsidRPr="00D633FF">
        <w:rPr>
          <w:rFonts w:ascii="Calibri" w:hAnsi="Calibri" w:cs="Calibri"/>
          <w:noProof/>
        </w:rPr>
        <w:t>(Ministry for Primary Industries 2018)</w:t>
      </w:r>
      <w:r w:rsidR="00D82E3D" w:rsidRPr="00D633FF">
        <w:rPr>
          <w:rFonts w:ascii="Calibri" w:hAnsi="Calibri" w:cs="Calibri"/>
        </w:rPr>
        <w:t>.</w:t>
      </w:r>
    </w:p>
    <w:p w14:paraId="3D49865F" w14:textId="7F0A5040" w:rsidR="004D4484" w:rsidRPr="00D633FF" w:rsidRDefault="00B03520" w:rsidP="004D4484">
      <w:pPr>
        <w:spacing w:line="360" w:lineRule="auto"/>
        <w:rPr>
          <w:rFonts w:ascii="Calibri" w:hAnsi="Calibri" w:cs="Calibri"/>
        </w:rPr>
      </w:pPr>
      <w:r w:rsidRPr="00D633FF">
        <w:rPr>
          <w:rFonts w:ascii="Calibri" w:hAnsi="Calibri" w:cs="Calibri"/>
        </w:rPr>
        <w:t xml:space="preserve">The selenium content in foods from animal sources varies according to the selenium levels in the animals' diet </w:t>
      </w:r>
      <w:r w:rsidR="00F41A14" w:rsidRPr="00D633FF">
        <w:rPr>
          <w:rFonts w:ascii="Calibri" w:hAnsi="Calibri" w:cs="Calibri"/>
          <w:noProof/>
        </w:rPr>
        <w:t>(Mehdi et al. 2013)</w:t>
      </w:r>
      <w:r w:rsidRPr="00D633FF">
        <w:rPr>
          <w:rFonts w:ascii="Calibri" w:hAnsi="Calibri" w:cs="Calibri"/>
        </w:rPr>
        <w:t>. The selenium content in plant-based foods varies widely depending on the selenium concentration in the soil where they are grown</w:t>
      </w:r>
      <w:r w:rsidR="008A6FD0" w:rsidRPr="00D633FF">
        <w:rPr>
          <w:rFonts w:ascii="Calibri" w:hAnsi="Calibri" w:cs="Calibri"/>
        </w:rPr>
        <w:t xml:space="preserve"> </w:t>
      </w:r>
      <w:r w:rsidR="00F41A14" w:rsidRPr="00D633FF">
        <w:rPr>
          <w:rFonts w:ascii="Calibri" w:hAnsi="Calibri" w:cs="Calibri"/>
          <w:noProof/>
        </w:rPr>
        <w:t>(Daniels 2004; Tinggi 2003)</w:t>
      </w:r>
      <w:r w:rsidRPr="00D633FF">
        <w:rPr>
          <w:rFonts w:ascii="Calibri" w:hAnsi="Calibri" w:cs="Calibri"/>
        </w:rPr>
        <w:t xml:space="preserve">. </w:t>
      </w:r>
      <w:r w:rsidR="0004359A" w:rsidRPr="00D633FF">
        <w:rPr>
          <w:rFonts w:ascii="Calibri" w:hAnsi="Calibri" w:cs="Calibri"/>
        </w:rPr>
        <w:t>S</w:t>
      </w:r>
      <w:r w:rsidR="007F7A86" w:rsidRPr="00D633FF">
        <w:rPr>
          <w:rFonts w:ascii="Calibri" w:hAnsi="Calibri" w:cs="Calibri"/>
        </w:rPr>
        <w:t xml:space="preserve">oil selenium levels are highly variable in Australia and New Zealand, therefore dietary intake of selenium </w:t>
      </w:r>
      <w:r w:rsidR="007F7A86" w:rsidRPr="00D633FF">
        <w:rPr>
          <w:rFonts w:ascii="Calibri" w:hAnsi="Calibri" w:cs="Calibri"/>
        </w:rPr>
        <w:lastRenderedPageBreak/>
        <w:t xml:space="preserve">from cereal-based foods differ geographically </w:t>
      </w:r>
      <w:r w:rsidR="00F41A14" w:rsidRPr="00D633FF">
        <w:rPr>
          <w:rFonts w:ascii="Calibri" w:hAnsi="Calibri" w:cs="Calibri"/>
          <w:noProof/>
        </w:rPr>
        <w:t>(Lymbury et al. 2008; Thomson 2004)</w:t>
      </w:r>
      <w:r w:rsidR="007F7A86" w:rsidRPr="00D633FF">
        <w:rPr>
          <w:rFonts w:ascii="Calibri" w:hAnsi="Calibri" w:cs="Calibri"/>
        </w:rPr>
        <w:t xml:space="preserve">. </w:t>
      </w:r>
      <w:r w:rsidRPr="00D633FF">
        <w:rPr>
          <w:rFonts w:ascii="Calibri" w:hAnsi="Calibri" w:cs="Calibri"/>
        </w:rPr>
        <w:t xml:space="preserve">Factors such as soil pH, organic matter, and geographical location can significantly influence the selenium content in these foods </w:t>
      </w:r>
      <w:r w:rsidR="00F41A14" w:rsidRPr="00D633FF">
        <w:rPr>
          <w:rFonts w:ascii="Calibri" w:hAnsi="Calibri" w:cs="Calibri"/>
          <w:noProof/>
        </w:rPr>
        <w:t>(Rayman 2012)</w:t>
      </w:r>
      <w:r w:rsidRPr="00D633FF">
        <w:rPr>
          <w:rFonts w:ascii="Calibri" w:hAnsi="Calibri" w:cs="Calibri"/>
        </w:rPr>
        <w:t>.</w:t>
      </w:r>
      <w:r w:rsidR="003360F9" w:rsidRPr="00D633FF">
        <w:rPr>
          <w:rFonts w:ascii="Calibri" w:hAnsi="Calibri" w:cs="Calibri"/>
        </w:rPr>
        <w:t xml:space="preserve"> </w:t>
      </w:r>
      <w:r w:rsidR="004D4484" w:rsidRPr="00D633FF">
        <w:rPr>
          <w:rFonts w:ascii="Calibri" w:hAnsi="Calibri" w:cs="Calibri"/>
        </w:rPr>
        <w:t xml:space="preserve">Regions with selenium-poor soils, such as parts of Tasmania, may produce foods with lower selenium content, leading to lower overall selenium intake among residents </w:t>
      </w:r>
      <w:r w:rsidR="00F41A14" w:rsidRPr="00D633FF">
        <w:rPr>
          <w:rFonts w:ascii="Calibri" w:hAnsi="Calibri" w:cs="Calibri"/>
          <w:noProof/>
        </w:rPr>
        <w:t>(Beckett &amp; Ball 2011; Jacobson et al. 2007)</w:t>
      </w:r>
      <w:r w:rsidR="004D4484" w:rsidRPr="00D633FF">
        <w:rPr>
          <w:rFonts w:ascii="Calibri" w:hAnsi="Calibri" w:cs="Calibri"/>
        </w:rPr>
        <w:t xml:space="preserve">. </w:t>
      </w:r>
    </w:p>
    <w:p w14:paraId="5DCEC20D" w14:textId="42C62642" w:rsidR="00CA744C" w:rsidRPr="00D633FF" w:rsidRDefault="00CA744C" w:rsidP="00CA744C">
      <w:pPr>
        <w:spacing w:line="360" w:lineRule="auto"/>
        <w:rPr>
          <w:rFonts w:ascii="Calibri" w:hAnsi="Calibri" w:cs="Calibri"/>
        </w:rPr>
      </w:pPr>
      <w:r w:rsidRPr="00D633FF">
        <w:rPr>
          <w:rFonts w:ascii="Calibri" w:hAnsi="Calibri" w:cs="Calibri"/>
        </w:rPr>
        <w:t xml:space="preserve">Plant and animal sources of dietary selenium occur mainly as the organic compounds </w:t>
      </w:r>
      <w:proofErr w:type="spellStart"/>
      <w:r w:rsidRPr="00D633FF">
        <w:rPr>
          <w:rFonts w:ascii="Calibri" w:hAnsi="Calibri" w:cs="Calibri"/>
        </w:rPr>
        <w:t>selenomethionine</w:t>
      </w:r>
      <w:proofErr w:type="spellEnd"/>
      <w:r w:rsidRPr="00D633FF">
        <w:rPr>
          <w:rFonts w:ascii="Calibri" w:hAnsi="Calibri" w:cs="Calibri"/>
        </w:rPr>
        <w:t xml:space="preserve"> and selenocysteine with nearly 90% of selenium in plants present as </w:t>
      </w:r>
      <w:proofErr w:type="spellStart"/>
      <w:r w:rsidRPr="00D633FF">
        <w:rPr>
          <w:rFonts w:ascii="Calibri" w:hAnsi="Calibri" w:cs="Calibri"/>
        </w:rPr>
        <w:t>selenomethionine</w:t>
      </w:r>
      <w:proofErr w:type="spellEnd"/>
      <w:r w:rsidRPr="00D633FF">
        <w:rPr>
          <w:rFonts w:ascii="Calibri" w:hAnsi="Calibri" w:cs="Calibri"/>
        </w:rPr>
        <w:t xml:space="preserve"> </w:t>
      </w:r>
      <w:r w:rsidR="00F41A14" w:rsidRPr="00D633FF">
        <w:rPr>
          <w:rFonts w:ascii="Calibri" w:hAnsi="Calibri" w:cs="Calibri"/>
          <w:noProof/>
        </w:rPr>
        <w:t>(Burk &amp; Hill 2015; Fairweather-Tait 1997; Mehdi et al. 2013)</w:t>
      </w:r>
      <w:r w:rsidRPr="00D633FF">
        <w:rPr>
          <w:rFonts w:ascii="Calibri" w:hAnsi="Calibri" w:cs="Calibri"/>
        </w:rPr>
        <w:t>.</w:t>
      </w:r>
    </w:p>
    <w:p w14:paraId="5FF7626F" w14:textId="79DF301E" w:rsidR="00CA744C" w:rsidRPr="00D633FF" w:rsidRDefault="00CA744C" w:rsidP="00CA744C">
      <w:pPr>
        <w:spacing w:line="360" w:lineRule="auto"/>
        <w:rPr>
          <w:rFonts w:ascii="Calibri" w:hAnsi="Calibri" w:cs="Calibri"/>
        </w:rPr>
      </w:pPr>
      <w:r w:rsidRPr="00D633FF">
        <w:rPr>
          <w:rFonts w:ascii="Calibri" w:hAnsi="Calibri" w:cs="Calibri"/>
        </w:rPr>
        <w:t xml:space="preserve">Animal protein sources contain </w:t>
      </w:r>
      <w:proofErr w:type="spellStart"/>
      <w:r w:rsidRPr="00D633FF">
        <w:rPr>
          <w:rFonts w:ascii="Calibri" w:hAnsi="Calibri" w:cs="Calibri"/>
        </w:rPr>
        <w:t>selenoproteins</w:t>
      </w:r>
      <w:proofErr w:type="spellEnd"/>
      <w:r w:rsidRPr="00D633FF">
        <w:rPr>
          <w:rFonts w:ascii="Calibri" w:hAnsi="Calibri" w:cs="Calibri"/>
        </w:rPr>
        <w:t xml:space="preserve"> with selenium in the form of </w:t>
      </w:r>
      <w:proofErr w:type="spellStart"/>
      <w:r w:rsidRPr="00D633FF">
        <w:rPr>
          <w:rFonts w:ascii="Calibri" w:hAnsi="Calibri" w:cs="Calibri"/>
        </w:rPr>
        <w:t>selenoscysteine</w:t>
      </w:r>
      <w:proofErr w:type="spellEnd"/>
      <w:r w:rsidRPr="00D633FF">
        <w:rPr>
          <w:rFonts w:ascii="Calibri" w:hAnsi="Calibri" w:cs="Calibri"/>
        </w:rPr>
        <w:t xml:space="preserve"> and for fish, </w:t>
      </w:r>
      <w:proofErr w:type="spellStart"/>
      <w:r w:rsidRPr="00D633FF">
        <w:rPr>
          <w:rFonts w:ascii="Calibri" w:hAnsi="Calibri" w:cs="Calibri"/>
        </w:rPr>
        <w:t>selenomethionine</w:t>
      </w:r>
      <w:proofErr w:type="spellEnd"/>
      <w:r w:rsidRPr="00D633FF">
        <w:rPr>
          <w:rFonts w:ascii="Calibri" w:hAnsi="Calibri" w:cs="Calibri"/>
        </w:rPr>
        <w:t xml:space="preserve"> or </w:t>
      </w:r>
      <w:proofErr w:type="spellStart"/>
      <w:r w:rsidRPr="00D633FF">
        <w:rPr>
          <w:rFonts w:ascii="Calibri" w:hAnsi="Calibri" w:cs="Calibri"/>
        </w:rPr>
        <w:t>selenoneine</w:t>
      </w:r>
      <w:proofErr w:type="spellEnd"/>
      <w:r w:rsidRPr="00D633FF">
        <w:rPr>
          <w:rFonts w:ascii="Calibri" w:hAnsi="Calibri" w:cs="Calibri"/>
        </w:rPr>
        <w:t xml:space="preserve"> are the key forms of selenium depending on the fish species</w:t>
      </w:r>
      <w:r w:rsidR="001E2FC9" w:rsidRPr="00D633FF">
        <w:rPr>
          <w:rFonts w:ascii="Calibri" w:hAnsi="Calibri" w:cs="Calibri"/>
        </w:rPr>
        <w:t xml:space="preserve"> </w:t>
      </w:r>
      <w:r w:rsidR="00F41A14" w:rsidRPr="00D633FF">
        <w:rPr>
          <w:rFonts w:ascii="Calibri" w:hAnsi="Calibri" w:cs="Calibri"/>
          <w:noProof/>
        </w:rPr>
        <w:t>(Lipiec et al. 2010; NHMRC 2006; Sele et al. 2018)</w:t>
      </w:r>
      <w:r w:rsidRPr="00D633FF">
        <w:rPr>
          <w:rFonts w:ascii="Calibri" w:hAnsi="Calibri" w:cs="Calibri"/>
        </w:rPr>
        <w:t>.</w:t>
      </w:r>
    </w:p>
    <w:p w14:paraId="75F14468" w14:textId="3C196F22" w:rsidR="007F7A86" w:rsidRPr="00D633FF" w:rsidRDefault="007F7A86" w:rsidP="007F7A86">
      <w:pPr>
        <w:spacing w:line="360" w:lineRule="auto"/>
        <w:rPr>
          <w:rFonts w:ascii="Calibri" w:hAnsi="Calibri" w:cs="Calibri"/>
        </w:rPr>
      </w:pPr>
      <w:r w:rsidRPr="00D633FF">
        <w:rPr>
          <w:rFonts w:ascii="Calibri" w:hAnsi="Calibri" w:cs="Calibri"/>
        </w:rPr>
        <w:t xml:space="preserve">Selenium (in the forms of </w:t>
      </w:r>
      <w:proofErr w:type="spellStart"/>
      <w:r w:rsidRPr="00D633FF">
        <w:rPr>
          <w:rFonts w:ascii="Calibri" w:hAnsi="Calibri" w:cs="Calibri"/>
        </w:rPr>
        <w:t>selenomethionine</w:t>
      </w:r>
      <w:proofErr w:type="spellEnd"/>
      <w:r w:rsidRPr="00D633FF">
        <w:rPr>
          <w:rFonts w:ascii="Calibri" w:hAnsi="Calibri" w:cs="Calibri"/>
        </w:rPr>
        <w:t>, sodium selenate or sodium selenite)</w:t>
      </w:r>
      <w:r w:rsidRPr="00D633FF">
        <w:rPr>
          <w:rFonts w:ascii="Calibri" w:hAnsi="Calibri" w:cs="Calibri"/>
          <w:b/>
          <w:bCs/>
          <w:i/>
          <w:iCs/>
        </w:rPr>
        <w:t xml:space="preserve"> </w:t>
      </w:r>
      <w:r w:rsidRPr="00D633FF">
        <w:rPr>
          <w:rFonts w:ascii="Calibri" w:hAnsi="Calibri" w:cs="Calibri"/>
        </w:rPr>
        <w:t>is permitted to be added to formulated beverages,</w:t>
      </w:r>
      <w:r w:rsidRPr="00D633FF">
        <w:rPr>
          <w:rFonts w:ascii="Calibri" w:hAnsi="Calibri" w:cs="Calibri"/>
          <w:color w:val="000000"/>
          <w:sz w:val="18"/>
          <w:szCs w:val="18"/>
        </w:rPr>
        <w:t xml:space="preserve"> </w:t>
      </w:r>
      <w:r w:rsidRPr="00D633FF">
        <w:rPr>
          <w:rFonts w:ascii="Calibri" w:hAnsi="Calibri" w:cs="Calibri"/>
        </w:rPr>
        <w:t xml:space="preserve">meal replacements, supplementary sports foods, and foods for special medical purposes.  There </w:t>
      </w:r>
      <w:r w:rsidR="009A46F8" w:rsidRPr="00D633FF">
        <w:rPr>
          <w:rFonts w:ascii="Calibri" w:hAnsi="Calibri" w:cs="Calibri"/>
        </w:rPr>
        <w:t xml:space="preserve">is no requirement to add </w:t>
      </w:r>
      <w:r w:rsidRPr="00D633FF">
        <w:rPr>
          <w:rFonts w:ascii="Calibri" w:hAnsi="Calibri" w:cs="Calibri"/>
        </w:rPr>
        <w:t xml:space="preserve">selenium </w:t>
      </w:r>
      <w:r w:rsidR="009A46F8" w:rsidRPr="00D633FF">
        <w:rPr>
          <w:rFonts w:ascii="Calibri" w:hAnsi="Calibri" w:cs="Calibri"/>
        </w:rPr>
        <w:t xml:space="preserve">to food </w:t>
      </w:r>
      <w:r w:rsidR="0009745C" w:rsidRPr="00D633FF">
        <w:rPr>
          <w:rFonts w:ascii="Calibri" w:hAnsi="Calibri" w:cs="Calibri"/>
        </w:rPr>
        <w:t xml:space="preserve">- </w:t>
      </w:r>
      <w:r w:rsidR="009A46F8" w:rsidRPr="00D633FF">
        <w:rPr>
          <w:rFonts w:ascii="Calibri" w:hAnsi="Calibri" w:cs="Calibri"/>
        </w:rPr>
        <w:t>except for infant formula</w:t>
      </w:r>
      <w:r w:rsidR="0009745C" w:rsidRPr="00D633FF">
        <w:rPr>
          <w:rFonts w:ascii="Calibri" w:hAnsi="Calibri" w:cs="Calibri"/>
        </w:rPr>
        <w:t xml:space="preserve"> - </w:t>
      </w:r>
      <w:r w:rsidR="009A46F8" w:rsidRPr="00D633FF">
        <w:rPr>
          <w:rFonts w:ascii="Calibri" w:hAnsi="Calibri" w:cs="Calibri"/>
        </w:rPr>
        <w:t>i</w:t>
      </w:r>
      <w:r w:rsidRPr="00D633FF">
        <w:rPr>
          <w:rFonts w:ascii="Calibri" w:hAnsi="Calibri" w:cs="Calibri"/>
        </w:rPr>
        <w:t xml:space="preserve">n Australia or New Zealand </w:t>
      </w:r>
      <w:r w:rsidR="00F41A14" w:rsidRPr="00D633FF">
        <w:rPr>
          <w:rFonts w:ascii="Calibri" w:hAnsi="Calibri" w:cs="Calibri"/>
          <w:noProof/>
        </w:rPr>
        <w:t>(Australian Government 2021, 2025c)</w:t>
      </w:r>
      <w:r w:rsidRPr="00D633FF">
        <w:rPr>
          <w:rFonts w:ascii="Calibri" w:hAnsi="Calibri" w:cs="Calibri"/>
        </w:rPr>
        <w:t xml:space="preserve">. </w:t>
      </w:r>
    </w:p>
    <w:p w14:paraId="0F2BC315" w14:textId="475C03FD" w:rsidR="009F3690" w:rsidRPr="00D633FF" w:rsidRDefault="00E57CB3" w:rsidP="00CC63A7">
      <w:pPr>
        <w:pStyle w:val="Heading3"/>
        <w:rPr>
          <w:rFonts w:ascii="Calibri" w:hAnsi="Calibri" w:cs="Calibri"/>
        </w:rPr>
      </w:pPr>
      <w:bookmarkStart w:id="12" w:name="_Toc218527952"/>
      <w:r w:rsidRPr="00D633FF">
        <w:rPr>
          <w:rFonts w:ascii="Calibri" w:hAnsi="Calibri" w:cs="Calibri"/>
        </w:rPr>
        <w:t>Water</w:t>
      </w:r>
      <w:bookmarkEnd w:id="12"/>
    </w:p>
    <w:p w14:paraId="0349C81A" w14:textId="03436BFC" w:rsidR="009F3690" w:rsidRPr="00D633FF" w:rsidRDefault="009F3690" w:rsidP="009F3690">
      <w:pPr>
        <w:spacing w:line="360" w:lineRule="auto"/>
        <w:rPr>
          <w:rFonts w:ascii="Calibri" w:hAnsi="Calibri" w:cs="Calibri"/>
        </w:rPr>
      </w:pPr>
      <w:r w:rsidRPr="00D633FF">
        <w:rPr>
          <w:rFonts w:ascii="Calibri" w:hAnsi="Calibri" w:cs="Calibri"/>
        </w:rPr>
        <w:t>Selenium levels in Australian drinking water are typically less than 0.0025</w:t>
      </w:r>
      <w:r w:rsidR="005C6099" w:rsidRPr="00D633FF">
        <w:rPr>
          <w:rFonts w:ascii="Calibri" w:hAnsi="Calibri" w:cs="Calibri"/>
        </w:rPr>
        <w:t xml:space="preserve"> </w:t>
      </w:r>
      <w:r w:rsidRPr="00D633FF">
        <w:rPr>
          <w:rFonts w:ascii="Calibri" w:hAnsi="Calibri" w:cs="Calibri"/>
        </w:rPr>
        <w:t>mg/L, except for a small number of remote Northern Territory regions recording mean concentrations up to 0.015</w:t>
      </w:r>
      <w:r w:rsidR="005C6099" w:rsidRPr="00D633FF">
        <w:rPr>
          <w:rFonts w:ascii="Calibri" w:hAnsi="Calibri" w:cs="Calibri"/>
        </w:rPr>
        <w:t> </w:t>
      </w:r>
      <w:r w:rsidRPr="00D633FF">
        <w:rPr>
          <w:rFonts w:ascii="Calibri" w:hAnsi="Calibri" w:cs="Calibri"/>
        </w:rPr>
        <w:t xml:space="preserve">mg/L (SLR 2022, PWNT 2004). </w:t>
      </w:r>
      <w:r w:rsidR="00430711" w:rsidRPr="00D633FF">
        <w:rPr>
          <w:rFonts w:ascii="Calibri" w:hAnsi="Calibri" w:cs="Calibri"/>
        </w:rPr>
        <w:t>G</w:t>
      </w:r>
      <w:r w:rsidRPr="00D633FF">
        <w:rPr>
          <w:rFonts w:ascii="Calibri" w:hAnsi="Calibri" w:cs="Calibri"/>
        </w:rPr>
        <w:t xml:space="preserve">uideline values have recently been reviewed and lowered from 0.01 mg/L to 0.004 mg/L to reflect contemporary evidence </w:t>
      </w:r>
      <w:r w:rsidR="00F41A14" w:rsidRPr="00D633FF">
        <w:rPr>
          <w:rFonts w:ascii="Calibri" w:hAnsi="Calibri" w:cs="Calibri"/>
          <w:noProof/>
        </w:rPr>
        <w:t>(NHMRC 2025a)</w:t>
      </w:r>
      <w:r w:rsidRPr="00D633FF">
        <w:rPr>
          <w:rFonts w:ascii="Calibri" w:hAnsi="Calibri" w:cs="Calibri"/>
        </w:rPr>
        <w:t xml:space="preserve">. </w:t>
      </w:r>
    </w:p>
    <w:p w14:paraId="79466676" w14:textId="01D6C00B" w:rsidR="004A16B6" w:rsidRPr="00D633FF" w:rsidRDefault="00E57CB3" w:rsidP="00CC63A7">
      <w:pPr>
        <w:pStyle w:val="Heading3"/>
        <w:rPr>
          <w:rFonts w:ascii="Calibri" w:hAnsi="Calibri" w:cs="Calibri"/>
        </w:rPr>
      </w:pPr>
      <w:bookmarkStart w:id="13" w:name="_Toc218527953"/>
      <w:r w:rsidRPr="00D633FF">
        <w:rPr>
          <w:rFonts w:ascii="Calibri" w:hAnsi="Calibri" w:cs="Calibri"/>
        </w:rPr>
        <w:t>Supplements</w:t>
      </w:r>
      <w:bookmarkEnd w:id="13"/>
    </w:p>
    <w:p w14:paraId="543E8AE4" w14:textId="704C9AF4" w:rsidR="00B46A26" w:rsidRPr="00D633FF" w:rsidRDefault="00085976" w:rsidP="00D3786F">
      <w:pPr>
        <w:spacing w:line="360" w:lineRule="auto"/>
        <w:rPr>
          <w:rFonts w:ascii="Calibri" w:hAnsi="Calibri" w:cs="Calibri"/>
        </w:rPr>
      </w:pPr>
      <w:r w:rsidRPr="00D633FF">
        <w:rPr>
          <w:rFonts w:ascii="Calibri" w:hAnsi="Calibri" w:cs="Calibri"/>
        </w:rPr>
        <w:t xml:space="preserve">The 2023-24 Australian National Nutrition and Physical Activity Survey found that 33.6% of people aged two-years and over, and 37.3% of adults (18-years and over) took a dietary supplement in 2023; 15.5% of the population took a multivitamin or multimineral supplement (17.0% for adults), and 0.7% of the population aged two-years and over (0.8% of adults) took an ‘other single mineral supplement’ </w:t>
      </w:r>
      <w:r w:rsidR="00F41A14" w:rsidRPr="00D633FF">
        <w:rPr>
          <w:rFonts w:ascii="Calibri" w:hAnsi="Calibri" w:cs="Calibri"/>
          <w:noProof/>
        </w:rPr>
        <w:t>(ABS 2025)</w:t>
      </w:r>
      <w:r w:rsidR="00323CDA" w:rsidRPr="00D633FF">
        <w:rPr>
          <w:rFonts w:ascii="Calibri" w:hAnsi="Calibri" w:cs="Calibri"/>
        </w:rPr>
        <w:t>.</w:t>
      </w:r>
      <w:r w:rsidRPr="00D633FF">
        <w:rPr>
          <w:rFonts w:ascii="Calibri" w:hAnsi="Calibri" w:cs="Calibri"/>
        </w:rPr>
        <w:t xml:space="preserve"> </w:t>
      </w:r>
      <w:r w:rsidR="00323CDA" w:rsidRPr="00D633FF">
        <w:rPr>
          <w:rFonts w:ascii="Calibri" w:hAnsi="Calibri" w:cs="Calibri"/>
        </w:rPr>
        <w:t>T</w:t>
      </w:r>
      <w:r w:rsidRPr="00D633FF">
        <w:rPr>
          <w:rFonts w:ascii="Calibri" w:hAnsi="Calibri" w:cs="Calibri"/>
        </w:rPr>
        <w:t xml:space="preserve">here were no specific figures for the use of selenium-only supplements. </w:t>
      </w:r>
    </w:p>
    <w:p w14:paraId="4006C8F0" w14:textId="14EDD19C" w:rsidR="00B46A26" w:rsidRPr="00D633FF" w:rsidRDefault="00085976" w:rsidP="00D3786F">
      <w:pPr>
        <w:spacing w:line="360" w:lineRule="auto"/>
        <w:rPr>
          <w:rFonts w:ascii="Calibri" w:hAnsi="Calibri" w:cs="Calibri"/>
          <w:color w:val="000000"/>
        </w:rPr>
      </w:pPr>
      <w:r w:rsidRPr="00D633FF">
        <w:rPr>
          <w:rFonts w:ascii="Calibri" w:hAnsi="Calibri" w:cs="Calibri"/>
        </w:rPr>
        <w:t xml:space="preserve">In New Zealand, the 2008–09 Adult Nutrition Survey </w:t>
      </w:r>
      <w:r w:rsidR="00F41A14" w:rsidRPr="00D633FF">
        <w:rPr>
          <w:rFonts w:ascii="Calibri" w:hAnsi="Calibri" w:cs="Calibri"/>
          <w:noProof/>
        </w:rPr>
        <w:t>(University of Otago &amp; Ministry of Health 2011)</w:t>
      </w:r>
      <w:r w:rsidRPr="00D633FF">
        <w:rPr>
          <w:rFonts w:ascii="Calibri" w:hAnsi="Calibri" w:cs="Calibri"/>
        </w:rPr>
        <w:t xml:space="preserve"> found that 47.6% of people aged 15-years and over took a supplement in the past year, with 30.7% being regular users; 10.6% of men and 18.6% of women consumed multivitamin and multimineral supplements, 3.0% of men and 8.5% of women consumed single mineral supplements, and 1.0% of men and 2.1% of women consumed multimineral supplements. </w:t>
      </w:r>
      <w:r w:rsidRPr="00D633FF">
        <w:rPr>
          <w:rFonts w:ascii="Calibri" w:hAnsi="Calibri" w:cs="Calibri"/>
          <w:color w:val="000000"/>
        </w:rPr>
        <w:t xml:space="preserve">There are no specific data available regarding the use of selenium-only supplements. </w:t>
      </w:r>
    </w:p>
    <w:p w14:paraId="5D9627D0" w14:textId="122E30A5" w:rsidR="00D3786F" w:rsidRPr="00D633FF" w:rsidRDefault="00085976" w:rsidP="00D3786F">
      <w:pPr>
        <w:spacing w:line="360" w:lineRule="auto"/>
        <w:rPr>
          <w:rFonts w:ascii="Calibri" w:hAnsi="Calibri" w:cs="Calibri"/>
        </w:rPr>
      </w:pPr>
      <w:r w:rsidRPr="00D633FF">
        <w:rPr>
          <w:rFonts w:ascii="Calibri" w:hAnsi="Calibri" w:cs="Calibri"/>
          <w:color w:val="000000"/>
        </w:rPr>
        <w:lastRenderedPageBreak/>
        <w:t>According to the Therapeutic Goods Poisons Standard (Australian Government 2025a, 2025b), selenium is classified as a Schedule 2 (pharmacy medicine) except for oral preparations with a recommended daily dose of 150 µg or less, and as a Schedule 4 (prescription only medicine) for oral human use with a recommended daily dose exceeding 300 micrograms.</w:t>
      </w:r>
      <w:r w:rsidR="00D3786F" w:rsidRPr="00D633FF">
        <w:rPr>
          <w:rFonts w:ascii="Calibri" w:hAnsi="Calibri" w:cs="Calibri"/>
        </w:rPr>
        <w:t xml:space="preserve"> </w:t>
      </w:r>
    </w:p>
    <w:p w14:paraId="2F823720" w14:textId="248403B5" w:rsidR="00923AE9" w:rsidRPr="00D633FF" w:rsidRDefault="00923AE9" w:rsidP="00A62838">
      <w:pPr>
        <w:pStyle w:val="Heading2"/>
        <w:spacing w:line="360" w:lineRule="auto"/>
        <w:rPr>
          <w:rFonts w:ascii="Calibri" w:hAnsi="Calibri" w:cs="Calibri"/>
          <w:b/>
          <w:bCs/>
        </w:rPr>
      </w:pPr>
      <w:bookmarkStart w:id="14" w:name="_Toc218527954"/>
      <w:bookmarkStart w:id="15" w:name="_Hlk213257947"/>
      <w:r w:rsidRPr="00D633FF">
        <w:rPr>
          <w:rFonts w:ascii="Calibri" w:hAnsi="Calibri" w:cs="Calibri"/>
          <w:b/>
          <w:bCs/>
        </w:rPr>
        <w:t>Bioavailability</w:t>
      </w:r>
      <w:r w:rsidR="00C939DD" w:rsidRPr="00D633FF">
        <w:rPr>
          <w:rFonts w:ascii="Calibri" w:hAnsi="Calibri" w:cs="Calibri"/>
          <w:b/>
          <w:bCs/>
        </w:rPr>
        <w:t xml:space="preserve"> factors</w:t>
      </w:r>
      <w:bookmarkEnd w:id="14"/>
      <w:r w:rsidRPr="00D633FF">
        <w:rPr>
          <w:rFonts w:ascii="Calibri" w:hAnsi="Calibri" w:cs="Calibri"/>
          <w:b/>
          <w:bCs/>
        </w:rPr>
        <w:t xml:space="preserve"> </w:t>
      </w:r>
    </w:p>
    <w:bookmarkEnd w:id="15"/>
    <w:p w14:paraId="25A4C7CC" w14:textId="1FB9D66E" w:rsidR="00176538" w:rsidRPr="00D633FF" w:rsidRDefault="00176538" w:rsidP="00A62838">
      <w:pPr>
        <w:spacing w:line="360" w:lineRule="auto"/>
        <w:rPr>
          <w:rFonts w:ascii="Calibri" w:hAnsi="Calibri" w:cs="Calibri"/>
        </w:rPr>
      </w:pPr>
      <w:r w:rsidRPr="00D633FF">
        <w:rPr>
          <w:rFonts w:ascii="Calibri" w:hAnsi="Calibri" w:cs="Calibri"/>
        </w:rPr>
        <w:t xml:space="preserve">Dietary selenium is </w:t>
      </w:r>
      <w:r w:rsidR="007C27F5" w:rsidRPr="00D633FF">
        <w:rPr>
          <w:rFonts w:ascii="Calibri" w:hAnsi="Calibri" w:cs="Calibri"/>
        </w:rPr>
        <w:t xml:space="preserve">well absorbed, with </w:t>
      </w:r>
      <w:r w:rsidR="006A17EE" w:rsidRPr="00D633FF">
        <w:rPr>
          <w:rFonts w:ascii="Calibri" w:hAnsi="Calibri" w:cs="Calibri"/>
        </w:rPr>
        <w:t>absorption</w:t>
      </w:r>
      <w:r w:rsidR="007C27F5" w:rsidRPr="00D633FF">
        <w:rPr>
          <w:rFonts w:ascii="Calibri" w:hAnsi="Calibri" w:cs="Calibri"/>
        </w:rPr>
        <w:t xml:space="preserve"> not being largely affected by </w:t>
      </w:r>
      <w:r w:rsidR="00D01C8A" w:rsidRPr="00D633FF">
        <w:rPr>
          <w:rFonts w:ascii="Calibri" w:hAnsi="Calibri" w:cs="Calibri"/>
        </w:rPr>
        <w:t xml:space="preserve">dose or </w:t>
      </w:r>
      <w:r w:rsidR="007C27F5" w:rsidRPr="00D633FF">
        <w:rPr>
          <w:rFonts w:ascii="Calibri" w:hAnsi="Calibri" w:cs="Calibri"/>
        </w:rPr>
        <w:t>the body’s selenium status</w:t>
      </w:r>
      <w:r w:rsidR="00446037" w:rsidRPr="00D633FF">
        <w:rPr>
          <w:rFonts w:ascii="Calibri" w:hAnsi="Calibri" w:cs="Calibri"/>
        </w:rPr>
        <w:t xml:space="preserve"> </w:t>
      </w:r>
      <w:r w:rsidR="00F41A14" w:rsidRPr="00D633FF">
        <w:rPr>
          <w:rFonts w:ascii="Calibri" w:hAnsi="Calibri" w:cs="Calibri"/>
          <w:noProof/>
        </w:rPr>
        <w:t>(Burk &amp; Hill 2015; Lei et al. 2022)</w:t>
      </w:r>
      <w:r w:rsidR="00446037" w:rsidRPr="00D633FF">
        <w:rPr>
          <w:rFonts w:ascii="Calibri" w:hAnsi="Calibri" w:cs="Calibri"/>
        </w:rPr>
        <w:t xml:space="preserve">. </w:t>
      </w:r>
      <w:r w:rsidR="007818D8" w:rsidRPr="00D633FF">
        <w:rPr>
          <w:rFonts w:ascii="Calibri" w:hAnsi="Calibri" w:cs="Calibri"/>
        </w:rPr>
        <w:t>The absorption</w:t>
      </w:r>
      <w:r w:rsidR="00E81414" w:rsidRPr="00D633FF">
        <w:rPr>
          <w:rFonts w:ascii="Calibri" w:hAnsi="Calibri" w:cs="Calibri"/>
        </w:rPr>
        <w:t xml:space="preserve"> of selenium</w:t>
      </w:r>
      <w:r w:rsidR="0020663B" w:rsidRPr="00D633FF">
        <w:rPr>
          <w:rFonts w:ascii="Calibri" w:hAnsi="Calibri" w:cs="Calibri"/>
        </w:rPr>
        <w:t xml:space="preserve"> in the body</w:t>
      </w:r>
      <w:r w:rsidR="007818D8" w:rsidRPr="00D633FF">
        <w:rPr>
          <w:rFonts w:ascii="Calibri" w:hAnsi="Calibri" w:cs="Calibri"/>
        </w:rPr>
        <w:t xml:space="preserve"> </w:t>
      </w:r>
      <w:r w:rsidR="00E81414" w:rsidRPr="00D633FF">
        <w:rPr>
          <w:rFonts w:ascii="Calibri" w:hAnsi="Calibri" w:cs="Calibri"/>
        </w:rPr>
        <w:t>depends somewhat</w:t>
      </w:r>
      <w:r w:rsidR="0020663B" w:rsidRPr="00D633FF">
        <w:rPr>
          <w:rFonts w:ascii="Calibri" w:hAnsi="Calibri" w:cs="Calibri"/>
        </w:rPr>
        <w:t xml:space="preserve"> on its chemical form</w:t>
      </w:r>
      <w:r w:rsidR="00E81414" w:rsidRPr="00D633FF">
        <w:rPr>
          <w:rFonts w:ascii="Calibri" w:hAnsi="Calibri" w:cs="Calibri"/>
        </w:rPr>
        <w:t>. While</w:t>
      </w:r>
      <w:r w:rsidR="009E73FF" w:rsidRPr="00D633FF">
        <w:rPr>
          <w:rFonts w:ascii="Calibri" w:hAnsi="Calibri" w:cs="Calibri"/>
        </w:rPr>
        <w:t xml:space="preserve"> around </w:t>
      </w:r>
      <w:r w:rsidR="00A31499" w:rsidRPr="00D633FF">
        <w:rPr>
          <w:rFonts w:ascii="Calibri" w:hAnsi="Calibri" w:cs="Calibri"/>
        </w:rPr>
        <w:t>70</w:t>
      </w:r>
      <w:r w:rsidR="009E73FF" w:rsidRPr="00D633FF">
        <w:rPr>
          <w:rFonts w:ascii="Calibri" w:hAnsi="Calibri" w:cs="Calibri"/>
        </w:rPr>
        <w:t>-</w:t>
      </w:r>
      <w:r w:rsidR="00A31499" w:rsidRPr="00D633FF">
        <w:rPr>
          <w:rFonts w:ascii="Calibri" w:hAnsi="Calibri" w:cs="Calibri"/>
        </w:rPr>
        <w:t>8</w:t>
      </w:r>
      <w:r w:rsidR="009E73FF" w:rsidRPr="00D633FF">
        <w:rPr>
          <w:rFonts w:ascii="Calibri" w:hAnsi="Calibri" w:cs="Calibri"/>
        </w:rPr>
        <w:t xml:space="preserve">0% </w:t>
      </w:r>
      <w:r w:rsidR="00E81414" w:rsidRPr="00D633FF">
        <w:rPr>
          <w:rFonts w:ascii="Calibri" w:hAnsi="Calibri" w:cs="Calibri"/>
        </w:rPr>
        <w:t xml:space="preserve">of selenium </w:t>
      </w:r>
      <w:r w:rsidR="009E73FF" w:rsidRPr="00D633FF">
        <w:rPr>
          <w:rFonts w:ascii="Calibri" w:hAnsi="Calibri" w:cs="Calibri"/>
        </w:rPr>
        <w:t xml:space="preserve">from major dietary </w:t>
      </w:r>
      <w:r w:rsidR="00E81414" w:rsidRPr="00D633FF">
        <w:rPr>
          <w:rFonts w:ascii="Calibri" w:hAnsi="Calibri" w:cs="Calibri"/>
        </w:rPr>
        <w:t>sources is absorbed, only a little</w:t>
      </w:r>
      <w:r w:rsidR="00C959E8" w:rsidRPr="00D633FF">
        <w:rPr>
          <w:rFonts w:ascii="Calibri" w:hAnsi="Calibri" w:cs="Calibri"/>
        </w:rPr>
        <w:t xml:space="preserve"> over half </w:t>
      </w:r>
      <w:r w:rsidR="00E81414" w:rsidRPr="00D633FF">
        <w:rPr>
          <w:rFonts w:ascii="Calibri" w:hAnsi="Calibri" w:cs="Calibri"/>
        </w:rPr>
        <w:t xml:space="preserve">of it </w:t>
      </w:r>
      <w:r w:rsidR="00C959E8" w:rsidRPr="00D633FF">
        <w:rPr>
          <w:rFonts w:ascii="Calibri" w:hAnsi="Calibri" w:cs="Calibri"/>
        </w:rPr>
        <w:t>is retained</w:t>
      </w:r>
      <w:r w:rsidR="00E81414" w:rsidRPr="00D633FF">
        <w:rPr>
          <w:rFonts w:ascii="Calibri" w:hAnsi="Calibri" w:cs="Calibri"/>
        </w:rPr>
        <w:t>.</w:t>
      </w:r>
      <w:r w:rsidR="00446037" w:rsidRPr="00D633FF">
        <w:rPr>
          <w:rFonts w:ascii="Calibri" w:hAnsi="Calibri" w:cs="Calibri"/>
        </w:rPr>
        <w:t xml:space="preserve"> </w:t>
      </w:r>
      <w:r w:rsidR="00F41A14" w:rsidRPr="00D633FF">
        <w:rPr>
          <w:rFonts w:ascii="Calibri" w:hAnsi="Calibri" w:cs="Calibri"/>
          <w:noProof/>
        </w:rPr>
        <w:t>(Alexander &amp; Olsen 2023)</w:t>
      </w:r>
      <w:r w:rsidR="00446037" w:rsidRPr="00D633FF">
        <w:rPr>
          <w:rFonts w:ascii="Calibri" w:hAnsi="Calibri" w:cs="Calibri"/>
        </w:rPr>
        <w:t>.</w:t>
      </w:r>
    </w:p>
    <w:p w14:paraId="1960AD57" w14:textId="027988CE" w:rsidR="00167D94" w:rsidRPr="00D633FF" w:rsidRDefault="007D1BAC" w:rsidP="00A62838">
      <w:pPr>
        <w:spacing w:line="360" w:lineRule="auto"/>
        <w:rPr>
          <w:rFonts w:ascii="Calibri" w:hAnsi="Calibri" w:cs="Calibri"/>
        </w:rPr>
      </w:pPr>
      <w:r w:rsidRPr="00D633FF">
        <w:rPr>
          <w:rFonts w:ascii="Calibri" w:hAnsi="Calibri" w:cs="Calibri"/>
        </w:rPr>
        <w:t xml:space="preserve">Various methods have been used to measure selenium bioavailability in foods, including changes in </w:t>
      </w:r>
      <w:r w:rsidR="00EE2F51" w:rsidRPr="00D633FF">
        <w:rPr>
          <w:rFonts w:ascii="Calibri" w:hAnsi="Calibri" w:cs="Calibri"/>
        </w:rPr>
        <w:t>blood (including</w:t>
      </w:r>
      <w:r w:rsidR="00195A21" w:rsidRPr="00D633FF">
        <w:rPr>
          <w:rFonts w:ascii="Calibri" w:hAnsi="Calibri" w:cs="Calibri"/>
        </w:rPr>
        <w:t xml:space="preserve"> </w:t>
      </w:r>
      <w:r w:rsidRPr="00D633FF">
        <w:rPr>
          <w:rFonts w:ascii="Calibri" w:hAnsi="Calibri" w:cs="Calibri"/>
        </w:rPr>
        <w:t>plasma</w:t>
      </w:r>
      <w:r w:rsidR="00195A21" w:rsidRPr="00D633FF">
        <w:rPr>
          <w:rFonts w:ascii="Calibri" w:hAnsi="Calibri" w:cs="Calibri"/>
        </w:rPr>
        <w:t>, serum and erythrocytes)</w:t>
      </w:r>
      <w:r w:rsidRPr="00D633FF">
        <w:rPr>
          <w:rFonts w:ascii="Calibri" w:hAnsi="Calibri" w:cs="Calibri"/>
        </w:rPr>
        <w:t xml:space="preserve"> selenium concentration, </w:t>
      </w:r>
      <w:proofErr w:type="spellStart"/>
      <w:r w:rsidRPr="00D633FF">
        <w:rPr>
          <w:rFonts w:ascii="Calibri" w:hAnsi="Calibri" w:cs="Calibri"/>
        </w:rPr>
        <w:t>GPx</w:t>
      </w:r>
      <w:proofErr w:type="spellEnd"/>
      <w:r w:rsidRPr="00D633FF">
        <w:rPr>
          <w:rFonts w:ascii="Calibri" w:hAnsi="Calibri" w:cs="Calibri"/>
        </w:rPr>
        <w:t xml:space="preserve"> enzyme activity, and absorption/retention studies using stable isotopes </w:t>
      </w:r>
      <w:r w:rsidR="00F41A14" w:rsidRPr="00D633FF">
        <w:rPr>
          <w:rFonts w:ascii="Calibri" w:hAnsi="Calibri" w:cs="Calibri"/>
          <w:noProof/>
        </w:rPr>
        <w:t>(Fairweather-Tait &amp; Collings 2010)</w:t>
      </w:r>
      <w:r w:rsidR="00FB7498" w:rsidRPr="00D633FF">
        <w:rPr>
          <w:rFonts w:ascii="Calibri" w:hAnsi="Calibri" w:cs="Calibri"/>
        </w:rPr>
        <w:t xml:space="preserve">. </w:t>
      </w:r>
      <w:r w:rsidR="00FE3222" w:rsidRPr="00D633FF">
        <w:rPr>
          <w:rFonts w:ascii="Calibri" w:hAnsi="Calibri" w:cs="Calibri"/>
        </w:rPr>
        <w:t xml:space="preserve">Data on selenium metabolism from various foods and supplements show differences in absorption and utilisation between inorganic and organic forms in humans </w:t>
      </w:r>
      <w:r w:rsidR="00F41A14" w:rsidRPr="00D633FF">
        <w:rPr>
          <w:rFonts w:ascii="Calibri" w:hAnsi="Calibri" w:cs="Calibri"/>
          <w:noProof/>
        </w:rPr>
        <w:t>(Brown et al. 2000; Butler et al. 1991)</w:t>
      </w:r>
      <w:r w:rsidR="00DC13D9" w:rsidRPr="00D633FF">
        <w:rPr>
          <w:rFonts w:ascii="Calibri" w:hAnsi="Calibri" w:cs="Calibri"/>
        </w:rPr>
        <w:t>.</w:t>
      </w:r>
      <w:r w:rsidR="00F11E75" w:rsidRPr="00D633FF">
        <w:rPr>
          <w:rFonts w:ascii="Calibri" w:hAnsi="Calibri" w:cs="Calibri"/>
        </w:rPr>
        <w:t xml:space="preserve"> Plants accumulate inorganic forms of selenium like selenites and selenates through soil and ground water and convert to organic forms like </w:t>
      </w:r>
      <w:proofErr w:type="spellStart"/>
      <w:r w:rsidR="00F11E75" w:rsidRPr="00D633FF">
        <w:rPr>
          <w:rFonts w:ascii="Calibri" w:hAnsi="Calibri" w:cs="Calibri"/>
        </w:rPr>
        <w:t>selenomethionine</w:t>
      </w:r>
      <w:proofErr w:type="spellEnd"/>
      <w:r w:rsidR="00F11E75" w:rsidRPr="00D633FF">
        <w:rPr>
          <w:rFonts w:ascii="Calibri" w:hAnsi="Calibri" w:cs="Calibri"/>
        </w:rPr>
        <w:t xml:space="preserve"> and selenocysteine, with </w:t>
      </w:r>
      <w:proofErr w:type="spellStart"/>
      <w:r w:rsidR="00F11E75" w:rsidRPr="00D633FF">
        <w:rPr>
          <w:rFonts w:ascii="Calibri" w:hAnsi="Calibri" w:cs="Calibri"/>
        </w:rPr>
        <w:t>selenomethionine</w:t>
      </w:r>
      <w:proofErr w:type="spellEnd"/>
      <w:r w:rsidR="00F11E75" w:rsidRPr="00D633FF">
        <w:rPr>
          <w:rFonts w:ascii="Calibri" w:hAnsi="Calibri" w:cs="Calibri"/>
        </w:rPr>
        <w:t xml:space="preserve"> being more readily absorbed and retained than inorganic forms</w:t>
      </w:r>
      <w:r w:rsidR="00DC13D9" w:rsidRPr="00D633FF">
        <w:rPr>
          <w:rFonts w:ascii="Calibri" w:hAnsi="Calibri" w:cs="Calibri"/>
        </w:rPr>
        <w:t xml:space="preserve"> </w:t>
      </w:r>
      <w:r w:rsidR="00F41A14" w:rsidRPr="00D633FF">
        <w:rPr>
          <w:rFonts w:ascii="Calibri" w:hAnsi="Calibri" w:cs="Calibri"/>
          <w:noProof/>
        </w:rPr>
        <w:t>(Hadrup &amp; Ravn-Haren 2021)</w:t>
      </w:r>
      <w:r w:rsidR="00DC13D9" w:rsidRPr="00D633FF">
        <w:rPr>
          <w:rFonts w:ascii="Calibri" w:hAnsi="Calibri" w:cs="Calibri"/>
        </w:rPr>
        <w:t>.</w:t>
      </w:r>
      <w:r w:rsidR="00FE3222" w:rsidRPr="00D633FF">
        <w:rPr>
          <w:rFonts w:ascii="Calibri" w:hAnsi="Calibri" w:cs="Calibri"/>
        </w:rPr>
        <w:t xml:space="preserve"> </w:t>
      </w:r>
    </w:p>
    <w:p w14:paraId="417EF68F" w14:textId="48A98598" w:rsidR="00FE3222" w:rsidRPr="00D633FF" w:rsidRDefault="00FE3222" w:rsidP="00A62838">
      <w:pPr>
        <w:spacing w:line="360" w:lineRule="auto"/>
        <w:rPr>
          <w:rFonts w:ascii="Calibri" w:hAnsi="Calibri" w:cs="Calibri"/>
        </w:rPr>
      </w:pPr>
      <w:r w:rsidRPr="00D633FF">
        <w:rPr>
          <w:rFonts w:ascii="Calibri" w:hAnsi="Calibri" w:cs="Calibri"/>
        </w:rPr>
        <w:t xml:space="preserve">While the absorptive pathways are not fully understood, selenium in the form of selenate or selenite is well absorbed but less retained compared to organic forms like </w:t>
      </w:r>
      <w:proofErr w:type="spellStart"/>
      <w:r w:rsidRPr="00D633FF">
        <w:rPr>
          <w:rFonts w:ascii="Calibri" w:hAnsi="Calibri" w:cs="Calibri"/>
        </w:rPr>
        <w:t>selenomethionine</w:t>
      </w:r>
      <w:proofErr w:type="spellEnd"/>
      <w:r w:rsidRPr="00D633FF">
        <w:rPr>
          <w:rFonts w:ascii="Calibri" w:hAnsi="Calibri" w:cs="Calibri"/>
        </w:rPr>
        <w:t xml:space="preserve"> and selenocysteine</w:t>
      </w:r>
      <w:r w:rsidR="00DC13D9" w:rsidRPr="00D633FF">
        <w:rPr>
          <w:rFonts w:ascii="Calibri" w:hAnsi="Calibri" w:cs="Calibri"/>
        </w:rPr>
        <w:t xml:space="preserve"> </w:t>
      </w:r>
      <w:r w:rsidR="00F41A14" w:rsidRPr="00D633FF">
        <w:rPr>
          <w:rFonts w:ascii="Calibri" w:hAnsi="Calibri" w:cs="Calibri"/>
          <w:noProof/>
        </w:rPr>
        <w:t>(Burk et al. 2006; Schrauzer 2000)</w:t>
      </w:r>
      <w:r w:rsidR="00DC13D9" w:rsidRPr="00D633FF">
        <w:rPr>
          <w:rFonts w:ascii="Calibri" w:hAnsi="Calibri" w:cs="Calibri"/>
        </w:rPr>
        <w:t xml:space="preserve">. </w:t>
      </w:r>
      <w:proofErr w:type="spellStart"/>
      <w:r w:rsidR="00ED73A5" w:rsidRPr="00D633FF">
        <w:rPr>
          <w:rFonts w:ascii="Calibri" w:hAnsi="Calibri" w:cs="Calibri"/>
        </w:rPr>
        <w:t>Selenomethionine</w:t>
      </w:r>
      <w:proofErr w:type="spellEnd"/>
      <w:r w:rsidR="00ED73A5" w:rsidRPr="00D633FF">
        <w:rPr>
          <w:rFonts w:ascii="Calibri" w:hAnsi="Calibri" w:cs="Calibri"/>
        </w:rPr>
        <w:t xml:space="preserve"> is absorbed primarily in the duodenum similarly to methionine and is not influenced by selenium status</w:t>
      </w:r>
      <w:r w:rsidR="00B937D2" w:rsidRPr="00D633FF">
        <w:rPr>
          <w:rFonts w:ascii="Calibri" w:hAnsi="Calibri" w:cs="Calibri"/>
        </w:rPr>
        <w:t xml:space="preserve"> </w:t>
      </w:r>
      <w:r w:rsidR="00F41A14" w:rsidRPr="00D633FF">
        <w:rPr>
          <w:rFonts w:ascii="Calibri" w:hAnsi="Calibri" w:cs="Calibri"/>
          <w:noProof/>
        </w:rPr>
        <w:t>(NHMRC 2006)</w:t>
      </w:r>
      <w:r w:rsidR="00FB3081" w:rsidRPr="00D633FF">
        <w:rPr>
          <w:rFonts w:ascii="Calibri" w:hAnsi="Calibri" w:cs="Calibri"/>
        </w:rPr>
        <w:t xml:space="preserve">. </w:t>
      </w:r>
      <w:r w:rsidRPr="00D633FF">
        <w:rPr>
          <w:rFonts w:ascii="Calibri" w:hAnsi="Calibri" w:cs="Calibri"/>
        </w:rPr>
        <w:t xml:space="preserve">Most selenium forms are efficiently absorbed, but their metabolism depends on their plasma form. </w:t>
      </w:r>
      <w:proofErr w:type="spellStart"/>
      <w:r w:rsidRPr="00D633FF">
        <w:rPr>
          <w:rFonts w:ascii="Calibri" w:hAnsi="Calibri" w:cs="Calibri"/>
        </w:rPr>
        <w:t>Selenomethionine</w:t>
      </w:r>
      <w:proofErr w:type="spellEnd"/>
      <w:r w:rsidRPr="00D633FF">
        <w:rPr>
          <w:rFonts w:ascii="Calibri" w:hAnsi="Calibri" w:cs="Calibri"/>
        </w:rPr>
        <w:t xml:space="preserve">, selenocysteine, selenate, and selenite enter the selenide pool, where they are either used for selenoprotein synthesis or excreted as </w:t>
      </w:r>
      <w:proofErr w:type="spellStart"/>
      <w:r w:rsidRPr="00D633FF">
        <w:rPr>
          <w:rFonts w:ascii="Calibri" w:hAnsi="Calibri" w:cs="Calibri"/>
        </w:rPr>
        <w:t>selenosugar</w:t>
      </w:r>
      <w:proofErr w:type="spellEnd"/>
      <w:r w:rsidRPr="00D633FF">
        <w:rPr>
          <w:rFonts w:ascii="Calibri" w:hAnsi="Calibri" w:cs="Calibri"/>
        </w:rPr>
        <w:t xml:space="preserve"> in</w:t>
      </w:r>
      <w:r w:rsidR="782A4CDC" w:rsidRPr="00D633FF">
        <w:rPr>
          <w:rFonts w:ascii="Calibri" w:hAnsi="Calibri" w:cs="Calibri"/>
        </w:rPr>
        <w:t xml:space="preserve"> the</w:t>
      </w:r>
      <w:r w:rsidRPr="00D633FF">
        <w:rPr>
          <w:rFonts w:ascii="Calibri" w:hAnsi="Calibri" w:cs="Calibri"/>
        </w:rPr>
        <w:t xml:space="preserve"> urine</w:t>
      </w:r>
      <w:r w:rsidR="00A45FE3" w:rsidRPr="00D633FF">
        <w:rPr>
          <w:rFonts w:ascii="Calibri" w:hAnsi="Calibri" w:cs="Calibri"/>
        </w:rPr>
        <w:t xml:space="preserve"> </w:t>
      </w:r>
      <w:r w:rsidR="00F41A14" w:rsidRPr="00D633FF">
        <w:rPr>
          <w:rFonts w:ascii="Calibri" w:hAnsi="Calibri" w:cs="Calibri"/>
          <w:noProof/>
        </w:rPr>
        <w:t>(Fairweather-Tait &amp; Collings 2010)</w:t>
      </w:r>
      <w:r w:rsidR="00FB7498" w:rsidRPr="00D633FF">
        <w:rPr>
          <w:rFonts w:ascii="Calibri" w:hAnsi="Calibri" w:cs="Calibri"/>
        </w:rPr>
        <w:t xml:space="preserve">. </w:t>
      </w:r>
      <w:r w:rsidR="009911EF" w:rsidRPr="00D633FF">
        <w:rPr>
          <w:rFonts w:ascii="Calibri" w:hAnsi="Calibri" w:cs="Calibri"/>
        </w:rPr>
        <w:t>One</w:t>
      </w:r>
      <w:r w:rsidR="5737541E" w:rsidRPr="00D633FF">
        <w:rPr>
          <w:rFonts w:ascii="Calibri" w:hAnsi="Calibri" w:cs="Calibri"/>
        </w:rPr>
        <w:t xml:space="preserve"> study found</w:t>
      </w:r>
      <w:r w:rsidR="00A803BB" w:rsidRPr="00D633FF">
        <w:rPr>
          <w:rFonts w:ascii="Calibri" w:hAnsi="Calibri" w:cs="Calibri"/>
        </w:rPr>
        <w:t xml:space="preserve"> that most selenium from meat</w:t>
      </w:r>
      <w:r w:rsidR="002A0A88" w:rsidRPr="00D633FF">
        <w:rPr>
          <w:rFonts w:ascii="Calibri" w:hAnsi="Calibri" w:cs="Calibri"/>
        </w:rPr>
        <w:t xml:space="preserve"> -</w:t>
      </w:r>
      <w:r w:rsidR="00A803BB" w:rsidRPr="00D633FF">
        <w:rPr>
          <w:rFonts w:ascii="Calibri" w:hAnsi="Calibri" w:cs="Calibri"/>
        </w:rPr>
        <w:t xml:space="preserve"> assumed to be primarily </w:t>
      </w:r>
      <w:proofErr w:type="spellStart"/>
      <w:r w:rsidR="00A803BB" w:rsidRPr="00D633FF">
        <w:rPr>
          <w:rFonts w:ascii="Calibri" w:hAnsi="Calibri" w:cs="Calibri"/>
        </w:rPr>
        <w:t>selenomethionine</w:t>
      </w:r>
      <w:proofErr w:type="spellEnd"/>
      <w:r w:rsidR="004B0309" w:rsidRPr="00D633FF">
        <w:rPr>
          <w:rFonts w:ascii="Calibri" w:hAnsi="Calibri" w:cs="Calibri"/>
        </w:rPr>
        <w:t xml:space="preserve"> </w:t>
      </w:r>
      <w:r w:rsidR="002A0A88" w:rsidRPr="00D633FF">
        <w:rPr>
          <w:rFonts w:ascii="Calibri" w:hAnsi="Calibri" w:cs="Calibri"/>
        </w:rPr>
        <w:t>-</w:t>
      </w:r>
      <w:r w:rsidR="00A803BB" w:rsidRPr="00D633FF">
        <w:rPr>
          <w:rFonts w:ascii="Calibri" w:hAnsi="Calibri" w:cs="Calibri"/>
        </w:rPr>
        <w:t xml:space="preserve"> is absorbed, with just over half retained in the body</w:t>
      </w:r>
      <w:r w:rsidR="009911EF" w:rsidRPr="00D633FF">
        <w:rPr>
          <w:rFonts w:ascii="Calibri" w:hAnsi="Calibri" w:cs="Calibri"/>
        </w:rPr>
        <w:t xml:space="preserve"> </w:t>
      </w:r>
      <w:r w:rsidR="00F41A14" w:rsidRPr="00D633FF">
        <w:rPr>
          <w:rFonts w:ascii="Calibri" w:hAnsi="Calibri" w:cs="Calibri"/>
          <w:noProof/>
        </w:rPr>
        <w:t>(Bügel et al. 2004)</w:t>
      </w:r>
      <w:r w:rsidR="00286CDE" w:rsidRPr="00D633FF">
        <w:rPr>
          <w:rFonts w:ascii="Calibri" w:hAnsi="Calibri" w:cs="Calibri"/>
        </w:rPr>
        <w:t xml:space="preserve">. </w:t>
      </w:r>
      <w:r w:rsidR="00A803BB" w:rsidRPr="00D633FF">
        <w:rPr>
          <w:rFonts w:ascii="Calibri" w:hAnsi="Calibri" w:cs="Calibri"/>
        </w:rPr>
        <w:t xml:space="preserve">Selenium from Brazil nuts showed better utilisation than </w:t>
      </w:r>
      <w:proofErr w:type="spellStart"/>
      <w:r w:rsidR="00A803BB" w:rsidRPr="00D633FF">
        <w:rPr>
          <w:rFonts w:ascii="Calibri" w:hAnsi="Calibri" w:cs="Calibri"/>
        </w:rPr>
        <w:t>selenomethionine</w:t>
      </w:r>
      <w:proofErr w:type="spellEnd"/>
      <w:r w:rsidR="00A803BB" w:rsidRPr="00D633FF">
        <w:rPr>
          <w:rFonts w:ascii="Calibri" w:hAnsi="Calibri" w:cs="Calibri"/>
        </w:rPr>
        <w:t>, as evidenced by similar plasma selenium increases despite lower daily intake</w:t>
      </w:r>
      <w:r w:rsidR="00431CE7" w:rsidRPr="00D633FF">
        <w:rPr>
          <w:rFonts w:ascii="Calibri" w:hAnsi="Calibri" w:cs="Calibri"/>
        </w:rPr>
        <w:t xml:space="preserve"> </w:t>
      </w:r>
      <w:r w:rsidR="00F41A14" w:rsidRPr="00D633FF">
        <w:rPr>
          <w:rFonts w:ascii="Calibri" w:hAnsi="Calibri" w:cs="Calibri"/>
          <w:noProof/>
        </w:rPr>
        <w:t>(Thomson et al. 2008)</w:t>
      </w:r>
      <w:r w:rsidR="00431CE7" w:rsidRPr="00D633FF">
        <w:rPr>
          <w:rFonts w:ascii="Calibri" w:hAnsi="Calibri" w:cs="Calibri"/>
        </w:rPr>
        <w:t>.</w:t>
      </w:r>
    </w:p>
    <w:p w14:paraId="0D54A448" w14:textId="29CAE5F3" w:rsidR="00FE3222" w:rsidRPr="00D633FF" w:rsidRDefault="00FE3222" w:rsidP="00A62838">
      <w:pPr>
        <w:spacing w:line="360" w:lineRule="auto"/>
        <w:rPr>
          <w:rFonts w:ascii="Calibri" w:hAnsi="Calibri" w:cs="Calibri"/>
        </w:rPr>
      </w:pPr>
      <w:proofErr w:type="spellStart"/>
      <w:r w:rsidRPr="00D633FF">
        <w:rPr>
          <w:rFonts w:ascii="Calibri" w:hAnsi="Calibri" w:cs="Calibri"/>
        </w:rPr>
        <w:t>Selenomethionine</w:t>
      </w:r>
      <w:proofErr w:type="spellEnd"/>
      <w:r w:rsidRPr="00D633FF">
        <w:rPr>
          <w:rFonts w:ascii="Calibri" w:hAnsi="Calibri" w:cs="Calibri"/>
        </w:rPr>
        <w:t xml:space="preserve"> can also be directly incorporated into proteins by replacing methionine</w:t>
      </w:r>
      <w:r w:rsidR="003F39D7" w:rsidRPr="00D633FF">
        <w:rPr>
          <w:rFonts w:ascii="Calibri" w:hAnsi="Calibri" w:cs="Calibri"/>
        </w:rPr>
        <w:t xml:space="preserve"> </w:t>
      </w:r>
      <w:r w:rsidR="00F41A14" w:rsidRPr="00D633FF">
        <w:rPr>
          <w:rFonts w:ascii="Calibri" w:hAnsi="Calibri" w:cs="Calibri"/>
          <w:noProof/>
        </w:rPr>
        <w:t>(Fairweather-Tait &amp; Collings 2010)</w:t>
      </w:r>
      <w:r w:rsidR="00FB7498" w:rsidRPr="00D633FF">
        <w:rPr>
          <w:rFonts w:ascii="Calibri" w:hAnsi="Calibri" w:cs="Calibri"/>
        </w:rPr>
        <w:t xml:space="preserve">. </w:t>
      </w:r>
      <w:r w:rsidRPr="00D633FF">
        <w:rPr>
          <w:rFonts w:ascii="Calibri" w:hAnsi="Calibri" w:cs="Calibri"/>
        </w:rPr>
        <w:t xml:space="preserve">The organic compound γ-glutamyl </w:t>
      </w:r>
      <w:proofErr w:type="spellStart"/>
      <w:r w:rsidRPr="00D633FF">
        <w:rPr>
          <w:rFonts w:ascii="Calibri" w:hAnsi="Calibri" w:cs="Calibri"/>
        </w:rPr>
        <w:t>methylselenocysteine</w:t>
      </w:r>
      <w:proofErr w:type="spellEnd"/>
      <w:r w:rsidRPr="00D633FF">
        <w:rPr>
          <w:rFonts w:ascii="Calibri" w:hAnsi="Calibri" w:cs="Calibri"/>
        </w:rPr>
        <w:t>, found in brassica and allium vegetables</w:t>
      </w:r>
      <w:r w:rsidR="13A6BB24" w:rsidRPr="00D633FF">
        <w:rPr>
          <w:rFonts w:ascii="Calibri" w:hAnsi="Calibri" w:cs="Calibri"/>
        </w:rPr>
        <w:t xml:space="preserve"> is metabolised differently </w:t>
      </w:r>
      <w:r w:rsidR="00F41A14" w:rsidRPr="00D633FF">
        <w:rPr>
          <w:rFonts w:ascii="Calibri" w:hAnsi="Calibri" w:cs="Calibri"/>
          <w:noProof/>
        </w:rPr>
        <w:t>(Rayman et al. 2008)</w:t>
      </w:r>
      <w:r w:rsidR="00431CE7" w:rsidRPr="00D633FF">
        <w:rPr>
          <w:rFonts w:ascii="Calibri" w:hAnsi="Calibri" w:cs="Calibri"/>
        </w:rPr>
        <w:t>.</w:t>
      </w:r>
      <w:r w:rsidRPr="00D633FF">
        <w:rPr>
          <w:rFonts w:ascii="Calibri" w:hAnsi="Calibri" w:cs="Calibri"/>
        </w:rPr>
        <w:t xml:space="preserve"> It</w:t>
      </w:r>
      <w:r w:rsidR="6679FA50" w:rsidRPr="00D633FF">
        <w:rPr>
          <w:rFonts w:ascii="Calibri" w:hAnsi="Calibri" w:cs="Calibri"/>
        </w:rPr>
        <w:t xml:space="preserve"> converts to</w:t>
      </w:r>
      <w:r w:rsidRPr="00D633FF">
        <w:rPr>
          <w:rFonts w:ascii="Calibri" w:hAnsi="Calibri" w:cs="Calibri"/>
        </w:rPr>
        <w:t xml:space="preserve"> Se-</w:t>
      </w:r>
      <w:proofErr w:type="spellStart"/>
      <w:r w:rsidRPr="00D633FF">
        <w:rPr>
          <w:rFonts w:ascii="Calibri" w:hAnsi="Calibri" w:cs="Calibri"/>
        </w:rPr>
        <w:lastRenderedPageBreak/>
        <w:t>methylselenocysteine</w:t>
      </w:r>
      <w:proofErr w:type="spellEnd"/>
      <w:r w:rsidRPr="00D633FF">
        <w:rPr>
          <w:rFonts w:ascii="Calibri" w:hAnsi="Calibri" w:cs="Calibri"/>
        </w:rPr>
        <w:t xml:space="preserve"> and then</w:t>
      </w:r>
      <w:r w:rsidR="67E934EC" w:rsidRPr="00D633FF">
        <w:rPr>
          <w:rFonts w:ascii="Calibri" w:hAnsi="Calibri" w:cs="Calibri"/>
        </w:rPr>
        <w:t xml:space="preserve"> to</w:t>
      </w:r>
      <w:r w:rsidRPr="00D633FF">
        <w:rPr>
          <w:rFonts w:ascii="Calibri" w:hAnsi="Calibri" w:cs="Calibri"/>
        </w:rPr>
        <w:t xml:space="preserve"> β-lyase into </w:t>
      </w:r>
      <w:proofErr w:type="spellStart"/>
      <w:r w:rsidRPr="00D633FF">
        <w:rPr>
          <w:rFonts w:ascii="Calibri" w:hAnsi="Calibri" w:cs="Calibri"/>
        </w:rPr>
        <w:t>methylselenol</w:t>
      </w:r>
      <w:proofErr w:type="spellEnd"/>
      <w:r w:rsidRPr="00D633FF">
        <w:rPr>
          <w:rFonts w:ascii="Calibri" w:hAnsi="Calibri" w:cs="Calibri"/>
        </w:rPr>
        <w:t>, which is mainly excreted in breath and urine but</w:t>
      </w:r>
      <w:r w:rsidR="3C51DAC0" w:rsidRPr="00D633FF">
        <w:rPr>
          <w:rFonts w:ascii="Calibri" w:hAnsi="Calibri" w:cs="Calibri"/>
        </w:rPr>
        <w:t xml:space="preserve"> can</w:t>
      </w:r>
      <w:r w:rsidRPr="00D633FF">
        <w:rPr>
          <w:rFonts w:ascii="Calibri" w:hAnsi="Calibri" w:cs="Calibri"/>
        </w:rPr>
        <w:t xml:space="preserve"> also enter the selenide pool.</w:t>
      </w:r>
      <w:r w:rsidR="009B60D0" w:rsidRPr="00D633FF">
        <w:rPr>
          <w:rFonts w:ascii="Calibri" w:hAnsi="Calibri" w:cs="Calibri"/>
        </w:rPr>
        <w:t xml:space="preserve"> </w:t>
      </w:r>
    </w:p>
    <w:p w14:paraId="207F8F40" w14:textId="77777777" w:rsidR="00C22CA2" w:rsidRPr="00D633FF" w:rsidRDefault="00C22CA2" w:rsidP="00C22CA2">
      <w:pPr>
        <w:pStyle w:val="Heading2"/>
        <w:spacing w:line="360" w:lineRule="auto"/>
        <w:rPr>
          <w:rFonts w:ascii="Calibri" w:hAnsi="Calibri" w:cs="Calibri"/>
          <w:b/>
          <w:bCs/>
        </w:rPr>
      </w:pPr>
      <w:bookmarkStart w:id="16" w:name="_Toc218527955"/>
      <w:r w:rsidRPr="00D633FF">
        <w:rPr>
          <w:rFonts w:ascii="Calibri" w:hAnsi="Calibri" w:cs="Calibri"/>
          <w:b/>
          <w:bCs/>
        </w:rPr>
        <w:t>Health effects of excess</w:t>
      </w:r>
      <w:bookmarkEnd w:id="16"/>
    </w:p>
    <w:p w14:paraId="5174C19A" w14:textId="0392DC4F" w:rsidR="00D125A3" w:rsidRPr="00D633FF" w:rsidRDefault="009D12D7" w:rsidP="009D12D7">
      <w:pPr>
        <w:pStyle w:val="Heading3"/>
        <w:rPr>
          <w:rFonts w:ascii="Calibri" w:hAnsi="Calibri" w:cs="Calibri"/>
        </w:rPr>
      </w:pPr>
      <w:bookmarkStart w:id="17" w:name="_Toc218527956"/>
      <w:r w:rsidRPr="00D633FF">
        <w:rPr>
          <w:rFonts w:ascii="Calibri" w:hAnsi="Calibri" w:cs="Calibri"/>
        </w:rPr>
        <w:t>Excess selenium</w:t>
      </w:r>
      <w:bookmarkEnd w:id="17"/>
    </w:p>
    <w:p w14:paraId="06E56406" w14:textId="12D2EF70" w:rsidR="0098678C" w:rsidRPr="00D633FF" w:rsidRDefault="00EB0293" w:rsidP="00F50A7A">
      <w:pPr>
        <w:spacing w:line="360" w:lineRule="auto"/>
        <w:rPr>
          <w:rFonts w:ascii="Calibri" w:hAnsi="Calibri" w:cs="Calibri"/>
        </w:rPr>
      </w:pPr>
      <w:r w:rsidRPr="00D633FF">
        <w:rPr>
          <w:rFonts w:ascii="Calibri" w:hAnsi="Calibri" w:cs="Calibri"/>
        </w:rPr>
        <w:t xml:space="preserve">Health effects of excess selenium </w:t>
      </w:r>
      <w:r w:rsidR="00E3367E" w:rsidRPr="00D633FF">
        <w:rPr>
          <w:rFonts w:ascii="Calibri" w:hAnsi="Calibri" w:cs="Calibri"/>
        </w:rPr>
        <w:t xml:space="preserve">can </w:t>
      </w:r>
      <w:r w:rsidR="00D91074" w:rsidRPr="00D633FF">
        <w:rPr>
          <w:rFonts w:ascii="Calibri" w:hAnsi="Calibri" w:cs="Calibri"/>
        </w:rPr>
        <w:t>present</w:t>
      </w:r>
      <w:r w:rsidR="006A4648" w:rsidRPr="00D633FF">
        <w:rPr>
          <w:rFonts w:ascii="Calibri" w:hAnsi="Calibri" w:cs="Calibri"/>
        </w:rPr>
        <w:t xml:space="preserve"> as clusters of symptoms as outlined below for </w:t>
      </w:r>
      <w:r w:rsidR="00D91074" w:rsidRPr="00D633FF">
        <w:rPr>
          <w:rFonts w:ascii="Calibri" w:hAnsi="Calibri" w:cs="Calibri"/>
        </w:rPr>
        <w:t>a</w:t>
      </w:r>
      <w:r w:rsidR="006A4648" w:rsidRPr="00D633FF">
        <w:rPr>
          <w:rFonts w:ascii="Calibri" w:hAnsi="Calibri" w:cs="Calibri"/>
        </w:rPr>
        <w:t xml:space="preserve">cute and chronic selenosis. </w:t>
      </w:r>
    </w:p>
    <w:p w14:paraId="58A76091" w14:textId="24830573" w:rsidR="00C22CA2" w:rsidRPr="00D633FF" w:rsidRDefault="00C22CA2" w:rsidP="00C22CA2">
      <w:pPr>
        <w:pStyle w:val="Heading4"/>
        <w:spacing w:line="360" w:lineRule="auto"/>
        <w:rPr>
          <w:rFonts w:ascii="Calibri" w:hAnsi="Calibri" w:cs="Calibri"/>
        </w:rPr>
      </w:pPr>
      <w:r w:rsidRPr="00D633FF">
        <w:rPr>
          <w:rFonts w:ascii="Calibri" w:hAnsi="Calibri" w:cs="Calibri"/>
        </w:rPr>
        <w:t xml:space="preserve">Acute selenosis </w:t>
      </w:r>
    </w:p>
    <w:p w14:paraId="28307E1B" w14:textId="61FF06FE" w:rsidR="00C22CA2" w:rsidRPr="00D633FF" w:rsidRDefault="00C22CA2" w:rsidP="00C22CA2">
      <w:pPr>
        <w:spacing w:line="360" w:lineRule="auto"/>
        <w:rPr>
          <w:rFonts w:ascii="Calibri" w:hAnsi="Calibri" w:cs="Calibri"/>
        </w:rPr>
      </w:pPr>
      <w:r w:rsidRPr="00D633FF">
        <w:rPr>
          <w:rFonts w:ascii="Calibri" w:hAnsi="Calibri" w:cs="Calibri"/>
        </w:rPr>
        <w:t xml:space="preserve">Acute selenium poisoning, also known as 'acute selenosis,' presents with symptoms such as low blood pressure (hypotension) and rapid heart rate (tachycardia), along with nausea, vomiting, diarrhoea, abdominal pain, and pulmonary oedema. Neurological symptoms can include tremors, muscle spasms, restlessness, confusion, delirium, and even coma </w:t>
      </w:r>
      <w:r w:rsidR="00F41A14" w:rsidRPr="00D633FF">
        <w:rPr>
          <w:rFonts w:ascii="Calibri" w:hAnsi="Calibri" w:cs="Calibri"/>
          <w:noProof/>
        </w:rPr>
        <w:t>(Fairweather-Tait &amp; Collings 2010; Nuttall 2006)</w:t>
      </w:r>
      <w:r w:rsidRPr="00D633FF">
        <w:rPr>
          <w:rFonts w:ascii="Calibri" w:hAnsi="Calibri" w:cs="Calibri"/>
        </w:rPr>
        <w:t>.</w:t>
      </w:r>
    </w:p>
    <w:p w14:paraId="6762AD12" w14:textId="3688C240" w:rsidR="00C22CA2" w:rsidRPr="00D633FF" w:rsidRDefault="00C22CA2" w:rsidP="00C22CA2">
      <w:pPr>
        <w:spacing w:line="360" w:lineRule="auto"/>
        <w:rPr>
          <w:rFonts w:ascii="Calibri" w:hAnsi="Calibri" w:cs="Calibri"/>
        </w:rPr>
      </w:pPr>
      <w:r w:rsidRPr="00D633FF">
        <w:rPr>
          <w:rStyle w:val="Heading4Char"/>
          <w:rFonts w:ascii="Calibri" w:hAnsi="Calibri" w:cs="Calibri"/>
        </w:rPr>
        <w:t>Chronic selenosis</w:t>
      </w:r>
      <w:r w:rsidRPr="00D633FF">
        <w:rPr>
          <w:rFonts w:ascii="Calibri" w:hAnsi="Calibri" w:cs="Calibri"/>
          <w:i/>
          <w:iCs/>
        </w:rPr>
        <w:br/>
      </w:r>
      <w:r w:rsidRPr="00D633FF">
        <w:rPr>
          <w:rFonts w:ascii="Calibri" w:hAnsi="Calibri" w:cs="Calibri"/>
        </w:rPr>
        <w:t xml:space="preserve">The most common signs of chronic selenium poisoning, or 'chronic selenosis,' include brittle, thickened nails with white spots and longitudinal streaks, as well as brittle hair and hair loss (alopecia). Other symptoms include tooth discoloration and decay, a garlic odour on the breath, skin lesions, and neurological issues such as fatigue, weakness, peripheral paraesthesia, hyperreflexia, pain in the extremities, unsteady gait, paralysis, and decreased cognitive function </w:t>
      </w:r>
      <w:r w:rsidR="00F41A14" w:rsidRPr="00D633FF">
        <w:rPr>
          <w:rFonts w:ascii="Calibri" w:hAnsi="Calibri" w:cs="Calibri"/>
          <w:noProof/>
        </w:rPr>
        <w:t>(Fairweather-Tait &amp; Collings 2010; NHMRC 2006; Nuttall 2006; Rayman et al. 2008)</w:t>
      </w:r>
      <w:r w:rsidRPr="00D633FF">
        <w:rPr>
          <w:rFonts w:ascii="Calibri" w:hAnsi="Calibri" w:cs="Calibri"/>
        </w:rPr>
        <w:t>.</w:t>
      </w:r>
    </w:p>
    <w:p w14:paraId="64D8D42C" w14:textId="1049A3A6" w:rsidR="000B079E" w:rsidRPr="00D633FF" w:rsidRDefault="000B079E" w:rsidP="002356E0">
      <w:pPr>
        <w:pStyle w:val="Heading3"/>
        <w:spacing w:line="360" w:lineRule="auto"/>
        <w:rPr>
          <w:rFonts w:ascii="Calibri" w:hAnsi="Calibri" w:cs="Calibri"/>
        </w:rPr>
      </w:pPr>
      <w:bookmarkStart w:id="18" w:name="_Toc218527957"/>
      <w:r w:rsidRPr="00D633FF">
        <w:rPr>
          <w:rFonts w:ascii="Calibri" w:hAnsi="Calibri" w:cs="Calibri"/>
        </w:rPr>
        <w:t>Sensitive or at-risk groups</w:t>
      </w:r>
      <w:bookmarkEnd w:id="18"/>
    </w:p>
    <w:p w14:paraId="000E1943" w14:textId="5A555EBA" w:rsidR="003D571F" w:rsidRPr="00D633FF" w:rsidRDefault="003D571F" w:rsidP="002356E0">
      <w:pPr>
        <w:spacing w:line="360" w:lineRule="auto"/>
        <w:rPr>
          <w:rFonts w:ascii="Calibri" w:eastAsia="Times New Roman" w:hAnsi="Calibri" w:cs="Calibri"/>
          <w:sz w:val="20"/>
          <w:szCs w:val="20"/>
        </w:rPr>
      </w:pPr>
      <w:r w:rsidRPr="00D633FF">
        <w:rPr>
          <w:rFonts w:ascii="Calibri" w:eastAsia="Times New Roman" w:hAnsi="Calibri" w:cs="Calibri"/>
        </w:rPr>
        <w:t xml:space="preserve">While several population groups are at greater risk of deficiency </w:t>
      </w:r>
      <w:r w:rsidR="001B693C" w:rsidRPr="00D633FF">
        <w:rPr>
          <w:rFonts w:ascii="Calibri" w:eastAsia="Times New Roman" w:hAnsi="Calibri" w:cs="Calibri"/>
        </w:rPr>
        <w:t xml:space="preserve">– including </w:t>
      </w:r>
      <w:r w:rsidRPr="00D633FF">
        <w:rPr>
          <w:rFonts w:ascii="Calibri" w:eastAsia="Times New Roman" w:hAnsi="Calibri" w:cs="Calibri"/>
        </w:rPr>
        <w:t>cigarette smokers</w:t>
      </w:r>
      <w:r w:rsidR="00AB36B2" w:rsidRPr="00D633FF">
        <w:rPr>
          <w:rFonts w:ascii="Calibri" w:eastAsia="Times New Roman" w:hAnsi="Calibri" w:cs="Calibri"/>
        </w:rPr>
        <w:t xml:space="preserve"> </w:t>
      </w:r>
      <w:r w:rsidR="00F41A14" w:rsidRPr="00D633FF">
        <w:rPr>
          <w:rFonts w:ascii="Calibri" w:eastAsia="Times New Roman" w:hAnsi="Calibri" w:cs="Calibri"/>
          <w:noProof/>
        </w:rPr>
        <w:t>(Park et al. 2011; Thomson 2004)</w:t>
      </w:r>
      <w:r w:rsidRPr="00D633FF">
        <w:rPr>
          <w:rFonts w:ascii="Calibri" w:eastAsia="Times New Roman" w:hAnsi="Calibri" w:cs="Calibri"/>
        </w:rPr>
        <w:t xml:space="preserve">, people living in regions with low soil selenium levels </w:t>
      </w:r>
      <w:r w:rsidR="00F41A14" w:rsidRPr="00D633FF">
        <w:rPr>
          <w:rFonts w:ascii="Calibri" w:eastAsia="Times New Roman" w:hAnsi="Calibri" w:cs="Calibri"/>
          <w:noProof/>
        </w:rPr>
        <w:t>(Daniels 2004)</w:t>
      </w:r>
      <w:r w:rsidR="000237C4" w:rsidRPr="00D633FF">
        <w:rPr>
          <w:rFonts w:ascii="Calibri" w:eastAsia="Times New Roman" w:hAnsi="Calibri" w:cs="Calibri"/>
        </w:rPr>
        <w:t xml:space="preserve"> </w:t>
      </w:r>
      <w:r w:rsidRPr="00D633FF">
        <w:rPr>
          <w:rFonts w:ascii="Calibri" w:eastAsia="Times New Roman" w:hAnsi="Calibri" w:cs="Calibri"/>
        </w:rPr>
        <w:t xml:space="preserve">or </w:t>
      </w:r>
      <w:r w:rsidR="00011C6C" w:rsidRPr="00D633FF">
        <w:rPr>
          <w:rFonts w:ascii="Calibri" w:eastAsia="Times New Roman" w:hAnsi="Calibri" w:cs="Calibri"/>
        </w:rPr>
        <w:t xml:space="preserve">people </w:t>
      </w:r>
      <w:r w:rsidRPr="00D633FF">
        <w:rPr>
          <w:rFonts w:ascii="Calibri" w:eastAsia="Times New Roman" w:hAnsi="Calibri" w:cs="Calibri"/>
        </w:rPr>
        <w:t>with inflammatory conditions</w:t>
      </w:r>
      <w:r w:rsidR="008E0041" w:rsidRPr="00D633FF">
        <w:rPr>
          <w:rFonts w:ascii="Calibri" w:eastAsia="Times New Roman" w:hAnsi="Calibri" w:cs="Calibri"/>
        </w:rPr>
        <w:t xml:space="preserve"> </w:t>
      </w:r>
      <w:r w:rsidR="00F41A14" w:rsidRPr="00D633FF">
        <w:rPr>
          <w:rFonts w:ascii="Calibri" w:eastAsia="Times New Roman" w:hAnsi="Calibri" w:cs="Calibri"/>
          <w:noProof/>
        </w:rPr>
        <w:t>(Duntas &amp; Hubalewska-Dydejczyk 2015; Huang et al. 2012)</w:t>
      </w:r>
      <w:r w:rsidRPr="00D633FF">
        <w:rPr>
          <w:rFonts w:ascii="Calibri" w:eastAsia="Times New Roman" w:hAnsi="Calibri" w:cs="Calibri"/>
        </w:rPr>
        <w:t>)</w:t>
      </w:r>
      <w:r w:rsidR="001B693C" w:rsidRPr="00D633FF">
        <w:rPr>
          <w:rFonts w:ascii="Calibri" w:eastAsia="Times New Roman" w:hAnsi="Calibri" w:cs="Calibri"/>
        </w:rPr>
        <w:t xml:space="preserve"> -</w:t>
      </w:r>
      <w:r w:rsidRPr="00D633FF">
        <w:rPr>
          <w:rFonts w:ascii="Calibri" w:eastAsia="Times New Roman" w:hAnsi="Calibri" w:cs="Calibri"/>
        </w:rPr>
        <w:t xml:space="preserve"> no evidence </w:t>
      </w:r>
      <w:r w:rsidR="00593633" w:rsidRPr="00D633FF">
        <w:rPr>
          <w:rFonts w:ascii="Calibri" w:eastAsia="Times New Roman" w:hAnsi="Calibri" w:cs="Calibri"/>
        </w:rPr>
        <w:t xml:space="preserve">has been identified that </w:t>
      </w:r>
      <w:r w:rsidR="003E01BF" w:rsidRPr="00D633FF">
        <w:rPr>
          <w:rFonts w:ascii="Calibri" w:eastAsia="Times New Roman" w:hAnsi="Calibri" w:cs="Calibri"/>
        </w:rPr>
        <w:t>sugges</w:t>
      </w:r>
      <w:r w:rsidR="00593633" w:rsidRPr="00D633FF">
        <w:rPr>
          <w:rFonts w:ascii="Calibri" w:eastAsia="Times New Roman" w:hAnsi="Calibri" w:cs="Calibri"/>
        </w:rPr>
        <w:t>ts</w:t>
      </w:r>
      <w:r w:rsidRPr="00D633FF">
        <w:rPr>
          <w:rFonts w:ascii="Calibri" w:eastAsia="Times New Roman" w:hAnsi="Calibri" w:cs="Calibri"/>
        </w:rPr>
        <w:t xml:space="preserve"> any specific groups are at greater risk of </w:t>
      </w:r>
      <w:r w:rsidR="00593633" w:rsidRPr="00D633FF">
        <w:rPr>
          <w:rFonts w:ascii="Calibri" w:eastAsia="Times New Roman" w:hAnsi="Calibri" w:cs="Calibri"/>
        </w:rPr>
        <w:t xml:space="preserve">selenium </w:t>
      </w:r>
      <w:r w:rsidRPr="00D633FF">
        <w:rPr>
          <w:rFonts w:ascii="Calibri" w:eastAsia="Times New Roman" w:hAnsi="Calibri" w:cs="Calibri"/>
        </w:rPr>
        <w:t>excess</w:t>
      </w:r>
      <w:r w:rsidRPr="00D633FF">
        <w:rPr>
          <w:rFonts w:ascii="Calibri" w:eastAsia="Times New Roman" w:hAnsi="Calibri" w:cs="Calibri"/>
          <w:sz w:val="20"/>
          <w:szCs w:val="20"/>
        </w:rPr>
        <w:t>.</w:t>
      </w:r>
      <w:r w:rsidR="00D544ED" w:rsidRPr="00D633FF">
        <w:rPr>
          <w:rFonts w:ascii="Calibri" w:hAnsi="Calibri" w:cs="Calibri"/>
        </w:rPr>
        <w:t xml:space="preserve"> </w:t>
      </w:r>
      <w:r w:rsidR="00D544ED" w:rsidRPr="00D633FF">
        <w:rPr>
          <w:rFonts w:ascii="Calibri" w:eastAsia="Times New Roman" w:hAnsi="Calibri" w:cs="Calibri"/>
        </w:rPr>
        <w:t>Habitual consumption of Brazil nuts (due to their high concentration of selenium) or excess consumption of selenium containing supplements could lead to excess in some individuals.</w:t>
      </w:r>
    </w:p>
    <w:p w14:paraId="6478E78B" w14:textId="0D68F86D" w:rsidR="00B8683D" w:rsidRPr="00D633FF" w:rsidRDefault="0045541C" w:rsidP="000C5115">
      <w:pPr>
        <w:pStyle w:val="Heading4"/>
        <w:rPr>
          <w:rFonts w:ascii="Calibri" w:hAnsi="Calibri" w:cs="Calibri"/>
        </w:rPr>
      </w:pPr>
      <w:r w:rsidRPr="00D633FF">
        <w:rPr>
          <w:rFonts w:ascii="Calibri" w:hAnsi="Calibri" w:cs="Calibri"/>
        </w:rPr>
        <w:t>Inflammation</w:t>
      </w:r>
    </w:p>
    <w:p w14:paraId="0B757473" w14:textId="1D1A8AAB" w:rsidR="000C5115" w:rsidRPr="00D633FF" w:rsidRDefault="00A02926" w:rsidP="00B8683D">
      <w:pPr>
        <w:spacing w:line="360" w:lineRule="auto"/>
        <w:rPr>
          <w:rFonts w:ascii="Calibri" w:hAnsi="Calibri" w:cs="Calibri"/>
        </w:rPr>
      </w:pPr>
      <w:r w:rsidRPr="00D633FF">
        <w:rPr>
          <w:rFonts w:ascii="Calibri" w:hAnsi="Calibri" w:cs="Calibri"/>
        </w:rPr>
        <w:t xml:space="preserve">Dietary selenium plays an important role in inflammation and </w:t>
      </w:r>
      <w:r w:rsidR="00AC23CC" w:rsidRPr="00D633FF">
        <w:rPr>
          <w:rFonts w:ascii="Calibri" w:hAnsi="Calibri" w:cs="Calibri"/>
        </w:rPr>
        <w:t>the immune response</w:t>
      </w:r>
      <w:r w:rsidR="00112FBC" w:rsidRPr="00D633FF">
        <w:rPr>
          <w:rFonts w:ascii="Calibri" w:hAnsi="Calibri" w:cs="Calibri"/>
        </w:rPr>
        <w:t xml:space="preserve"> </w:t>
      </w:r>
      <w:r w:rsidR="00F41A14" w:rsidRPr="00D633FF">
        <w:rPr>
          <w:rFonts w:ascii="Calibri" w:hAnsi="Calibri" w:cs="Calibri"/>
          <w:noProof/>
        </w:rPr>
        <w:t>(Huang et al. 2012)</w:t>
      </w:r>
      <w:r w:rsidRPr="00D633FF">
        <w:rPr>
          <w:rFonts w:ascii="Calibri" w:hAnsi="Calibri" w:cs="Calibri"/>
        </w:rPr>
        <w:t xml:space="preserve"> </w:t>
      </w:r>
      <w:r w:rsidR="00AC23CC" w:rsidRPr="00D633FF">
        <w:rPr>
          <w:rFonts w:ascii="Calibri" w:hAnsi="Calibri" w:cs="Calibri"/>
        </w:rPr>
        <w:t>with c</w:t>
      </w:r>
      <w:r w:rsidRPr="00D633FF">
        <w:rPr>
          <w:rFonts w:ascii="Calibri" w:hAnsi="Calibri" w:cs="Calibri"/>
        </w:rPr>
        <w:t xml:space="preserve">hronic </w:t>
      </w:r>
      <w:r w:rsidR="009F3314" w:rsidRPr="00D633FF">
        <w:rPr>
          <w:rFonts w:ascii="Calibri" w:hAnsi="Calibri" w:cs="Calibri"/>
        </w:rPr>
        <w:t>inflammation thought to deplete selenium stores in the body</w:t>
      </w:r>
      <w:r w:rsidR="00A72BBD" w:rsidRPr="00D633FF">
        <w:rPr>
          <w:rFonts w:ascii="Calibri" w:hAnsi="Calibri" w:cs="Calibri"/>
        </w:rPr>
        <w:t xml:space="preserve"> </w:t>
      </w:r>
      <w:r w:rsidR="00F41A14" w:rsidRPr="00D633FF">
        <w:rPr>
          <w:rFonts w:ascii="Calibri" w:hAnsi="Calibri" w:cs="Calibri"/>
          <w:noProof/>
        </w:rPr>
        <w:t>(Duntas &amp; Hubalewska-Dydejczyk 2015)</w:t>
      </w:r>
      <w:r w:rsidR="00EB75AB" w:rsidRPr="00D633FF">
        <w:rPr>
          <w:rFonts w:ascii="Calibri" w:hAnsi="Calibri" w:cs="Calibri"/>
        </w:rPr>
        <w:t xml:space="preserve">. Adequate </w:t>
      </w:r>
      <w:r w:rsidR="00DD5628" w:rsidRPr="00D633FF">
        <w:rPr>
          <w:rFonts w:ascii="Calibri" w:hAnsi="Calibri" w:cs="Calibri"/>
        </w:rPr>
        <w:t xml:space="preserve">selenium levels in the body are important for </w:t>
      </w:r>
      <w:r w:rsidR="00DF5E6E" w:rsidRPr="00D633FF">
        <w:rPr>
          <w:rFonts w:ascii="Calibri" w:hAnsi="Calibri" w:cs="Calibri"/>
        </w:rPr>
        <w:t xml:space="preserve">both </w:t>
      </w:r>
      <w:r w:rsidR="00DD5628" w:rsidRPr="00D633FF">
        <w:rPr>
          <w:rFonts w:ascii="Calibri" w:hAnsi="Calibri" w:cs="Calibri"/>
        </w:rPr>
        <w:t>initiating immunity</w:t>
      </w:r>
      <w:r w:rsidR="00DF5E6E" w:rsidRPr="00D633FF">
        <w:rPr>
          <w:rFonts w:ascii="Calibri" w:hAnsi="Calibri" w:cs="Calibri"/>
        </w:rPr>
        <w:t xml:space="preserve"> and regulating excessive immune responses</w:t>
      </w:r>
      <w:r w:rsidR="00673C21" w:rsidRPr="00D633FF">
        <w:rPr>
          <w:rFonts w:ascii="Calibri" w:hAnsi="Calibri" w:cs="Calibri"/>
        </w:rPr>
        <w:t xml:space="preserve"> and chronic inflammation </w:t>
      </w:r>
      <w:r w:rsidR="00F41A14" w:rsidRPr="00D633FF">
        <w:rPr>
          <w:rFonts w:ascii="Calibri" w:hAnsi="Calibri" w:cs="Calibri"/>
          <w:noProof/>
        </w:rPr>
        <w:t>(Huang et al. 2012)</w:t>
      </w:r>
      <w:r w:rsidR="00673C21" w:rsidRPr="00D633FF">
        <w:rPr>
          <w:rFonts w:ascii="Calibri" w:hAnsi="Calibri" w:cs="Calibri"/>
        </w:rPr>
        <w:t>.</w:t>
      </w:r>
      <w:r w:rsidR="0087716B" w:rsidRPr="00D633FF">
        <w:rPr>
          <w:rFonts w:ascii="Calibri" w:hAnsi="Calibri" w:cs="Calibri"/>
        </w:rPr>
        <w:t xml:space="preserve"> </w:t>
      </w:r>
      <w:r w:rsidR="00E44127" w:rsidRPr="00D633FF">
        <w:rPr>
          <w:rFonts w:ascii="Calibri" w:hAnsi="Calibri" w:cs="Calibri"/>
        </w:rPr>
        <w:lastRenderedPageBreak/>
        <w:t>Although inflammatory diseases can decrease selenium levels in the body</w:t>
      </w:r>
      <w:r w:rsidR="00AA192B" w:rsidRPr="00D633FF">
        <w:rPr>
          <w:rFonts w:ascii="Calibri" w:hAnsi="Calibri" w:cs="Calibri"/>
        </w:rPr>
        <w:t xml:space="preserve">, </w:t>
      </w:r>
      <w:r w:rsidR="00FB3B1F" w:rsidRPr="00D633FF">
        <w:rPr>
          <w:rFonts w:ascii="Calibri" w:hAnsi="Calibri" w:cs="Calibri"/>
        </w:rPr>
        <w:t xml:space="preserve">it </w:t>
      </w:r>
      <w:r w:rsidR="008E38F0" w:rsidRPr="00D633FF">
        <w:rPr>
          <w:rFonts w:ascii="Calibri" w:hAnsi="Calibri" w:cs="Calibri"/>
        </w:rPr>
        <w:t xml:space="preserve">should </w:t>
      </w:r>
      <w:r w:rsidR="00FB3B1F" w:rsidRPr="00D633FF">
        <w:rPr>
          <w:rFonts w:ascii="Calibri" w:hAnsi="Calibri" w:cs="Calibri"/>
        </w:rPr>
        <w:t xml:space="preserve">not be assumed </w:t>
      </w:r>
      <w:r w:rsidR="008E38F0" w:rsidRPr="00D633FF">
        <w:rPr>
          <w:rFonts w:ascii="Calibri" w:hAnsi="Calibri" w:cs="Calibri"/>
        </w:rPr>
        <w:t>that people with inflammatory disease are selenium deficient</w:t>
      </w:r>
      <w:r w:rsidR="00DA2963" w:rsidRPr="00D633FF">
        <w:rPr>
          <w:rFonts w:ascii="Calibri" w:hAnsi="Calibri" w:cs="Calibri"/>
        </w:rPr>
        <w:t xml:space="preserve">, </w:t>
      </w:r>
      <w:r w:rsidR="007F5ACF" w:rsidRPr="00D633FF">
        <w:rPr>
          <w:rFonts w:ascii="Calibri" w:hAnsi="Calibri" w:cs="Calibri"/>
        </w:rPr>
        <w:t xml:space="preserve">selenium status should be </w:t>
      </w:r>
      <w:r w:rsidR="0045541C" w:rsidRPr="00D633FF">
        <w:rPr>
          <w:rFonts w:ascii="Calibri" w:hAnsi="Calibri" w:cs="Calibri"/>
        </w:rPr>
        <w:t>mea</w:t>
      </w:r>
      <w:r w:rsidR="00FD54D9" w:rsidRPr="00D633FF">
        <w:rPr>
          <w:rFonts w:ascii="Calibri" w:hAnsi="Calibri" w:cs="Calibri"/>
        </w:rPr>
        <w:t>s</w:t>
      </w:r>
      <w:r w:rsidR="0045541C" w:rsidRPr="00D633FF">
        <w:rPr>
          <w:rFonts w:ascii="Calibri" w:hAnsi="Calibri" w:cs="Calibri"/>
        </w:rPr>
        <w:t>ure</w:t>
      </w:r>
      <w:r w:rsidR="00FD54D9" w:rsidRPr="00D633FF">
        <w:rPr>
          <w:rFonts w:ascii="Calibri" w:hAnsi="Calibri" w:cs="Calibri"/>
        </w:rPr>
        <w:t>d</w:t>
      </w:r>
      <w:r w:rsidR="007F5ACF" w:rsidRPr="00D633FF">
        <w:rPr>
          <w:rFonts w:ascii="Calibri" w:hAnsi="Calibri" w:cs="Calibri"/>
        </w:rPr>
        <w:t xml:space="preserve"> </w:t>
      </w:r>
      <w:r w:rsidR="00926C39" w:rsidRPr="00D633FF">
        <w:rPr>
          <w:rFonts w:ascii="Calibri" w:hAnsi="Calibri" w:cs="Calibri"/>
        </w:rPr>
        <w:t xml:space="preserve">before </w:t>
      </w:r>
      <w:r w:rsidR="00AA192B" w:rsidRPr="00D633FF">
        <w:rPr>
          <w:rFonts w:ascii="Calibri" w:hAnsi="Calibri" w:cs="Calibri"/>
        </w:rPr>
        <w:t xml:space="preserve">selenium supplementation </w:t>
      </w:r>
      <w:r w:rsidR="00926C39" w:rsidRPr="00D633FF">
        <w:rPr>
          <w:rFonts w:ascii="Calibri" w:hAnsi="Calibri" w:cs="Calibri"/>
        </w:rPr>
        <w:t xml:space="preserve">is recommended </w:t>
      </w:r>
      <w:r w:rsidR="0076490E" w:rsidRPr="00D633FF">
        <w:rPr>
          <w:rFonts w:ascii="Calibri" w:hAnsi="Calibri" w:cs="Calibri"/>
        </w:rPr>
        <w:t xml:space="preserve">to minimise the risk of </w:t>
      </w:r>
      <w:r w:rsidR="003C6BDA" w:rsidRPr="00D633FF">
        <w:rPr>
          <w:rFonts w:ascii="Calibri" w:hAnsi="Calibri" w:cs="Calibri"/>
        </w:rPr>
        <w:t>selenosis</w:t>
      </w:r>
      <w:r w:rsidR="00926C39" w:rsidRPr="00D633FF">
        <w:rPr>
          <w:rFonts w:ascii="Calibri" w:hAnsi="Calibri" w:cs="Calibri"/>
        </w:rPr>
        <w:t xml:space="preserve"> in those with adequate-to-high status</w:t>
      </w:r>
      <w:r w:rsidR="000764E2" w:rsidRPr="00D633FF">
        <w:rPr>
          <w:rFonts w:ascii="Calibri" w:hAnsi="Calibri" w:cs="Calibri"/>
        </w:rPr>
        <w:t xml:space="preserve"> </w:t>
      </w:r>
      <w:r w:rsidR="00F41A14" w:rsidRPr="00D633FF">
        <w:rPr>
          <w:rFonts w:ascii="Calibri" w:hAnsi="Calibri" w:cs="Calibri"/>
          <w:noProof/>
        </w:rPr>
        <w:t>(Duntas &amp; Hubalewska-Dydejczyk 2015)</w:t>
      </w:r>
      <w:r w:rsidR="00B71414" w:rsidRPr="00D633FF">
        <w:rPr>
          <w:rFonts w:ascii="Calibri" w:hAnsi="Calibri" w:cs="Calibri"/>
        </w:rPr>
        <w:t>.</w:t>
      </w:r>
    </w:p>
    <w:p w14:paraId="7709979A" w14:textId="52E8B780" w:rsidR="005849D4" w:rsidRPr="00D633FF" w:rsidRDefault="00803297" w:rsidP="00C874CC">
      <w:pPr>
        <w:pStyle w:val="Heading2"/>
        <w:spacing w:line="276" w:lineRule="auto"/>
        <w:rPr>
          <w:rFonts w:ascii="Calibri" w:hAnsi="Calibri" w:cs="Calibri"/>
          <w:b/>
          <w:bCs/>
        </w:rPr>
      </w:pPr>
      <w:bookmarkStart w:id="19" w:name="_Toc218527958"/>
      <w:r w:rsidRPr="00D633FF">
        <w:rPr>
          <w:rFonts w:ascii="Calibri" w:hAnsi="Calibri" w:cs="Calibri"/>
          <w:b/>
          <w:bCs/>
        </w:rPr>
        <w:t>Measuring</w:t>
      </w:r>
      <w:r w:rsidR="00533662" w:rsidRPr="00D633FF">
        <w:rPr>
          <w:rFonts w:ascii="Calibri" w:hAnsi="Calibri" w:cs="Calibri"/>
          <w:b/>
          <w:bCs/>
        </w:rPr>
        <w:t xml:space="preserve"> intake or status</w:t>
      </w:r>
      <w:bookmarkEnd w:id="19"/>
    </w:p>
    <w:p w14:paraId="1B1B3D7C" w14:textId="77777777" w:rsidR="00641396" w:rsidRPr="00D633FF" w:rsidRDefault="00641396" w:rsidP="00A62838">
      <w:pPr>
        <w:pStyle w:val="Heading3"/>
        <w:spacing w:line="360" w:lineRule="auto"/>
        <w:rPr>
          <w:rFonts w:ascii="Calibri" w:hAnsi="Calibri" w:cs="Calibri"/>
        </w:rPr>
      </w:pPr>
      <w:bookmarkStart w:id="20" w:name="_Toc218527959"/>
      <w:r w:rsidRPr="00D633FF">
        <w:rPr>
          <w:rFonts w:ascii="Calibri" w:hAnsi="Calibri" w:cs="Calibri"/>
        </w:rPr>
        <w:t>Dietary assessment methods</w:t>
      </w:r>
      <w:bookmarkEnd w:id="20"/>
    </w:p>
    <w:p w14:paraId="7DD44FFE" w14:textId="5B031093" w:rsidR="00F16C15" w:rsidRPr="00D633FF" w:rsidRDefault="00C86FE8" w:rsidP="00C9424E">
      <w:pPr>
        <w:spacing w:line="360" w:lineRule="auto"/>
        <w:rPr>
          <w:rFonts w:ascii="Calibri" w:eastAsia="Times New Roman" w:hAnsi="Calibri" w:cs="Calibri"/>
        </w:rPr>
      </w:pPr>
      <w:r w:rsidRPr="00D633FF">
        <w:rPr>
          <w:rFonts w:ascii="Calibri" w:hAnsi="Calibri" w:cs="Calibri"/>
        </w:rPr>
        <w:t xml:space="preserve">Intake estimates based </w:t>
      </w:r>
      <w:r w:rsidR="007E2A52" w:rsidRPr="00D633FF">
        <w:rPr>
          <w:rFonts w:ascii="Calibri" w:hAnsi="Calibri" w:cs="Calibri"/>
        </w:rPr>
        <w:t xml:space="preserve">dietary assessment </w:t>
      </w:r>
      <w:r w:rsidR="004853DB" w:rsidRPr="00D633FF">
        <w:rPr>
          <w:rFonts w:ascii="Calibri" w:hAnsi="Calibri" w:cs="Calibri"/>
        </w:rPr>
        <w:t xml:space="preserve">methods </w:t>
      </w:r>
      <w:r w:rsidRPr="00D633FF">
        <w:rPr>
          <w:rFonts w:ascii="Calibri" w:hAnsi="Calibri" w:cs="Calibri"/>
        </w:rPr>
        <w:t xml:space="preserve">should be interpreted with caution due to potential inaccuracy in both the information provided by participants in 24-hour dietary recall interviews, and in the food composition databases. Under-reporting by participants is common in nutrition surveys due to changes to foods eaten because they know </w:t>
      </w:r>
      <w:r w:rsidRPr="00D633FF">
        <w:rPr>
          <w:rFonts w:ascii="Calibri" w:eastAsia="Times New Roman" w:hAnsi="Calibri" w:cs="Calibri"/>
        </w:rPr>
        <w:t>they will be participating in the survey, and misrepresentation (deliberate, unconscious or accidental), to make their diets appear ‘healthier’ or be quicker to report</w:t>
      </w:r>
      <w:r w:rsidR="00C9424E" w:rsidRPr="00D633FF">
        <w:rPr>
          <w:rFonts w:ascii="Calibri" w:eastAsia="Times New Roman" w:hAnsi="Calibri" w:cs="Calibri"/>
        </w:rPr>
        <w:t xml:space="preserve"> (social desirability bias)</w:t>
      </w:r>
      <w:r w:rsidRPr="00D633FF">
        <w:rPr>
          <w:rFonts w:ascii="Calibri" w:eastAsia="Times New Roman" w:hAnsi="Calibri" w:cs="Calibri"/>
        </w:rPr>
        <w:t xml:space="preserve">. Systematic under-reporting in children can be due to young children’s inability to remember what they have eaten, and parents/carers of school-aged children being unaware of a child’s food intake while at school. </w:t>
      </w:r>
    </w:p>
    <w:p w14:paraId="4EE66440" w14:textId="17B986D9" w:rsidR="00C0354C" w:rsidRPr="00D633FF" w:rsidRDefault="006449F8" w:rsidP="00A41FC0">
      <w:pPr>
        <w:spacing w:line="360" w:lineRule="auto"/>
        <w:rPr>
          <w:rFonts w:ascii="Calibri" w:hAnsi="Calibri" w:cs="Calibri"/>
        </w:rPr>
      </w:pPr>
      <w:r w:rsidRPr="00D633FF">
        <w:rPr>
          <w:rFonts w:ascii="Calibri" w:hAnsi="Calibri" w:cs="Calibri"/>
        </w:rPr>
        <w:t>Limitations of food composition databases include variability in nutrient content of food</w:t>
      </w:r>
      <w:r w:rsidR="00A548BA" w:rsidRPr="00D633FF">
        <w:rPr>
          <w:rFonts w:ascii="Calibri" w:hAnsi="Calibri" w:cs="Calibri"/>
        </w:rPr>
        <w:t xml:space="preserve"> due to factors such as variety, soil type and season</w:t>
      </w:r>
      <w:r w:rsidR="00835F7F" w:rsidRPr="00D633FF">
        <w:rPr>
          <w:rFonts w:ascii="Calibri" w:hAnsi="Calibri" w:cs="Calibri"/>
        </w:rPr>
        <w:t>, or changes to formulation or processing practices</w:t>
      </w:r>
      <w:r w:rsidR="000D16C7" w:rsidRPr="00D633FF">
        <w:rPr>
          <w:rFonts w:ascii="Calibri" w:hAnsi="Calibri" w:cs="Calibri"/>
        </w:rPr>
        <w:t>.</w:t>
      </w:r>
      <w:r w:rsidR="00AE6C21" w:rsidRPr="00D633FF">
        <w:rPr>
          <w:rFonts w:ascii="Calibri" w:hAnsi="Calibri" w:cs="Calibri"/>
        </w:rPr>
        <w:t xml:space="preserve"> </w:t>
      </w:r>
      <w:r w:rsidR="00ED29D2" w:rsidRPr="00D633FF">
        <w:rPr>
          <w:rFonts w:ascii="Calibri" w:hAnsi="Calibri" w:cs="Calibri"/>
        </w:rPr>
        <w:t xml:space="preserve">For some </w:t>
      </w:r>
      <w:r w:rsidR="00A01BED" w:rsidRPr="00D633FF">
        <w:rPr>
          <w:rFonts w:ascii="Calibri" w:hAnsi="Calibri" w:cs="Calibri"/>
        </w:rPr>
        <w:t>foods</w:t>
      </w:r>
      <w:r w:rsidR="00C833F7" w:rsidRPr="00D633FF">
        <w:rPr>
          <w:rFonts w:ascii="Calibri" w:hAnsi="Calibri" w:cs="Calibri"/>
        </w:rPr>
        <w:t>,</w:t>
      </w:r>
      <w:r w:rsidR="00A01BED" w:rsidRPr="00D633FF">
        <w:rPr>
          <w:rFonts w:ascii="Calibri" w:hAnsi="Calibri" w:cs="Calibri"/>
        </w:rPr>
        <w:t xml:space="preserve"> values cannot be generated</w:t>
      </w:r>
      <w:r w:rsidR="000F29FE" w:rsidRPr="00D633FF">
        <w:rPr>
          <w:rFonts w:ascii="Calibri" w:hAnsi="Calibri" w:cs="Calibri"/>
        </w:rPr>
        <w:t xml:space="preserve"> from analysed </w:t>
      </w:r>
      <w:r w:rsidR="000E19A2" w:rsidRPr="00D633FF">
        <w:rPr>
          <w:rFonts w:ascii="Calibri" w:hAnsi="Calibri" w:cs="Calibri"/>
        </w:rPr>
        <w:t>samples</w:t>
      </w:r>
      <w:r w:rsidR="000F29FE" w:rsidRPr="00D633FF">
        <w:rPr>
          <w:rFonts w:ascii="Calibri" w:hAnsi="Calibri" w:cs="Calibri"/>
        </w:rPr>
        <w:t xml:space="preserve"> and need to be </w:t>
      </w:r>
      <w:r w:rsidR="00C0354C" w:rsidRPr="00D633FF">
        <w:rPr>
          <w:rFonts w:ascii="Calibri" w:hAnsi="Calibri" w:cs="Calibri"/>
        </w:rPr>
        <w:t>borrowed from overseas food composition tables</w:t>
      </w:r>
      <w:r w:rsidR="000F29FE" w:rsidRPr="00D633FF">
        <w:rPr>
          <w:rFonts w:ascii="Calibri" w:hAnsi="Calibri" w:cs="Calibri"/>
        </w:rPr>
        <w:t>,</w:t>
      </w:r>
      <w:r w:rsidR="00C0354C" w:rsidRPr="00D633FF">
        <w:rPr>
          <w:rFonts w:ascii="Calibri" w:hAnsi="Calibri" w:cs="Calibri"/>
        </w:rPr>
        <w:t xml:space="preserve"> supplied by the food industry</w:t>
      </w:r>
      <w:r w:rsidR="000F29FE" w:rsidRPr="00D633FF">
        <w:rPr>
          <w:rFonts w:ascii="Calibri" w:hAnsi="Calibri" w:cs="Calibri"/>
        </w:rPr>
        <w:t>,</w:t>
      </w:r>
      <w:r w:rsidR="00C0354C" w:rsidRPr="00D633FF">
        <w:rPr>
          <w:rFonts w:ascii="Calibri" w:hAnsi="Calibri" w:cs="Calibri"/>
        </w:rPr>
        <w:t xml:space="preserve"> taken from food labels</w:t>
      </w:r>
      <w:r w:rsidR="000F29FE" w:rsidRPr="00D633FF">
        <w:rPr>
          <w:rFonts w:ascii="Calibri" w:hAnsi="Calibri" w:cs="Calibri"/>
        </w:rPr>
        <w:t>,</w:t>
      </w:r>
      <w:r w:rsidR="00C0354C" w:rsidRPr="00D633FF">
        <w:rPr>
          <w:rFonts w:ascii="Calibri" w:hAnsi="Calibri" w:cs="Calibri"/>
        </w:rPr>
        <w:t xml:space="preserve"> imputed from similar foods</w:t>
      </w:r>
      <w:r w:rsidR="000F29FE" w:rsidRPr="00D633FF">
        <w:rPr>
          <w:rFonts w:ascii="Calibri" w:hAnsi="Calibri" w:cs="Calibri"/>
        </w:rPr>
        <w:t>,</w:t>
      </w:r>
      <w:r w:rsidR="00C0354C" w:rsidRPr="00D633FF">
        <w:rPr>
          <w:rFonts w:ascii="Calibri" w:hAnsi="Calibri" w:cs="Calibri"/>
        </w:rPr>
        <w:t xml:space="preserve"> or calculated using a recipe approach</w:t>
      </w:r>
      <w:r w:rsidR="00281AB6" w:rsidRPr="00D633FF">
        <w:rPr>
          <w:rFonts w:ascii="Calibri" w:hAnsi="Calibri" w:cs="Calibri"/>
          <w:sz w:val="2"/>
          <w:szCs w:val="2"/>
        </w:rPr>
        <w:t>0F</w:t>
      </w:r>
      <w:r w:rsidR="00CB6915">
        <w:rPr>
          <w:rFonts w:ascii="ZWAdobeF" w:hAnsi="ZWAdobeF" w:cs="ZWAdobeF"/>
          <w:sz w:val="2"/>
          <w:szCs w:val="2"/>
        </w:rPr>
        <w:t>0F</w:t>
      </w:r>
      <w:r w:rsidR="00A41FC0" w:rsidRPr="00D633FF">
        <w:rPr>
          <w:rStyle w:val="FootnoteReference"/>
          <w:rFonts w:ascii="Calibri" w:hAnsi="Calibri" w:cs="Calibri"/>
        </w:rPr>
        <w:footnoteReference w:id="2"/>
      </w:r>
      <w:r w:rsidR="00C0354C" w:rsidRPr="00D633FF">
        <w:rPr>
          <w:rFonts w:ascii="Calibri" w:hAnsi="Calibri" w:cs="Calibri"/>
        </w:rPr>
        <w:t>.</w:t>
      </w:r>
      <w:r w:rsidR="00662360" w:rsidRPr="00D633FF">
        <w:rPr>
          <w:rFonts w:ascii="Calibri" w:hAnsi="Calibri" w:cs="Calibri"/>
        </w:rPr>
        <w:t xml:space="preserve"> </w:t>
      </w:r>
    </w:p>
    <w:p w14:paraId="7795BAB1" w14:textId="761EFDBE" w:rsidR="004F0A15" w:rsidRPr="00D633FF" w:rsidRDefault="00EE6BA5" w:rsidP="00A62838">
      <w:pPr>
        <w:pStyle w:val="Heading3"/>
        <w:spacing w:line="360" w:lineRule="auto"/>
        <w:rPr>
          <w:rFonts w:ascii="Calibri" w:hAnsi="Calibri" w:cs="Calibri"/>
        </w:rPr>
      </w:pPr>
      <w:bookmarkStart w:id="21" w:name="_Toc218527960"/>
      <w:r w:rsidRPr="00D633FF">
        <w:rPr>
          <w:rFonts w:ascii="Calibri" w:hAnsi="Calibri" w:cs="Calibri"/>
        </w:rPr>
        <w:t xml:space="preserve">Biomarkers of </w:t>
      </w:r>
      <w:r w:rsidR="00653E05" w:rsidRPr="00D633FF">
        <w:rPr>
          <w:rFonts w:ascii="Calibri" w:hAnsi="Calibri" w:cs="Calibri"/>
        </w:rPr>
        <w:t xml:space="preserve">intake </w:t>
      </w:r>
      <w:r w:rsidR="0004381F" w:rsidRPr="00D633FF">
        <w:rPr>
          <w:rFonts w:ascii="Calibri" w:hAnsi="Calibri" w:cs="Calibri"/>
        </w:rPr>
        <w:t>or</w:t>
      </w:r>
      <w:r w:rsidR="00653E05" w:rsidRPr="00D633FF">
        <w:rPr>
          <w:rFonts w:ascii="Calibri" w:hAnsi="Calibri" w:cs="Calibri"/>
        </w:rPr>
        <w:t xml:space="preserve"> </w:t>
      </w:r>
      <w:r w:rsidRPr="00D633FF">
        <w:rPr>
          <w:rFonts w:ascii="Calibri" w:hAnsi="Calibri" w:cs="Calibri"/>
        </w:rPr>
        <w:t>status</w:t>
      </w:r>
      <w:bookmarkEnd w:id="21"/>
    </w:p>
    <w:p w14:paraId="7BFF426C" w14:textId="641EBF08" w:rsidR="00975395" w:rsidRPr="00D633FF" w:rsidRDefault="00975395" w:rsidP="00975395">
      <w:pPr>
        <w:spacing w:line="360" w:lineRule="auto"/>
        <w:rPr>
          <w:rFonts w:ascii="Calibri" w:hAnsi="Calibri" w:cs="Calibri"/>
        </w:rPr>
      </w:pPr>
      <w:r w:rsidRPr="00D633FF">
        <w:rPr>
          <w:rFonts w:ascii="Calibri" w:hAnsi="Calibri" w:cs="Calibri"/>
        </w:rPr>
        <w:t xml:space="preserve">Accurate assessment of selenium intake requires analysing food samples due to geographic variations not captured in standard food tables </w:t>
      </w:r>
      <w:r w:rsidR="00F41A14" w:rsidRPr="00D633FF">
        <w:rPr>
          <w:rFonts w:ascii="Calibri" w:hAnsi="Calibri" w:cs="Calibri"/>
          <w:noProof/>
        </w:rPr>
        <w:t>(Combs 2015)</w:t>
      </w:r>
      <w:r w:rsidRPr="00D633FF">
        <w:rPr>
          <w:rFonts w:ascii="Calibri" w:hAnsi="Calibri" w:cs="Calibri"/>
        </w:rPr>
        <w:t xml:space="preserve">. Biomarkers of selenium status can help estimate intake, especially in selenium-deficient individuals, but the relationship between intake and plasma selenium levels varies with the form of selenium consumed </w:t>
      </w:r>
      <w:r w:rsidR="00F41A14" w:rsidRPr="00D633FF">
        <w:rPr>
          <w:rFonts w:ascii="Calibri" w:hAnsi="Calibri" w:cs="Calibri"/>
          <w:noProof/>
        </w:rPr>
        <w:t>(Combs 2015; Combs et al. 2012; Hurst et al. 2010)</w:t>
      </w:r>
      <w:r w:rsidRPr="00D633FF">
        <w:rPr>
          <w:rFonts w:ascii="Calibri" w:hAnsi="Calibri" w:cs="Calibri"/>
        </w:rPr>
        <w:t>.</w:t>
      </w:r>
    </w:p>
    <w:p w14:paraId="477D5491" w14:textId="3AA084F2" w:rsidR="00AD1387" w:rsidRPr="00D633FF" w:rsidRDefault="00582354" w:rsidP="001D4373">
      <w:pPr>
        <w:spacing w:line="360" w:lineRule="auto"/>
        <w:rPr>
          <w:rFonts w:ascii="Calibri" w:hAnsi="Calibri" w:cs="Calibri"/>
        </w:rPr>
        <w:sectPr w:rsidR="00AD1387" w:rsidRPr="00D633FF">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6" w:h="16838"/>
          <w:pgMar w:top="1440" w:right="1440" w:bottom="1440" w:left="1440" w:header="708" w:footer="708" w:gutter="0"/>
          <w:cols w:space="708"/>
          <w:docGrid w:linePitch="360"/>
        </w:sectPr>
      </w:pPr>
      <w:r w:rsidRPr="00D633FF">
        <w:rPr>
          <w:rFonts w:ascii="Calibri" w:hAnsi="Calibri" w:cs="Calibri"/>
        </w:rPr>
        <w:t xml:space="preserve">A variety of </w:t>
      </w:r>
      <w:r w:rsidR="00B177E7" w:rsidRPr="00D633FF">
        <w:rPr>
          <w:rFonts w:ascii="Calibri" w:hAnsi="Calibri" w:cs="Calibri"/>
        </w:rPr>
        <w:t>biomarkers are used to assess selenium intake and</w:t>
      </w:r>
      <w:r w:rsidR="001532F8" w:rsidRPr="00D633FF">
        <w:rPr>
          <w:rFonts w:ascii="Calibri" w:hAnsi="Calibri" w:cs="Calibri"/>
        </w:rPr>
        <w:t>/or</w:t>
      </w:r>
      <w:r w:rsidR="00B177E7" w:rsidRPr="00D633FF">
        <w:rPr>
          <w:rFonts w:ascii="Calibri" w:hAnsi="Calibri" w:cs="Calibri"/>
        </w:rPr>
        <w:t xml:space="preserve"> status, each with varying </w:t>
      </w:r>
      <w:r w:rsidR="00297D9F" w:rsidRPr="00D633FF">
        <w:rPr>
          <w:rFonts w:ascii="Calibri" w:hAnsi="Calibri" w:cs="Calibri"/>
        </w:rPr>
        <w:t>sensitivity and application</w:t>
      </w:r>
      <w:r w:rsidR="008B53B5" w:rsidRPr="00D633FF">
        <w:rPr>
          <w:rFonts w:ascii="Calibri" w:hAnsi="Calibri" w:cs="Calibri"/>
        </w:rPr>
        <w:t xml:space="preserve"> </w:t>
      </w:r>
      <w:r w:rsidR="00B20978" w:rsidRPr="00D633FF">
        <w:rPr>
          <w:rFonts w:ascii="Calibri" w:hAnsi="Calibri" w:cs="Calibri"/>
        </w:rPr>
        <w:t>(</w:t>
      </w:r>
      <w:r w:rsidR="00B20978" w:rsidRPr="00D633FF">
        <w:rPr>
          <w:rFonts w:ascii="Calibri" w:hAnsi="Calibri" w:cs="Calibri"/>
        </w:rPr>
        <w:fldChar w:fldCharType="begin" w:fldLock="1"/>
      </w:r>
      <w:r w:rsidR="00B20978" w:rsidRPr="00D633FF">
        <w:rPr>
          <w:rFonts w:ascii="Calibri" w:hAnsi="Calibri" w:cs="Calibri"/>
        </w:rPr>
        <w:instrText xml:space="preserve"> REF _Ref199391380 \h </w:instrText>
      </w:r>
      <w:r w:rsidR="00D633FF">
        <w:rPr>
          <w:rFonts w:ascii="Calibri" w:hAnsi="Calibri" w:cs="Calibri"/>
        </w:rPr>
        <w:instrText xml:space="preserve"> \* MERGEFORMAT </w:instrText>
      </w:r>
      <w:r w:rsidR="00B20978" w:rsidRPr="00D633FF">
        <w:rPr>
          <w:rFonts w:ascii="Calibri" w:hAnsi="Calibri" w:cs="Calibri"/>
        </w:rPr>
      </w:r>
      <w:r w:rsidR="00B20978" w:rsidRPr="00D633FF">
        <w:rPr>
          <w:rFonts w:ascii="Calibri" w:hAnsi="Calibri" w:cs="Calibri"/>
        </w:rPr>
        <w:fldChar w:fldCharType="separate"/>
      </w:r>
      <w:r w:rsidR="005F51E8" w:rsidRPr="00D633FF">
        <w:rPr>
          <w:rFonts w:ascii="Calibri" w:hAnsi="Calibri" w:cs="Calibri"/>
        </w:rPr>
        <w:t xml:space="preserve">Table </w:t>
      </w:r>
      <w:r w:rsidR="005F51E8" w:rsidRPr="00D633FF">
        <w:rPr>
          <w:rFonts w:ascii="Calibri" w:hAnsi="Calibri" w:cs="Calibri"/>
          <w:noProof/>
        </w:rPr>
        <w:t>1</w:t>
      </w:r>
      <w:r w:rsidR="00B20978" w:rsidRPr="00D633FF">
        <w:rPr>
          <w:rFonts w:ascii="Calibri" w:hAnsi="Calibri" w:cs="Calibri"/>
        </w:rPr>
        <w:fldChar w:fldCharType="end"/>
      </w:r>
      <w:r w:rsidR="00B20978" w:rsidRPr="00D633FF">
        <w:rPr>
          <w:rFonts w:ascii="Calibri" w:hAnsi="Calibri" w:cs="Calibri"/>
        </w:rPr>
        <w:t>)</w:t>
      </w:r>
      <w:r w:rsidR="00BE40FF" w:rsidRPr="00D633FF">
        <w:rPr>
          <w:rFonts w:ascii="Calibri" w:hAnsi="Calibri" w:cs="Calibri"/>
        </w:rPr>
        <w:t xml:space="preserve">. </w:t>
      </w:r>
      <w:r w:rsidRPr="00D633FF">
        <w:rPr>
          <w:rFonts w:ascii="Calibri" w:hAnsi="Calibri" w:cs="Calibri"/>
        </w:rPr>
        <w:t xml:space="preserve">Among these, serum/plasma concentration is the most widely used and supported by the strongest body of evidence. It is effective for detecting short- to medium-term changes in selenium </w:t>
      </w:r>
      <w:r w:rsidR="00653E05" w:rsidRPr="00D633FF">
        <w:rPr>
          <w:rFonts w:ascii="Calibri" w:hAnsi="Calibri" w:cs="Calibri"/>
        </w:rPr>
        <w:t>intake but</w:t>
      </w:r>
      <w:r w:rsidR="00A34CB9" w:rsidRPr="00D633FF">
        <w:rPr>
          <w:rFonts w:ascii="Calibri" w:hAnsi="Calibri" w:cs="Calibri"/>
        </w:rPr>
        <w:t xml:space="preserve"> shows limited sensitivity to inorganic selenium </w:t>
      </w:r>
      <w:r w:rsidR="006F2D7A" w:rsidRPr="00D633FF">
        <w:rPr>
          <w:rFonts w:ascii="Calibri" w:hAnsi="Calibri" w:cs="Calibri"/>
        </w:rPr>
        <w:t>in selenium-replete individuals, and responses to supplementation can vary</w:t>
      </w:r>
      <w:r w:rsidR="00653E05" w:rsidRPr="00D633FF">
        <w:rPr>
          <w:rFonts w:ascii="Calibri" w:hAnsi="Calibri" w:cs="Calibri"/>
        </w:rPr>
        <w:t xml:space="preserve"> </w:t>
      </w:r>
      <w:r w:rsidR="00F41A14" w:rsidRPr="00D633FF">
        <w:rPr>
          <w:rFonts w:ascii="Calibri" w:hAnsi="Calibri" w:cs="Calibri"/>
          <w:noProof/>
        </w:rPr>
        <w:t xml:space="preserve">(Ashton et al. 2009; Turck et al. </w:t>
      </w:r>
      <w:r w:rsidR="00F41A14" w:rsidRPr="00D633FF">
        <w:rPr>
          <w:rFonts w:ascii="Calibri" w:hAnsi="Calibri" w:cs="Calibri"/>
          <w:noProof/>
        </w:rPr>
        <w:lastRenderedPageBreak/>
        <w:t>2023)</w:t>
      </w:r>
      <w:r w:rsidR="00653E05" w:rsidRPr="00D633FF">
        <w:rPr>
          <w:rFonts w:ascii="Calibri" w:hAnsi="Calibri" w:cs="Calibri"/>
        </w:rPr>
        <w:t xml:space="preserve">. </w:t>
      </w:r>
      <w:r w:rsidR="0053021F" w:rsidRPr="00D633FF">
        <w:rPr>
          <w:rFonts w:ascii="Calibri" w:hAnsi="Calibri" w:cs="Calibri"/>
        </w:rPr>
        <w:t>Erythrocytes can also be used</w:t>
      </w:r>
      <w:r w:rsidR="00F35CD8" w:rsidRPr="00D633FF">
        <w:rPr>
          <w:rFonts w:ascii="Calibri" w:hAnsi="Calibri" w:cs="Calibri"/>
        </w:rPr>
        <w:t xml:space="preserve"> as a biomarker of selenium status </w:t>
      </w:r>
      <w:r w:rsidR="00F41A14" w:rsidRPr="00D633FF">
        <w:rPr>
          <w:rFonts w:ascii="Calibri" w:hAnsi="Calibri" w:cs="Calibri"/>
          <w:noProof/>
        </w:rPr>
        <w:t>(Combs Jr 2015)</w:t>
      </w:r>
      <w:r w:rsidR="00F35CD8" w:rsidRPr="00D633FF">
        <w:rPr>
          <w:rFonts w:ascii="Calibri" w:hAnsi="Calibri" w:cs="Calibri"/>
        </w:rPr>
        <w:t xml:space="preserve">. </w:t>
      </w:r>
      <w:r w:rsidR="006F2D7A" w:rsidRPr="00D633FF">
        <w:rPr>
          <w:rFonts w:ascii="Calibri" w:hAnsi="Calibri" w:cs="Calibri"/>
        </w:rPr>
        <w:t xml:space="preserve">Urinary selenium is another commonly used biomarker, reflecting short-term intake. </w:t>
      </w:r>
      <w:r w:rsidR="00F042C2" w:rsidRPr="00D633FF">
        <w:rPr>
          <w:rFonts w:ascii="Calibri" w:hAnsi="Calibri" w:cs="Calibri"/>
        </w:rPr>
        <w:t xml:space="preserve">While it can distinguish between high and low </w:t>
      </w:r>
      <w:r w:rsidR="00E76AAD" w:rsidRPr="00D633FF">
        <w:rPr>
          <w:rFonts w:ascii="Calibri" w:hAnsi="Calibri" w:cs="Calibri"/>
        </w:rPr>
        <w:t xml:space="preserve">selenium intakes, </w:t>
      </w:r>
      <w:r w:rsidR="00597D48" w:rsidRPr="00D633FF">
        <w:rPr>
          <w:rFonts w:ascii="Calibri" w:hAnsi="Calibri" w:cs="Calibri"/>
        </w:rPr>
        <w:t xml:space="preserve">the high variability of urinary selenium may limit its reliability. </w:t>
      </w:r>
      <w:r w:rsidR="00363A81" w:rsidRPr="00D633FF">
        <w:rPr>
          <w:rFonts w:ascii="Calibri" w:hAnsi="Calibri" w:cs="Calibri"/>
        </w:rPr>
        <w:t>For assessing long-term selenium status</w:t>
      </w:r>
      <w:r w:rsidR="00EA6A4F" w:rsidRPr="00D633FF">
        <w:rPr>
          <w:rFonts w:ascii="Calibri" w:hAnsi="Calibri" w:cs="Calibri"/>
        </w:rPr>
        <w:t xml:space="preserve">, toenail and hair selenium concentrations are used, particularly in observational studies. Selenoproteins such a </w:t>
      </w:r>
      <w:proofErr w:type="spellStart"/>
      <w:r w:rsidR="00EA6A4F" w:rsidRPr="00D633FF">
        <w:rPr>
          <w:rFonts w:ascii="Calibri" w:hAnsi="Calibri" w:cs="Calibri"/>
        </w:rPr>
        <w:t>GPx</w:t>
      </w:r>
      <w:proofErr w:type="spellEnd"/>
      <w:r w:rsidR="00EA6A4F" w:rsidRPr="00D633FF">
        <w:rPr>
          <w:rFonts w:ascii="Calibri" w:hAnsi="Calibri" w:cs="Calibri"/>
        </w:rPr>
        <w:t xml:space="preserve"> and selenoprotein P are also employed as functional biomarkers. However, their utility is limited to lower intake ranges (typically below 70 µg/day)</w:t>
      </w:r>
      <w:r w:rsidR="001E3946" w:rsidRPr="00D633FF">
        <w:rPr>
          <w:rFonts w:ascii="Calibri" w:hAnsi="Calibri" w:cs="Calibri"/>
        </w:rPr>
        <w:t xml:space="preserve">, and their levels may be influenced by oxidative stress. </w:t>
      </w:r>
      <w:r w:rsidR="00653E05" w:rsidRPr="00D633FF">
        <w:rPr>
          <w:rFonts w:ascii="Calibri" w:hAnsi="Calibri" w:cs="Calibri"/>
        </w:rPr>
        <w:t>Notabl</w:t>
      </w:r>
      <w:r w:rsidR="001E3946" w:rsidRPr="00D633FF">
        <w:rPr>
          <w:rFonts w:ascii="Calibri" w:hAnsi="Calibri" w:cs="Calibri"/>
        </w:rPr>
        <w:t>y, all selenium biomarkers are affected by various physiological and lifestyle factors, including age, sex, disease status, inflammation and smoking (see Appendix A</w:t>
      </w:r>
      <w:r w:rsidR="00653E05" w:rsidRPr="00D633FF">
        <w:rPr>
          <w:rFonts w:ascii="Calibri" w:hAnsi="Calibri" w:cs="Calibri"/>
        </w:rPr>
        <w:t xml:space="preserve">; </w:t>
      </w:r>
      <w:r w:rsidR="00F41A14" w:rsidRPr="00D633FF">
        <w:rPr>
          <w:rFonts w:ascii="Calibri" w:hAnsi="Calibri" w:cs="Calibri"/>
          <w:noProof/>
        </w:rPr>
        <w:t>(Turck et al. 2023)</w:t>
      </w:r>
      <w:r w:rsidR="00653E05" w:rsidRPr="00D633FF">
        <w:rPr>
          <w:rFonts w:ascii="Calibri" w:hAnsi="Calibri" w:cs="Calibri"/>
        </w:rPr>
        <w:t>, and it is important to c</w:t>
      </w:r>
      <w:r w:rsidR="001C1344" w:rsidRPr="00D633FF">
        <w:rPr>
          <w:rFonts w:ascii="Calibri" w:hAnsi="Calibri" w:cs="Calibri"/>
        </w:rPr>
        <w:t>onsider the context and limitations of each measure</w:t>
      </w:r>
      <w:r w:rsidR="00653E05" w:rsidRPr="00D633FF">
        <w:rPr>
          <w:rFonts w:ascii="Calibri" w:hAnsi="Calibri" w:cs="Calibri"/>
        </w:rPr>
        <w:t xml:space="preserve">. </w:t>
      </w:r>
      <w:bookmarkStart w:id="22" w:name="_Ref198215637"/>
    </w:p>
    <w:p w14:paraId="69B2D337" w14:textId="77777777" w:rsidR="00AD1387" w:rsidRPr="00D633FF" w:rsidRDefault="00AD1387" w:rsidP="00DB7D02">
      <w:pPr>
        <w:pStyle w:val="Caption"/>
        <w:keepNext/>
        <w:rPr>
          <w:rFonts w:ascii="Calibri" w:hAnsi="Calibri" w:cs="Calibri"/>
        </w:rPr>
      </w:pPr>
    </w:p>
    <w:p w14:paraId="31C05F86" w14:textId="1ECEA53D" w:rsidR="00C21B5D" w:rsidRPr="005356DF" w:rsidRDefault="000F6517" w:rsidP="00A63407">
      <w:pPr>
        <w:pStyle w:val="Caption"/>
        <w:keepNext/>
        <w:spacing w:after="120"/>
        <w:rPr>
          <w:rFonts w:ascii="Calibri" w:hAnsi="Calibri" w:cs="Calibri"/>
          <w:b/>
          <w:bCs/>
        </w:rPr>
      </w:pPr>
      <w:bookmarkStart w:id="23" w:name="_Ref199391380"/>
      <w:r w:rsidRPr="005356DF">
        <w:rPr>
          <w:rFonts w:ascii="Calibri" w:hAnsi="Calibri" w:cs="Calibri"/>
          <w:b/>
          <w:bCs/>
        </w:rPr>
        <w:t xml:space="preserve">Table </w:t>
      </w:r>
      <w:r w:rsidRPr="005356DF">
        <w:rPr>
          <w:rFonts w:ascii="Calibri" w:hAnsi="Calibri" w:cs="Calibri"/>
          <w:b/>
          <w:bCs/>
        </w:rPr>
        <w:fldChar w:fldCharType="begin"/>
      </w:r>
      <w:r w:rsidRPr="005356DF">
        <w:rPr>
          <w:rFonts w:ascii="Calibri" w:hAnsi="Calibri" w:cs="Calibri"/>
          <w:b/>
          <w:bCs/>
        </w:rPr>
        <w:instrText xml:space="preserve"> SEQ Table \* ARABIC </w:instrText>
      </w:r>
      <w:r w:rsidRPr="005356DF">
        <w:rPr>
          <w:rFonts w:ascii="Calibri" w:hAnsi="Calibri" w:cs="Calibri"/>
          <w:b/>
          <w:bCs/>
        </w:rPr>
        <w:fldChar w:fldCharType="separate"/>
      </w:r>
      <w:r w:rsidR="00CB6915" w:rsidRPr="005356DF">
        <w:rPr>
          <w:rFonts w:ascii="Calibri" w:hAnsi="Calibri" w:cs="Calibri"/>
          <w:b/>
          <w:bCs/>
          <w:noProof/>
        </w:rPr>
        <w:t>1</w:t>
      </w:r>
      <w:r w:rsidRPr="005356DF">
        <w:rPr>
          <w:rFonts w:ascii="Calibri" w:hAnsi="Calibri" w:cs="Calibri"/>
          <w:b/>
          <w:bCs/>
        </w:rPr>
        <w:fldChar w:fldCharType="end"/>
      </w:r>
      <w:bookmarkEnd w:id="22"/>
      <w:bookmarkEnd w:id="23"/>
      <w:r w:rsidR="00C21B5D" w:rsidRPr="005356DF">
        <w:rPr>
          <w:rFonts w:ascii="Calibri" w:hAnsi="Calibri" w:cs="Calibri"/>
          <w:b/>
          <w:bCs/>
        </w:rPr>
        <w:t>. Overview of biomarkers of selenium</w:t>
      </w:r>
      <w:r w:rsidR="00D7134D" w:rsidRPr="005356DF">
        <w:rPr>
          <w:rFonts w:ascii="Calibri" w:hAnsi="Calibri" w:cs="Calibri"/>
          <w:b/>
          <w:bCs/>
        </w:rPr>
        <w:t xml:space="preserve"> intake and</w:t>
      </w:r>
      <w:r w:rsidR="00C21B5D" w:rsidRPr="005356DF">
        <w:rPr>
          <w:rFonts w:ascii="Calibri" w:hAnsi="Calibri" w:cs="Calibri"/>
          <w:b/>
          <w:bCs/>
        </w:rPr>
        <w:t xml:space="preserve"> status</w:t>
      </w:r>
    </w:p>
    <w:tbl>
      <w:tblPr>
        <w:tblStyle w:val="TableGrid"/>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838"/>
        <w:gridCol w:w="5102"/>
        <w:gridCol w:w="7370"/>
      </w:tblGrid>
      <w:tr w:rsidR="00D7212D" w:rsidRPr="00D633FF" w14:paraId="4AE11564" w14:textId="77777777" w:rsidTr="0023552C">
        <w:trPr>
          <w:cantSplit/>
          <w:trHeight w:val="567"/>
          <w:tblHeader/>
        </w:trPr>
        <w:tc>
          <w:tcPr>
            <w:tcW w:w="1838" w:type="dxa"/>
            <w:shd w:val="clear" w:color="auto" w:fill="DAE9F7" w:themeFill="text2" w:themeFillTint="1A"/>
            <w:vAlign w:val="center"/>
          </w:tcPr>
          <w:p w14:paraId="489961D7" w14:textId="1D68119A" w:rsidR="0654E070" w:rsidRPr="00D633FF" w:rsidRDefault="0654E070" w:rsidP="005731A5">
            <w:pPr>
              <w:spacing w:line="276" w:lineRule="auto"/>
              <w:jc w:val="center"/>
              <w:rPr>
                <w:rFonts w:ascii="Calibri" w:hAnsi="Calibri" w:cs="Calibri"/>
                <w:b/>
                <w:bCs/>
                <w:sz w:val="20"/>
                <w:szCs w:val="20"/>
              </w:rPr>
            </w:pPr>
            <w:r w:rsidRPr="00D633FF">
              <w:rPr>
                <w:rFonts w:ascii="Calibri" w:hAnsi="Calibri" w:cs="Calibri"/>
                <w:b/>
                <w:bCs/>
                <w:sz w:val="20"/>
                <w:szCs w:val="20"/>
              </w:rPr>
              <w:t>Biomarker</w:t>
            </w:r>
          </w:p>
        </w:tc>
        <w:tc>
          <w:tcPr>
            <w:tcW w:w="5102" w:type="dxa"/>
            <w:shd w:val="clear" w:color="auto" w:fill="DAE9F7" w:themeFill="text2" w:themeFillTint="1A"/>
            <w:vAlign w:val="center"/>
          </w:tcPr>
          <w:p w14:paraId="05DE77AD" w14:textId="0993E33A" w:rsidR="0654E070" w:rsidRPr="00D633FF" w:rsidRDefault="0654E070" w:rsidP="005731A5">
            <w:pPr>
              <w:spacing w:line="276" w:lineRule="auto"/>
              <w:jc w:val="center"/>
              <w:rPr>
                <w:rFonts w:ascii="Calibri" w:hAnsi="Calibri" w:cs="Calibri"/>
                <w:b/>
                <w:bCs/>
                <w:sz w:val="20"/>
                <w:szCs w:val="20"/>
              </w:rPr>
            </w:pPr>
            <w:r w:rsidRPr="00D633FF">
              <w:rPr>
                <w:rFonts w:ascii="Calibri" w:hAnsi="Calibri" w:cs="Calibri"/>
                <w:b/>
                <w:bCs/>
                <w:sz w:val="20"/>
                <w:szCs w:val="20"/>
              </w:rPr>
              <w:t>Description</w:t>
            </w:r>
          </w:p>
        </w:tc>
        <w:tc>
          <w:tcPr>
            <w:tcW w:w="7370" w:type="dxa"/>
            <w:shd w:val="clear" w:color="auto" w:fill="DAE9F7" w:themeFill="text2" w:themeFillTint="1A"/>
            <w:vAlign w:val="center"/>
          </w:tcPr>
          <w:p w14:paraId="10117B4B" w14:textId="0CB9DF4D" w:rsidR="00317CB0" w:rsidRPr="00D633FF" w:rsidRDefault="0654E070" w:rsidP="005731A5">
            <w:pPr>
              <w:spacing w:line="276" w:lineRule="auto"/>
              <w:jc w:val="center"/>
              <w:rPr>
                <w:rFonts w:ascii="Calibri" w:hAnsi="Calibri" w:cs="Calibri"/>
                <w:b/>
                <w:bCs/>
                <w:sz w:val="20"/>
                <w:szCs w:val="20"/>
              </w:rPr>
            </w:pPr>
            <w:bookmarkStart w:id="24" w:name="_Hlk213257996"/>
            <w:r w:rsidRPr="00D633FF">
              <w:rPr>
                <w:rFonts w:ascii="Calibri" w:hAnsi="Calibri" w:cs="Calibri"/>
                <w:b/>
                <w:bCs/>
                <w:sz w:val="20"/>
                <w:szCs w:val="20"/>
              </w:rPr>
              <w:t>Sensitivity as biomarker of selenium intake</w:t>
            </w:r>
            <w:r w:rsidR="00D7134D" w:rsidRPr="00D633FF">
              <w:rPr>
                <w:rFonts w:ascii="Calibri" w:hAnsi="Calibri" w:cs="Calibri"/>
                <w:b/>
                <w:bCs/>
                <w:sz w:val="20"/>
                <w:szCs w:val="20"/>
              </w:rPr>
              <w:t xml:space="preserve"> and status</w:t>
            </w:r>
            <w:bookmarkEnd w:id="24"/>
          </w:p>
        </w:tc>
      </w:tr>
      <w:tr w:rsidR="00D7212D" w:rsidRPr="00D633FF" w14:paraId="7D8C8F3F" w14:textId="77777777" w:rsidTr="00587E88">
        <w:trPr>
          <w:trHeight w:val="300"/>
        </w:trPr>
        <w:tc>
          <w:tcPr>
            <w:tcW w:w="1838" w:type="dxa"/>
            <w:shd w:val="clear" w:color="auto" w:fill="C1E4F5" w:themeFill="accent1" w:themeFillTint="33"/>
            <w:vAlign w:val="center"/>
          </w:tcPr>
          <w:p w14:paraId="12F8FB0D" w14:textId="228C8C80" w:rsidR="0654E070" w:rsidRPr="00D633FF" w:rsidRDefault="0654E070" w:rsidP="005731A5">
            <w:pPr>
              <w:spacing w:line="276" w:lineRule="auto"/>
              <w:rPr>
                <w:rFonts w:ascii="Calibri" w:hAnsi="Calibri" w:cs="Calibri"/>
                <w:b/>
                <w:bCs/>
                <w:sz w:val="20"/>
                <w:szCs w:val="20"/>
              </w:rPr>
            </w:pPr>
            <w:r w:rsidRPr="00D633FF">
              <w:rPr>
                <w:rFonts w:ascii="Calibri" w:hAnsi="Calibri" w:cs="Calibri"/>
                <w:b/>
                <w:bCs/>
                <w:sz w:val="20"/>
                <w:szCs w:val="20"/>
              </w:rPr>
              <w:t xml:space="preserve">Serum/plasma selenium </w:t>
            </w:r>
            <w:r w:rsidR="008F497B" w:rsidRPr="00D633FF">
              <w:rPr>
                <w:rFonts w:ascii="Calibri" w:hAnsi="Calibri" w:cs="Calibri"/>
                <w:b/>
                <w:bCs/>
                <w:sz w:val="20"/>
                <w:szCs w:val="20"/>
              </w:rPr>
              <w:t>concentration</w:t>
            </w:r>
          </w:p>
        </w:tc>
        <w:tc>
          <w:tcPr>
            <w:tcW w:w="5102" w:type="dxa"/>
          </w:tcPr>
          <w:p w14:paraId="1A4AAE32" w14:textId="3DBB071C" w:rsidR="52FAE6C2" w:rsidRPr="00D633FF" w:rsidRDefault="52FAE6C2" w:rsidP="005731A5">
            <w:pPr>
              <w:spacing w:line="276" w:lineRule="auto"/>
              <w:rPr>
                <w:rFonts w:ascii="Calibri" w:hAnsi="Calibri" w:cs="Calibri"/>
                <w:sz w:val="20"/>
                <w:szCs w:val="20"/>
              </w:rPr>
            </w:pPr>
            <w:r w:rsidRPr="00D633FF">
              <w:rPr>
                <w:rFonts w:ascii="Calibri" w:hAnsi="Calibri" w:cs="Calibri"/>
                <w:sz w:val="20"/>
                <w:szCs w:val="20"/>
              </w:rPr>
              <w:t>D</w:t>
            </w:r>
            <w:r w:rsidR="0654E070" w:rsidRPr="00D633FF">
              <w:rPr>
                <w:rFonts w:ascii="Calibri" w:hAnsi="Calibri" w:cs="Calibri"/>
                <w:sz w:val="20"/>
                <w:szCs w:val="20"/>
              </w:rPr>
              <w:t>etect</w:t>
            </w:r>
            <w:r w:rsidR="1B4B3B2D" w:rsidRPr="00D633FF">
              <w:rPr>
                <w:rFonts w:ascii="Calibri" w:hAnsi="Calibri" w:cs="Calibri"/>
                <w:sz w:val="20"/>
                <w:szCs w:val="20"/>
              </w:rPr>
              <w:t>s</w:t>
            </w:r>
            <w:r w:rsidR="0654E070" w:rsidRPr="00D633FF">
              <w:rPr>
                <w:rFonts w:ascii="Calibri" w:hAnsi="Calibri" w:cs="Calibri"/>
                <w:sz w:val="20"/>
                <w:szCs w:val="20"/>
              </w:rPr>
              <w:t xml:space="preserve"> non-cellular selenium, organic selenium, albumin-bound </w:t>
            </w:r>
            <w:proofErr w:type="spellStart"/>
            <w:r w:rsidR="0654E070" w:rsidRPr="00D633FF">
              <w:rPr>
                <w:rFonts w:ascii="Calibri" w:hAnsi="Calibri" w:cs="Calibri"/>
                <w:sz w:val="20"/>
                <w:szCs w:val="20"/>
              </w:rPr>
              <w:t>selenomethionine</w:t>
            </w:r>
            <w:proofErr w:type="spellEnd"/>
            <w:r w:rsidR="00695A79" w:rsidRPr="00D633FF">
              <w:rPr>
                <w:rFonts w:ascii="Calibri" w:hAnsi="Calibri" w:cs="Calibri"/>
                <w:sz w:val="20"/>
                <w:szCs w:val="20"/>
              </w:rPr>
              <w:t xml:space="preserve">, </w:t>
            </w:r>
            <w:proofErr w:type="spellStart"/>
            <w:r w:rsidR="00695A79" w:rsidRPr="00D633FF">
              <w:rPr>
                <w:rFonts w:ascii="Calibri" w:hAnsi="Calibri" w:cs="Calibri"/>
                <w:sz w:val="20"/>
                <w:szCs w:val="20"/>
              </w:rPr>
              <w:t>selenosugars</w:t>
            </w:r>
            <w:proofErr w:type="spellEnd"/>
            <w:r w:rsidR="00695A79" w:rsidRPr="00D633FF">
              <w:rPr>
                <w:rFonts w:ascii="Calibri" w:hAnsi="Calibri" w:cs="Calibri"/>
                <w:sz w:val="20"/>
                <w:szCs w:val="20"/>
              </w:rPr>
              <w:t xml:space="preserve"> and</w:t>
            </w:r>
            <w:r w:rsidR="0654E070" w:rsidRPr="00D633FF">
              <w:rPr>
                <w:rFonts w:ascii="Calibri" w:hAnsi="Calibri" w:cs="Calibri"/>
                <w:sz w:val="20"/>
                <w:szCs w:val="20"/>
              </w:rPr>
              <w:t xml:space="preserve"> inorganic selenium </w:t>
            </w:r>
            <w:r w:rsidR="00F41A14" w:rsidRPr="00D633FF">
              <w:rPr>
                <w:rFonts w:ascii="Calibri" w:hAnsi="Calibri" w:cs="Calibri"/>
                <w:noProof/>
                <w:sz w:val="20"/>
                <w:szCs w:val="20"/>
              </w:rPr>
              <w:t>(Vinceti et al. 2018)</w:t>
            </w:r>
          </w:p>
        </w:tc>
        <w:tc>
          <w:tcPr>
            <w:tcW w:w="7370" w:type="dxa"/>
          </w:tcPr>
          <w:p w14:paraId="4064DC1F" w14:textId="671831A5" w:rsidR="4632E79E" w:rsidRPr="00D633FF" w:rsidRDefault="4632E79E" w:rsidP="005731A5">
            <w:pPr>
              <w:pStyle w:val="ListParagraph"/>
              <w:numPr>
                <w:ilvl w:val="0"/>
                <w:numId w:val="1"/>
              </w:numPr>
              <w:spacing w:line="276" w:lineRule="auto"/>
              <w:rPr>
                <w:rFonts w:ascii="Calibri" w:hAnsi="Calibri" w:cs="Calibri"/>
                <w:sz w:val="20"/>
                <w:szCs w:val="20"/>
              </w:rPr>
            </w:pPr>
            <w:r w:rsidRPr="00D633FF">
              <w:rPr>
                <w:rFonts w:ascii="Calibri" w:hAnsi="Calibri" w:cs="Calibri"/>
                <w:sz w:val="20"/>
                <w:szCs w:val="20"/>
              </w:rPr>
              <w:t>D</w:t>
            </w:r>
            <w:r w:rsidR="0654E070" w:rsidRPr="00D633FF">
              <w:rPr>
                <w:rFonts w:ascii="Calibri" w:hAnsi="Calibri" w:cs="Calibri"/>
                <w:sz w:val="20"/>
                <w:szCs w:val="20"/>
              </w:rPr>
              <w:t>etect changes in intake over short term</w:t>
            </w:r>
          </w:p>
          <w:p w14:paraId="686BFD0C" w14:textId="2A3237CD" w:rsidR="0654E070" w:rsidRPr="00D633FF" w:rsidRDefault="0654E070" w:rsidP="005731A5">
            <w:pPr>
              <w:pStyle w:val="ListParagraph"/>
              <w:numPr>
                <w:ilvl w:val="0"/>
                <w:numId w:val="1"/>
              </w:numPr>
              <w:spacing w:line="276" w:lineRule="auto"/>
              <w:rPr>
                <w:rFonts w:ascii="Calibri" w:hAnsi="Calibri" w:cs="Calibri"/>
                <w:sz w:val="20"/>
                <w:szCs w:val="20"/>
              </w:rPr>
            </w:pPr>
            <w:r w:rsidRPr="00D633FF">
              <w:rPr>
                <w:rFonts w:ascii="Calibri" w:hAnsi="Calibri" w:cs="Calibri"/>
                <w:sz w:val="20"/>
                <w:szCs w:val="20"/>
              </w:rPr>
              <w:t xml:space="preserve">Low </w:t>
            </w:r>
            <w:r w:rsidR="009B07BF" w:rsidRPr="00D633FF">
              <w:rPr>
                <w:rFonts w:ascii="Calibri" w:hAnsi="Calibri" w:cs="Calibri"/>
                <w:sz w:val="20"/>
                <w:szCs w:val="20"/>
              </w:rPr>
              <w:t>sensitivity</w:t>
            </w:r>
            <w:r w:rsidRPr="00D633FF">
              <w:rPr>
                <w:rFonts w:ascii="Calibri" w:hAnsi="Calibri" w:cs="Calibri"/>
                <w:sz w:val="20"/>
                <w:szCs w:val="20"/>
              </w:rPr>
              <w:t xml:space="preserve"> to inorganic selenium intake in selenium-replete populations</w:t>
            </w:r>
          </w:p>
          <w:p w14:paraId="604627A7" w14:textId="1282EC24" w:rsidR="0654E070" w:rsidRPr="00D633FF" w:rsidRDefault="0654E070" w:rsidP="005731A5">
            <w:pPr>
              <w:pStyle w:val="ListParagraph"/>
              <w:numPr>
                <w:ilvl w:val="0"/>
                <w:numId w:val="1"/>
              </w:numPr>
              <w:spacing w:line="276" w:lineRule="auto"/>
              <w:rPr>
                <w:rFonts w:ascii="Calibri" w:hAnsi="Calibri" w:cs="Calibri"/>
                <w:sz w:val="20"/>
                <w:szCs w:val="20"/>
              </w:rPr>
            </w:pPr>
            <w:r w:rsidRPr="00D633FF">
              <w:rPr>
                <w:rFonts w:ascii="Calibri" w:hAnsi="Calibri" w:cs="Calibri"/>
                <w:sz w:val="20"/>
                <w:szCs w:val="20"/>
              </w:rPr>
              <w:t xml:space="preserve">Can distinguish </w:t>
            </w:r>
            <w:r w:rsidR="009B07BF" w:rsidRPr="00D633FF">
              <w:rPr>
                <w:rFonts w:ascii="Calibri" w:hAnsi="Calibri" w:cs="Calibri"/>
                <w:sz w:val="20"/>
                <w:szCs w:val="20"/>
              </w:rPr>
              <w:t xml:space="preserve">individuals </w:t>
            </w:r>
            <w:r w:rsidRPr="00D633FF">
              <w:rPr>
                <w:rFonts w:ascii="Calibri" w:hAnsi="Calibri" w:cs="Calibri"/>
                <w:sz w:val="20"/>
                <w:szCs w:val="20"/>
              </w:rPr>
              <w:t xml:space="preserve">with high </w:t>
            </w:r>
            <w:r w:rsidR="00B96F4E" w:rsidRPr="00D633FF">
              <w:rPr>
                <w:rFonts w:ascii="Calibri" w:hAnsi="Calibri" w:cs="Calibri"/>
                <w:sz w:val="20"/>
                <w:szCs w:val="20"/>
              </w:rPr>
              <w:t xml:space="preserve">dietary intake </w:t>
            </w:r>
            <w:r w:rsidR="002B42E9" w:rsidRPr="00D633FF">
              <w:rPr>
                <w:rFonts w:ascii="Calibri" w:hAnsi="Calibri" w:cs="Calibri"/>
                <w:sz w:val="20"/>
                <w:szCs w:val="20"/>
              </w:rPr>
              <w:t>from</w:t>
            </w:r>
            <w:r w:rsidRPr="00D633FF">
              <w:rPr>
                <w:rFonts w:ascii="Calibri" w:hAnsi="Calibri" w:cs="Calibri"/>
                <w:sz w:val="20"/>
                <w:szCs w:val="20"/>
              </w:rPr>
              <w:t xml:space="preserve"> low intake</w:t>
            </w:r>
          </w:p>
          <w:p w14:paraId="29750E44" w14:textId="29603662" w:rsidR="2145493A" w:rsidRPr="00D633FF" w:rsidRDefault="0654E070" w:rsidP="008054EA">
            <w:pPr>
              <w:pStyle w:val="ListParagraph"/>
              <w:numPr>
                <w:ilvl w:val="0"/>
                <w:numId w:val="1"/>
              </w:numPr>
              <w:spacing w:after="120" w:line="276" w:lineRule="auto"/>
              <w:rPr>
                <w:rFonts w:ascii="Calibri" w:hAnsi="Calibri" w:cs="Calibri"/>
                <w:sz w:val="20"/>
                <w:szCs w:val="20"/>
              </w:rPr>
            </w:pPr>
            <w:r w:rsidRPr="00D633FF">
              <w:rPr>
                <w:rFonts w:ascii="Calibri" w:hAnsi="Calibri" w:cs="Calibri"/>
                <w:sz w:val="20"/>
                <w:szCs w:val="20"/>
              </w:rPr>
              <w:t xml:space="preserve">Population-specific equations to predict dietary selenium intake </w:t>
            </w:r>
            <w:r w:rsidR="00F41A14" w:rsidRPr="00D633FF">
              <w:rPr>
                <w:rFonts w:ascii="Calibri" w:hAnsi="Calibri" w:cs="Calibri"/>
                <w:noProof/>
                <w:sz w:val="20"/>
                <w:szCs w:val="20"/>
              </w:rPr>
              <w:t>(Burk et al. 2006; Combs 2015)</w:t>
            </w:r>
          </w:p>
        </w:tc>
      </w:tr>
      <w:tr w:rsidR="00D7212D" w:rsidRPr="00D633FF" w14:paraId="02E3C765" w14:textId="77777777" w:rsidTr="00587E88">
        <w:trPr>
          <w:trHeight w:val="397"/>
        </w:trPr>
        <w:tc>
          <w:tcPr>
            <w:tcW w:w="1838" w:type="dxa"/>
            <w:shd w:val="clear" w:color="auto" w:fill="C1E4F5" w:themeFill="accent1" w:themeFillTint="33"/>
            <w:vAlign w:val="center"/>
          </w:tcPr>
          <w:p w14:paraId="01722AD9" w14:textId="174E3B6F" w:rsidR="00D171C5" w:rsidRPr="00D633FF" w:rsidRDefault="00E47626" w:rsidP="005731A5">
            <w:pPr>
              <w:spacing w:line="276" w:lineRule="auto"/>
              <w:rPr>
                <w:rFonts w:ascii="Calibri" w:hAnsi="Calibri" w:cs="Calibri"/>
                <w:b/>
                <w:bCs/>
                <w:sz w:val="20"/>
                <w:szCs w:val="20"/>
              </w:rPr>
            </w:pPr>
            <w:r w:rsidRPr="00D633FF">
              <w:rPr>
                <w:rFonts w:ascii="Calibri" w:hAnsi="Calibri" w:cs="Calibri"/>
                <w:b/>
                <w:bCs/>
                <w:sz w:val="20"/>
                <w:szCs w:val="20"/>
              </w:rPr>
              <w:t xml:space="preserve">Glutathione peroxidase </w:t>
            </w:r>
            <w:r w:rsidR="00213895" w:rsidRPr="00D633FF">
              <w:rPr>
                <w:rFonts w:ascii="Calibri" w:hAnsi="Calibri" w:cs="Calibri"/>
                <w:b/>
                <w:bCs/>
                <w:sz w:val="20"/>
                <w:szCs w:val="20"/>
              </w:rPr>
              <w:t>(</w:t>
            </w:r>
            <w:proofErr w:type="spellStart"/>
            <w:r w:rsidR="00213895" w:rsidRPr="00D633FF">
              <w:rPr>
                <w:rFonts w:ascii="Calibri" w:hAnsi="Calibri" w:cs="Calibri"/>
                <w:b/>
                <w:bCs/>
                <w:sz w:val="20"/>
                <w:szCs w:val="20"/>
              </w:rPr>
              <w:t>GPx</w:t>
            </w:r>
            <w:proofErr w:type="spellEnd"/>
            <w:r w:rsidR="00213895" w:rsidRPr="00D633FF">
              <w:rPr>
                <w:rFonts w:ascii="Calibri" w:hAnsi="Calibri" w:cs="Calibri"/>
                <w:b/>
                <w:bCs/>
                <w:sz w:val="20"/>
                <w:szCs w:val="20"/>
              </w:rPr>
              <w:t xml:space="preserve">) </w:t>
            </w:r>
            <w:r w:rsidRPr="00D633FF">
              <w:rPr>
                <w:rFonts w:ascii="Calibri" w:hAnsi="Calibri" w:cs="Calibri"/>
                <w:b/>
                <w:bCs/>
                <w:sz w:val="20"/>
                <w:szCs w:val="20"/>
              </w:rPr>
              <w:t>activity</w:t>
            </w:r>
            <w:r w:rsidR="002F7D51" w:rsidRPr="00D633FF">
              <w:rPr>
                <w:rFonts w:ascii="Calibri" w:hAnsi="Calibri" w:cs="Calibri"/>
                <w:b/>
                <w:bCs/>
                <w:sz w:val="20"/>
                <w:szCs w:val="20"/>
              </w:rPr>
              <w:t xml:space="preserve"> </w:t>
            </w:r>
            <w:r w:rsidR="00706071" w:rsidRPr="00D633FF">
              <w:rPr>
                <w:rFonts w:ascii="Calibri" w:hAnsi="Calibri" w:cs="Calibri"/>
                <w:b/>
                <w:bCs/>
                <w:sz w:val="20"/>
                <w:szCs w:val="20"/>
              </w:rPr>
              <w:t xml:space="preserve"> </w:t>
            </w:r>
          </w:p>
        </w:tc>
        <w:tc>
          <w:tcPr>
            <w:tcW w:w="5102" w:type="dxa"/>
          </w:tcPr>
          <w:p w14:paraId="13E2718B" w14:textId="61292F22" w:rsidR="00DD7824" w:rsidRPr="00D633FF" w:rsidRDefault="00DD7824" w:rsidP="00FC2158">
            <w:pPr>
              <w:spacing w:line="276" w:lineRule="auto"/>
              <w:rPr>
                <w:rFonts w:ascii="Calibri" w:hAnsi="Calibri" w:cs="Calibri"/>
                <w:sz w:val="20"/>
                <w:szCs w:val="20"/>
              </w:rPr>
            </w:pPr>
            <w:r w:rsidRPr="00D633FF">
              <w:rPr>
                <w:rFonts w:ascii="Calibri" w:hAnsi="Calibri" w:cs="Calibri"/>
                <w:sz w:val="20"/>
                <w:szCs w:val="20"/>
              </w:rPr>
              <w:t>Measure</w:t>
            </w:r>
            <w:r w:rsidR="00532DBA" w:rsidRPr="00D633FF">
              <w:rPr>
                <w:rFonts w:ascii="Calibri" w:hAnsi="Calibri" w:cs="Calibri"/>
                <w:sz w:val="20"/>
                <w:szCs w:val="20"/>
              </w:rPr>
              <w:t>ment of the</w:t>
            </w:r>
            <w:r w:rsidR="004654F3" w:rsidRPr="00D633FF">
              <w:rPr>
                <w:rFonts w:ascii="Calibri" w:hAnsi="Calibri" w:cs="Calibri"/>
                <w:sz w:val="20"/>
                <w:szCs w:val="20"/>
              </w:rPr>
              <w:t xml:space="preserve"> enzymatic</w:t>
            </w:r>
            <w:r w:rsidR="00532DBA" w:rsidRPr="00D633FF">
              <w:rPr>
                <w:rFonts w:ascii="Calibri" w:hAnsi="Calibri" w:cs="Calibri"/>
                <w:sz w:val="20"/>
                <w:szCs w:val="20"/>
              </w:rPr>
              <w:t xml:space="preserve"> activity of </w:t>
            </w:r>
            <w:proofErr w:type="spellStart"/>
            <w:r w:rsidR="0065774A" w:rsidRPr="00D633FF">
              <w:rPr>
                <w:rFonts w:ascii="Calibri" w:hAnsi="Calibri" w:cs="Calibri"/>
                <w:sz w:val="20"/>
                <w:szCs w:val="20"/>
              </w:rPr>
              <w:t>GPx</w:t>
            </w:r>
            <w:proofErr w:type="spellEnd"/>
            <w:r w:rsidR="0065774A" w:rsidRPr="00D633FF">
              <w:rPr>
                <w:rFonts w:ascii="Calibri" w:hAnsi="Calibri" w:cs="Calibri"/>
                <w:sz w:val="20"/>
                <w:szCs w:val="20"/>
              </w:rPr>
              <w:t xml:space="preserve"> </w:t>
            </w:r>
            <w:r w:rsidR="004654F3" w:rsidRPr="00D633FF">
              <w:rPr>
                <w:rFonts w:ascii="Calibri" w:hAnsi="Calibri" w:cs="Calibri"/>
                <w:sz w:val="20"/>
                <w:szCs w:val="20"/>
              </w:rPr>
              <w:t>isoforms</w:t>
            </w:r>
            <w:r w:rsidR="0065774A" w:rsidRPr="00D633FF">
              <w:rPr>
                <w:rFonts w:ascii="Calibri" w:hAnsi="Calibri" w:cs="Calibri"/>
                <w:sz w:val="20"/>
                <w:szCs w:val="20"/>
              </w:rPr>
              <w:t xml:space="preserve"> expressed in specific blood compartments, including </w:t>
            </w:r>
            <w:r w:rsidR="00425463" w:rsidRPr="00D633FF">
              <w:rPr>
                <w:rFonts w:ascii="Calibri" w:hAnsi="Calibri" w:cs="Calibri"/>
                <w:sz w:val="20"/>
                <w:szCs w:val="20"/>
              </w:rPr>
              <w:t xml:space="preserve">plasma, platelets, </w:t>
            </w:r>
            <w:r w:rsidR="004654F3" w:rsidRPr="00D633FF">
              <w:rPr>
                <w:rFonts w:ascii="Calibri" w:hAnsi="Calibri" w:cs="Calibri"/>
                <w:sz w:val="20"/>
                <w:szCs w:val="20"/>
              </w:rPr>
              <w:t>red blood cells</w:t>
            </w:r>
            <w:r w:rsidR="00425463" w:rsidRPr="00D633FF">
              <w:rPr>
                <w:rFonts w:ascii="Calibri" w:hAnsi="Calibri" w:cs="Calibri"/>
                <w:sz w:val="20"/>
                <w:szCs w:val="20"/>
              </w:rPr>
              <w:t xml:space="preserve"> or whole blood</w:t>
            </w:r>
          </w:p>
        </w:tc>
        <w:tc>
          <w:tcPr>
            <w:tcW w:w="7370" w:type="dxa"/>
          </w:tcPr>
          <w:p w14:paraId="2D55B54D" w14:textId="09202116" w:rsidR="00D171C5" w:rsidRPr="00D633FF" w:rsidRDefault="005731A5" w:rsidP="005731A5">
            <w:pPr>
              <w:pStyle w:val="ListParagraph"/>
              <w:numPr>
                <w:ilvl w:val="0"/>
                <w:numId w:val="1"/>
              </w:numPr>
              <w:spacing w:line="276" w:lineRule="auto"/>
              <w:rPr>
                <w:rFonts w:ascii="Calibri" w:hAnsi="Calibri" w:cs="Calibri"/>
                <w:sz w:val="20"/>
                <w:szCs w:val="20"/>
              </w:rPr>
            </w:pPr>
            <w:r w:rsidRPr="00D633FF">
              <w:rPr>
                <w:rFonts w:ascii="Calibri" w:hAnsi="Calibri" w:cs="Calibri"/>
                <w:sz w:val="20"/>
                <w:szCs w:val="20"/>
              </w:rPr>
              <w:t xml:space="preserve">Reaches </w:t>
            </w:r>
            <w:r w:rsidR="00144B01" w:rsidRPr="00D633FF">
              <w:rPr>
                <w:rFonts w:ascii="Calibri" w:hAnsi="Calibri" w:cs="Calibri"/>
                <w:sz w:val="20"/>
                <w:szCs w:val="20"/>
              </w:rPr>
              <w:t>maximum at activity at intakes of 40-60 µg/day</w:t>
            </w:r>
            <w:r w:rsidR="00DA1AF0" w:rsidRPr="00D633FF">
              <w:rPr>
                <w:rFonts w:ascii="Calibri" w:hAnsi="Calibri" w:cs="Calibri"/>
                <w:sz w:val="20"/>
                <w:szCs w:val="20"/>
              </w:rPr>
              <w:t>, so is limited to the lower range of selenium intake</w:t>
            </w:r>
            <w:r w:rsidRPr="00D633FF">
              <w:rPr>
                <w:rFonts w:ascii="Calibri" w:hAnsi="Calibri" w:cs="Calibri"/>
                <w:sz w:val="20"/>
                <w:szCs w:val="20"/>
              </w:rPr>
              <w:t xml:space="preserve">  </w:t>
            </w:r>
          </w:p>
          <w:p w14:paraId="712AA980" w14:textId="6EAC3CE5" w:rsidR="0026310C" w:rsidRPr="00D633FF" w:rsidRDefault="008E2B49" w:rsidP="008054EA">
            <w:pPr>
              <w:pStyle w:val="ListParagraph"/>
              <w:numPr>
                <w:ilvl w:val="0"/>
                <w:numId w:val="1"/>
              </w:numPr>
              <w:spacing w:after="120" w:line="276" w:lineRule="auto"/>
              <w:rPr>
                <w:rFonts w:ascii="Calibri" w:hAnsi="Calibri" w:cs="Calibri"/>
                <w:sz w:val="20"/>
                <w:szCs w:val="20"/>
              </w:rPr>
            </w:pPr>
            <w:r w:rsidRPr="00D633FF">
              <w:rPr>
                <w:rFonts w:ascii="Calibri" w:hAnsi="Calibri" w:cs="Calibri"/>
                <w:sz w:val="20"/>
                <w:szCs w:val="20"/>
              </w:rPr>
              <w:t xml:space="preserve">Increase in activity can also be attributed to oxidative stress </w:t>
            </w:r>
            <w:r w:rsidR="00F41A14" w:rsidRPr="00D633FF">
              <w:rPr>
                <w:rFonts w:ascii="Calibri" w:hAnsi="Calibri" w:cs="Calibri"/>
                <w:noProof/>
                <w:sz w:val="20"/>
                <w:szCs w:val="20"/>
              </w:rPr>
              <w:t>(Turck et al. 2023)</w:t>
            </w:r>
          </w:p>
        </w:tc>
      </w:tr>
      <w:tr w:rsidR="00D7212D" w:rsidRPr="00D633FF" w14:paraId="6971F0BC" w14:textId="77777777" w:rsidTr="00587E88">
        <w:trPr>
          <w:trHeight w:val="300"/>
        </w:trPr>
        <w:tc>
          <w:tcPr>
            <w:tcW w:w="1838" w:type="dxa"/>
            <w:shd w:val="clear" w:color="auto" w:fill="C1E4F5" w:themeFill="accent1" w:themeFillTint="33"/>
            <w:vAlign w:val="center"/>
          </w:tcPr>
          <w:p w14:paraId="5EB311DB" w14:textId="4FFD1FE8" w:rsidR="0654E070" w:rsidRPr="00D633FF" w:rsidRDefault="0654E070" w:rsidP="005731A5">
            <w:pPr>
              <w:spacing w:line="276" w:lineRule="auto"/>
              <w:rPr>
                <w:rFonts w:ascii="Calibri" w:hAnsi="Calibri" w:cs="Calibri"/>
                <w:b/>
                <w:bCs/>
                <w:sz w:val="20"/>
                <w:szCs w:val="20"/>
              </w:rPr>
            </w:pPr>
            <w:r w:rsidRPr="00D633FF">
              <w:rPr>
                <w:rFonts w:ascii="Calibri" w:hAnsi="Calibri" w:cs="Calibri"/>
                <w:b/>
                <w:bCs/>
                <w:sz w:val="20"/>
                <w:szCs w:val="20"/>
              </w:rPr>
              <w:t xml:space="preserve">Plasma selenoprotein P </w:t>
            </w:r>
            <w:r w:rsidR="002A02CB" w:rsidRPr="00D633FF">
              <w:rPr>
                <w:rFonts w:ascii="Calibri" w:hAnsi="Calibri" w:cs="Calibri"/>
                <w:b/>
                <w:bCs/>
                <w:sz w:val="20"/>
                <w:szCs w:val="20"/>
              </w:rPr>
              <w:t>concentration</w:t>
            </w:r>
          </w:p>
        </w:tc>
        <w:tc>
          <w:tcPr>
            <w:tcW w:w="5102" w:type="dxa"/>
          </w:tcPr>
          <w:p w14:paraId="57842A40" w14:textId="68776B01" w:rsidR="0654E070" w:rsidRPr="00D633FF" w:rsidRDefault="002B5870" w:rsidP="005731A5">
            <w:pPr>
              <w:spacing w:line="276" w:lineRule="auto"/>
              <w:rPr>
                <w:rFonts w:ascii="Calibri" w:hAnsi="Calibri" w:cs="Calibri"/>
                <w:sz w:val="20"/>
                <w:szCs w:val="20"/>
              </w:rPr>
            </w:pPr>
            <w:r w:rsidRPr="00D633FF">
              <w:rPr>
                <w:rFonts w:ascii="Calibri" w:hAnsi="Calibri" w:cs="Calibri"/>
                <w:sz w:val="20"/>
                <w:szCs w:val="20"/>
              </w:rPr>
              <w:t>D</w:t>
            </w:r>
            <w:r w:rsidR="0654E070" w:rsidRPr="00D633FF">
              <w:rPr>
                <w:rFonts w:ascii="Calibri" w:hAnsi="Calibri" w:cs="Calibri"/>
                <w:sz w:val="20"/>
                <w:szCs w:val="20"/>
              </w:rPr>
              <w:t>etect</w:t>
            </w:r>
            <w:r w:rsidRPr="00D633FF">
              <w:rPr>
                <w:rFonts w:ascii="Calibri" w:hAnsi="Calibri" w:cs="Calibri"/>
                <w:sz w:val="20"/>
                <w:szCs w:val="20"/>
              </w:rPr>
              <w:t>s</w:t>
            </w:r>
            <w:r w:rsidR="0654E070" w:rsidRPr="00D633FF">
              <w:rPr>
                <w:rFonts w:ascii="Calibri" w:hAnsi="Calibri" w:cs="Calibri"/>
                <w:sz w:val="20"/>
                <w:szCs w:val="20"/>
              </w:rPr>
              <w:t xml:space="preserve"> 20-70% of total plasma selenium, mostly secreted in the liver</w:t>
            </w:r>
            <w:r w:rsidR="00E16DC4" w:rsidRPr="00D633FF">
              <w:rPr>
                <w:rFonts w:ascii="Calibri" w:hAnsi="Calibri" w:cs="Calibri"/>
                <w:sz w:val="20"/>
                <w:szCs w:val="20"/>
              </w:rPr>
              <w:t xml:space="preserve"> </w:t>
            </w:r>
            <w:r w:rsidR="00F41A14" w:rsidRPr="00D633FF">
              <w:rPr>
                <w:rFonts w:ascii="Calibri" w:hAnsi="Calibri" w:cs="Calibri"/>
                <w:noProof/>
                <w:sz w:val="20"/>
                <w:szCs w:val="20"/>
              </w:rPr>
              <w:t>(Saito 2021)</w:t>
            </w:r>
          </w:p>
        </w:tc>
        <w:tc>
          <w:tcPr>
            <w:tcW w:w="7370" w:type="dxa"/>
          </w:tcPr>
          <w:p w14:paraId="15354DFF" w14:textId="3A4BFE8E" w:rsidR="0654E070" w:rsidRPr="00D633FF" w:rsidRDefault="0654E070" w:rsidP="005731A5">
            <w:pPr>
              <w:pStyle w:val="ListParagraph"/>
              <w:numPr>
                <w:ilvl w:val="0"/>
                <w:numId w:val="1"/>
              </w:numPr>
              <w:spacing w:line="276" w:lineRule="auto"/>
              <w:rPr>
                <w:rFonts w:ascii="Calibri" w:hAnsi="Calibri" w:cs="Calibri"/>
                <w:sz w:val="20"/>
                <w:szCs w:val="20"/>
              </w:rPr>
            </w:pPr>
            <w:r w:rsidRPr="00D633FF">
              <w:rPr>
                <w:rFonts w:ascii="Calibri" w:hAnsi="Calibri" w:cs="Calibri"/>
                <w:sz w:val="20"/>
                <w:szCs w:val="20"/>
              </w:rPr>
              <w:t>Responsive in populations with selenium status in the lowest range</w:t>
            </w:r>
          </w:p>
          <w:p w14:paraId="35B57FDE" w14:textId="6BC1D546" w:rsidR="00F57C84" w:rsidRPr="00D633FF" w:rsidRDefault="0654E070" w:rsidP="005731A5">
            <w:pPr>
              <w:pStyle w:val="ListParagraph"/>
              <w:numPr>
                <w:ilvl w:val="0"/>
                <w:numId w:val="1"/>
              </w:numPr>
              <w:spacing w:line="276" w:lineRule="auto"/>
              <w:rPr>
                <w:rFonts w:ascii="Calibri" w:hAnsi="Calibri" w:cs="Calibri"/>
                <w:sz w:val="20"/>
                <w:szCs w:val="20"/>
              </w:rPr>
            </w:pPr>
            <w:r w:rsidRPr="00D633FF">
              <w:rPr>
                <w:rFonts w:ascii="Calibri" w:hAnsi="Calibri" w:cs="Calibri"/>
                <w:sz w:val="20"/>
                <w:szCs w:val="20"/>
              </w:rPr>
              <w:t xml:space="preserve">Plateaus </w:t>
            </w:r>
            <w:r w:rsidR="006028F7" w:rsidRPr="00D633FF">
              <w:rPr>
                <w:rFonts w:ascii="Calibri" w:hAnsi="Calibri" w:cs="Calibri"/>
                <w:sz w:val="20"/>
                <w:szCs w:val="20"/>
              </w:rPr>
              <w:t>with selenium intakes of 60-70 µg/day</w:t>
            </w:r>
            <w:r w:rsidR="00E16DC4" w:rsidRPr="00D633FF">
              <w:rPr>
                <w:rFonts w:ascii="Calibri" w:hAnsi="Calibri" w:cs="Calibri"/>
                <w:sz w:val="20"/>
                <w:szCs w:val="20"/>
              </w:rPr>
              <w:t xml:space="preserve"> </w:t>
            </w:r>
          </w:p>
          <w:p w14:paraId="13C99936" w14:textId="11A5A1DA" w:rsidR="0654E070" w:rsidRPr="00D633FF" w:rsidRDefault="00F57C84" w:rsidP="008054EA">
            <w:pPr>
              <w:pStyle w:val="ListParagraph"/>
              <w:numPr>
                <w:ilvl w:val="0"/>
                <w:numId w:val="1"/>
              </w:numPr>
              <w:spacing w:after="120" w:line="276" w:lineRule="auto"/>
              <w:rPr>
                <w:rFonts w:ascii="Calibri" w:hAnsi="Calibri" w:cs="Calibri"/>
                <w:sz w:val="20"/>
                <w:szCs w:val="20"/>
              </w:rPr>
            </w:pPr>
            <w:proofErr w:type="gramStart"/>
            <w:r w:rsidRPr="00D633FF">
              <w:rPr>
                <w:rFonts w:ascii="Calibri" w:hAnsi="Calibri" w:cs="Calibri"/>
                <w:sz w:val="20"/>
                <w:szCs w:val="20"/>
              </w:rPr>
              <w:t>Similar to</w:t>
            </w:r>
            <w:proofErr w:type="gramEnd"/>
            <w:r w:rsidRPr="00D633FF">
              <w:rPr>
                <w:rFonts w:ascii="Calibri" w:hAnsi="Calibri" w:cs="Calibri"/>
                <w:sz w:val="20"/>
                <w:szCs w:val="20"/>
              </w:rPr>
              <w:t xml:space="preserve"> </w:t>
            </w:r>
            <w:proofErr w:type="spellStart"/>
            <w:r w:rsidRPr="00D633FF">
              <w:rPr>
                <w:rFonts w:ascii="Calibri" w:hAnsi="Calibri" w:cs="Calibri"/>
                <w:sz w:val="20"/>
                <w:szCs w:val="20"/>
              </w:rPr>
              <w:t>GPx</w:t>
            </w:r>
            <w:proofErr w:type="spellEnd"/>
            <w:r w:rsidRPr="00D633FF">
              <w:rPr>
                <w:rFonts w:ascii="Calibri" w:hAnsi="Calibri" w:cs="Calibri"/>
                <w:sz w:val="20"/>
                <w:szCs w:val="20"/>
              </w:rPr>
              <w:t xml:space="preserve">, increases in activity can also be attributed to oxidative stress </w:t>
            </w:r>
            <w:r w:rsidR="00F41A14" w:rsidRPr="00D633FF">
              <w:rPr>
                <w:rFonts w:ascii="Calibri" w:hAnsi="Calibri" w:cs="Calibri"/>
                <w:noProof/>
                <w:sz w:val="20"/>
                <w:szCs w:val="20"/>
              </w:rPr>
              <w:t>(Turck et al. 2023)</w:t>
            </w:r>
          </w:p>
        </w:tc>
      </w:tr>
      <w:tr w:rsidR="00D7212D" w:rsidRPr="00D633FF" w14:paraId="7C8EDAD0" w14:textId="77777777" w:rsidTr="00587E88">
        <w:trPr>
          <w:trHeight w:val="300"/>
        </w:trPr>
        <w:tc>
          <w:tcPr>
            <w:tcW w:w="1838" w:type="dxa"/>
            <w:shd w:val="clear" w:color="auto" w:fill="C1E4F5" w:themeFill="accent1" w:themeFillTint="33"/>
            <w:vAlign w:val="center"/>
          </w:tcPr>
          <w:p w14:paraId="1299FFAE" w14:textId="3DEA5946" w:rsidR="0654E070" w:rsidRPr="00D633FF" w:rsidRDefault="0654E070" w:rsidP="005731A5">
            <w:pPr>
              <w:spacing w:line="276" w:lineRule="auto"/>
              <w:rPr>
                <w:rFonts w:ascii="Calibri" w:hAnsi="Calibri" w:cs="Calibri"/>
                <w:b/>
                <w:bCs/>
                <w:sz w:val="20"/>
                <w:szCs w:val="20"/>
              </w:rPr>
            </w:pPr>
            <w:r w:rsidRPr="00D633FF">
              <w:rPr>
                <w:rFonts w:ascii="Calibri" w:hAnsi="Calibri" w:cs="Calibri"/>
                <w:b/>
                <w:bCs/>
                <w:sz w:val="20"/>
                <w:szCs w:val="20"/>
              </w:rPr>
              <w:t xml:space="preserve">Toenail and hair selenium </w:t>
            </w:r>
            <w:r w:rsidR="008F497B" w:rsidRPr="00D633FF">
              <w:rPr>
                <w:rFonts w:ascii="Calibri" w:hAnsi="Calibri" w:cs="Calibri"/>
                <w:b/>
                <w:bCs/>
                <w:sz w:val="20"/>
                <w:szCs w:val="20"/>
              </w:rPr>
              <w:t>concentration</w:t>
            </w:r>
          </w:p>
        </w:tc>
        <w:tc>
          <w:tcPr>
            <w:tcW w:w="5102" w:type="dxa"/>
          </w:tcPr>
          <w:p w14:paraId="5FDD877D" w14:textId="13624ADB" w:rsidR="0654E070" w:rsidRPr="00D633FF" w:rsidRDefault="0654E070" w:rsidP="005731A5">
            <w:pPr>
              <w:spacing w:line="276" w:lineRule="auto"/>
              <w:rPr>
                <w:rFonts w:ascii="Calibri" w:hAnsi="Calibri" w:cs="Calibri"/>
                <w:sz w:val="20"/>
                <w:szCs w:val="20"/>
              </w:rPr>
            </w:pPr>
            <w:r w:rsidRPr="00D633FF">
              <w:rPr>
                <w:rFonts w:ascii="Calibri" w:hAnsi="Calibri" w:cs="Calibri"/>
                <w:sz w:val="20"/>
                <w:szCs w:val="20"/>
              </w:rPr>
              <w:t>Deposits of selenium</w:t>
            </w:r>
          </w:p>
          <w:p w14:paraId="148EFC2C" w14:textId="19FD4ABE" w:rsidR="2145493A" w:rsidRPr="00D633FF" w:rsidRDefault="2145493A" w:rsidP="005731A5">
            <w:pPr>
              <w:spacing w:line="276" w:lineRule="auto"/>
              <w:rPr>
                <w:rFonts w:ascii="Calibri" w:hAnsi="Calibri" w:cs="Calibri"/>
                <w:sz w:val="20"/>
                <w:szCs w:val="20"/>
                <w:highlight w:val="yellow"/>
              </w:rPr>
            </w:pPr>
          </w:p>
        </w:tc>
        <w:tc>
          <w:tcPr>
            <w:tcW w:w="7370" w:type="dxa"/>
          </w:tcPr>
          <w:p w14:paraId="4F176198" w14:textId="25B31F9B" w:rsidR="0654E070" w:rsidRPr="00D633FF" w:rsidRDefault="0654E070" w:rsidP="005731A5">
            <w:pPr>
              <w:pStyle w:val="ListParagraph"/>
              <w:numPr>
                <w:ilvl w:val="0"/>
                <w:numId w:val="1"/>
              </w:numPr>
              <w:spacing w:line="276" w:lineRule="auto"/>
              <w:rPr>
                <w:rFonts w:ascii="Calibri" w:hAnsi="Calibri" w:cs="Calibri"/>
                <w:sz w:val="20"/>
                <w:szCs w:val="20"/>
              </w:rPr>
            </w:pPr>
            <w:r w:rsidRPr="00D633FF">
              <w:rPr>
                <w:rFonts w:ascii="Calibri" w:hAnsi="Calibri" w:cs="Calibri"/>
                <w:sz w:val="20"/>
                <w:szCs w:val="20"/>
              </w:rPr>
              <w:t xml:space="preserve">Can </w:t>
            </w:r>
            <w:r w:rsidR="0056731C" w:rsidRPr="00D633FF">
              <w:rPr>
                <w:rFonts w:ascii="Calibri" w:hAnsi="Calibri" w:cs="Calibri"/>
                <w:sz w:val="20"/>
                <w:szCs w:val="20"/>
              </w:rPr>
              <w:t>detect variations</w:t>
            </w:r>
            <w:r w:rsidRPr="00D633FF">
              <w:rPr>
                <w:rFonts w:ascii="Calibri" w:hAnsi="Calibri" w:cs="Calibri"/>
                <w:sz w:val="20"/>
                <w:szCs w:val="20"/>
              </w:rPr>
              <w:t xml:space="preserve"> in intake over medium to longer term. </w:t>
            </w:r>
            <w:r w:rsidR="0056731C" w:rsidRPr="00D633FF">
              <w:rPr>
                <w:rFonts w:ascii="Calibri" w:hAnsi="Calibri" w:cs="Calibri"/>
                <w:sz w:val="20"/>
                <w:szCs w:val="20"/>
              </w:rPr>
              <w:t>Largely</w:t>
            </w:r>
            <w:r w:rsidRPr="00D633FF">
              <w:rPr>
                <w:rFonts w:ascii="Calibri" w:hAnsi="Calibri" w:cs="Calibri"/>
                <w:sz w:val="20"/>
                <w:szCs w:val="20"/>
              </w:rPr>
              <w:t xml:space="preserve"> used as a measure in observational studies </w:t>
            </w:r>
            <w:r w:rsidR="00F41A14" w:rsidRPr="00D633FF">
              <w:rPr>
                <w:rFonts w:ascii="Calibri" w:hAnsi="Calibri" w:cs="Calibri"/>
                <w:noProof/>
                <w:sz w:val="20"/>
                <w:szCs w:val="20"/>
              </w:rPr>
              <w:t>(Alexander &amp; Olsen 2023)</w:t>
            </w:r>
          </w:p>
          <w:p w14:paraId="31F99787" w14:textId="142AC519" w:rsidR="0654E070" w:rsidRPr="00D633FF" w:rsidRDefault="0654E070" w:rsidP="005731A5">
            <w:pPr>
              <w:pStyle w:val="ListParagraph"/>
              <w:numPr>
                <w:ilvl w:val="0"/>
                <w:numId w:val="1"/>
              </w:numPr>
              <w:spacing w:line="276" w:lineRule="auto"/>
              <w:rPr>
                <w:rFonts w:ascii="Calibri" w:hAnsi="Calibri" w:cs="Calibri"/>
                <w:sz w:val="20"/>
                <w:szCs w:val="20"/>
              </w:rPr>
            </w:pPr>
            <w:r w:rsidRPr="00D633FF">
              <w:rPr>
                <w:rFonts w:ascii="Calibri" w:hAnsi="Calibri" w:cs="Calibri"/>
                <w:sz w:val="20"/>
                <w:szCs w:val="20"/>
              </w:rPr>
              <w:t xml:space="preserve">Can distinguish consumers with high </w:t>
            </w:r>
            <w:r w:rsidR="00593C69" w:rsidRPr="00D633FF">
              <w:rPr>
                <w:rFonts w:ascii="Calibri" w:hAnsi="Calibri" w:cs="Calibri"/>
                <w:sz w:val="20"/>
                <w:szCs w:val="20"/>
              </w:rPr>
              <w:t xml:space="preserve">vs </w:t>
            </w:r>
            <w:r w:rsidRPr="00D633FF">
              <w:rPr>
                <w:rFonts w:ascii="Calibri" w:hAnsi="Calibri" w:cs="Calibri"/>
                <w:sz w:val="20"/>
                <w:szCs w:val="20"/>
              </w:rPr>
              <w:t>low intake</w:t>
            </w:r>
          </w:p>
          <w:p w14:paraId="64FEC9C6" w14:textId="4A57FACA" w:rsidR="2145493A" w:rsidRPr="00D633FF" w:rsidRDefault="0654E070" w:rsidP="008054EA">
            <w:pPr>
              <w:pStyle w:val="ListParagraph"/>
              <w:numPr>
                <w:ilvl w:val="0"/>
                <w:numId w:val="1"/>
              </w:numPr>
              <w:spacing w:after="120" w:line="276" w:lineRule="auto"/>
              <w:rPr>
                <w:rFonts w:ascii="Calibri" w:hAnsi="Calibri" w:cs="Calibri"/>
                <w:sz w:val="20"/>
                <w:szCs w:val="20"/>
              </w:rPr>
            </w:pPr>
            <w:r w:rsidRPr="00D633FF">
              <w:rPr>
                <w:rFonts w:ascii="Calibri" w:hAnsi="Calibri" w:cs="Calibri"/>
                <w:sz w:val="20"/>
                <w:szCs w:val="20"/>
              </w:rPr>
              <w:t xml:space="preserve">Requires standardised procedures for collection of samples and treatments as prone to contamination </w:t>
            </w:r>
            <w:r w:rsidR="00F41A14" w:rsidRPr="00D633FF">
              <w:rPr>
                <w:rFonts w:ascii="Calibri" w:hAnsi="Calibri" w:cs="Calibri"/>
                <w:noProof/>
                <w:sz w:val="20"/>
                <w:szCs w:val="20"/>
              </w:rPr>
              <w:t>(Slotnick &amp; Nriagu 2006)</w:t>
            </w:r>
          </w:p>
        </w:tc>
      </w:tr>
      <w:tr w:rsidR="00D7212D" w:rsidRPr="00D633FF" w14:paraId="4C5466B3" w14:textId="77777777" w:rsidTr="00587E88">
        <w:trPr>
          <w:trHeight w:val="300"/>
        </w:trPr>
        <w:tc>
          <w:tcPr>
            <w:tcW w:w="1838" w:type="dxa"/>
            <w:shd w:val="clear" w:color="auto" w:fill="C1E4F5" w:themeFill="accent1" w:themeFillTint="33"/>
            <w:vAlign w:val="center"/>
          </w:tcPr>
          <w:p w14:paraId="48749470" w14:textId="55C6CC9C" w:rsidR="0654E070" w:rsidRPr="00D633FF" w:rsidRDefault="0654E070" w:rsidP="005731A5">
            <w:pPr>
              <w:spacing w:line="276" w:lineRule="auto"/>
              <w:rPr>
                <w:rFonts w:ascii="Calibri" w:hAnsi="Calibri" w:cs="Calibri"/>
                <w:b/>
                <w:bCs/>
                <w:sz w:val="20"/>
                <w:szCs w:val="20"/>
              </w:rPr>
            </w:pPr>
            <w:r w:rsidRPr="00D633FF">
              <w:rPr>
                <w:rFonts w:ascii="Calibri" w:hAnsi="Calibri" w:cs="Calibri"/>
                <w:b/>
                <w:bCs/>
                <w:sz w:val="20"/>
                <w:szCs w:val="20"/>
              </w:rPr>
              <w:t xml:space="preserve">Urinary </w:t>
            </w:r>
            <w:r w:rsidR="003B17D8" w:rsidRPr="00D633FF">
              <w:rPr>
                <w:rFonts w:ascii="Calibri" w:hAnsi="Calibri" w:cs="Calibri"/>
                <w:b/>
                <w:bCs/>
                <w:sz w:val="20"/>
                <w:szCs w:val="20"/>
              </w:rPr>
              <w:t>s</w:t>
            </w:r>
            <w:r w:rsidRPr="00D633FF">
              <w:rPr>
                <w:rFonts w:ascii="Calibri" w:hAnsi="Calibri" w:cs="Calibri"/>
                <w:b/>
                <w:bCs/>
                <w:sz w:val="20"/>
                <w:szCs w:val="20"/>
              </w:rPr>
              <w:t>elenium</w:t>
            </w:r>
            <w:r w:rsidR="008F497B" w:rsidRPr="00D633FF">
              <w:rPr>
                <w:rFonts w:ascii="Calibri" w:hAnsi="Calibri" w:cs="Calibri"/>
                <w:b/>
                <w:bCs/>
                <w:sz w:val="20"/>
                <w:szCs w:val="20"/>
              </w:rPr>
              <w:t xml:space="preserve"> concentration</w:t>
            </w:r>
          </w:p>
        </w:tc>
        <w:tc>
          <w:tcPr>
            <w:tcW w:w="5102" w:type="dxa"/>
          </w:tcPr>
          <w:p w14:paraId="3DBAF26C" w14:textId="39636097" w:rsidR="0654E070" w:rsidRPr="00D633FF" w:rsidRDefault="00413E62" w:rsidP="005731A5">
            <w:pPr>
              <w:pStyle w:val="ListParagraph"/>
              <w:numPr>
                <w:ilvl w:val="0"/>
                <w:numId w:val="1"/>
              </w:numPr>
              <w:spacing w:line="276" w:lineRule="auto"/>
              <w:rPr>
                <w:rFonts w:ascii="Calibri" w:hAnsi="Calibri" w:cs="Calibri"/>
                <w:sz w:val="20"/>
                <w:szCs w:val="20"/>
              </w:rPr>
            </w:pPr>
            <w:r w:rsidRPr="00D633FF">
              <w:rPr>
                <w:rFonts w:ascii="Calibri" w:hAnsi="Calibri" w:cs="Calibri"/>
                <w:sz w:val="20"/>
                <w:szCs w:val="20"/>
              </w:rPr>
              <w:t xml:space="preserve">Main </w:t>
            </w:r>
            <w:r w:rsidR="0654E070" w:rsidRPr="00D633FF">
              <w:rPr>
                <w:rFonts w:ascii="Calibri" w:hAnsi="Calibri" w:cs="Calibri"/>
                <w:sz w:val="20"/>
                <w:szCs w:val="20"/>
              </w:rPr>
              <w:t>route of selenium elimination</w:t>
            </w:r>
            <w:r w:rsidR="00E16DC4" w:rsidRPr="00D633FF">
              <w:rPr>
                <w:rFonts w:ascii="Calibri" w:hAnsi="Calibri" w:cs="Calibri"/>
                <w:sz w:val="20"/>
                <w:szCs w:val="20"/>
              </w:rPr>
              <w:t xml:space="preserve"> </w:t>
            </w:r>
            <w:r w:rsidR="00F41A14" w:rsidRPr="00D633FF">
              <w:rPr>
                <w:rFonts w:ascii="Calibri" w:hAnsi="Calibri" w:cs="Calibri"/>
                <w:noProof/>
                <w:sz w:val="20"/>
                <w:szCs w:val="20"/>
              </w:rPr>
              <w:t>(Turck et al. 2023)</w:t>
            </w:r>
          </w:p>
          <w:p w14:paraId="3FA8F126" w14:textId="551F288A" w:rsidR="0654E070" w:rsidRPr="00D633FF" w:rsidRDefault="0654E070" w:rsidP="008054EA">
            <w:pPr>
              <w:pStyle w:val="ListParagraph"/>
              <w:numPr>
                <w:ilvl w:val="0"/>
                <w:numId w:val="1"/>
              </w:numPr>
              <w:spacing w:after="120" w:line="276" w:lineRule="auto"/>
              <w:rPr>
                <w:rFonts w:ascii="Calibri" w:hAnsi="Calibri" w:cs="Calibri"/>
                <w:sz w:val="20"/>
                <w:szCs w:val="20"/>
              </w:rPr>
            </w:pPr>
            <w:r w:rsidRPr="00D633FF">
              <w:rPr>
                <w:rFonts w:ascii="Calibri" w:hAnsi="Calibri" w:cs="Calibri"/>
                <w:sz w:val="20"/>
                <w:szCs w:val="20"/>
              </w:rPr>
              <w:t xml:space="preserve">Can be highly variable, as </w:t>
            </w:r>
            <w:r w:rsidR="00413E62" w:rsidRPr="00D633FF">
              <w:rPr>
                <w:rFonts w:ascii="Calibri" w:hAnsi="Calibri" w:cs="Calibri"/>
                <w:sz w:val="20"/>
                <w:szCs w:val="20"/>
              </w:rPr>
              <w:t>excess</w:t>
            </w:r>
            <w:r w:rsidRPr="00D633FF">
              <w:rPr>
                <w:rFonts w:ascii="Calibri" w:hAnsi="Calibri" w:cs="Calibri"/>
                <w:sz w:val="20"/>
                <w:szCs w:val="20"/>
              </w:rPr>
              <w:t xml:space="preserve"> of selenium not going into selenoprotein synthesis or into proteins as </w:t>
            </w:r>
            <w:proofErr w:type="spellStart"/>
            <w:r w:rsidRPr="00D633FF">
              <w:rPr>
                <w:rFonts w:ascii="Calibri" w:hAnsi="Calibri" w:cs="Calibri"/>
                <w:sz w:val="20"/>
                <w:szCs w:val="20"/>
              </w:rPr>
              <w:t>selenomethionine</w:t>
            </w:r>
            <w:proofErr w:type="spellEnd"/>
            <w:r w:rsidRPr="00D633FF">
              <w:rPr>
                <w:rFonts w:ascii="Calibri" w:hAnsi="Calibri" w:cs="Calibri"/>
                <w:sz w:val="20"/>
                <w:szCs w:val="20"/>
              </w:rPr>
              <w:t xml:space="preserve"> is excreted into urine </w:t>
            </w:r>
            <w:r w:rsidR="00F41A14" w:rsidRPr="00D633FF">
              <w:rPr>
                <w:rFonts w:ascii="Calibri" w:hAnsi="Calibri" w:cs="Calibri"/>
                <w:noProof/>
                <w:sz w:val="20"/>
                <w:szCs w:val="20"/>
              </w:rPr>
              <w:t>(Alexander &amp; Olsen 2023)</w:t>
            </w:r>
          </w:p>
        </w:tc>
        <w:tc>
          <w:tcPr>
            <w:tcW w:w="7370" w:type="dxa"/>
          </w:tcPr>
          <w:p w14:paraId="0D1B3E02" w14:textId="126D19AD" w:rsidR="0654E070" w:rsidRPr="00D633FF" w:rsidRDefault="0654E070" w:rsidP="005731A5">
            <w:pPr>
              <w:pStyle w:val="ListParagraph"/>
              <w:numPr>
                <w:ilvl w:val="0"/>
                <w:numId w:val="1"/>
              </w:numPr>
              <w:spacing w:line="276" w:lineRule="auto"/>
              <w:rPr>
                <w:rFonts w:ascii="Calibri" w:hAnsi="Calibri" w:cs="Calibri"/>
                <w:sz w:val="20"/>
                <w:szCs w:val="20"/>
              </w:rPr>
            </w:pPr>
            <w:r w:rsidRPr="00D633FF">
              <w:rPr>
                <w:rFonts w:ascii="Calibri" w:hAnsi="Calibri" w:cs="Calibri"/>
                <w:sz w:val="20"/>
                <w:szCs w:val="20"/>
              </w:rPr>
              <w:t xml:space="preserve">Can detect </w:t>
            </w:r>
            <w:r w:rsidR="0045708A" w:rsidRPr="00D633FF">
              <w:rPr>
                <w:rFonts w:ascii="Calibri" w:hAnsi="Calibri" w:cs="Calibri"/>
                <w:sz w:val="20"/>
                <w:szCs w:val="20"/>
              </w:rPr>
              <w:t xml:space="preserve">variations in </w:t>
            </w:r>
            <w:r w:rsidRPr="00D633FF">
              <w:rPr>
                <w:rFonts w:ascii="Calibri" w:hAnsi="Calibri" w:cs="Calibri"/>
                <w:sz w:val="20"/>
                <w:szCs w:val="20"/>
              </w:rPr>
              <w:t>intake over the short-term</w:t>
            </w:r>
          </w:p>
          <w:p w14:paraId="47E97189" w14:textId="3DD22FD4" w:rsidR="00B96F4E" w:rsidRPr="00D633FF" w:rsidRDefault="00B96F4E" w:rsidP="005731A5">
            <w:pPr>
              <w:pStyle w:val="ListParagraph"/>
              <w:numPr>
                <w:ilvl w:val="0"/>
                <w:numId w:val="1"/>
              </w:numPr>
              <w:spacing w:line="276" w:lineRule="auto"/>
              <w:rPr>
                <w:rFonts w:ascii="Calibri" w:hAnsi="Calibri" w:cs="Calibri"/>
                <w:sz w:val="20"/>
                <w:szCs w:val="20"/>
              </w:rPr>
            </w:pPr>
            <w:r w:rsidRPr="00D633FF">
              <w:rPr>
                <w:rFonts w:ascii="Calibri" w:hAnsi="Calibri" w:cs="Calibri"/>
                <w:sz w:val="20"/>
                <w:szCs w:val="20"/>
              </w:rPr>
              <w:t>Can distinguish individuals with high intake from low intake</w:t>
            </w:r>
          </w:p>
          <w:p w14:paraId="72A44E0B" w14:textId="37CCD050" w:rsidR="2145493A" w:rsidRPr="00D633FF" w:rsidRDefault="0654E070" w:rsidP="005731A5">
            <w:pPr>
              <w:pStyle w:val="ListParagraph"/>
              <w:numPr>
                <w:ilvl w:val="0"/>
                <w:numId w:val="1"/>
              </w:numPr>
              <w:spacing w:line="276" w:lineRule="auto"/>
              <w:rPr>
                <w:rFonts w:ascii="Calibri" w:hAnsi="Calibri" w:cs="Calibri"/>
                <w:sz w:val="20"/>
                <w:szCs w:val="20"/>
              </w:rPr>
            </w:pPr>
            <w:r w:rsidRPr="00D633FF">
              <w:rPr>
                <w:rFonts w:ascii="Calibri" w:hAnsi="Calibri" w:cs="Calibri"/>
                <w:sz w:val="20"/>
                <w:szCs w:val="20"/>
              </w:rPr>
              <w:t xml:space="preserve">At a constant dietary intake, </w:t>
            </w:r>
            <w:r w:rsidR="0045708A" w:rsidRPr="00D633FF">
              <w:rPr>
                <w:rFonts w:ascii="Calibri" w:hAnsi="Calibri" w:cs="Calibri"/>
                <w:sz w:val="20"/>
                <w:szCs w:val="20"/>
              </w:rPr>
              <w:t xml:space="preserve">plasma </w:t>
            </w:r>
            <w:r w:rsidRPr="00D633FF">
              <w:rPr>
                <w:rFonts w:ascii="Calibri" w:hAnsi="Calibri" w:cs="Calibri"/>
                <w:sz w:val="20"/>
                <w:szCs w:val="20"/>
              </w:rPr>
              <w:t xml:space="preserve">selenium and urinary excretion </w:t>
            </w:r>
            <w:r w:rsidR="0045708A" w:rsidRPr="00D633FF">
              <w:rPr>
                <w:rFonts w:ascii="Calibri" w:hAnsi="Calibri" w:cs="Calibri"/>
                <w:sz w:val="20"/>
                <w:szCs w:val="20"/>
              </w:rPr>
              <w:t>look to</w:t>
            </w:r>
            <w:r w:rsidRPr="00D633FF">
              <w:rPr>
                <w:rFonts w:ascii="Calibri" w:hAnsi="Calibri" w:cs="Calibri"/>
                <w:sz w:val="20"/>
                <w:szCs w:val="20"/>
              </w:rPr>
              <w:t xml:space="preserve"> be closely related</w:t>
            </w:r>
            <w:r w:rsidR="00E16DC4" w:rsidRPr="00D633FF">
              <w:rPr>
                <w:rFonts w:ascii="Calibri" w:hAnsi="Calibri" w:cs="Calibri"/>
                <w:sz w:val="20"/>
                <w:szCs w:val="20"/>
              </w:rPr>
              <w:t xml:space="preserve"> </w:t>
            </w:r>
            <w:r w:rsidR="00F41A14" w:rsidRPr="00D633FF">
              <w:rPr>
                <w:rFonts w:ascii="Calibri" w:hAnsi="Calibri" w:cs="Calibri"/>
                <w:noProof/>
                <w:sz w:val="20"/>
                <w:szCs w:val="20"/>
              </w:rPr>
              <w:t>(Burk &amp; Hill 2015)</w:t>
            </w:r>
            <w:r w:rsidR="00E16DC4" w:rsidRPr="00D633FF">
              <w:rPr>
                <w:rFonts w:ascii="Calibri" w:hAnsi="Calibri" w:cs="Calibri"/>
                <w:sz w:val="20"/>
                <w:szCs w:val="20"/>
              </w:rPr>
              <w:t>.</w:t>
            </w:r>
          </w:p>
        </w:tc>
      </w:tr>
    </w:tbl>
    <w:p w14:paraId="617BD743" w14:textId="77777777" w:rsidR="004F7B60" w:rsidRPr="00D633FF" w:rsidRDefault="004F7B60" w:rsidP="00A62838">
      <w:pPr>
        <w:spacing w:line="360" w:lineRule="auto"/>
        <w:rPr>
          <w:rFonts w:ascii="Calibri" w:hAnsi="Calibri" w:cs="Calibri"/>
        </w:rPr>
        <w:sectPr w:rsidR="004F7B60" w:rsidRPr="00D633FF" w:rsidSect="00AD1387">
          <w:footnotePr>
            <w:pos w:val="beneathText"/>
          </w:footnotePr>
          <w:pgSz w:w="16838" w:h="11906" w:orient="landscape"/>
          <w:pgMar w:top="1440" w:right="1440" w:bottom="1440" w:left="1440" w:header="708" w:footer="708" w:gutter="0"/>
          <w:cols w:space="708"/>
          <w:docGrid w:linePitch="360"/>
        </w:sectPr>
      </w:pPr>
    </w:p>
    <w:p w14:paraId="6485416A" w14:textId="77777777" w:rsidR="00F4746A" w:rsidRPr="00D633FF" w:rsidRDefault="00F4746A" w:rsidP="00A62838">
      <w:pPr>
        <w:spacing w:line="360" w:lineRule="auto"/>
        <w:rPr>
          <w:rFonts w:ascii="Calibri" w:hAnsi="Calibri" w:cs="Calibri"/>
        </w:rPr>
      </w:pPr>
    </w:p>
    <w:p w14:paraId="43122930" w14:textId="01731637" w:rsidR="005F0B3D" w:rsidRPr="00D633FF" w:rsidRDefault="005F0B3D" w:rsidP="007D714E">
      <w:pPr>
        <w:pStyle w:val="Heading1"/>
        <w:spacing w:line="240" w:lineRule="auto"/>
        <w:rPr>
          <w:rFonts w:ascii="Calibri" w:hAnsi="Calibri" w:cs="Calibri"/>
          <w:b/>
          <w:bCs/>
        </w:rPr>
      </w:pPr>
      <w:bookmarkStart w:id="25" w:name="_Toc218527961"/>
      <w:r w:rsidRPr="00D633FF">
        <w:rPr>
          <w:rFonts w:ascii="Calibri" w:hAnsi="Calibri" w:cs="Calibri"/>
          <w:b/>
          <w:bCs/>
        </w:rPr>
        <w:t>Current recommendations and international comparisons</w:t>
      </w:r>
      <w:bookmarkEnd w:id="25"/>
    </w:p>
    <w:p w14:paraId="5B3D2562" w14:textId="4AFA69A1" w:rsidR="002364CD" w:rsidRPr="00D633FF" w:rsidRDefault="002364CD" w:rsidP="002364CD">
      <w:pPr>
        <w:pStyle w:val="Heading3"/>
        <w:rPr>
          <w:rFonts w:ascii="Calibri" w:hAnsi="Calibri" w:cs="Calibri"/>
        </w:rPr>
      </w:pPr>
      <w:bookmarkStart w:id="26" w:name="_Toc218527962"/>
      <w:r w:rsidRPr="00D633FF">
        <w:rPr>
          <w:rFonts w:ascii="Calibri" w:hAnsi="Calibri" w:cs="Calibri"/>
        </w:rPr>
        <w:t xml:space="preserve">Basis for current </w:t>
      </w:r>
      <w:r w:rsidR="00A31A83" w:rsidRPr="00D633FF">
        <w:rPr>
          <w:rFonts w:ascii="Calibri" w:hAnsi="Calibri" w:cs="Calibri"/>
        </w:rPr>
        <w:t xml:space="preserve">UL </w:t>
      </w:r>
      <w:r w:rsidRPr="00D633FF">
        <w:rPr>
          <w:rFonts w:ascii="Calibri" w:hAnsi="Calibri" w:cs="Calibri"/>
        </w:rPr>
        <w:t>recommendations</w:t>
      </w:r>
      <w:bookmarkEnd w:id="26"/>
    </w:p>
    <w:p w14:paraId="685811ED" w14:textId="41C6DD34" w:rsidR="006E1372" w:rsidRPr="00D633FF" w:rsidRDefault="005F0B3D" w:rsidP="00A4230F">
      <w:pPr>
        <w:spacing w:line="360" w:lineRule="auto"/>
        <w:rPr>
          <w:rFonts w:ascii="Calibri" w:hAnsi="Calibri" w:cs="Calibri"/>
        </w:rPr>
      </w:pPr>
      <w:r w:rsidRPr="00D633FF">
        <w:rPr>
          <w:rFonts w:ascii="Calibri" w:hAnsi="Calibri" w:cs="Calibri"/>
        </w:rPr>
        <w:t xml:space="preserve">The current Australian and New Zealand </w:t>
      </w:r>
      <w:r w:rsidR="00644C33" w:rsidRPr="00D633FF">
        <w:rPr>
          <w:rFonts w:ascii="Calibri" w:hAnsi="Calibri" w:cs="Calibri"/>
        </w:rPr>
        <w:t>NRVs</w:t>
      </w:r>
      <w:r w:rsidRPr="00D633FF">
        <w:rPr>
          <w:rFonts w:ascii="Calibri" w:hAnsi="Calibri" w:cs="Calibri"/>
        </w:rPr>
        <w:t xml:space="preserve"> for </w:t>
      </w:r>
      <w:r w:rsidR="00113A07" w:rsidRPr="00D633FF">
        <w:rPr>
          <w:rFonts w:ascii="Calibri" w:hAnsi="Calibri" w:cs="Calibri"/>
        </w:rPr>
        <w:t>selenium</w:t>
      </w:r>
      <w:r w:rsidRPr="00D633FF">
        <w:rPr>
          <w:rFonts w:ascii="Calibri" w:hAnsi="Calibri" w:cs="Calibri"/>
        </w:rPr>
        <w:t xml:space="preserve"> were developed in 2006 and adapted from values published by the US Institute of Medicine </w:t>
      </w:r>
      <w:r w:rsidR="00F41A14" w:rsidRPr="00D633FF">
        <w:rPr>
          <w:rFonts w:ascii="Calibri" w:hAnsi="Calibri" w:cs="Calibri"/>
          <w:noProof/>
        </w:rPr>
        <w:t>(IOM 2000)</w:t>
      </w:r>
      <w:r w:rsidRPr="00D633FF">
        <w:rPr>
          <w:rFonts w:ascii="Calibri" w:hAnsi="Calibri" w:cs="Calibri"/>
        </w:rPr>
        <w:t>.</w:t>
      </w:r>
      <w:r w:rsidR="003F2960" w:rsidRPr="00D633FF">
        <w:rPr>
          <w:rFonts w:ascii="Calibri" w:hAnsi="Calibri" w:cs="Calibri"/>
        </w:rPr>
        <w:t xml:space="preserve"> The </w:t>
      </w:r>
      <w:r w:rsidRPr="00D633FF">
        <w:rPr>
          <w:rFonts w:ascii="Calibri" w:hAnsi="Calibri" w:cs="Calibri"/>
        </w:rPr>
        <w:t xml:space="preserve">UL </w:t>
      </w:r>
      <w:r w:rsidR="00E30C64" w:rsidRPr="00D633FF">
        <w:rPr>
          <w:rFonts w:ascii="Calibri" w:hAnsi="Calibri" w:cs="Calibri"/>
        </w:rPr>
        <w:t xml:space="preserve">was </w:t>
      </w:r>
      <w:r w:rsidRPr="00D633FF">
        <w:rPr>
          <w:rFonts w:ascii="Calibri" w:hAnsi="Calibri" w:cs="Calibri"/>
        </w:rPr>
        <w:t xml:space="preserve">based on </w:t>
      </w:r>
      <w:r w:rsidR="00485636" w:rsidRPr="00D633FF">
        <w:rPr>
          <w:rFonts w:ascii="Calibri" w:hAnsi="Calibri" w:cs="Calibri"/>
        </w:rPr>
        <w:t>a study showing an increase in the risk of squamous cell carcinoma and total non-melanoma skin cancer with</w:t>
      </w:r>
      <w:r w:rsidR="00DD0814" w:rsidRPr="00D633FF">
        <w:rPr>
          <w:rFonts w:ascii="Calibri" w:hAnsi="Calibri" w:cs="Calibri"/>
        </w:rPr>
        <w:t xml:space="preserve"> selenium</w:t>
      </w:r>
      <w:r w:rsidR="00485636" w:rsidRPr="00D633FF">
        <w:rPr>
          <w:rFonts w:ascii="Calibri" w:hAnsi="Calibri" w:cs="Calibri"/>
        </w:rPr>
        <w:t xml:space="preserve"> supplement</w:t>
      </w:r>
      <w:r w:rsidR="00DD0814" w:rsidRPr="00D633FF">
        <w:rPr>
          <w:rFonts w:ascii="Calibri" w:hAnsi="Calibri" w:cs="Calibri"/>
        </w:rPr>
        <w:t>ation</w:t>
      </w:r>
      <w:r w:rsidR="00485636" w:rsidRPr="00D633FF">
        <w:rPr>
          <w:rFonts w:ascii="Calibri" w:hAnsi="Calibri" w:cs="Calibri"/>
        </w:rPr>
        <w:t xml:space="preserve"> of 200 µg/day among individuals at high risk of non-melanoma skin cancer</w:t>
      </w:r>
      <w:r w:rsidR="00F63CD4" w:rsidRPr="00D633FF">
        <w:rPr>
          <w:rFonts w:ascii="Calibri" w:hAnsi="Calibri" w:cs="Calibri"/>
        </w:rPr>
        <w:t xml:space="preserve"> </w:t>
      </w:r>
      <w:r w:rsidR="00F41A14" w:rsidRPr="00D633FF">
        <w:rPr>
          <w:rFonts w:ascii="Calibri" w:hAnsi="Calibri" w:cs="Calibri"/>
          <w:noProof/>
        </w:rPr>
        <w:t>(Duffield-Lillico et al. 2003)</w:t>
      </w:r>
      <w:r w:rsidR="00485636" w:rsidRPr="00D633FF">
        <w:rPr>
          <w:rFonts w:ascii="Calibri" w:hAnsi="Calibri" w:cs="Calibri"/>
        </w:rPr>
        <w:t>.</w:t>
      </w:r>
      <w:r w:rsidR="004A2D08" w:rsidRPr="00D633FF">
        <w:rPr>
          <w:rFonts w:ascii="Calibri" w:hAnsi="Calibri" w:cs="Calibri"/>
        </w:rPr>
        <w:t xml:space="preserve"> </w:t>
      </w:r>
      <w:r w:rsidR="00E30C64" w:rsidRPr="00D633FF">
        <w:rPr>
          <w:rFonts w:ascii="Calibri" w:hAnsi="Calibri" w:cs="Calibri"/>
        </w:rPr>
        <w:t>A</w:t>
      </w:r>
      <w:r w:rsidR="00FA0460" w:rsidRPr="00D633FF">
        <w:rPr>
          <w:rFonts w:ascii="Calibri" w:hAnsi="Calibri" w:cs="Calibri"/>
        </w:rPr>
        <w:t>n</w:t>
      </w:r>
      <w:r w:rsidR="00DD0814" w:rsidRPr="00D633FF">
        <w:rPr>
          <w:rFonts w:ascii="Calibri" w:hAnsi="Calibri" w:cs="Calibri"/>
        </w:rPr>
        <w:t xml:space="preserve"> uncertainty factor</w:t>
      </w:r>
      <w:r w:rsidR="004A2D08" w:rsidRPr="00D633FF">
        <w:rPr>
          <w:rFonts w:ascii="Calibri" w:hAnsi="Calibri" w:cs="Calibri"/>
        </w:rPr>
        <w:t> </w:t>
      </w:r>
      <w:r w:rsidR="00DD0814" w:rsidRPr="00D633FF">
        <w:rPr>
          <w:rFonts w:ascii="Calibri" w:hAnsi="Calibri" w:cs="Calibri"/>
        </w:rPr>
        <w:t>(</w:t>
      </w:r>
      <w:r w:rsidR="004A2D08" w:rsidRPr="00D633FF">
        <w:rPr>
          <w:rFonts w:ascii="Calibri" w:hAnsi="Calibri" w:cs="Calibri"/>
        </w:rPr>
        <w:t>UF</w:t>
      </w:r>
      <w:r w:rsidR="00DD0814" w:rsidRPr="00D633FF">
        <w:rPr>
          <w:rFonts w:ascii="Calibri" w:hAnsi="Calibri" w:cs="Calibri"/>
        </w:rPr>
        <w:t>)</w:t>
      </w:r>
      <w:r w:rsidR="004A2D08" w:rsidRPr="00D633FF">
        <w:rPr>
          <w:rFonts w:ascii="Calibri" w:hAnsi="Calibri" w:cs="Calibri"/>
        </w:rPr>
        <w:t> of 2</w:t>
      </w:r>
      <w:r w:rsidR="00E30C64" w:rsidRPr="00D633FF">
        <w:rPr>
          <w:rFonts w:ascii="Calibri" w:hAnsi="Calibri" w:cs="Calibri"/>
        </w:rPr>
        <w:t xml:space="preserve"> was applied</w:t>
      </w:r>
      <w:r w:rsidR="004A2D08" w:rsidRPr="00D633FF">
        <w:rPr>
          <w:rFonts w:ascii="Calibri" w:hAnsi="Calibri" w:cs="Calibri"/>
        </w:rPr>
        <w:t xml:space="preserve"> to protect sensitive individuals because of gaps in data and</w:t>
      </w:r>
      <w:r w:rsidR="00485636" w:rsidRPr="00D633FF">
        <w:rPr>
          <w:rFonts w:ascii="Calibri" w:hAnsi="Calibri" w:cs="Calibri"/>
        </w:rPr>
        <w:t xml:space="preserve"> </w:t>
      </w:r>
      <w:r w:rsidR="004A2D08" w:rsidRPr="00D633FF">
        <w:rPr>
          <w:rFonts w:ascii="Calibri" w:hAnsi="Calibri" w:cs="Calibri"/>
        </w:rPr>
        <w:t xml:space="preserve">incomplete knowledge, bearing in mind that the toxic effect of selenium </w:t>
      </w:r>
      <w:r w:rsidR="00602037" w:rsidRPr="00D633FF">
        <w:rPr>
          <w:rFonts w:ascii="Calibri" w:hAnsi="Calibri" w:cs="Calibri"/>
        </w:rPr>
        <w:t>was</w:t>
      </w:r>
      <w:r w:rsidR="004A2D08" w:rsidRPr="00D633FF">
        <w:rPr>
          <w:rFonts w:ascii="Calibri" w:hAnsi="Calibri" w:cs="Calibri"/>
        </w:rPr>
        <w:t xml:space="preserve"> not severe</w:t>
      </w:r>
      <w:r w:rsidR="00602037" w:rsidRPr="00D633FF">
        <w:rPr>
          <w:rFonts w:ascii="Calibri" w:hAnsi="Calibri" w:cs="Calibri"/>
        </w:rPr>
        <w:t>,</w:t>
      </w:r>
      <w:r w:rsidR="004A2D08" w:rsidRPr="00D633FF">
        <w:rPr>
          <w:rFonts w:ascii="Calibri" w:hAnsi="Calibri" w:cs="Calibri"/>
        </w:rPr>
        <w:t xml:space="preserve"> but may be irreversible. The UL </w:t>
      </w:r>
      <w:r w:rsidR="005D3413" w:rsidRPr="00D633FF">
        <w:rPr>
          <w:rFonts w:ascii="Calibri" w:hAnsi="Calibri" w:cs="Calibri"/>
        </w:rPr>
        <w:t>was</w:t>
      </w:r>
      <w:r w:rsidR="004A2D08" w:rsidRPr="00D633FF">
        <w:rPr>
          <w:rFonts w:ascii="Calibri" w:hAnsi="Calibri" w:cs="Calibri"/>
        </w:rPr>
        <w:t xml:space="preserve"> therefore set at 400 µg/day for all adults, as there </w:t>
      </w:r>
      <w:r w:rsidR="00DD0814" w:rsidRPr="00D633FF">
        <w:rPr>
          <w:rFonts w:ascii="Calibri" w:hAnsi="Calibri" w:cs="Calibri"/>
        </w:rPr>
        <w:t>was</w:t>
      </w:r>
      <w:r w:rsidR="004A2D08" w:rsidRPr="00D633FF">
        <w:rPr>
          <w:rFonts w:ascii="Calibri" w:hAnsi="Calibri" w:cs="Calibri"/>
        </w:rPr>
        <w:t xml:space="preserve"> no data </w:t>
      </w:r>
      <w:r w:rsidR="00DD0814" w:rsidRPr="00D633FF">
        <w:rPr>
          <w:rFonts w:ascii="Calibri" w:hAnsi="Calibri" w:cs="Calibri"/>
        </w:rPr>
        <w:t>available</w:t>
      </w:r>
      <w:r w:rsidR="00837B41" w:rsidRPr="00D633FF">
        <w:rPr>
          <w:rFonts w:ascii="Calibri" w:hAnsi="Calibri" w:cs="Calibri"/>
        </w:rPr>
        <w:t xml:space="preserve"> </w:t>
      </w:r>
      <w:r w:rsidR="004A2D08" w:rsidRPr="00D633FF">
        <w:rPr>
          <w:rFonts w:ascii="Calibri" w:hAnsi="Calibri" w:cs="Calibri"/>
        </w:rPr>
        <w:t>to suggest increased susceptibility during pregnancy and lactation</w:t>
      </w:r>
      <w:r w:rsidR="007F3CE0" w:rsidRPr="00D633FF">
        <w:rPr>
          <w:rFonts w:ascii="Calibri" w:hAnsi="Calibri" w:cs="Calibri"/>
        </w:rPr>
        <w:t xml:space="preserve"> </w:t>
      </w:r>
      <w:r w:rsidR="00F41A14" w:rsidRPr="00D633FF">
        <w:rPr>
          <w:rFonts w:ascii="Calibri" w:hAnsi="Calibri" w:cs="Calibri"/>
          <w:noProof/>
        </w:rPr>
        <w:t>(IOM 2000)</w:t>
      </w:r>
      <w:r w:rsidR="004A2D08" w:rsidRPr="00D633FF">
        <w:rPr>
          <w:rFonts w:ascii="Calibri" w:hAnsi="Calibri" w:cs="Calibri"/>
        </w:rPr>
        <w:t>.</w:t>
      </w:r>
    </w:p>
    <w:p w14:paraId="216EA67C" w14:textId="711BFA3E" w:rsidR="00A4230F" w:rsidRPr="00D633FF" w:rsidRDefault="00A4230F" w:rsidP="00A4230F">
      <w:pPr>
        <w:spacing w:line="360" w:lineRule="auto"/>
        <w:rPr>
          <w:rFonts w:ascii="Calibri" w:hAnsi="Calibri" w:cs="Calibri"/>
        </w:rPr>
      </w:pPr>
      <w:r w:rsidRPr="00D633FF">
        <w:rPr>
          <w:rFonts w:ascii="Calibri" w:hAnsi="Calibri" w:cs="Calibri"/>
        </w:rPr>
        <w:t>While a review of i</w:t>
      </w:r>
      <w:r w:rsidR="006B0127" w:rsidRPr="00D633FF">
        <w:rPr>
          <w:rFonts w:ascii="Calibri" w:hAnsi="Calibri" w:cs="Calibri"/>
        </w:rPr>
        <w:t xml:space="preserve">nfant NRVs </w:t>
      </w:r>
      <w:r w:rsidRPr="00D633FF">
        <w:rPr>
          <w:rFonts w:ascii="Calibri" w:hAnsi="Calibri" w:cs="Calibri"/>
        </w:rPr>
        <w:t xml:space="preserve">was </w:t>
      </w:r>
      <w:r w:rsidR="006B0127" w:rsidRPr="00D633FF">
        <w:rPr>
          <w:rFonts w:ascii="Calibri" w:hAnsi="Calibri" w:cs="Calibri"/>
        </w:rPr>
        <w:t>not within scope of this review</w:t>
      </w:r>
      <w:r w:rsidRPr="00D633FF">
        <w:rPr>
          <w:rFonts w:ascii="Calibri" w:hAnsi="Calibri" w:cs="Calibri"/>
        </w:rPr>
        <w:t xml:space="preserve">, </w:t>
      </w:r>
      <w:r w:rsidR="006B0127" w:rsidRPr="00D633FF">
        <w:rPr>
          <w:rFonts w:ascii="Calibri" w:hAnsi="Calibri" w:cs="Calibri"/>
        </w:rPr>
        <w:t>ULs for children and adolescents were scaled up from infant data</w:t>
      </w:r>
      <w:r w:rsidRPr="00D633FF">
        <w:rPr>
          <w:rFonts w:ascii="Calibri" w:hAnsi="Calibri" w:cs="Calibri"/>
        </w:rPr>
        <w:t>. C</w:t>
      </w:r>
      <w:r w:rsidR="006B0127" w:rsidRPr="00D633FF">
        <w:rPr>
          <w:rFonts w:ascii="Calibri" w:hAnsi="Calibri" w:cs="Calibri"/>
        </w:rPr>
        <w:t>onsequently</w:t>
      </w:r>
      <w:r w:rsidRPr="00D633FF">
        <w:rPr>
          <w:rFonts w:ascii="Calibri" w:hAnsi="Calibri" w:cs="Calibri"/>
        </w:rPr>
        <w:t>,</w:t>
      </w:r>
      <w:r w:rsidR="006B0127" w:rsidRPr="00D633FF">
        <w:rPr>
          <w:rFonts w:ascii="Calibri" w:hAnsi="Calibri" w:cs="Calibri"/>
        </w:rPr>
        <w:t xml:space="preserve"> the basis for </w:t>
      </w:r>
      <w:r w:rsidRPr="00D633FF">
        <w:rPr>
          <w:rFonts w:ascii="Calibri" w:hAnsi="Calibri" w:cs="Calibri"/>
        </w:rPr>
        <w:t xml:space="preserve">deriving </w:t>
      </w:r>
      <w:r w:rsidR="006B0127" w:rsidRPr="00D633FF">
        <w:rPr>
          <w:rFonts w:ascii="Calibri" w:hAnsi="Calibri" w:cs="Calibri"/>
        </w:rPr>
        <w:t xml:space="preserve">infant </w:t>
      </w:r>
      <w:r w:rsidRPr="00D633FF">
        <w:rPr>
          <w:rFonts w:ascii="Calibri" w:hAnsi="Calibri" w:cs="Calibri"/>
        </w:rPr>
        <w:t>values is discussed here for completeness</w:t>
      </w:r>
      <w:r w:rsidR="006B0127" w:rsidRPr="00D633FF">
        <w:rPr>
          <w:rFonts w:ascii="Calibri" w:hAnsi="Calibri" w:cs="Calibri"/>
        </w:rPr>
        <w:t>.</w:t>
      </w:r>
      <w:r w:rsidRPr="00D633FF">
        <w:rPr>
          <w:rFonts w:ascii="Calibri" w:hAnsi="Calibri" w:cs="Calibri"/>
        </w:rPr>
        <w:t xml:space="preserve"> </w:t>
      </w:r>
    </w:p>
    <w:p w14:paraId="5C21380F" w14:textId="1E3504AB" w:rsidR="006B0127" w:rsidRPr="00D633FF" w:rsidRDefault="00A4230F" w:rsidP="00CE02D2">
      <w:pPr>
        <w:spacing w:line="360" w:lineRule="auto"/>
        <w:rPr>
          <w:rFonts w:ascii="Calibri" w:hAnsi="Calibri" w:cs="Calibri"/>
        </w:rPr>
      </w:pPr>
      <w:r w:rsidRPr="00D633FF">
        <w:rPr>
          <w:rFonts w:ascii="Calibri" w:hAnsi="Calibri" w:cs="Calibri"/>
        </w:rPr>
        <w:t xml:space="preserve">The UL for young infants was based on the work of </w:t>
      </w:r>
      <w:r w:rsidR="00F41A14" w:rsidRPr="00D633FF">
        <w:rPr>
          <w:rFonts w:ascii="Calibri" w:hAnsi="Calibri" w:cs="Calibri"/>
          <w:noProof/>
        </w:rPr>
        <w:t>Shearer and Hadjimarkos (1975)</w:t>
      </w:r>
      <w:r w:rsidRPr="00D633FF">
        <w:rPr>
          <w:rFonts w:ascii="Calibri" w:hAnsi="Calibri" w:cs="Calibri"/>
        </w:rPr>
        <w:t xml:space="preserve"> showing that human breast milk concentrations of 60 µg/L was not associated with adverse effects. This gives a No Observed Adverse Effect Level (NOAEL) of 47 µg/day (7 µg/kg body weight). A UF of 1 was applied, as there was no evidence that maternal intakes associated with human milk in that range caused toxicity for mothers or infants. There was no evidence of increased toxicity in older children and adolescents, therefore the ULs for these groups were estimated from the younger infant data on a body weight basis, using the level of 7 µg/kg body weight </w:t>
      </w:r>
      <w:r w:rsidR="00F41A14" w:rsidRPr="00D633FF">
        <w:rPr>
          <w:rFonts w:ascii="Calibri" w:hAnsi="Calibri" w:cs="Calibri"/>
          <w:noProof/>
        </w:rPr>
        <w:t>(IOM 2000)</w:t>
      </w:r>
      <w:r w:rsidRPr="00D633FF">
        <w:rPr>
          <w:rFonts w:ascii="Calibri" w:hAnsi="Calibri" w:cs="Calibri"/>
        </w:rPr>
        <w:t>.</w:t>
      </w:r>
    </w:p>
    <w:p w14:paraId="227D724C" w14:textId="2BA8FF18" w:rsidR="003B3C92" w:rsidRPr="00D633FF" w:rsidRDefault="003B3C92" w:rsidP="00A62838">
      <w:pPr>
        <w:pStyle w:val="Heading4"/>
        <w:spacing w:line="360" w:lineRule="auto"/>
        <w:rPr>
          <w:rFonts w:ascii="Calibri" w:hAnsi="Calibri" w:cs="Calibri"/>
        </w:rPr>
      </w:pPr>
      <w:r w:rsidRPr="00D633FF">
        <w:rPr>
          <w:rFonts w:ascii="Calibri" w:hAnsi="Calibri" w:cs="Calibri"/>
        </w:rPr>
        <w:t>Comparison</w:t>
      </w:r>
      <w:r w:rsidR="00A31A83" w:rsidRPr="00D633FF">
        <w:rPr>
          <w:rFonts w:ascii="Calibri" w:hAnsi="Calibri" w:cs="Calibri"/>
        </w:rPr>
        <w:t xml:space="preserve"> with international values</w:t>
      </w:r>
      <w:r w:rsidRPr="00D633FF">
        <w:rPr>
          <w:rFonts w:ascii="Calibri" w:hAnsi="Calibri" w:cs="Calibri"/>
        </w:rPr>
        <w:t xml:space="preserve"> </w:t>
      </w:r>
    </w:p>
    <w:p w14:paraId="407667AE" w14:textId="10E8EC10" w:rsidR="00A31A83" w:rsidRPr="00D633FF" w:rsidRDefault="00A31A83" w:rsidP="00A31A83">
      <w:pPr>
        <w:pStyle w:val="NoSpacing"/>
        <w:spacing w:line="360" w:lineRule="auto"/>
        <w:rPr>
          <w:rFonts w:ascii="Calibri" w:hAnsi="Calibri" w:cs="Calibri"/>
        </w:rPr>
      </w:pPr>
      <w:r w:rsidRPr="00D633FF">
        <w:rPr>
          <w:rFonts w:ascii="Calibri" w:hAnsi="Calibri" w:cs="Calibri"/>
        </w:rPr>
        <w:t xml:space="preserve">Since </w:t>
      </w:r>
      <w:r w:rsidR="005C73CD" w:rsidRPr="00D633FF">
        <w:rPr>
          <w:rFonts w:ascii="Calibri" w:hAnsi="Calibri" w:cs="Calibri"/>
        </w:rPr>
        <w:t>2006</w:t>
      </w:r>
      <w:r w:rsidRPr="00D633FF">
        <w:rPr>
          <w:rFonts w:ascii="Calibri" w:hAnsi="Calibri" w:cs="Calibri"/>
        </w:rPr>
        <w:t xml:space="preserve">, several international jurisdictions have published updated ULs for selenium, based on contemporary evidence review methods and </w:t>
      </w:r>
      <w:r w:rsidR="005C73CD" w:rsidRPr="00D633FF">
        <w:rPr>
          <w:rFonts w:ascii="Calibri" w:hAnsi="Calibri" w:cs="Calibri"/>
        </w:rPr>
        <w:t>more current</w:t>
      </w:r>
      <w:r w:rsidRPr="00D633FF">
        <w:rPr>
          <w:rFonts w:ascii="Calibri" w:hAnsi="Calibri" w:cs="Calibri"/>
        </w:rPr>
        <w:t xml:space="preserve"> research. Although there is variation in local context</w:t>
      </w:r>
      <w:r w:rsidR="005C73CD" w:rsidRPr="00D633FF">
        <w:rPr>
          <w:rFonts w:ascii="Calibri" w:hAnsi="Calibri" w:cs="Calibri"/>
        </w:rPr>
        <w:t xml:space="preserve"> </w:t>
      </w:r>
      <w:r w:rsidR="000425F1" w:rsidRPr="00D633FF">
        <w:rPr>
          <w:rFonts w:ascii="Calibri" w:hAnsi="Calibri" w:cs="Calibri"/>
        </w:rPr>
        <w:t>related to</w:t>
      </w:r>
      <w:r w:rsidR="005C73CD" w:rsidRPr="00D633FF">
        <w:rPr>
          <w:rFonts w:ascii="Calibri" w:hAnsi="Calibri" w:cs="Calibri"/>
        </w:rPr>
        <w:t xml:space="preserve"> </w:t>
      </w:r>
      <w:r w:rsidRPr="00D633FF">
        <w:rPr>
          <w:rFonts w:ascii="Calibri" w:hAnsi="Calibri" w:cs="Calibri"/>
        </w:rPr>
        <w:t xml:space="preserve">population selenium status, dietary patterns and age groups used across jurisdictions, ULs developed using comparable approaches are informative for the purposes of establishing or benchmarking the proposed UL for Australia and New Zealand. </w:t>
      </w:r>
      <w:r w:rsidR="008307C0" w:rsidRPr="00D633FF">
        <w:rPr>
          <w:rFonts w:ascii="Calibri" w:hAnsi="Calibri" w:cs="Calibri"/>
        </w:rPr>
        <w:t xml:space="preserve">The </w:t>
      </w:r>
      <w:r w:rsidR="000A37E6" w:rsidRPr="00D633FF">
        <w:rPr>
          <w:rFonts w:ascii="Calibri" w:hAnsi="Calibri" w:cs="Calibri"/>
        </w:rPr>
        <w:t xml:space="preserve">current </w:t>
      </w:r>
      <w:r w:rsidR="00D168B6" w:rsidRPr="00D633FF">
        <w:rPr>
          <w:rFonts w:ascii="Calibri" w:hAnsi="Calibri" w:cs="Calibri"/>
        </w:rPr>
        <w:t>NHMRC</w:t>
      </w:r>
      <w:r w:rsidRPr="00D633FF">
        <w:rPr>
          <w:rFonts w:ascii="Calibri" w:hAnsi="Calibri" w:cs="Calibri"/>
        </w:rPr>
        <w:t xml:space="preserve"> value varies substantially compared with that set by the European </w:t>
      </w:r>
      <w:r w:rsidR="00FA041D" w:rsidRPr="00D633FF">
        <w:rPr>
          <w:rFonts w:ascii="Calibri" w:hAnsi="Calibri" w:cs="Calibri"/>
        </w:rPr>
        <w:t>Food Safety Authority</w:t>
      </w:r>
      <w:r w:rsidR="003F2D2B" w:rsidRPr="00D633FF">
        <w:rPr>
          <w:rFonts w:ascii="Calibri" w:hAnsi="Calibri" w:cs="Calibri"/>
        </w:rPr>
        <w:t xml:space="preserve"> </w:t>
      </w:r>
      <w:r w:rsidR="00F41A14" w:rsidRPr="00D633FF">
        <w:rPr>
          <w:rFonts w:ascii="Calibri" w:hAnsi="Calibri" w:cs="Calibri"/>
          <w:noProof/>
        </w:rPr>
        <w:t>(EFSA Panel on Nutrition et al. 2023)</w:t>
      </w:r>
      <w:r w:rsidRPr="00D633FF">
        <w:rPr>
          <w:rFonts w:ascii="Calibri" w:hAnsi="Calibri" w:cs="Calibri"/>
        </w:rPr>
        <w:t xml:space="preserve">. </w:t>
      </w:r>
    </w:p>
    <w:p w14:paraId="50136F8A" w14:textId="19744A31" w:rsidR="00A31A83" w:rsidRPr="00D633FF" w:rsidRDefault="00A31A83" w:rsidP="00A31A83">
      <w:pPr>
        <w:rPr>
          <w:rFonts w:ascii="Calibri" w:hAnsi="Calibri" w:cs="Calibri"/>
        </w:rPr>
      </w:pPr>
    </w:p>
    <w:p w14:paraId="41CCA325" w14:textId="33A9E011" w:rsidR="00480846" w:rsidRPr="00D633FF" w:rsidRDefault="00480846" w:rsidP="00480846">
      <w:pPr>
        <w:pStyle w:val="Heading5"/>
        <w:rPr>
          <w:rFonts w:ascii="Calibri" w:hAnsi="Calibri" w:cs="Calibri"/>
        </w:rPr>
      </w:pPr>
      <w:r w:rsidRPr="00D633FF">
        <w:rPr>
          <w:rFonts w:ascii="Calibri" w:hAnsi="Calibri" w:cs="Calibri"/>
        </w:rPr>
        <w:t>The European Food Safety Authority (EFSA)</w:t>
      </w:r>
    </w:p>
    <w:p w14:paraId="3EBF6E08" w14:textId="2B732EC1" w:rsidR="0061089E" w:rsidRPr="00D633FF" w:rsidRDefault="00480846" w:rsidP="00A62838">
      <w:pPr>
        <w:pStyle w:val="NoSpacing"/>
        <w:spacing w:line="360" w:lineRule="auto"/>
        <w:rPr>
          <w:rFonts w:ascii="Calibri" w:hAnsi="Calibri" w:cs="Calibri"/>
        </w:rPr>
      </w:pPr>
      <w:r w:rsidRPr="00D633FF">
        <w:rPr>
          <w:rFonts w:ascii="Calibri" w:hAnsi="Calibri" w:cs="Calibri"/>
        </w:rPr>
        <w:t xml:space="preserve">To develop their UL, </w:t>
      </w:r>
      <w:r w:rsidR="00545BF1" w:rsidRPr="00D633FF">
        <w:rPr>
          <w:rFonts w:ascii="Calibri" w:hAnsi="Calibri" w:cs="Calibri"/>
        </w:rPr>
        <w:t>EFSA conduct</w:t>
      </w:r>
      <w:r w:rsidRPr="00D633FF">
        <w:rPr>
          <w:rFonts w:ascii="Calibri" w:hAnsi="Calibri" w:cs="Calibri"/>
        </w:rPr>
        <w:t>ed</w:t>
      </w:r>
      <w:r w:rsidR="00545BF1" w:rsidRPr="00D633FF">
        <w:rPr>
          <w:rFonts w:ascii="Calibri" w:hAnsi="Calibri" w:cs="Calibri"/>
        </w:rPr>
        <w:t xml:space="preserve"> systematic reviews of the literature to identify evidence regarding excess selenium intake and clinical effects</w:t>
      </w:r>
      <w:r w:rsidR="00195669" w:rsidRPr="00D633FF">
        <w:rPr>
          <w:rFonts w:ascii="Calibri" w:hAnsi="Calibri" w:cs="Calibri"/>
        </w:rPr>
        <w:t>,</w:t>
      </w:r>
      <w:r w:rsidR="00545BF1" w:rsidRPr="00D633FF">
        <w:rPr>
          <w:rFonts w:ascii="Calibri" w:hAnsi="Calibri" w:cs="Calibri"/>
        </w:rPr>
        <w:t xml:space="preserve"> potential biomarkers of effect, risk of chronic diseases and impaired neuropsychological development in humans. </w:t>
      </w:r>
      <w:r w:rsidR="005E0DFC" w:rsidRPr="00D633FF">
        <w:rPr>
          <w:rFonts w:ascii="Calibri" w:hAnsi="Calibri" w:cs="Calibri"/>
        </w:rPr>
        <w:t>A</w:t>
      </w:r>
      <w:r w:rsidR="00015DAE" w:rsidRPr="00D633FF">
        <w:rPr>
          <w:rFonts w:ascii="Calibri" w:hAnsi="Calibri" w:cs="Calibri"/>
        </w:rPr>
        <w:t xml:space="preserve"> large</w:t>
      </w:r>
      <w:r w:rsidR="00196803" w:rsidRPr="00D633FF">
        <w:rPr>
          <w:rFonts w:ascii="Calibri" w:hAnsi="Calibri" w:cs="Calibri"/>
        </w:rPr>
        <w:t>, high-quality</w:t>
      </w:r>
      <w:r w:rsidR="00015DAE" w:rsidRPr="00D633FF">
        <w:rPr>
          <w:rFonts w:ascii="Calibri" w:hAnsi="Calibri" w:cs="Calibri"/>
        </w:rPr>
        <w:t xml:space="preserve"> randomised controlled trial in humans (the Selenium and Vitamin E Cancer Prevention Trial (SELECT) </w:t>
      </w:r>
      <w:r w:rsidR="00F41A14" w:rsidRPr="00D633FF">
        <w:rPr>
          <w:rFonts w:ascii="Calibri" w:hAnsi="Calibri" w:cs="Calibri"/>
          <w:noProof/>
        </w:rPr>
        <w:t>(Lippman et al. 2009)</w:t>
      </w:r>
      <w:r w:rsidR="00234C22">
        <w:rPr>
          <w:rFonts w:ascii="Calibri" w:hAnsi="Calibri" w:cs="Calibri"/>
          <w:noProof/>
        </w:rPr>
        <w:t>)</w:t>
      </w:r>
      <w:r w:rsidR="005E0DFC" w:rsidRPr="00D633FF">
        <w:rPr>
          <w:rFonts w:ascii="Calibri" w:hAnsi="Calibri" w:cs="Calibri"/>
        </w:rPr>
        <w:t xml:space="preserve"> was </w:t>
      </w:r>
      <w:r w:rsidR="00035C13" w:rsidRPr="00D633FF">
        <w:rPr>
          <w:rFonts w:ascii="Calibri" w:hAnsi="Calibri" w:cs="Calibri"/>
        </w:rPr>
        <w:t xml:space="preserve">identified as the best </w:t>
      </w:r>
      <w:r w:rsidR="00B31280" w:rsidRPr="00D633FF">
        <w:rPr>
          <w:rFonts w:ascii="Calibri" w:hAnsi="Calibri" w:cs="Calibri"/>
        </w:rPr>
        <w:t xml:space="preserve">available </w:t>
      </w:r>
      <w:r w:rsidR="00035C13" w:rsidRPr="00D633FF">
        <w:rPr>
          <w:rFonts w:ascii="Calibri" w:hAnsi="Calibri" w:cs="Calibri"/>
        </w:rPr>
        <w:t xml:space="preserve">evidence upon which to base </w:t>
      </w:r>
      <w:r w:rsidR="00FD668B" w:rsidRPr="00D633FF">
        <w:rPr>
          <w:rFonts w:ascii="Calibri" w:hAnsi="Calibri" w:cs="Calibri"/>
        </w:rPr>
        <w:t>the</w:t>
      </w:r>
      <w:r w:rsidR="0061089E" w:rsidRPr="00D633FF">
        <w:rPr>
          <w:rFonts w:ascii="Calibri" w:hAnsi="Calibri" w:cs="Calibri"/>
        </w:rPr>
        <w:t>ir updated</w:t>
      </w:r>
      <w:r w:rsidR="00FD668B" w:rsidRPr="00D633FF">
        <w:rPr>
          <w:rFonts w:ascii="Calibri" w:hAnsi="Calibri" w:cs="Calibri"/>
        </w:rPr>
        <w:t xml:space="preserve"> UL.</w:t>
      </w:r>
      <w:r w:rsidR="00C366EB" w:rsidRPr="00D633FF">
        <w:rPr>
          <w:rFonts w:ascii="Calibri" w:hAnsi="Calibri" w:cs="Calibri"/>
        </w:rPr>
        <w:t xml:space="preserve"> </w:t>
      </w:r>
      <w:r w:rsidR="0061089E" w:rsidRPr="00D633FF">
        <w:rPr>
          <w:rFonts w:ascii="Calibri" w:hAnsi="Calibri" w:cs="Calibri"/>
        </w:rPr>
        <w:t>A</w:t>
      </w:r>
      <w:r w:rsidR="000C00E8" w:rsidRPr="00D633FF">
        <w:rPr>
          <w:rFonts w:ascii="Calibri" w:hAnsi="Calibri" w:cs="Calibri"/>
        </w:rPr>
        <w:t xml:space="preserve">n independent </w:t>
      </w:r>
      <w:r w:rsidR="000E6A9B" w:rsidRPr="00D633FF">
        <w:rPr>
          <w:rFonts w:ascii="Calibri" w:hAnsi="Calibri" w:cs="Calibri"/>
        </w:rPr>
        <w:t xml:space="preserve">evidence </w:t>
      </w:r>
      <w:proofErr w:type="gramStart"/>
      <w:r w:rsidR="000E6A9B" w:rsidRPr="00D633FF">
        <w:rPr>
          <w:rFonts w:ascii="Calibri" w:hAnsi="Calibri" w:cs="Calibri"/>
        </w:rPr>
        <w:t>review</w:t>
      </w:r>
      <w:proofErr w:type="gramEnd"/>
      <w:r w:rsidR="008C1544" w:rsidRPr="00D633FF">
        <w:rPr>
          <w:rFonts w:ascii="Calibri" w:hAnsi="Calibri" w:cs="Calibri"/>
        </w:rPr>
        <w:t xml:space="preserve"> </w:t>
      </w:r>
      <w:r w:rsidR="00AE47D4" w:rsidRPr="00D633FF">
        <w:rPr>
          <w:rFonts w:ascii="Calibri" w:hAnsi="Calibri" w:cs="Calibri"/>
        </w:rPr>
        <w:t>undertake</w:t>
      </w:r>
      <w:r w:rsidR="000F3FCF" w:rsidRPr="00D633FF">
        <w:rPr>
          <w:rFonts w:ascii="Calibri" w:hAnsi="Calibri" w:cs="Calibri"/>
        </w:rPr>
        <w:t>n to update</w:t>
      </w:r>
      <w:r w:rsidR="008C1544" w:rsidRPr="00D633FF">
        <w:rPr>
          <w:rFonts w:ascii="Calibri" w:hAnsi="Calibri" w:cs="Calibri"/>
        </w:rPr>
        <w:t xml:space="preserve"> the </w:t>
      </w:r>
      <w:r w:rsidR="009F434E" w:rsidRPr="00D633FF">
        <w:rPr>
          <w:rFonts w:ascii="Calibri" w:hAnsi="Calibri" w:cs="Calibri"/>
        </w:rPr>
        <w:t>2025</w:t>
      </w:r>
      <w:r w:rsidR="000E6A9B" w:rsidRPr="00D633FF">
        <w:rPr>
          <w:rFonts w:ascii="Calibri" w:hAnsi="Calibri" w:cs="Calibri"/>
        </w:rPr>
        <w:t xml:space="preserve"> NHMRC </w:t>
      </w:r>
      <w:r w:rsidR="006E1494" w:rsidRPr="00D633FF">
        <w:rPr>
          <w:rFonts w:ascii="Calibri" w:hAnsi="Calibri" w:cs="Calibri"/>
        </w:rPr>
        <w:t xml:space="preserve">water quality guidelines </w:t>
      </w:r>
      <w:r w:rsidR="0061089E" w:rsidRPr="00D633FF">
        <w:rPr>
          <w:rFonts w:ascii="Calibri" w:hAnsi="Calibri" w:cs="Calibri"/>
        </w:rPr>
        <w:t xml:space="preserve">also identified </w:t>
      </w:r>
      <w:r w:rsidR="006E1494" w:rsidRPr="00D633FF">
        <w:rPr>
          <w:rFonts w:ascii="Calibri" w:hAnsi="Calibri" w:cs="Calibri"/>
        </w:rPr>
        <w:t xml:space="preserve">the SELECT trial as the best available evidence upon which to base </w:t>
      </w:r>
      <w:r w:rsidR="008C1544" w:rsidRPr="00D633FF">
        <w:rPr>
          <w:rFonts w:ascii="Calibri" w:hAnsi="Calibri" w:cs="Calibri"/>
        </w:rPr>
        <w:t>their updated guidance on selenium levels in drinking water</w:t>
      </w:r>
      <w:r w:rsidR="007F1EA3" w:rsidRPr="00D633FF">
        <w:rPr>
          <w:rFonts w:ascii="Calibri" w:hAnsi="Calibri" w:cs="Calibri"/>
        </w:rPr>
        <w:t xml:space="preserve"> </w:t>
      </w:r>
      <w:r w:rsidR="00F41A14" w:rsidRPr="00D633FF">
        <w:rPr>
          <w:rFonts w:ascii="Calibri" w:hAnsi="Calibri" w:cs="Calibri"/>
          <w:noProof/>
        </w:rPr>
        <w:t>(NHMRC 2025a)</w:t>
      </w:r>
      <w:r w:rsidR="008C1544" w:rsidRPr="00D633FF">
        <w:rPr>
          <w:rFonts w:ascii="Calibri" w:hAnsi="Calibri" w:cs="Calibri"/>
        </w:rPr>
        <w:t xml:space="preserve">. </w:t>
      </w:r>
    </w:p>
    <w:p w14:paraId="3A5FD18B" w14:textId="0D23A4A6" w:rsidR="009D105A" w:rsidRPr="00D633FF" w:rsidRDefault="00D00EF9" w:rsidP="00A62838">
      <w:pPr>
        <w:pStyle w:val="NoSpacing"/>
        <w:spacing w:line="360" w:lineRule="auto"/>
        <w:rPr>
          <w:rFonts w:ascii="Calibri" w:hAnsi="Calibri" w:cs="Calibri"/>
        </w:rPr>
      </w:pPr>
      <w:r w:rsidRPr="00D633FF">
        <w:rPr>
          <w:rFonts w:ascii="Calibri" w:hAnsi="Calibri" w:cs="Calibri"/>
        </w:rPr>
        <w:t>T</w:t>
      </w:r>
      <w:r w:rsidR="0061089E" w:rsidRPr="00D633FF">
        <w:rPr>
          <w:rFonts w:ascii="Calibri" w:hAnsi="Calibri" w:cs="Calibri"/>
        </w:rPr>
        <w:t xml:space="preserve">he SELECT trial provided a lowest-observed-adverse-effect-level (LOAEL) of 330 μg/day for selenium, with alopecia as the </w:t>
      </w:r>
      <w:r w:rsidRPr="00D633FF">
        <w:rPr>
          <w:rFonts w:ascii="Calibri" w:hAnsi="Calibri" w:cs="Calibri"/>
        </w:rPr>
        <w:t xml:space="preserve">critical </w:t>
      </w:r>
      <w:r w:rsidR="00325A50" w:rsidRPr="00D633FF">
        <w:rPr>
          <w:rFonts w:ascii="Calibri" w:hAnsi="Calibri" w:cs="Calibri"/>
        </w:rPr>
        <w:t>end point</w:t>
      </w:r>
      <w:r w:rsidR="0061089E" w:rsidRPr="00D633FF">
        <w:rPr>
          <w:rFonts w:ascii="Calibri" w:hAnsi="Calibri" w:cs="Calibri"/>
        </w:rPr>
        <w:t xml:space="preserve">. </w:t>
      </w:r>
      <w:r w:rsidR="00B744C8" w:rsidRPr="00D633FF">
        <w:rPr>
          <w:rFonts w:ascii="Calibri" w:hAnsi="Calibri" w:cs="Calibri"/>
        </w:rPr>
        <w:t>EFSA applied a</w:t>
      </w:r>
      <w:r w:rsidR="00545BF1" w:rsidRPr="00D633FF">
        <w:rPr>
          <w:rFonts w:ascii="Calibri" w:hAnsi="Calibri" w:cs="Calibri"/>
        </w:rPr>
        <w:t xml:space="preserve">n uncertainty factor of 1.3 </w:t>
      </w:r>
      <w:r w:rsidR="009D105A" w:rsidRPr="00D633FF">
        <w:rPr>
          <w:rFonts w:ascii="Calibri" w:hAnsi="Calibri" w:cs="Calibri"/>
        </w:rPr>
        <w:t>to account for the following uncertainties:</w:t>
      </w:r>
    </w:p>
    <w:p w14:paraId="3252AC1B" w14:textId="1A6F19E8" w:rsidR="004B6214" w:rsidRPr="00D633FF" w:rsidRDefault="009D105A" w:rsidP="00F1381E">
      <w:pPr>
        <w:pStyle w:val="NoSpacing"/>
        <w:numPr>
          <w:ilvl w:val="0"/>
          <w:numId w:val="8"/>
        </w:numPr>
        <w:spacing w:line="360" w:lineRule="auto"/>
        <w:rPr>
          <w:rFonts w:ascii="Calibri" w:hAnsi="Calibri" w:cs="Calibri"/>
        </w:rPr>
      </w:pPr>
      <w:r w:rsidRPr="00D633FF">
        <w:rPr>
          <w:rFonts w:ascii="Calibri" w:hAnsi="Calibri" w:cs="Calibri"/>
        </w:rPr>
        <w:t xml:space="preserve">The use of a LOAEL </w:t>
      </w:r>
      <w:r w:rsidR="00770351" w:rsidRPr="00D633FF">
        <w:rPr>
          <w:rFonts w:ascii="Calibri" w:hAnsi="Calibri" w:cs="Calibri"/>
        </w:rPr>
        <w:t xml:space="preserve">rather than a NOAEL </w:t>
      </w:r>
      <w:r w:rsidR="008B5360" w:rsidRPr="00D633FF">
        <w:rPr>
          <w:rFonts w:ascii="Calibri" w:hAnsi="Calibri" w:cs="Calibri"/>
        </w:rPr>
        <w:t>as the reference point</w:t>
      </w:r>
      <w:r w:rsidR="00C06047" w:rsidRPr="00D633FF">
        <w:rPr>
          <w:rFonts w:ascii="Calibri" w:hAnsi="Calibri" w:cs="Calibri"/>
        </w:rPr>
        <w:t xml:space="preserve"> (</w:t>
      </w:r>
      <w:r w:rsidR="00770351" w:rsidRPr="00D633FF">
        <w:rPr>
          <w:rFonts w:ascii="Calibri" w:hAnsi="Calibri" w:cs="Calibri"/>
        </w:rPr>
        <w:t xml:space="preserve">noting </w:t>
      </w:r>
      <w:r w:rsidR="00C06047" w:rsidRPr="00D633FF">
        <w:rPr>
          <w:rFonts w:ascii="Calibri" w:hAnsi="Calibri" w:cs="Calibri"/>
        </w:rPr>
        <w:t>th</w:t>
      </w:r>
      <w:r w:rsidR="004F5285" w:rsidRPr="00D633FF">
        <w:rPr>
          <w:rFonts w:ascii="Calibri" w:hAnsi="Calibri" w:cs="Calibri"/>
        </w:rPr>
        <w:t xml:space="preserve">at </w:t>
      </w:r>
      <w:r w:rsidR="00E55454" w:rsidRPr="00D633FF">
        <w:rPr>
          <w:rFonts w:ascii="Calibri" w:hAnsi="Calibri" w:cs="Calibri"/>
        </w:rPr>
        <w:t>s</w:t>
      </w:r>
      <w:r w:rsidR="004F5285" w:rsidRPr="00D633FF">
        <w:rPr>
          <w:rFonts w:ascii="Calibri" w:hAnsi="Calibri" w:cs="Calibri"/>
        </w:rPr>
        <w:t xml:space="preserve">tudy </w:t>
      </w:r>
      <w:r w:rsidR="00E55454" w:rsidRPr="00D633FF">
        <w:rPr>
          <w:rFonts w:ascii="Calibri" w:hAnsi="Calibri" w:cs="Calibri"/>
        </w:rPr>
        <w:t xml:space="preserve">results </w:t>
      </w:r>
      <w:r w:rsidR="004F5285" w:rsidRPr="00D633FF">
        <w:rPr>
          <w:rFonts w:ascii="Calibri" w:hAnsi="Calibri" w:cs="Calibri"/>
        </w:rPr>
        <w:t xml:space="preserve">indicated that the </w:t>
      </w:r>
      <w:r w:rsidR="004B6214" w:rsidRPr="00D633FF">
        <w:rPr>
          <w:rFonts w:ascii="Calibri" w:hAnsi="Calibri" w:cs="Calibri"/>
        </w:rPr>
        <w:t>NOAEL might be close to the LOAEL)</w:t>
      </w:r>
    </w:p>
    <w:p w14:paraId="07599ADB" w14:textId="74268721" w:rsidR="009E2436" w:rsidRPr="00D633FF" w:rsidRDefault="004B6214" w:rsidP="004C4690">
      <w:pPr>
        <w:pStyle w:val="NoSpacing"/>
        <w:numPr>
          <w:ilvl w:val="0"/>
          <w:numId w:val="8"/>
        </w:numPr>
        <w:spacing w:after="240" w:line="360" w:lineRule="auto"/>
        <w:ind w:left="714" w:hanging="357"/>
        <w:rPr>
          <w:rFonts w:ascii="Calibri" w:hAnsi="Calibri" w:cs="Calibri"/>
        </w:rPr>
      </w:pPr>
      <w:r w:rsidRPr="00D633FF">
        <w:rPr>
          <w:rFonts w:ascii="Calibri" w:hAnsi="Calibri" w:cs="Calibri"/>
        </w:rPr>
        <w:t>The lack of data in women</w:t>
      </w:r>
      <w:r w:rsidR="006D7B3F" w:rsidRPr="00D633FF">
        <w:rPr>
          <w:rFonts w:ascii="Calibri" w:hAnsi="Calibri" w:cs="Calibri"/>
        </w:rPr>
        <w:t>.</w:t>
      </w:r>
    </w:p>
    <w:p w14:paraId="2C84EC94" w14:textId="09F9DAED" w:rsidR="004C4690" w:rsidRPr="00D633FF" w:rsidRDefault="009E2436" w:rsidP="009E2436">
      <w:pPr>
        <w:pStyle w:val="NoSpacing"/>
        <w:spacing w:line="360" w:lineRule="auto"/>
        <w:rPr>
          <w:rFonts w:ascii="Calibri" w:hAnsi="Calibri" w:cs="Calibri"/>
        </w:rPr>
      </w:pPr>
      <w:r w:rsidRPr="00D633FF">
        <w:rPr>
          <w:rFonts w:ascii="Calibri" w:hAnsi="Calibri" w:cs="Calibri"/>
        </w:rPr>
        <w:t xml:space="preserve">The result </w:t>
      </w:r>
      <w:r w:rsidR="000F5DDE" w:rsidRPr="00D633FF">
        <w:rPr>
          <w:rFonts w:ascii="Calibri" w:hAnsi="Calibri" w:cs="Calibri"/>
        </w:rPr>
        <w:t xml:space="preserve">was rounded to the nearest 5 μg/day </w:t>
      </w:r>
      <w:r w:rsidR="00545BF1" w:rsidRPr="00D633FF">
        <w:rPr>
          <w:rFonts w:ascii="Calibri" w:hAnsi="Calibri" w:cs="Calibri"/>
        </w:rPr>
        <w:t xml:space="preserve">to establish </w:t>
      </w:r>
      <w:r w:rsidR="006D7B3F" w:rsidRPr="00D633FF">
        <w:rPr>
          <w:rFonts w:ascii="Calibri" w:hAnsi="Calibri" w:cs="Calibri"/>
        </w:rPr>
        <w:t xml:space="preserve">a </w:t>
      </w:r>
      <w:r w:rsidR="00545BF1" w:rsidRPr="00D633FF">
        <w:rPr>
          <w:rFonts w:ascii="Calibri" w:hAnsi="Calibri" w:cs="Calibri"/>
        </w:rPr>
        <w:t>UL of 255 μg/day for adult men</w:t>
      </w:r>
      <w:r w:rsidR="000C0668" w:rsidRPr="00D633FF">
        <w:rPr>
          <w:rFonts w:ascii="Calibri" w:hAnsi="Calibri" w:cs="Calibri"/>
        </w:rPr>
        <w:t xml:space="preserve"> </w:t>
      </w:r>
      <w:r w:rsidR="00545BF1" w:rsidRPr="00D633FF">
        <w:rPr>
          <w:rFonts w:ascii="Calibri" w:hAnsi="Calibri" w:cs="Calibri"/>
        </w:rPr>
        <w:t>and women (including pregnant and lactating women</w:t>
      </w:r>
      <w:r w:rsidR="00543D56" w:rsidRPr="00D633FF">
        <w:rPr>
          <w:rFonts w:ascii="Calibri" w:hAnsi="Calibri" w:cs="Calibri"/>
        </w:rPr>
        <w:t>;</w:t>
      </w:r>
      <w:r w:rsidRPr="00D633FF">
        <w:rPr>
          <w:rFonts w:ascii="Calibri" w:hAnsi="Calibri" w:cs="Calibri"/>
        </w:rPr>
        <w:t xml:space="preserve"> no evidence </w:t>
      </w:r>
      <w:r w:rsidR="00AC3C58" w:rsidRPr="00D633FF">
        <w:rPr>
          <w:rFonts w:ascii="Calibri" w:hAnsi="Calibri" w:cs="Calibri"/>
        </w:rPr>
        <w:t xml:space="preserve">was found </w:t>
      </w:r>
      <w:r w:rsidR="00774F04" w:rsidRPr="00D633FF">
        <w:rPr>
          <w:rFonts w:ascii="Calibri" w:hAnsi="Calibri" w:cs="Calibri"/>
        </w:rPr>
        <w:t xml:space="preserve">of </w:t>
      </w:r>
      <w:r w:rsidRPr="00D633FF">
        <w:rPr>
          <w:rFonts w:ascii="Calibri" w:hAnsi="Calibri" w:cs="Calibri"/>
        </w:rPr>
        <w:t xml:space="preserve">increased sensitivity </w:t>
      </w:r>
      <w:r w:rsidR="00774F04" w:rsidRPr="00D633FF">
        <w:rPr>
          <w:rFonts w:ascii="Calibri" w:hAnsi="Calibri" w:cs="Calibri"/>
        </w:rPr>
        <w:t>for these populations</w:t>
      </w:r>
      <w:r w:rsidR="00545BF1" w:rsidRPr="00D633FF">
        <w:rPr>
          <w:rFonts w:ascii="Calibri" w:hAnsi="Calibri" w:cs="Calibri"/>
        </w:rPr>
        <w:t>). ULs for children were derived from the UL for adults using allometric scaling (body weight</w:t>
      </w:r>
      <w:r w:rsidR="00545BF1" w:rsidRPr="00D633FF">
        <w:rPr>
          <w:rFonts w:ascii="Calibri" w:hAnsi="Calibri" w:cs="Calibri"/>
          <w:vertAlign w:val="superscript"/>
        </w:rPr>
        <w:t>0.75</w:t>
      </w:r>
      <w:r w:rsidR="00545BF1" w:rsidRPr="00D633FF">
        <w:rPr>
          <w:rFonts w:ascii="Calibri" w:hAnsi="Calibri" w:cs="Calibri"/>
        </w:rPr>
        <w:t xml:space="preserve">). </w:t>
      </w:r>
    </w:p>
    <w:p w14:paraId="55B0B41B" w14:textId="6572F943" w:rsidR="00ED2516" w:rsidRPr="00D633FF" w:rsidRDefault="00ED2516" w:rsidP="00A62838">
      <w:pPr>
        <w:pStyle w:val="NoSpacing"/>
        <w:spacing w:line="360" w:lineRule="auto"/>
        <w:rPr>
          <w:rFonts w:ascii="Calibri" w:hAnsi="Calibri" w:cs="Calibri"/>
        </w:rPr>
      </w:pPr>
      <w:r w:rsidRPr="00D633FF">
        <w:rPr>
          <w:rFonts w:ascii="Calibri" w:hAnsi="Calibri" w:cs="Calibri"/>
        </w:rPr>
        <w:t>Th</w:t>
      </w:r>
      <w:r w:rsidR="00AC3C58" w:rsidRPr="00D633FF">
        <w:rPr>
          <w:rFonts w:ascii="Calibri" w:hAnsi="Calibri" w:cs="Calibri"/>
        </w:rPr>
        <w:t>ese</w:t>
      </w:r>
      <w:r w:rsidRPr="00D633FF">
        <w:rPr>
          <w:rFonts w:ascii="Calibri" w:hAnsi="Calibri" w:cs="Calibri"/>
        </w:rPr>
        <w:t xml:space="preserve"> value</w:t>
      </w:r>
      <w:r w:rsidR="00127BB9" w:rsidRPr="00D633FF">
        <w:rPr>
          <w:rFonts w:ascii="Calibri" w:hAnsi="Calibri" w:cs="Calibri"/>
        </w:rPr>
        <w:t>s</w:t>
      </w:r>
      <w:r w:rsidRPr="00D633FF">
        <w:rPr>
          <w:rFonts w:ascii="Calibri" w:hAnsi="Calibri" w:cs="Calibri"/>
        </w:rPr>
        <w:t xml:space="preserve"> w</w:t>
      </w:r>
      <w:r w:rsidR="00127BB9" w:rsidRPr="00D633FF">
        <w:rPr>
          <w:rFonts w:ascii="Calibri" w:hAnsi="Calibri" w:cs="Calibri"/>
        </w:rPr>
        <w:t>ere</w:t>
      </w:r>
      <w:r w:rsidRPr="00D633FF">
        <w:rPr>
          <w:rFonts w:ascii="Calibri" w:hAnsi="Calibri" w:cs="Calibri"/>
        </w:rPr>
        <w:t xml:space="preserve"> adopted by the 2023 Nordic Nutrition Recommendations</w:t>
      </w:r>
      <w:r w:rsidR="0019520D" w:rsidRPr="00D633FF">
        <w:rPr>
          <w:rFonts w:ascii="Calibri" w:hAnsi="Calibri" w:cs="Calibri"/>
        </w:rPr>
        <w:t xml:space="preserve"> </w:t>
      </w:r>
      <w:r w:rsidR="00F41A14" w:rsidRPr="00D633FF">
        <w:rPr>
          <w:rFonts w:ascii="Calibri" w:hAnsi="Calibri" w:cs="Calibri"/>
          <w:noProof/>
        </w:rPr>
        <w:t>(Blomhoff et al. 2023)</w:t>
      </w:r>
      <w:r w:rsidR="0019520D" w:rsidRPr="00D633FF">
        <w:rPr>
          <w:rFonts w:ascii="Calibri" w:hAnsi="Calibri" w:cs="Calibri"/>
        </w:rPr>
        <w:t>.</w:t>
      </w:r>
    </w:p>
    <w:p w14:paraId="1C37A478" w14:textId="0FDB56B1" w:rsidR="00543D56" w:rsidRPr="00D633FF" w:rsidRDefault="00543D56" w:rsidP="00543D56">
      <w:pPr>
        <w:pStyle w:val="Heading5"/>
        <w:rPr>
          <w:rFonts w:ascii="Calibri" w:hAnsi="Calibri" w:cs="Calibri"/>
        </w:rPr>
      </w:pPr>
      <w:r w:rsidRPr="00D633FF">
        <w:rPr>
          <w:rFonts w:ascii="Calibri" w:hAnsi="Calibri" w:cs="Calibri"/>
        </w:rPr>
        <w:t>Other jurisdictions</w:t>
      </w:r>
    </w:p>
    <w:p w14:paraId="7D99E6AD" w14:textId="19885F6E" w:rsidR="001143B4" w:rsidRPr="00D633FF" w:rsidRDefault="005F0B3D" w:rsidP="00A62838">
      <w:pPr>
        <w:pStyle w:val="NoSpacing"/>
        <w:spacing w:line="360" w:lineRule="auto"/>
        <w:rPr>
          <w:rFonts w:ascii="Calibri" w:hAnsi="Calibri" w:cs="Calibri"/>
        </w:rPr>
      </w:pPr>
      <w:r w:rsidRPr="00D633FF">
        <w:rPr>
          <w:rFonts w:ascii="Calibri" w:hAnsi="Calibri" w:cs="Calibri"/>
        </w:rPr>
        <w:t xml:space="preserve">The </w:t>
      </w:r>
      <w:r w:rsidR="000F3FCF" w:rsidRPr="00D633FF">
        <w:rPr>
          <w:rFonts w:ascii="Calibri" w:hAnsi="Calibri" w:cs="Calibri"/>
        </w:rPr>
        <w:t>selenium</w:t>
      </w:r>
      <w:r w:rsidR="00B744C8" w:rsidRPr="00D633FF">
        <w:rPr>
          <w:rFonts w:ascii="Calibri" w:hAnsi="Calibri" w:cs="Calibri"/>
        </w:rPr>
        <w:t xml:space="preserve"> </w:t>
      </w:r>
      <w:r w:rsidRPr="00D633FF">
        <w:rPr>
          <w:rFonts w:ascii="Calibri" w:hAnsi="Calibri" w:cs="Calibri"/>
        </w:rPr>
        <w:t xml:space="preserve">UL </w:t>
      </w:r>
      <w:r w:rsidR="004A667E" w:rsidRPr="00D633FF">
        <w:rPr>
          <w:rFonts w:ascii="Calibri" w:hAnsi="Calibri" w:cs="Calibri"/>
        </w:rPr>
        <w:t xml:space="preserve">values </w:t>
      </w:r>
      <w:r w:rsidRPr="00D633FF">
        <w:rPr>
          <w:rFonts w:ascii="Calibri" w:hAnsi="Calibri" w:cs="Calibri"/>
        </w:rPr>
        <w:t xml:space="preserve">set by </w:t>
      </w:r>
      <w:r w:rsidR="00543D56" w:rsidRPr="00D633FF">
        <w:rPr>
          <w:rFonts w:ascii="Calibri" w:hAnsi="Calibri" w:cs="Calibri"/>
        </w:rPr>
        <w:t xml:space="preserve">different international </w:t>
      </w:r>
      <w:r w:rsidRPr="00D633FF">
        <w:rPr>
          <w:rFonts w:ascii="Calibri" w:hAnsi="Calibri" w:cs="Calibri"/>
        </w:rPr>
        <w:t>jurisdiction</w:t>
      </w:r>
      <w:r w:rsidR="004A667E" w:rsidRPr="00D633FF">
        <w:rPr>
          <w:rFonts w:ascii="Calibri" w:hAnsi="Calibri" w:cs="Calibri"/>
        </w:rPr>
        <w:t>s</w:t>
      </w:r>
      <w:r w:rsidRPr="00D633FF">
        <w:rPr>
          <w:rFonts w:ascii="Calibri" w:hAnsi="Calibri" w:cs="Calibri"/>
        </w:rPr>
        <w:t xml:space="preserve"> </w:t>
      </w:r>
      <w:r w:rsidR="004A667E" w:rsidRPr="00D633FF">
        <w:rPr>
          <w:rFonts w:ascii="Calibri" w:hAnsi="Calibri" w:cs="Calibri"/>
        </w:rPr>
        <w:t>are</w:t>
      </w:r>
      <w:r w:rsidRPr="00D633FF">
        <w:rPr>
          <w:rFonts w:ascii="Calibri" w:hAnsi="Calibri" w:cs="Calibri"/>
        </w:rPr>
        <w:t xml:space="preserve"> presented </w:t>
      </w:r>
      <w:r w:rsidR="00437C3F" w:rsidRPr="00D633FF">
        <w:rPr>
          <w:rFonts w:ascii="Calibri" w:hAnsi="Calibri" w:cs="Calibri"/>
        </w:rPr>
        <w:t>i</w:t>
      </w:r>
      <w:r w:rsidRPr="00D633FF">
        <w:rPr>
          <w:rFonts w:ascii="Calibri" w:hAnsi="Calibri" w:cs="Calibri"/>
        </w:rPr>
        <w:t xml:space="preserve">n </w:t>
      </w:r>
      <w:r w:rsidR="0030339F" w:rsidRPr="00D633FF">
        <w:rPr>
          <w:rFonts w:ascii="Calibri" w:hAnsi="Calibri" w:cs="Calibri"/>
        </w:rPr>
        <w:t>Table 2</w:t>
      </w:r>
      <w:r w:rsidR="000F3FCF" w:rsidRPr="00D633FF">
        <w:rPr>
          <w:rFonts w:ascii="Calibri" w:hAnsi="Calibri" w:cs="Calibri"/>
        </w:rPr>
        <w:t>.</w:t>
      </w:r>
    </w:p>
    <w:p w14:paraId="56AD1748" w14:textId="77777777" w:rsidR="001143B4" w:rsidRPr="00D633FF" w:rsidRDefault="001143B4">
      <w:pPr>
        <w:rPr>
          <w:rFonts w:ascii="Calibri" w:eastAsia="Times New Roman" w:hAnsi="Calibri" w:cs="Calibri"/>
          <w:kern w:val="0"/>
          <w:szCs w:val="24"/>
          <w:lang w:eastAsia="en-AU"/>
          <w14:ligatures w14:val="none"/>
        </w:rPr>
      </w:pPr>
      <w:r w:rsidRPr="00D633FF">
        <w:rPr>
          <w:rFonts w:ascii="Calibri" w:hAnsi="Calibri" w:cs="Calibri"/>
        </w:rPr>
        <w:br w:type="page"/>
      </w:r>
    </w:p>
    <w:p w14:paraId="1A66A44F" w14:textId="58661BC1" w:rsidR="00C21B5D" w:rsidRPr="005356DF" w:rsidRDefault="000F6517" w:rsidP="00A63407">
      <w:pPr>
        <w:pStyle w:val="Caption"/>
        <w:keepNext/>
        <w:spacing w:after="120"/>
        <w:rPr>
          <w:rFonts w:ascii="Calibri" w:hAnsi="Calibri" w:cs="Calibri"/>
          <w:b/>
          <w:bCs/>
        </w:rPr>
      </w:pPr>
      <w:bookmarkStart w:id="27" w:name="_Ref197954180"/>
      <w:r w:rsidRPr="005356DF">
        <w:rPr>
          <w:rFonts w:ascii="Calibri" w:hAnsi="Calibri" w:cs="Calibri"/>
          <w:b/>
          <w:bCs/>
        </w:rPr>
        <w:lastRenderedPageBreak/>
        <w:t xml:space="preserve">Table </w:t>
      </w:r>
      <w:r w:rsidRPr="005356DF">
        <w:rPr>
          <w:rFonts w:ascii="Calibri" w:hAnsi="Calibri" w:cs="Calibri"/>
          <w:b/>
          <w:bCs/>
        </w:rPr>
        <w:fldChar w:fldCharType="begin"/>
      </w:r>
      <w:r w:rsidRPr="005356DF">
        <w:rPr>
          <w:rFonts w:ascii="Calibri" w:hAnsi="Calibri" w:cs="Calibri"/>
          <w:b/>
          <w:bCs/>
        </w:rPr>
        <w:instrText xml:space="preserve"> SEQ Table \* ARABIC </w:instrText>
      </w:r>
      <w:r w:rsidRPr="005356DF">
        <w:rPr>
          <w:rFonts w:ascii="Calibri" w:hAnsi="Calibri" w:cs="Calibri"/>
          <w:b/>
          <w:bCs/>
        </w:rPr>
        <w:fldChar w:fldCharType="separate"/>
      </w:r>
      <w:r w:rsidR="00CB6915" w:rsidRPr="005356DF">
        <w:rPr>
          <w:rFonts w:ascii="Calibri" w:hAnsi="Calibri" w:cs="Calibri"/>
          <w:b/>
          <w:bCs/>
          <w:noProof/>
        </w:rPr>
        <w:t>2</w:t>
      </w:r>
      <w:r w:rsidRPr="005356DF">
        <w:rPr>
          <w:rFonts w:ascii="Calibri" w:hAnsi="Calibri" w:cs="Calibri"/>
          <w:b/>
          <w:bCs/>
        </w:rPr>
        <w:fldChar w:fldCharType="end"/>
      </w:r>
      <w:bookmarkEnd w:id="27"/>
      <w:r w:rsidR="00C21B5D" w:rsidRPr="005356DF">
        <w:rPr>
          <w:rFonts w:ascii="Calibri" w:hAnsi="Calibri" w:cs="Calibri"/>
          <w:b/>
          <w:bCs/>
        </w:rPr>
        <w:t xml:space="preserve">. </w:t>
      </w:r>
      <w:r w:rsidR="00185714" w:rsidRPr="005356DF">
        <w:rPr>
          <w:rFonts w:ascii="Calibri" w:hAnsi="Calibri" w:cs="Calibri"/>
          <w:b/>
          <w:bCs/>
        </w:rPr>
        <w:t xml:space="preserve">International </w:t>
      </w:r>
      <w:r w:rsidR="00C21B5D" w:rsidRPr="005356DF">
        <w:rPr>
          <w:rFonts w:ascii="Calibri" w:hAnsi="Calibri" w:cs="Calibri"/>
          <w:b/>
          <w:bCs/>
        </w:rPr>
        <w:t>Overview of Upper L</w:t>
      </w:r>
      <w:r w:rsidR="00104744" w:rsidRPr="005356DF">
        <w:rPr>
          <w:rFonts w:ascii="Calibri" w:hAnsi="Calibri" w:cs="Calibri"/>
          <w:b/>
          <w:bCs/>
        </w:rPr>
        <w:t xml:space="preserve">evels of Intake </w:t>
      </w:r>
      <w:r w:rsidR="00C21B5D" w:rsidRPr="005356DF">
        <w:rPr>
          <w:rFonts w:ascii="Calibri" w:hAnsi="Calibri" w:cs="Calibri"/>
          <w:b/>
          <w:bCs/>
        </w:rPr>
        <w:t>(UL) for selenium in μg/day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43"/>
        <w:gridCol w:w="1244"/>
        <w:gridCol w:w="1242"/>
        <w:gridCol w:w="1244"/>
        <w:gridCol w:w="1242"/>
        <w:gridCol w:w="1246"/>
      </w:tblGrid>
      <w:tr w:rsidR="001B3B64" w:rsidRPr="00D633FF" w14:paraId="66133221" w14:textId="77777777" w:rsidTr="001D7295">
        <w:trPr>
          <w:trHeight w:val="310"/>
        </w:trPr>
        <w:tc>
          <w:tcPr>
            <w:tcW w:w="862" w:type="pct"/>
            <w:noWrap/>
            <w:vAlign w:val="bottom"/>
          </w:tcPr>
          <w:p w14:paraId="20AF3F50" w14:textId="77777777" w:rsidR="00CD16D1" w:rsidRPr="00D633FF" w:rsidRDefault="00CD16D1">
            <w:pPr>
              <w:spacing w:after="0" w:line="240" w:lineRule="auto"/>
              <w:rPr>
                <w:rFonts w:ascii="Calibri" w:eastAsia="Times New Roman" w:hAnsi="Calibri" w:cs="Calibri"/>
                <w:b/>
                <w:bCs/>
                <w:sz w:val="18"/>
                <w:szCs w:val="18"/>
                <w:lang w:eastAsia="en-AU"/>
              </w:rPr>
            </w:pPr>
          </w:p>
        </w:tc>
        <w:tc>
          <w:tcPr>
            <w:tcW w:w="689" w:type="pct"/>
            <w:vAlign w:val="center"/>
          </w:tcPr>
          <w:p w14:paraId="7E1CB21B" w14:textId="77777777" w:rsidR="00CD16D1" w:rsidRPr="00D633FF" w:rsidRDefault="00CD16D1">
            <w:pPr>
              <w:spacing w:after="0" w:line="240" w:lineRule="auto"/>
              <w:jc w:val="center"/>
              <w:rPr>
                <w:rFonts w:ascii="Calibri" w:eastAsia="Times New Roman" w:hAnsi="Calibri" w:cs="Calibri"/>
                <w:sz w:val="18"/>
                <w:szCs w:val="18"/>
                <w:lang w:eastAsia="en-AU"/>
              </w:rPr>
            </w:pPr>
            <w:r w:rsidRPr="00D633FF">
              <w:rPr>
                <w:rFonts w:ascii="Calibri" w:eastAsia="Times New Roman" w:hAnsi="Calibri" w:cs="Calibri"/>
                <w:sz w:val="18"/>
                <w:szCs w:val="18"/>
                <w:lang w:eastAsia="en-AU"/>
              </w:rPr>
              <w:t>Australia &amp; New Zealand</w:t>
            </w:r>
          </w:p>
        </w:tc>
        <w:tc>
          <w:tcPr>
            <w:tcW w:w="690" w:type="pct"/>
            <w:vAlign w:val="center"/>
          </w:tcPr>
          <w:p w14:paraId="2DE9B20B" w14:textId="77777777" w:rsidR="00CD16D1" w:rsidRPr="00D633FF" w:rsidRDefault="00CD16D1">
            <w:pPr>
              <w:spacing w:after="0" w:line="240" w:lineRule="auto"/>
              <w:jc w:val="center"/>
              <w:rPr>
                <w:rFonts w:ascii="Calibri" w:eastAsia="Times New Roman" w:hAnsi="Calibri" w:cs="Calibri"/>
                <w:sz w:val="18"/>
                <w:szCs w:val="18"/>
                <w:lang w:eastAsia="en-AU"/>
              </w:rPr>
            </w:pPr>
            <w:r w:rsidRPr="00D633FF">
              <w:rPr>
                <w:rFonts w:ascii="Calibri" w:eastAsia="Times New Roman" w:hAnsi="Calibri" w:cs="Calibri"/>
                <w:sz w:val="18"/>
                <w:szCs w:val="18"/>
                <w:lang w:eastAsia="en-AU"/>
              </w:rPr>
              <w:t>Europe (current)</w:t>
            </w:r>
          </w:p>
        </w:tc>
        <w:tc>
          <w:tcPr>
            <w:tcW w:w="689" w:type="pct"/>
            <w:tcBorders>
              <w:bottom w:val="single" w:sz="4" w:space="0" w:color="auto"/>
            </w:tcBorders>
            <w:vAlign w:val="center"/>
          </w:tcPr>
          <w:p w14:paraId="796009C3" w14:textId="77777777" w:rsidR="00CD16D1" w:rsidRPr="00D633FF" w:rsidRDefault="00CD16D1">
            <w:pPr>
              <w:spacing w:after="0" w:line="240" w:lineRule="auto"/>
              <w:jc w:val="center"/>
              <w:rPr>
                <w:rFonts w:ascii="Calibri" w:eastAsia="Times New Roman" w:hAnsi="Calibri" w:cs="Calibri"/>
                <w:sz w:val="18"/>
                <w:szCs w:val="18"/>
                <w:lang w:eastAsia="en-AU"/>
              </w:rPr>
            </w:pPr>
            <w:r w:rsidRPr="00D633FF">
              <w:rPr>
                <w:rFonts w:ascii="Calibri" w:eastAsia="Times New Roman" w:hAnsi="Calibri" w:cs="Calibri"/>
                <w:sz w:val="18"/>
                <w:szCs w:val="18"/>
                <w:lang w:eastAsia="en-AU"/>
              </w:rPr>
              <w:t>Europe (previous)</w:t>
            </w:r>
          </w:p>
        </w:tc>
        <w:tc>
          <w:tcPr>
            <w:tcW w:w="690" w:type="pct"/>
            <w:tcBorders>
              <w:bottom w:val="single" w:sz="4" w:space="0" w:color="auto"/>
            </w:tcBorders>
            <w:vAlign w:val="center"/>
          </w:tcPr>
          <w:p w14:paraId="74637FC3" w14:textId="77777777" w:rsidR="00CD16D1" w:rsidRPr="00D633FF" w:rsidRDefault="00CD16D1">
            <w:pPr>
              <w:spacing w:after="0" w:line="240" w:lineRule="auto"/>
              <w:jc w:val="center"/>
              <w:rPr>
                <w:rFonts w:ascii="Calibri" w:eastAsia="Times New Roman" w:hAnsi="Calibri" w:cs="Calibri"/>
                <w:sz w:val="18"/>
                <w:szCs w:val="18"/>
                <w:lang w:eastAsia="en-AU"/>
              </w:rPr>
            </w:pPr>
            <w:r w:rsidRPr="00D633FF">
              <w:rPr>
                <w:rFonts w:ascii="Calibri" w:eastAsia="Times New Roman" w:hAnsi="Calibri" w:cs="Calibri"/>
                <w:sz w:val="18"/>
                <w:szCs w:val="18"/>
                <w:lang w:eastAsia="en-AU"/>
              </w:rPr>
              <w:t>USA</w:t>
            </w:r>
          </w:p>
        </w:tc>
        <w:tc>
          <w:tcPr>
            <w:tcW w:w="689" w:type="pct"/>
            <w:tcBorders>
              <w:bottom w:val="single" w:sz="4" w:space="0" w:color="auto"/>
            </w:tcBorders>
            <w:vAlign w:val="center"/>
          </w:tcPr>
          <w:p w14:paraId="28295AD8" w14:textId="77777777" w:rsidR="00CD16D1" w:rsidRPr="00D633FF" w:rsidRDefault="00CD16D1">
            <w:pPr>
              <w:spacing w:after="0" w:line="240" w:lineRule="auto"/>
              <w:jc w:val="center"/>
              <w:rPr>
                <w:rFonts w:ascii="Calibri" w:eastAsia="Times New Roman" w:hAnsi="Calibri" w:cs="Calibri"/>
                <w:sz w:val="18"/>
                <w:szCs w:val="18"/>
                <w:lang w:eastAsia="en-AU"/>
              </w:rPr>
            </w:pPr>
            <w:r w:rsidRPr="00D633FF">
              <w:rPr>
                <w:rFonts w:ascii="Calibri" w:eastAsia="Times New Roman" w:hAnsi="Calibri" w:cs="Calibri"/>
                <w:sz w:val="18"/>
                <w:szCs w:val="18"/>
                <w:lang w:eastAsia="en-AU"/>
              </w:rPr>
              <w:t>UK</w:t>
            </w:r>
          </w:p>
        </w:tc>
        <w:tc>
          <w:tcPr>
            <w:tcW w:w="691" w:type="pct"/>
            <w:tcBorders>
              <w:bottom w:val="single" w:sz="4" w:space="0" w:color="auto"/>
            </w:tcBorders>
            <w:vAlign w:val="center"/>
          </w:tcPr>
          <w:p w14:paraId="558EE5D0" w14:textId="77777777" w:rsidR="00CD16D1" w:rsidRPr="00D633FF" w:rsidRDefault="00CD16D1">
            <w:pPr>
              <w:spacing w:after="0" w:line="240" w:lineRule="auto"/>
              <w:jc w:val="center"/>
              <w:rPr>
                <w:rFonts w:ascii="Calibri" w:eastAsia="Times New Roman" w:hAnsi="Calibri" w:cs="Calibri"/>
                <w:sz w:val="18"/>
                <w:szCs w:val="18"/>
                <w:lang w:eastAsia="en-AU"/>
              </w:rPr>
            </w:pPr>
            <w:r w:rsidRPr="00D633FF">
              <w:rPr>
                <w:rFonts w:ascii="Calibri" w:eastAsia="Times New Roman" w:hAnsi="Calibri" w:cs="Calibri"/>
                <w:sz w:val="18"/>
                <w:szCs w:val="18"/>
                <w:lang w:eastAsia="en-AU"/>
              </w:rPr>
              <w:t>International</w:t>
            </w:r>
          </w:p>
        </w:tc>
      </w:tr>
      <w:tr w:rsidR="001B3B64" w:rsidRPr="00D633FF" w14:paraId="085A6FA0" w14:textId="77777777" w:rsidTr="001D7295">
        <w:trPr>
          <w:trHeight w:val="310"/>
        </w:trPr>
        <w:tc>
          <w:tcPr>
            <w:tcW w:w="862" w:type="pct"/>
            <w:tcBorders>
              <w:bottom w:val="single" w:sz="4" w:space="0" w:color="auto"/>
            </w:tcBorders>
            <w:noWrap/>
            <w:vAlign w:val="bottom"/>
            <w:hideMark/>
          </w:tcPr>
          <w:p w14:paraId="09770677" w14:textId="77777777" w:rsidR="00CD16D1" w:rsidRPr="00D633FF" w:rsidRDefault="00CD16D1">
            <w:pPr>
              <w:spacing w:after="0" w:line="240" w:lineRule="auto"/>
              <w:rPr>
                <w:rFonts w:ascii="Calibri" w:eastAsia="Times New Roman" w:hAnsi="Calibri" w:cs="Calibri"/>
                <w:b/>
                <w:bCs/>
                <w:sz w:val="18"/>
                <w:szCs w:val="18"/>
                <w:lang w:eastAsia="en-AU"/>
              </w:rPr>
            </w:pPr>
            <w:r w:rsidRPr="00D633FF">
              <w:rPr>
                <w:rFonts w:ascii="Calibri" w:eastAsia="Times New Roman" w:hAnsi="Calibri" w:cs="Calibri"/>
                <w:b/>
                <w:bCs/>
                <w:sz w:val="18"/>
                <w:szCs w:val="18"/>
                <w:lang w:eastAsia="en-AU"/>
              </w:rPr>
              <w:t xml:space="preserve">Population </w:t>
            </w:r>
          </w:p>
          <w:p w14:paraId="363FBAFA" w14:textId="77777777" w:rsidR="00CD16D1" w:rsidRPr="00D633FF" w:rsidRDefault="00CD16D1">
            <w:pPr>
              <w:spacing w:after="0" w:line="240" w:lineRule="auto"/>
              <w:rPr>
                <w:rFonts w:ascii="Calibri" w:eastAsia="Times New Roman" w:hAnsi="Calibri" w:cs="Calibri"/>
                <w:b/>
                <w:bCs/>
                <w:sz w:val="18"/>
                <w:szCs w:val="18"/>
                <w:lang w:eastAsia="en-AU"/>
              </w:rPr>
            </w:pPr>
            <w:r w:rsidRPr="00D633FF">
              <w:rPr>
                <w:rFonts w:ascii="Calibri" w:eastAsia="Times New Roman" w:hAnsi="Calibri" w:cs="Calibri"/>
                <w:b/>
                <w:bCs/>
                <w:sz w:val="18"/>
                <w:szCs w:val="18"/>
                <w:lang w:eastAsia="en-AU"/>
              </w:rPr>
              <w:t>Group</w:t>
            </w:r>
          </w:p>
          <w:p w14:paraId="45F4E80E" w14:textId="77777777" w:rsidR="00CD16D1" w:rsidRPr="00D633FF" w:rsidRDefault="00CD16D1">
            <w:pPr>
              <w:spacing w:after="0" w:line="240" w:lineRule="auto"/>
              <w:rPr>
                <w:rFonts w:ascii="Calibri" w:eastAsia="Times New Roman" w:hAnsi="Calibri" w:cs="Calibri"/>
                <w:b/>
                <w:bCs/>
                <w:sz w:val="18"/>
                <w:szCs w:val="18"/>
                <w:lang w:eastAsia="en-AU"/>
              </w:rPr>
            </w:pPr>
          </w:p>
        </w:tc>
        <w:tc>
          <w:tcPr>
            <w:tcW w:w="689" w:type="pct"/>
            <w:tcBorders>
              <w:bottom w:val="single" w:sz="4" w:space="0" w:color="auto"/>
            </w:tcBorders>
            <w:shd w:val="clear" w:color="auto" w:fill="A5C9EB" w:themeFill="text2" w:themeFillTint="40"/>
            <w:vAlign w:val="center"/>
          </w:tcPr>
          <w:p w14:paraId="5F7735C1" w14:textId="77777777" w:rsidR="00CD16D1" w:rsidRPr="00D633FF" w:rsidRDefault="00CD16D1">
            <w:pPr>
              <w:spacing w:after="0" w:line="240" w:lineRule="auto"/>
              <w:jc w:val="center"/>
              <w:rPr>
                <w:rFonts w:ascii="Calibri" w:eastAsia="Times New Roman" w:hAnsi="Calibri" w:cs="Calibri"/>
                <w:b/>
                <w:bCs/>
                <w:sz w:val="18"/>
                <w:szCs w:val="18"/>
                <w:lang w:eastAsia="en-AU"/>
              </w:rPr>
            </w:pPr>
            <w:r w:rsidRPr="00D633FF">
              <w:rPr>
                <w:rFonts w:ascii="Calibri" w:eastAsia="Times New Roman" w:hAnsi="Calibri" w:cs="Calibri"/>
                <w:b/>
                <w:bCs/>
                <w:sz w:val="18"/>
                <w:szCs w:val="18"/>
                <w:lang w:eastAsia="en-AU"/>
              </w:rPr>
              <w:t xml:space="preserve">NHMRC </w:t>
            </w:r>
          </w:p>
          <w:p w14:paraId="7B5610B1" w14:textId="66C913AD" w:rsidR="00CD16D1" w:rsidRPr="00D633FF" w:rsidRDefault="00CD16D1">
            <w:pPr>
              <w:spacing w:after="0" w:line="240" w:lineRule="auto"/>
              <w:jc w:val="center"/>
              <w:rPr>
                <w:rFonts w:ascii="Calibri" w:eastAsia="Times New Roman" w:hAnsi="Calibri" w:cs="Calibri"/>
                <w:sz w:val="18"/>
                <w:szCs w:val="18"/>
                <w:lang w:eastAsia="en-AU"/>
              </w:rPr>
            </w:pPr>
            <w:r w:rsidRPr="00D633FF">
              <w:rPr>
                <w:rFonts w:ascii="Calibri" w:eastAsia="Times New Roman" w:hAnsi="Calibri" w:cs="Calibri"/>
                <w:sz w:val="18"/>
                <w:szCs w:val="18"/>
                <w:lang w:eastAsia="en-AU"/>
              </w:rPr>
              <w:t>(2006)</w:t>
            </w:r>
          </w:p>
        </w:tc>
        <w:tc>
          <w:tcPr>
            <w:tcW w:w="690" w:type="pct"/>
            <w:tcBorders>
              <w:bottom w:val="single" w:sz="4" w:space="0" w:color="auto"/>
            </w:tcBorders>
            <w:shd w:val="clear" w:color="auto" w:fill="E59EDC" w:themeFill="accent5" w:themeFillTint="66"/>
            <w:vAlign w:val="center"/>
          </w:tcPr>
          <w:p w14:paraId="2FCB3F80" w14:textId="37F4AA95" w:rsidR="00CD16D1" w:rsidRPr="00D633FF" w:rsidRDefault="00CD16D1">
            <w:pPr>
              <w:spacing w:after="0" w:line="240" w:lineRule="auto"/>
              <w:jc w:val="center"/>
              <w:rPr>
                <w:rFonts w:ascii="Calibri" w:eastAsia="Times New Roman" w:hAnsi="Calibri" w:cs="Calibri"/>
                <w:b/>
                <w:bCs/>
                <w:sz w:val="18"/>
                <w:szCs w:val="18"/>
                <w:vertAlign w:val="superscript"/>
                <w:lang w:eastAsia="en-AU"/>
              </w:rPr>
            </w:pPr>
            <w:r w:rsidRPr="00D633FF">
              <w:rPr>
                <w:rFonts w:ascii="Calibri" w:eastAsia="Times New Roman" w:hAnsi="Calibri" w:cs="Calibri"/>
                <w:b/>
                <w:bCs/>
                <w:sz w:val="18"/>
                <w:szCs w:val="18"/>
                <w:lang w:eastAsia="en-AU"/>
              </w:rPr>
              <w:t>EFSA</w:t>
            </w:r>
            <w:r w:rsidR="00A06019" w:rsidRPr="00D633FF">
              <w:rPr>
                <w:rFonts w:ascii="Calibri" w:eastAsia="Times New Roman" w:hAnsi="Calibri" w:cs="Calibri"/>
                <w:b/>
                <w:bCs/>
                <w:sz w:val="18"/>
                <w:szCs w:val="18"/>
                <w:vertAlign w:val="superscript"/>
                <w:lang w:eastAsia="en-AU"/>
              </w:rPr>
              <w:t>(a)</w:t>
            </w:r>
          </w:p>
          <w:p w14:paraId="234FEC3E" w14:textId="77777777" w:rsidR="00CD16D1" w:rsidRPr="00D633FF" w:rsidRDefault="00CD16D1">
            <w:pPr>
              <w:spacing w:after="0" w:line="240" w:lineRule="auto"/>
              <w:jc w:val="center"/>
              <w:rPr>
                <w:rFonts w:ascii="Calibri" w:eastAsia="Times New Roman" w:hAnsi="Calibri" w:cs="Calibri"/>
                <w:sz w:val="18"/>
                <w:szCs w:val="18"/>
                <w:lang w:eastAsia="en-AU"/>
              </w:rPr>
            </w:pPr>
            <w:r w:rsidRPr="00D633FF">
              <w:rPr>
                <w:rFonts w:ascii="Calibri" w:eastAsia="Times New Roman" w:hAnsi="Calibri" w:cs="Calibri"/>
                <w:sz w:val="18"/>
                <w:szCs w:val="18"/>
                <w:lang w:eastAsia="en-AU"/>
              </w:rPr>
              <w:t>(2023)</w:t>
            </w:r>
          </w:p>
        </w:tc>
        <w:tc>
          <w:tcPr>
            <w:tcW w:w="689" w:type="pct"/>
            <w:tcBorders>
              <w:bottom w:val="single" w:sz="4" w:space="0" w:color="auto"/>
            </w:tcBorders>
            <w:shd w:val="clear" w:color="auto" w:fill="D1D1D1" w:themeFill="background2" w:themeFillShade="E6"/>
            <w:vAlign w:val="center"/>
          </w:tcPr>
          <w:p w14:paraId="4C26B8BA" w14:textId="77777777" w:rsidR="00CD16D1" w:rsidRPr="00D633FF" w:rsidRDefault="00CD16D1">
            <w:pPr>
              <w:spacing w:after="0" w:line="240" w:lineRule="auto"/>
              <w:jc w:val="center"/>
              <w:rPr>
                <w:rFonts w:ascii="Calibri" w:eastAsia="Times New Roman" w:hAnsi="Calibri" w:cs="Calibri"/>
                <w:b/>
                <w:bCs/>
                <w:sz w:val="18"/>
                <w:szCs w:val="18"/>
                <w:lang w:eastAsia="en-AU"/>
              </w:rPr>
            </w:pPr>
            <w:r w:rsidRPr="00D633FF">
              <w:rPr>
                <w:rFonts w:ascii="Calibri" w:eastAsia="Times New Roman" w:hAnsi="Calibri" w:cs="Calibri"/>
                <w:b/>
                <w:bCs/>
                <w:sz w:val="18"/>
                <w:szCs w:val="18"/>
                <w:lang w:eastAsia="en-AU"/>
              </w:rPr>
              <w:t>SCF</w:t>
            </w:r>
          </w:p>
          <w:p w14:paraId="048985E0" w14:textId="77777777" w:rsidR="00CD16D1" w:rsidRPr="00D633FF" w:rsidRDefault="00CD16D1">
            <w:pPr>
              <w:spacing w:after="0" w:line="240" w:lineRule="auto"/>
              <w:jc w:val="center"/>
              <w:rPr>
                <w:rFonts w:ascii="Calibri" w:eastAsia="Times New Roman" w:hAnsi="Calibri" w:cs="Calibri"/>
                <w:sz w:val="18"/>
                <w:szCs w:val="18"/>
                <w:lang w:eastAsia="en-AU"/>
              </w:rPr>
            </w:pPr>
            <w:r w:rsidRPr="00D633FF">
              <w:rPr>
                <w:rFonts w:ascii="Calibri" w:eastAsia="Times New Roman" w:hAnsi="Calibri" w:cs="Calibri"/>
                <w:sz w:val="18"/>
                <w:szCs w:val="18"/>
                <w:lang w:eastAsia="en-AU"/>
              </w:rPr>
              <w:t>(2000)</w:t>
            </w:r>
          </w:p>
        </w:tc>
        <w:tc>
          <w:tcPr>
            <w:tcW w:w="690" w:type="pct"/>
            <w:tcBorders>
              <w:bottom w:val="single" w:sz="4" w:space="0" w:color="auto"/>
            </w:tcBorders>
            <w:shd w:val="clear" w:color="auto" w:fill="D1D1D1" w:themeFill="background2" w:themeFillShade="E6"/>
            <w:vAlign w:val="center"/>
          </w:tcPr>
          <w:p w14:paraId="114DB8DC" w14:textId="77777777" w:rsidR="001D7295" w:rsidRDefault="00CD16D1">
            <w:pPr>
              <w:spacing w:after="0" w:line="240" w:lineRule="auto"/>
              <w:jc w:val="center"/>
              <w:rPr>
                <w:rFonts w:ascii="Calibri" w:eastAsia="Times New Roman" w:hAnsi="Calibri" w:cs="Calibri"/>
                <w:b/>
                <w:bCs/>
                <w:sz w:val="18"/>
                <w:szCs w:val="18"/>
                <w:lang w:eastAsia="en-AU"/>
              </w:rPr>
            </w:pPr>
            <w:r w:rsidRPr="00D633FF">
              <w:rPr>
                <w:rFonts w:ascii="Calibri" w:eastAsia="Times New Roman" w:hAnsi="Calibri" w:cs="Calibri"/>
                <w:b/>
                <w:bCs/>
                <w:sz w:val="18"/>
                <w:szCs w:val="18"/>
                <w:lang w:eastAsia="en-AU"/>
              </w:rPr>
              <w:t xml:space="preserve">IOM </w:t>
            </w:r>
          </w:p>
          <w:p w14:paraId="2AE18EBC" w14:textId="04E2F13F" w:rsidR="00CD16D1" w:rsidRPr="00D633FF" w:rsidRDefault="00CD16D1">
            <w:pPr>
              <w:spacing w:after="0" w:line="240" w:lineRule="auto"/>
              <w:jc w:val="center"/>
              <w:rPr>
                <w:rFonts w:ascii="Calibri" w:eastAsia="Times New Roman" w:hAnsi="Calibri" w:cs="Calibri"/>
                <w:b/>
                <w:bCs/>
                <w:sz w:val="18"/>
                <w:szCs w:val="18"/>
                <w:lang w:eastAsia="en-AU"/>
              </w:rPr>
            </w:pPr>
            <w:r w:rsidRPr="00D633FF">
              <w:rPr>
                <w:rFonts w:ascii="Calibri" w:eastAsia="Times New Roman" w:hAnsi="Calibri" w:cs="Calibri"/>
                <w:sz w:val="18"/>
                <w:szCs w:val="18"/>
                <w:lang w:eastAsia="en-AU"/>
              </w:rPr>
              <w:t>(2000)</w:t>
            </w:r>
          </w:p>
        </w:tc>
        <w:tc>
          <w:tcPr>
            <w:tcW w:w="689" w:type="pct"/>
            <w:tcBorders>
              <w:bottom w:val="single" w:sz="4" w:space="0" w:color="auto"/>
            </w:tcBorders>
            <w:shd w:val="clear" w:color="auto" w:fill="D1D1D1" w:themeFill="background2" w:themeFillShade="E6"/>
            <w:vAlign w:val="center"/>
          </w:tcPr>
          <w:p w14:paraId="00AAD4F7" w14:textId="77777777" w:rsidR="001D7295" w:rsidRDefault="00CD16D1">
            <w:pPr>
              <w:spacing w:after="0" w:line="240" w:lineRule="auto"/>
              <w:jc w:val="center"/>
              <w:rPr>
                <w:rFonts w:ascii="Calibri" w:eastAsia="Times New Roman" w:hAnsi="Calibri" w:cs="Calibri"/>
                <w:b/>
                <w:bCs/>
                <w:sz w:val="18"/>
                <w:szCs w:val="18"/>
                <w:lang w:eastAsia="en-AU"/>
              </w:rPr>
            </w:pPr>
            <w:r w:rsidRPr="00D633FF">
              <w:rPr>
                <w:rFonts w:ascii="Calibri" w:eastAsia="Times New Roman" w:hAnsi="Calibri" w:cs="Calibri"/>
                <w:b/>
                <w:bCs/>
                <w:sz w:val="18"/>
                <w:szCs w:val="18"/>
                <w:lang w:eastAsia="en-AU"/>
              </w:rPr>
              <w:t xml:space="preserve">EVM </w:t>
            </w:r>
          </w:p>
          <w:p w14:paraId="2A2D8A28" w14:textId="6DB98186" w:rsidR="00CD16D1" w:rsidRPr="00D633FF" w:rsidRDefault="00CD16D1">
            <w:pPr>
              <w:spacing w:after="0" w:line="240" w:lineRule="auto"/>
              <w:jc w:val="center"/>
              <w:rPr>
                <w:rFonts w:ascii="Calibri" w:eastAsia="Times New Roman" w:hAnsi="Calibri" w:cs="Calibri"/>
                <w:b/>
                <w:bCs/>
                <w:sz w:val="18"/>
                <w:szCs w:val="18"/>
                <w:lang w:eastAsia="en-AU"/>
              </w:rPr>
            </w:pPr>
            <w:r w:rsidRPr="00D633FF">
              <w:rPr>
                <w:rFonts w:ascii="Calibri" w:eastAsia="Times New Roman" w:hAnsi="Calibri" w:cs="Calibri"/>
                <w:sz w:val="18"/>
                <w:szCs w:val="18"/>
                <w:lang w:eastAsia="en-AU"/>
              </w:rPr>
              <w:t>(</w:t>
            </w:r>
            <w:proofErr w:type="gramStart"/>
            <w:r w:rsidRPr="00D633FF">
              <w:rPr>
                <w:rFonts w:ascii="Calibri" w:eastAsia="Times New Roman" w:hAnsi="Calibri" w:cs="Calibri"/>
                <w:sz w:val="18"/>
                <w:szCs w:val="18"/>
                <w:lang w:eastAsia="en-AU"/>
              </w:rPr>
              <w:t>2003)</w:t>
            </w:r>
            <w:r w:rsidRPr="00D633FF">
              <w:rPr>
                <w:rFonts w:ascii="Calibri" w:eastAsia="Times New Roman" w:hAnsi="Calibri" w:cs="Calibri"/>
                <w:sz w:val="18"/>
                <w:szCs w:val="18"/>
                <w:vertAlign w:val="superscript"/>
                <w:lang w:eastAsia="en-AU"/>
              </w:rPr>
              <w:t>(</w:t>
            </w:r>
            <w:proofErr w:type="gramEnd"/>
            <w:r w:rsidR="00A06019" w:rsidRPr="00D633FF">
              <w:rPr>
                <w:rFonts w:ascii="Calibri" w:eastAsia="Times New Roman" w:hAnsi="Calibri" w:cs="Calibri"/>
                <w:b/>
                <w:bCs/>
                <w:sz w:val="18"/>
                <w:szCs w:val="18"/>
                <w:vertAlign w:val="superscript"/>
                <w:lang w:eastAsia="en-AU"/>
              </w:rPr>
              <w:t>b)</w:t>
            </w:r>
          </w:p>
        </w:tc>
        <w:tc>
          <w:tcPr>
            <w:tcW w:w="691" w:type="pct"/>
            <w:tcBorders>
              <w:bottom w:val="single" w:sz="4" w:space="0" w:color="auto"/>
            </w:tcBorders>
            <w:shd w:val="clear" w:color="auto" w:fill="D1D1D1" w:themeFill="background2" w:themeFillShade="E6"/>
            <w:vAlign w:val="center"/>
          </w:tcPr>
          <w:p w14:paraId="3019DB6D" w14:textId="77777777" w:rsidR="00CD16D1" w:rsidRPr="00D633FF" w:rsidRDefault="00CD16D1">
            <w:pPr>
              <w:spacing w:after="0" w:line="240" w:lineRule="auto"/>
              <w:jc w:val="center"/>
              <w:rPr>
                <w:rFonts w:ascii="Calibri" w:eastAsia="Times New Roman" w:hAnsi="Calibri" w:cs="Calibri"/>
                <w:b/>
                <w:bCs/>
                <w:sz w:val="18"/>
                <w:szCs w:val="18"/>
                <w:lang w:eastAsia="en-AU"/>
              </w:rPr>
            </w:pPr>
            <w:r w:rsidRPr="00D633FF">
              <w:rPr>
                <w:rFonts w:ascii="Calibri" w:eastAsia="Times New Roman" w:hAnsi="Calibri" w:cs="Calibri"/>
                <w:b/>
                <w:bCs/>
                <w:sz w:val="18"/>
                <w:szCs w:val="18"/>
                <w:lang w:eastAsia="en-AU"/>
              </w:rPr>
              <w:t>WHO/FAO</w:t>
            </w:r>
          </w:p>
          <w:p w14:paraId="6B03B598" w14:textId="77777777" w:rsidR="00CD16D1" w:rsidRPr="00D633FF" w:rsidRDefault="00CD16D1">
            <w:pPr>
              <w:spacing w:after="0" w:line="240" w:lineRule="auto"/>
              <w:jc w:val="center"/>
              <w:rPr>
                <w:rFonts w:ascii="Calibri" w:eastAsia="Times New Roman" w:hAnsi="Calibri" w:cs="Calibri"/>
                <w:sz w:val="18"/>
                <w:szCs w:val="18"/>
                <w:lang w:eastAsia="en-AU"/>
              </w:rPr>
            </w:pPr>
            <w:r w:rsidRPr="00D633FF">
              <w:rPr>
                <w:rFonts w:ascii="Calibri" w:eastAsia="Times New Roman" w:hAnsi="Calibri" w:cs="Calibri"/>
                <w:sz w:val="18"/>
                <w:szCs w:val="18"/>
                <w:lang w:eastAsia="en-AU"/>
              </w:rPr>
              <w:t>(2004)</w:t>
            </w:r>
          </w:p>
        </w:tc>
      </w:tr>
      <w:tr w:rsidR="001D7295" w:rsidRPr="00D633FF" w14:paraId="57C9A7AA" w14:textId="77777777" w:rsidTr="001D7295">
        <w:trPr>
          <w:trHeight w:val="310"/>
        </w:trPr>
        <w:tc>
          <w:tcPr>
            <w:tcW w:w="862" w:type="pct"/>
            <w:tcBorders>
              <w:top w:val="single" w:sz="4" w:space="0" w:color="auto"/>
              <w:left w:val="single" w:sz="4" w:space="0" w:color="auto"/>
              <w:bottom w:val="single" w:sz="4" w:space="0" w:color="auto"/>
              <w:right w:val="nil"/>
            </w:tcBorders>
            <w:shd w:val="clear" w:color="auto" w:fill="C1E4F5" w:themeFill="accent1" w:themeFillTint="33"/>
            <w:noWrap/>
            <w:vAlign w:val="bottom"/>
          </w:tcPr>
          <w:p w14:paraId="71B5E1A0" w14:textId="77777777" w:rsidR="005D4CF3" w:rsidRPr="00D633FF" w:rsidRDefault="005D4CF3">
            <w:pPr>
              <w:spacing w:after="0" w:line="360" w:lineRule="auto"/>
              <w:rPr>
                <w:rFonts w:ascii="Calibri" w:eastAsia="Times New Roman" w:hAnsi="Calibri" w:cs="Calibri"/>
                <w:b/>
                <w:bCs/>
                <w:color w:val="000000"/>
                <w:sz w:val="18"/>
                <w:szCs w:val="18"/>
                <w:lang w:eastAsia="en-AU"/>
              </w:rPr>
            </w:pPr>
            <w:r w:rsidRPr="00D633FF">
              <w:rPr>
                <w:rFonts w:ascii="Calibri" w:eastAsia="Times New Roman" w:hAnsi="Calibri" w:cs="Calibri"/>
                <w:b/>
                <w:bCs/>
                <w:color w:val="000000"/>
                <w:sz w:val="18"/>
                <w:szCs w:val="18"/>
                <w:lang w:eastAsia="en-AU"/>
              </w:rPr>
              <w:t>Infants</w:t>
            </w:r>
          </w:p>
        </w:tc>
        <w:tc>
          <w:tcPr>
            <w:tcW w:w="689" w:type="pct"/>
            <w:tcBorders>
              <w:top w:val="single" w:sz="4" w:space="0" w:color="auto"/>
              <w:left w:val="nil"/>
              <w:bottom w:val="single" w:sz="4" w:space="0" w:color="auto"/>
              <w:right w:val="nil"/>
            </w:tcBorders>
            <w:shd w:val="clear" w:color="auto" w:fill="C1E4F5" w:themeFill="accent1" w:themeFillTint="33"/>
            <w:vAlign w:val="center"/>
          </w:tcPr>
          <w:p w14:paraId="699D9E00" w14:textId="77777777" w:rsidR="005D4CF3" w:rsidRPr="00D633FF" w:rsidRDefault="005D4CF3" w:rsidP="001B3B64">
            <w:pPr>
              <w:spacing w:after="0" w:line="360" w:lineRule="auto"/>
              <w:jc w:val="center"/>
              <w:rPr>
                <w:rFonts w:ascii="Calibri" w:eastAsia="Times New Roman" w:hAnsi="Calibri" w:cs="Calibri"/>
                <w:b/>
                <w:bCs/>
                <w:color w:val="000000"/>
                <w:sz w:val="18"/>
                <w:szCs w:val="18"/>
                <w:lang w:eastAsia="en-AU"/>
              </w:rPr>
            </w:pPr>
          </w:p>
        </w:tc>
        <w:tc>
          <w:tcPr>
            <w:tcW w:w="690" w:type="pct"/>
            <w:tcBorders>
              <w:top w:val="single" w:sz="4" w:space="0" w:color="auto"/>
              <w:left w:val="nil"/>
              <w:bottom w:val="single" w:sz="4" w:space="0" w:color="auto"/>
              <w:right w:val="nil"/>
            </w:tcBorders>
            <w:shd w:val="clear" w:color="auto" w:fill="C1E4F5" w:themeFill="accent1" w:themeFillTint="33"/>
            <w:vAlign w:val="center"/>
          </w:tcPr>
          <w:p w14:paraId="1078F3B7" w14:textId="3D83508C" w:rsidR="005D4CF3" w:rsidRPr="00D633FF" w:rsidRDefault="005D4CF3" w:rsidP="001B3B64">
            <w:pPr>
              <w:spacing w:after="0" w:line="360" w:lineRule="auto"/>
              <w:jc w:val="center"/>
              <w:rPr>
                <w:rFonts w:ascii="Calibri" w:eastAsia="Times New Roman" w:hAnsi="Calibri" w:cs="Calibri"/>
                <w:b/>
                <w:bCs/>
                <w:color w:val="000000"/>
                <w:sz w:val="18"/>
                <w:szCs w:val="18"/>
                <w:lang w:eastAsia="en-AU"/>
              </w:rPr>
            </w:pPr>
          </w:p>
        </w:tc>
        <w:tc>
          <w:tcPr>
            <w:tcW w:w="689" w:type="pct"/>
            <w:tcBorders>
              <w:top w:val="single" w:sz="4" w:space="0" w:color="auto"/>
              <w:left w:val="nil"/>
              <w:bottom w:val="single" w:sz="4" w:space="0" w:color="auto"/>
              <w:right w:val="nil"/>
            </w:tcBorders>
            <w:shd w:val="clear" w:color="auto" w:fill="C1E4F5" w:themeFill="accent1" w:themeFillTint="33"/>
            <w:vAlign w:val="center"/>
          </w:tcPr>
          <w:p w14:paraId="0B2A7BDD" w14:textId="77777777" w:rsidR="005D4CF3" w:rsidRPr="00D633FF" w:rsidRDefault="005D4CF3" w:rsidP="001B3B64">
            <w:pPr>
              <w:spacing w:after="0" w:line="360" w:lineRule="auto"/>
              <w:jc w:val="center"/>
              <w:rPr>
                <w:rFonts w:ascii="Calibri" w:eastAsia="Times New Roman" w:hAnsi="Calibri" w:cs="Calibri"/>
                <w:b/>
                <w:bCs/>
                <w:color w:val="000000"/>
                <w:sz w:val="18"/>
                <w:szCs w:val="18"/>
                <w:lang w:eastAsia="en-AU"/>
              </w:rPr>
            </w:pPr>
          </w:p>
        </w:tc>
        <w:tc>
          <w:tcPr>
            <w:tcW w:w="690" w:type="pct"/>
            <w:tcBorders>
              <w:top w:val="single" w:sz="4" w:space="0" w:color="auto"/>
              <w:left w:val="nil"/>
              <w:bottom w:val="single" w:sz="4" w:space="0" w:color="auto"/>
              <w:right w:val="nil"/>
            </w:tcBorders>
            <w:shd w:val="clear" w:color="auto" w:fill="C1E4F5" w:themeFill="accent1" w:themeFillTint="33"/>
            <w:vAlign w:val="center"/>
          </w:tcPr>
          <w:p w14:paraId="77DE9297" w14:textId="77777777" w:rsidR="005D4CF3" w:rsidRPr="00D633FF" w:rsidRDefault="005D4CF3" w:rsidP="001B3B64">
            <w:pPr>
              <w:spacing w:after="0" w:line="360" w:lineRule="auto"/>
              <w:jc w:val="center"/>
              <w:rPr>
                <w:rFonts w:ascii="Calibri" w:eastAsia="Times New Roman" w:hAnsi="Calibri" w:cs="Calibri"/>
                <w:b/>
                <w:bCs/>
                <w:color w:val="000000"/>
                <w:sz w:val="18"/>
                <w:szCs w:val="18"/>
                <w:lang w:eastAsia="en-AU"/>
              </w:rPr>
            </w:pPr>
          </w:p>
        </w:tc>
        <w:tc>
          <w:tcPr>
            <w:tcW w:w="689" w:type="pct"/>
            <w:tcBorders>
              <w:top w:val="single" w:sz="4" w:space="0" w:color="auto"/>
              <w:left w:val="nil"/>
              <w:bottom w:val="single" w:sz="4" w:space="0" w:color="auto"/>
              <w:right w:val="nil"/>
            </w:tcBorders>
            <w:shd w:val="clear" w:color="auto" w:fill="C1E4F5" w:themeFill="accent1" w:themeFillTint="33"/>
            <w:vAlign w:val="center"/>
          </w:tcPr>
          <w:p w14:paraId="30AAABBC" w14:textId="77777777" w:rsidR="005D4CF3" w:rsidRPr="00D633FF" w:rsidRDefault="005D4CF3" w:rsidP="001B3B64">
            <w:pPr>
              <w:spacing w:after="0" w:line="360" w:lineRule="auto"/>
              <w:jc w:val="center"/>
              <w:rPr>
                <w:rFonts w:ascii="Calibri" w:eastAsia="Times New Roman" w:hAnsi="Calibri" w:cs="Calibri"/>
                <w:b/>
                <w:bCs/>
                <w:color w:val="000000"/>
                <w:sz w:val="18"/>
                <w:szCs w:val="18"/>
                <w:lang w:eastAsia="en-AU"/>
              </w:rPr>
            </w:pPr>
          </w:p>
        </w:tc>
        <w:tc>
          <w:tcPr>
            <w:tcW w:w="691" w:type="pct"/>
            <w:tcBorders>
              <w:top w:val="single" w:sz="4" w:space="0" w:color="auto"/>
              <w:left w:val="nil"/>
              <w:bottom w:val="single" w:sz="4" w:space="0" w:color="auto"/>
              <w:right w:val="single" w:sz="4" w:space="0" w:color="auto"/>
            </w:tcBorders>
            <w:shd w:val="clear" w:color="auto" w:fill="C1E4F5" w:themeFill="accent1" w:themeFillTint="33"/>
            <w:vAlign w:val="center"/>
          </w:tcPr>
          <w:p w14:paraId="1E8B0EF6" w14:textId="77777777" w:rsidR="005D4CF3" w:rsidRPr="00D633FF" w:rsidRDefault="005D4CF3" w:rsidP="001B3B64">
            <w:pPr>
              <w:spacing w:after="0" w:line="360" w:lineRule="auto"/>
              <w:jc w:val="center"/>
              <w:rPr>
                <w:rFonts w:ascii="Calibri" w:eastAsia="Times New Roman" w:hAnsi="Calibri" w:cs="Calibri"/>
                <w:b/>
                <w:bCs/>
                <w:color w:val="000000"/>
                <w:sz w:val="18"/>
                <w:szCs w:val="18"/>
                <w:lang w:eastAsia="en-AU"/>
              </w:rPr>
            </w:pPr>
          </w:p>
        </w:tc>
      </w:tr>
      <w:tr w:rsidR="001B3B64" w:rsidRPr="00D633FF" w14:paraId="7DB8D20A" w14:textId="77777777" w:rsidTr="001D7295">
        <w:trPr>
          <w:trHeight w:val="310"/>
        </w:trPr>
        <w:tc>
          <w:tcPr>
            <w:tcW w:w="862" w:type="pct"/>
            <w:tcBorders>
              <w:top w:val="single" w:sz="4" w:space="0" w:color="auto"/>
              <w:bottom w:val="dotted" w:sz="4" w:space="0" w:color="auto"/>
            </w:tcBorders>
            <w:noWrap/>
            <w:vAlign w:val="bottom"/>
            <w:hideMark/>
          </w:tcPr>
          <w:p w14:paraId="6E321CB7" w14:textId="77777777" w:rsidR="00CD16D1" w:rsidRPr="00D633FF" w:rsidRDefault="00CD16D1">
            <w:pPr>
              <w:spacing w:after="0" w:line="360" w:lineRule="auto"/>
              <w:rPr>
                <w:rFonts w:ascii="Calibri" w:eastAsia="Times New Roman" w:hAnsi="Calibri" w:cs="Calibri"/>
                <w:color w:val="000000"/>
                <w:sz w:val="18"/>
                <w:szCs w:val="18"/>
                <w:lang w:eastAsia="en-AU"/>
              </w:rPr>
            </w:pPr>
            <w:r w:rsidRPr="00D633FF">
              <w:rPr>
                <w:rFonts w:ascii="Calibri" w:eastAsia="Times New Roman" w:hAnsi="Calibri" w:cs="Calibri"/>
                <w:color w:val="000000"/>
                <w:sz w:val="18"/>
                <w:szCs w:val="18"/>
                <w:lang w:eastAsia="en-AU"/>
              </w:rPr>
              <w:t>0-6 months</w:t>
            </w:r>
          </w:p>
        </w:tc>
        <w:tc>
          <w:tcPr>
            <w:tcW w:w="689" w:type="pct"/>
            <w:tcBorders>
              <w:top w:val="single" w:sz="4" w:space="0" w:color="auto"/>
              <w:bottom w:val="dotted" w:sz="4" w:space="0" w:color="auto"/>
            </w:tcBorders>
            <w:shd w:val="clear" w:color="auto" w:fill="DAE9F7" w:themeFill="text2" w:themeFillTint="1A"/>
            <w:vAlign w:val="center"/>
          </w:tcPr>
          <w:p w14:paraId="13849145" w14:textId="77777777" w:rsidR="00CD16D1" w:rsidRPr="00D633FF" w:rsidRDefault="00CD16D1" w:rsidP="001B3B64">
            <w:pPr>
              <w:spacing w:after="0" w:line="360" w:lineRule="auto"/>
              <w:jc w:val="center"/>
              <w:rPr>
                <w:rFonts w:ascii="Calibri" w:hAnsi="Calibri" w:cs="Calibri"/>
                <w:sz w:val="18"/>
                <w:szCs w:val="18"/>
              </w:rPr>
            </w:pPr>
            <w:r w:rsidRPr="00D633FF">
              <w:rPr>
                <w:rFonts w:ascii="Calibri" w:eastAsia="Times New Roman" w:hAnsi="Calibri" w:cs="Calibri"/>
                <w:color w:val="000000"/>
                <w:sz w:val="18"/>
                <w:szCs w:val="18"/>
                <w:lang w:eastAsia="en-AU"/>
              </w:rPr>
              <w:t>45</w:t>
            </w:r>
          </w:p>
        </w:tc>
        <w:tc>
          <w:tcPr>
            <w:tcW w:w="690" w:type="pct"/>
            <w:tcBorders>
              <w:top w:val="single" w:sz="4" w:space="0" w:color="auto"/>
              <w:bottom w:val="dotted" w:sz="4" w:space="0" w:color="auto"/>
            </w:tcBorders>
            <w:vAlign w:val="center"/>
          </w:tcPr>
          <w:p w14:paraId="5FC5B00C" w14:textId="77777777" w:rsidR="00CD16D1" w:rsidRPr="00D633FF" w:rsidRDefault="00CD16D1" w:rsidP="001B3B64">
            <w:pPr>
              <w:spacing w:after="0" w:line="360" w:lineRule="auto"/>
              <w:jc w:val="center"/>
              <w:rPr>
                <w:rFonts w:ascii="Calibri" w:hAnsi="Calibri" w:cs="Calibri"/>
                <w:sz w:val="18"/>
                <w:szCs w:val="18"/>
              </w:rPr>
            </w:pPr>
          </w:p>
        </w:tc>
        <w:tc>
          <w:tcPr>
            <w:tcW w:w="689" w:type="pct"/>
            <w:tcBorders>
              <w:top w:val="single" w:sz="4" w:space="0" w:color="auto"/>
              <w:bottom w:val="dotted" w:sz="4" w:space="0" w:color="auto"/>
            </w:tcBorders>
            <w:vAlign w:val="center"/>
          </w:tcPr>
          <w:p w14:paraId="3DFFAE1A" w14:textId="77777777" w:rsidR="00CD16D1" w:rsidRPr="00D633FF" w:rsidRDefault="00CD16D1" w:rsidP="001B3B64">
            <w:pPr>
              <w:spacing w:after="0" w:line="360" w:lineRule="auto"/>
              <w:jc w:val="center"/>
              <w:rPr>
                <w:rFonts w:ascii="Calibri" w:eastAsia="Times New Roman" w:hAnsi="Calibri" w:cs="Calibri"/>
                <w:i/>
                <w:iCs/>
                <w:color w:val="000000"/>
                <w:sz w:val="18"/>
                <w:szCs w:val="18"/>
                <w:lang w:eastAsia="en-AU"/>
              </w:rPr>
            </w:pPr>
            <w:proofErr w:type="spellStart"/>
            <w:r w:rsidRPr="00D633FF">
              <w:rPr>
                <w:rFonts w:ascii="Calibri" w:hAnsi="Calibri" w:cs="Calibri"/>
                <w:sz w:val="18"/>
                <w:szCs w:val="18"/>
              </w:rPr>
              <w:t>nd</w:t>
            </w:r>
            <w:proofErr w:type="spellEnd"/>
          </w:p>
        </w:tc>
        <w:tc>
          <w:tcPr>
            <w:tcW w:w="690" w:type="pct"/>
            <w:tcBorders>
              <w:top w:val="single" w:sz="4" w:space="0" w:color="auto"/>
              <w:bottom w:val="dotted" w:sz="4" w:space="0" w:color="auto"/>
            </w:tcBorders>
            <w:vAlign w:val="center"/>
          </w:tcPr>
          <w:p w14:paraId="14C6EAF2" w14:textId="77777777" w:rsidR="00CD16D1" w:rsidRPr="00D633FF" w:rsidRDefault="00CD16D1" w:rsidP="001B3B64">
            <w:pPr>
              <w:spacing w:after="0" w:line="360" w:lineRule="auto"/>
              <w:jc w:val="center"/>
              <w:rPr>
                <w:rFonts w:ascii="Calibri" w:eastAsia="Times New Roman" w:hAnsi="Calibri" w:cs="Calibri"/>
                <w:color w:val="000000"/>
                <w:sz w:val="18"/>
                <w:szCs w:val="18"/>
                <w:lang w:eastAsia="en-AU"/>
              </w:rPr>
            </w:pPr>
            <w:r w:rsidRPr="00D633FF">
              <w:rPr>
                <w:rFonts w:ascii="Calibri" w:eastAsia="Times New Roman" w:hAnsi="Calibri" w:cs="Calibri"/>
                <w:color w:val="000000"/>
                <w:sz w:val="18"/>
                <w:szCs w:val="18"/>
                <w:lang w:eastAsia="en-AU"/>
              </w:rPr>
              <w:t>45</w:t>
            </w:r>
          </w:p>
        </w:tc>
        <w:tc>
          <w:tcPr>
            <w:tcW w:w="689" w:type="pct"/>
            <w:tcBorders>
              <w:top w:val="single" w:sz="4" w:space="0" w:color="auto"/>
              <w:bottom w:val="dotted" w:sz="4" w:space="0" w:color="auto"/>
            </w:tcBorders>
            <w:vAlign w:val="center"/>
          </w:tcPr>
          <w:p w14:paraId="2E30150A" w14:textId="77777777" w:rsidR="00CD16D1" w:rsidRPr="00D633FF" w:rsidRDefault="00CD16D1" w:rsidP="001B3B64">
            <w:pPr>
              <w:spacing w:after="0" w:line="360" w:lineRule="auto"/>
              <w:jc w:val="center"/>
              <w:rPr>
                <w:rFonts w:ascii="Calibri" w:eastAsia="Times New Roman" w:hAnsi="Calibri" w:cs="Calibri"/>
                <w:i/>
                <w:iCs/>
                <w:color w:val="000000"/>
                <w:sz w:val="18"/>
                <w:szCs w:val="18"/>
                <w:lang w:eastAsia="en-AU"/>
              </w:rPr>
            </w:pPr>
            <w:proofErr w:type="spellStart"/>
            <w:r w:rsidRPr="00D633FF">
              <w:rPr>
                <w:rFonts w:ascii="Calibri" w:hAnsi="Calibri" w:cs="Calibri"/>
                <w:sz w:val="18"/>
                <w:szCs w:val="18"/>
              </w:rPr>
              <w:t>nd</w:t>
            </w:r>
            <w:proofErr w:type="spellEnd"/>
          </w:p>
        </w:tc>
        <w:tc>
          <w:tcPr>
            <w:tcW w:w="691" w:type="pct"/>
            <w:tcBorders>
              <w:top w:val="single" w:sz="4" w:space="0" w:color="auto"/>
              <w:bottom w:val="dotted" w:sz="4" w:space="0" w:color="auto"/>
            </w:tcBorders>
            <w:vAlign w:val="center"/>
          </w:tcPr>
          <w:p w14:paraId="05A3F348" w14:textId="77777777" w:rsidR="00CD16D1" w:rsidRPr="00D633FF" w:rsidRDefault="00CD16D1" w:rsidP="001B3B64">
            <w:pPr>
              <w:spacing w:after="0" w:line="360" w:lineRule="auto"/>
              <w:jc w:val="center"/>
              <w:rPr>
                <w:rFonts w:ascii="Calibri" w:eastAsia="Times New Roman" w:hAnsi="Calibri" w:cs="Calibri"/>
                <w:i/>
                <w:iCs/>
                <w:color w:val="000000"/>
                <w:sz w:val="18"/>
                <w:szCs w:val="18"/>
                <w:lang w:eastAsia="en-AU"/>
              </w:rPr>
            </w:pPr>
            <w:proofErr w:type="spellStart"/>
            <w:r w:rsidRPr="00D633FF">
              <w:rPr>
                <w:rFonts w:ascii="Calibri" w:hAnsi="Calibri" w:cs="Calibri"/>
                <w:sz w:val="18"/>
                <w:szCs w:val="18"/>
              </w:rPr>
              <w:t>nd</w:t>
            </w:r>
            <w:proofErr w:type="spellEnd"/>
          </w:p>
        </w:tc>
      </w:tr>
      <w:tr w:rsidR="001B3B64" w:rsidRPr="00D633FF" w14:paraId="13AF92AA" w14:textId="77777777" w:rsidTr="001D7295">
        <w:trPr>
          <w:trHeight w:val="310"/>
        </w:trPr>
        <w:tc>
          <w:tcPr>
            <w:tcW w:w="862" w:type="pct"/>
            <w:tcBorders>
              <w:top w:val="dotted" w:sz="4" w:space="0" w:color="auto"/>
              <w:bottom w:val="dotted" w:sz="4" w:space="0" w:color="auto"/>
            </w:tcBorders>
            <w:noWrap/>
            <w:vAlign w:val="bottom"/>
          </w:tcPr>
          <w:p w14:paraId="365ED560" w14:textId="77777777" w:rsidR="00CD16D1" w:rsidRPr="00D633FF" w:rsidRDefault="00CD16D1">
            <w:pPr>
              <w:spacing w:after="0" w:line="360" w:lineRule="auto"/>
              <w:rPr>
                <w:rFonts w:ascii="Calibri" w:eastAsia="Times New Roman" w:hAnsi="Calibri" w:cs="Calibri"/>
                <w:color w:val="000000"/>
                <w:sz w:val="18"/>
                <w:szCs w:val="18"/>
                <w:lang w:eastAsia="en-AU"/>
              </w:rPr>
            </w:pPr>
            <w:r w:rsidRPr="00D633FF">
              <w:rPr>
                <w:rFonts w:ascii="Calibri" w:eastAsia="Times New Roman" w:hAnsi="Calibri" w:cs="Calibri"/>
                <w:color w:val="000000"/>
                <w:sz w:val="18"/>
                <w:szCs w:val="18"/>
                <w:lang w:eastAsia="en-AU"/>
              </w:rPr>
              <w:t>4-6 months</w:t>
            </w:r>
          </w:p>
        </w:tc>
        <w:tc>
          <w:tcPr>
            <w:tcW w:w="689" w:type="pct"/>
            <w:tcBorders>
              <w:top w:val="dotted" w:sz="4" w:space="0" w:color="auto"/>
              <w:bottom w:val="dotted" w:sz="4" w:space="0" w:color="auto"/>
            </w:tcBorders>
            <w:vAlign w:val="center"/>
          </w:tcPr>
          <w:p w14:paraId="6F2C9492" w14:textId="77777777" w:rsidR="00CD16D1" w:rsidRPr="00D633FF" w:rsidRDefault="00CD16D1" w:rsidP="001B3B64">
            <w:pPr>
              <w:spacing w:after="0" w:line="360" w:lineRule="auto"/>
              <w:jc w:val="center"/>
              <w:rPr>
                <w:rFonts w:ascii="Calibri" w:eastAsia="Times New Roman" w:hAnsi="Calibri" w:cs="Calibri"/>
                <w:i/>
                <w:iCs/>
                <w:color w:val="000000"/>
                <w:sz w:val="18"/>
                <w:szCs w:val="18"/>
                <w:lang w:eastAsia="en-AU"/>
              </w:rPr>
            </w:pPr>
          </w:p>
        </w:tc>
        <w:tc>
          <w:tcPr>
            <w:tcW w:w="690" w:type="pct"/>
            <w:tcBorders>
              <w:top w:val="dotted" w:sz="4" w:space="0" w:color="auto"/>
              <w:bottom w:val="dotted" w:sz="4" w:space="0" w:color="auto"/>
            </w:tcBorders>
            <w:shd w:val="clear" w:color="auto" w:fill="F2CEED" w:themeFill="accent5" w:themeFillTint="33"/>
            <w:vAlign w:val="center"/>
          </w:tcPr>
          <w:p w14:paraId="1C4C96EF" w14:textId="7CCBA7D9" w:rsidR="00CD16D1" w:rsidRPr="00D633FF" w:rsidRDefault="00CD16D1" w:rsidP="001B3B64">
            <w:pPr>
              <w:spacing w:after="0" w:line="360" w:lineRule="auto"/>
              <w:jc w:val="center"/>
              <w:rPr>
                <w:rFonts w:ascii="Calibri" w:eastAsia="Times New Roman" w:hAnsi="Calibri" w:cs="Calibri"/>
                <w:i/>
                <w:iCs/>
                <w:color w:val="000000"/>
                <w:sz w:val="18"/>
                <w:szCs w:val="18"/>
                <w:lang w:eastAsia="en-AU"/>
              </w:rPr>
            </w:pPr>
            <w:r w:rsidRPr="00D633FF">
              <w:rPr>
                <w:rFonts w:ascii="Calibri" w:eastAsia="Times New Roman" w:hAnsi="Calibri" w:cs="Calibri"/>
                <w:color w:val="000000"/>
                <w:sz w:val="18"/>
                <w:szCs w:val="18"/>
                <w:lang w:eastAsia="en-AU"/>
              </w:rPr>
              <w:t>45</w:t>
            </w:r>
            <w:r w:rsidRPr="00D633FF">
              <w:rPr>
                <w:rFonts w:ascii="Calibri" w:eastAsia="Times New Roman" w:hAnsi="Calibri" w:cs="Calibri"/>
                <w:color w:val="000000"/>
                <w:sz w:val="18"/>
                <w:szCs w:val="18"/>
                <w:vertAlign w:val="superscript"/>
                <w:lang w:eastAsia="en-AU"/>
              </w:rPr>
              <w:t>(</w:t>
            </w:r>
            <w:r w:rsidR="00A06019" w:rsidRPr="00D633FF">
              <w:rPr>
                <w:rFonts w:ascii="Calibri" w:eastAsia="Times New Roman" w:hAnsi="Calibri" w:cs="Calibri"/>
                <w:color w:val="000000"/>
                <w:sz w:val="18"/>
                <w:szCs w:val="18"/>
                <w:vertAlign w:val="superscript"/>
                <w:lang w:eastAsia="en-AU"/>
              </w:rPr>
              <w:t>d</w:t>
            </w:r>
            <w:r w:rsidRPr="00D633FF">
              <w:rPr>
                <w:rFonts w:ascii="Calibri" w:eastAsia="Times New Roman" w:hAnsi="Calibri" w:cs="Calibri"/>
                <w:color w:val="000000"/>
                <w:sz w:val="18"/>
                <w:szCs w:val="18"/>
                <w:vertAlign w:val="superscript"/>
                <w:lang w:eastAsia="en-AU"/>
              </w:rPr>
              <w:t>)</w:t>
            </w:r>
          </w:p>
        </w:tc>
        <w:tc>
          <w:tcPr>
            <w:tcW w:w="689" w:type="pct"/>
            <w:tcBorders>
              <w:top w:val="dotted" w:sz="4" w:space="0" w:color="auto"/>
              <w:bottom w:val="dotted" w:sz="4" w:space="0" w:color="auto"/>
            </w:tcBorders>
            <w:vAlign w:val="center"/>
          </w:tcPr>
          <w:p w14:paraId="414705E6" w14:textId="77777777" w:rsidR="00CD16D1" w:rsidRPr="00D633FF" w:rsidRDefault="00CD16D1" w:rsidP="001B3B64">
            <w:pPr>
              <w:spacing w:after="0" w:line="360" w:lineRule="auto"/>
              <w:jc w:val="center"/>
              <w:rPr>
                <w:rFonts w:ascii="Calibri" w:eastAsia="Times New Roman" w:hAnsi="Calibri" w:cs="Calibri"/>
                <w:i/>
                <w:iCs/>
                <w:color w:val="000000"/>
                <w:sz w:val="18"/>
                <w:szCs w:val="18"/>
                <w:lang w:eastAsia="en-AU"/>
              </w:rPr>
            </w:pPr>
          </w:p>
        </w:tc>
        <w:tc>
          <w:tcPr>
            <w:tcW w:w="690" w:type="pct"/>
            <w:tcBorders>
              <w:top w:val="dotted" w:sz="4" w:space="0" w:color="auto"/>
              <w:bottom w:val="dotted" w:sz="4" w:space="0" w:color="auto"/>
            </w:tcBorders>
            <w:vAlign w:val="center"/>
          </w:tcPr>
          <w:p w14:paraId="5CBA0F6F" w14:textId="77777777" w:rsidR="00CD16D1" w:rsidRPr="00D633FF" w:rsidRDefault="00CD16D1" w:rsidP="001B3B64">
            <w:pPr>
              <w:spacing w:after="0" w:line="360" w:lineRule="auto"/>
              <w:jc w:val="center"/>
              <w:rPr>
                <w:rFonts w:ascii="Calibri" w:eastAsia="Times New Roman" w:hAnsi="Calibri" w:cs="Calibri"/>
                <w:color w:val="000000"/>
                <w:sz w:val="18"/>
                <w:szCs w:val="18"/>
                <w:lang w:eastAsia="en-AU"/>
              </w:rPr>
            </w:pPr>
          </w:p>
        </w:tc>
        <w:tc>
          <w:tcPr>
            <w:tcW w:w="689" w:type="pct"/>
            <w:tcBorders>
              <w:top w:val="dotted" w:sz="4" w:space="0" w:color="auto"/>
              <w:bottom w:val="dotted" w:sz="4" w:space="0" w:color="auto"/>
            </w:tcBorders>
            <w:vAlign w:val="center"/>
          </w:tcPr>
          <w:p w14:paraId="68EF0F15" w14:textId="77777777" w:rsidR="00CD16D1" w:rsidRPr="00D633FF" w:rsidRDefault="00CD16D1" w:rsidP="001B3B64">
            <w:pPr>
              <w:spacing w:after="0" w:line="360" w:lineRule="auto"/>
              <w:jc w:val="center"/>
              <w:rPr>
                <w:rFonts w:ascii="Calibri" w:eastAsia="Times New Roman" w:hAnsi="Calibri" w:cs="Calibri"/>
                <w:i/>
                <w:iCs/>
                <w:color w:val="000000"/>
                <w:sz w:val="18"/>
                <w:szCs w:val="18"/>
                <w:lang w:eastAsia="en-AU"/>
              </w:rPr>
            </w:pPr>
          </w:p>
        </w:tc>
        <w:tc>
          <w:tcPr>
            <w:tcW w:w="691" w:type="pct"/>
            <w:tcBorders>
              <w:top w:val="dotted" w:sz="4" w:space="0" w:color="auto"/>
              <w:bottom w:val="dotted" w:sz="4" w:space="0" w:color="auto"/>
            </w:tcBorders>
            <w:vAlign w:val="center"/>
          </w:tcPr>
          <w:p w14:paraId="362278D6" w14:textId="77777777" w:rsidR="00CD16D1" w:rsidRPr="00D633FF" w:rsidRDefault="00CD16D1" w:rsidP="001B3B64">
            <w:pPr>
              <w:spacing w:after="0" w:line="360" w:lineRule="auto"/>
              <w:jc w:val="center"/>
              <w:rPr>
                <w:rFonts w:ascii="Calibri" w:eastAsia="Times New Roman" w:hAnsi="Calibri" w:cs="Calibri"/>
                <w:i/>
                <w:iCs/>
                <w:color w:val="000000"/>
                <w:sz w:val="18"/>
                <w:szCs w:val="18"/>
                <w:lang w:eastAsia="en-AU"/>
              </w:rPr>
            </w:pPr>
          </w:p>
        </w:tc>
      </w:tr>
      <w:tr w:rsidR="001B3B64" w:rsidRPr="00D633FF" w14:paraId="5FC25426" w14:textId="77777777" w:rsidTr="001D7295">
        <w:trPr>
          <w:trHeight w:val="310"/>
        </w:trPr>
        <w:tc>
          <w:tcPr>
            <w:tcW w:w="862" w:type="pct"/>
            <w:tcBorders>
              <w:top w:val="dotted" w:sz="4" w:space="0" w:color="auto"/>
              <w:bottom w:val="dotted" w:sz="4" w:space="0" w:color="auto"/>
            </w:tcBorders>
            <w:noWrap/>
            <w:vAlign w:val="bottom"/>
            <w:hideMark/>
          </w:tcPr>
          <w:p w14:paraId="224C2DCD" w14:textId="77777777" w:rsidR="00CD16D1" w:rsidRPr="00D633FF" w:rsidRDefault="00CD16D1">
            <w:pPr>
              <w:spacing w:after="0" w:line="360" w:lineRule="auto"/>
              <w:rPr>
                <w:rFonts w:ascii="Calibri" w:eastAsia="Times New Roman" w:hAnsi="Calibri" w:cs="Calibri"/>
                <w:color w:val="000000"/>
                <w:sz w:val="18"/>
                <w:szCs w:val="18"/>
                <w:lang w:eastAsia="en-AU"/>
              </w:rPr>
            </w:pPr>
            <w:r w:rsidRPr="00D633FF">
              <w:rPr>
                <w:rFonts w:ascii="Calibri" w:eastAsia="Times New Roman" w:hAnsi="Calibri" w:cs="Calibri"/>
                <w:color w:val="000000"/>
                <w:sz w:val="18"/>
                <w:szCs w:val="18"/>
                <w:lang w:eastAsia="en-AU"/>
              </w:rPr>
              <w:t>7-11 months</w:t>
            </w:r>
          </w:p>
        </w:tc>
        <w:tc>
          <w:tcPr>
            <w:tcW w:w="689" w:type="pct"/>
            <w:tcBorders>
              <w:top w:val="dotted" w:sz="4" w:space="0" w:color="auto"/>
              <w:bottom w:val="dotted" w:sz="4" w:space="0" w:color="auto"/>
            </w:tcBorders>
            <w:vAlign w:val="center"/>
          </w:tcPr>
          <w:p w14:paraId="5F85D92D" w14:textId="77777777" w:rsidR="00CD16D1" w:rsidRPr="00D633FF" w:rsidRDefault="00CD16D1" w:rsidP="001B3B64">
            <w:pPr>
              <w:spacing w:after="0" w:line="360" w:lineRule="auto"/>
              <w:jc w:val="center"/>
              <w:rPr>
                <w:rFonts w:ascii="Calibri" w:eastAsia="Times New Roman" w:hAnsi="Calibri" w:cs="Calibri"/>
                <w:color w:val="000000"/>
                <w:sz w:val="18"/>
                <w:szCs w:val="18"/>
                <w:lang w:eastAsia="en-AU"/>
              </w:rPr>
            </w:pPr>
          </w:p>
        </w:tc>
        <w:tc>
          <w:tcPr>
            <w:tcW w:w="690" w:type="pct"/>
            <w:tcBorders>
              <w:top w:val="dotted" w:sz="4" w:space="0" w:color="auto"/>
              <w:bottom w:val="dotted" w:sz="4" w:space="0" w:color="auto"/>
            </w:tcBorders>
            <w:shd w:val="clear" w:color="auto" w:fill="F2CEED" w:themeFill="accent5" w:themeFillTint="33"/>
            <w:vAlign w:val="center"/>
          </w:tcPr>
          <w:p w14:paraId="2CE98D08" w14:textId="4F302C38" w:rsidR="00CD16D1" w:rsidRPr="00D633FF" w:rsidRDefault="00CD16D1" w:rsidP="001B3B64">
            <w:pPr>
              <w:spacing w:after="0" w:line="360" w:lineRule="auto"/>
              <w:jc w:val="center"/>
              <w:rPr>
                <w:rFonts w:ascii="Calibri" w:eastAsia="Times New Roman" w:hAnsi="Calibri" w:cs="Calibri"/>
                <w:color w:val="000000"/>
                <w:sz w:val="18"/>
                <w:szCs w:val="18"/>
                <w:lang w:eastAsia="en-AU"/>
              </w:rPr>
            </w:pPr>
            <w:r w:rsidRPr="00D633FF">
              <w:rPr>
                <w:rFonts w:ascii="Calibri" w:eastAsia="Times New Roman" w:hAnsi="Calibri" w:cs="Calibri"/>
                <w:color w:val="000000"/>
                <w:sz w:val="18"/>
                <w:szCs w:val="18"/>
                <w:lang w:eastAsia="en-AU"/>
              </w:rPr>
              <w:t>55</w:t>
            </w:r>
            <w:r w:rsidRPr="00D633FF">
              <w:rPr>
                <w:rFonts w:ascii="Calibri" w:eastAsia="Times New Roman" w:hAnsi="Calibri" w:cs="Calibri"/>
                <w:color w:val="000000"/>
                <w:sz w:val="18"/>
                <w:szCs w:val="18"/>
                <w:vertAlign w:val="superscript"/>
                <w:lang w:eastAsia="en-AU"/>
              </w:rPr>
              <w:t>(</w:t>
            </w:r>
            <w:r w:rsidR="00A06019" w:rsidRPr="00D633FF">
              <w:rPr>
                <w:rFonts w:ascii="Calibri" w:eastAsia="Times New Roman" w:hAnsi="Calibri" w:cs="Calibri"/>
                <w:color w:val="000000"/>
                <w:sz w:val="18"/>
                <w:szCs w:val="18"/>
                <w:vertAlign w:val="superscript"/>
                <w:lang w:eastAsia="en-AU"/>
              </w:rPr>
              <w:t>d</w:t>
            </w:r>
            <w:r w:rsidRPr="00D633FF">
              <w:rPr>
                <w:rFonts w:ascii="Calibri" w:eastAsia="Times New Roman" w:hAnsi="Calibri" w:cs="Calibri"/>
                <w:color w:val="000000"/>
                <w:sz w:val="18"/>
                <w:szCs w:val="18"/>
                <w:vertAlign w:val="superscript"/>
                <w:lang w:eastAsia="en-AU"/>
              </w:rPr>
              <w:t>)</w:t>
            </w:r>
          </w:p>
        </w:tc>
        <w:tc>
          <w:tcPr>
            <w:tcW w:w="689" w:type="pct"/>
            <w:tcBorders>
              <w:top w:val="dotted" w:sz="4" w:space="0" w:color="auto"/>
              <w:bottom w:val="dotted" w:sz="4" w:space="0" w:color="auto"/>
            </w:tcBorders>
            <w:vAlign w:val="center"/>
          </w:tcPr>
          <w:p w14:paraId="16D44526" w14:textId="77777777" w:rsidR="00CD16D1" w:rsidRPr="00D633FF" w:rsidRDefault="00CD16D1" w:rsidP="001B3B64">
            <w:pPr>
              <w:spacing w:after="0" w:line="360" w:lineRule="auto"/>
              <w:jc w:val="center"/>
              <w:rPr>
                <w:rFonts w:ascii="Calibri" w:eastAsia="Times New Roman" w:hAnsi="Calibri" w:cs="Calibri"/>
                <w:color w:val="000000"/>
                <w:sz w:val="18"/>
                <w:szCs w:val="18"/>
                <w:lang w:eastAsia="en-AU"/>
              </w:rPr>
            </w:pPr>
          </w:p>
        </w:tc>
        <w:tc>
          <w:tcPr>
            <w:tcW w:w="690" w:type="pct"/>
            <w:tcBorders>
              <w:top w:val="dotted" w:sz="4" w:space="0" w:color="auto"/>
              <w:bottom w:val="dotted" w:sz="4" w:space="0" w:color="auto"/>
            </w:tcBorders>
            <w:vAlign w:val="center"/>
          </w:tcPr>
          <w:p w14:paraId="686D8317" w14:textId="77777777" w:rsidR="00CD16D1" w:rsidRPr="00D633FF" w:rsidRDefault="00CD16D1" w:rsidP="001B3B64">
            <w:pPr>
              <w:spacing w:after="0" w:line="360" w:lineRule="auto"/>
              <w:jc w:val="center"/>
              <w:rPr>
                <w:rFonts w:ascii="Calibri" w:eastAsia="Times New Roman" w:hAnsi="Calibri" w:cs="Calibri"/>
                <w:color w:val="000000"/>
                <w:sz w:val="18"/>
                <w:szCs w:val="18"/>
                <w:lang w:eastAsia="en-AU"/>
              </w:rPr>
            </w:pPr>
          </w:p>
        </w:tc>
        <w:tc>
          <w:tcPr>
            <w:tcW w:w="689" w:type="pct"/>
            <w:tcBorders>
              <w:top w:val="dotted" w:sz="4" w:space="0" w:color="auto"/>
              <w:bottom w:val="dotted" w:sz="4" w:space="0" w:color="auto"/>
            </w:tcBorders>
            <w:vAlign w:val="center"/>
          </w:tcPr>
          <w:p w14:paraId="4C4B03B7" w14:textId="77777777" w:rsidR="00CD16D1" w:rsidRPr="00D633FF" w:rsidRDefault="00CD16D1" w:rsidP="001B3B64">
            <w:pPr>
              <w:spacing w:after="0" w:line="360" w:lineRule="auto"/>
              <w:jc w:val="center"/>
              <w:rPr>
                <w:rFonts w:ascii="Calibri" w:eastAsia="Times New Roman" w:hAnsi="Calibri" w:cs="Calibri"/>
                <w:color w:val="000000"/>
                <w:sz w:val="18"/>
                <w:szCs w:val="18"/>
                <w:lang w:eastAsia="en-AU"/>
              </w:rPr>
            </w:pPr>
          </w:p>
        </w:tc>
        <w:tc>
          <w:tcPr>
            <w:tcW w:w="691" w:type="pct"/>
            <w:tcBorders>
              <w:top w:val="dotted" w:sz="4" w:space="0" w:color="auto"/>
              <w:bottom w:val="dotted" w:sz="4" w:space="0" w:color="auto"/>
            </w:tcBorders>
            <w:vAlign w:val="center"/>
          </w:tcPr>
          <w:p w14:paraId="74DA4EB5" w14:textId="77777777" w:rsidR="00CD16D1" w:rsidRPr="00D633FF" w:rsidRDefault="00CD16D1" w:rsidP="001B3B64">
            <w:pPr>
              <w:spacing w:after="0" w:line="360" w:lineRule="auto"/>
              <w:jc w:val="center"/>
              <w:rPr>
                <w:rFonts w:ascii="Calibri" w:eastAsia="Times New Roman" w:hAnsi="Calibri" w:cs="Calibri"/>
                <w:color w:val="000000"/>
                <w:sz w:val="18"/>
                <w:szCs w:val="18"/>
                <w:lang w:eastAsia="en-AU"/>
              </w:rPr>
            </w:pPr>
          </w:p>
        </w:tc>
      </w:tr>
      <w:tr w:rsidR="001B3B64" w:rsidRPr="00D633FF" w14:paraId="05B2C49C" w14:textId="77777777" w:rsidTr="001D7295">
        <w:trPr>
          <w:trHeight w:val="310"/>
        </w:trPr>
        <w:tc>
          <w:tcPr>
            <w:tcW w:w="862" w:type="pct"/>
            <w:tcBorders>
              <w:top w:val="dotted" w:sz="4" w:space="0" w:color="auto"/>
              <w:bottom w:val="single" w:sz="4" w:space="0" w:color="auto"/>
            </w:tcBorders>
            <w:noWrap/>
            <w:vAlign w:val="bottom"/>
            <w:hideMark/>
          </w:tcPr>
          <w:p w14:paraId="06B8B3A8" w14:textId="77777777" w:rsidR="00CD16D1" w:rsidRPr="00D633FF" w:rsidRDefault="00CD16D1">
            <w:pPr>
              <w:spacing w:after="0" w:line="360" w:lineRule="auto"/>
              <w:rPr>
                <w:rFonts w:ascii="Calibri" w:eastAsia="Times New Roman" w:hAnsi="Calibri" w:cs="Calibri"/>
                <w:color w:val="000000"/>
                <w:sz w:val="18"/>
                <w:szCs w:val="18"/>
                <w:lang w:eastAsia="en-AU"/>
              </w:rPr>
            </w:pPr>
            <w:r w:rsidRPr="00D633FF">
              <w:rPr>
                <w:rFonts w:ascii="Calibri" w:eastAsia="Times New Roman" w:hAnsi="Calibri" w:cs="Calibri"/>
                <w:color w:val="000000"/>
                <w:sz w:val="18"/>
                <w:szCs w:val="18"/>
                <w:lang w:eastAsia="en-AU"/>
              </w:rPr>
              <w:t>7-12 months</w:t>
            </w:r>
          </w:p>
        </w:tc>
        <w:tc>
          <w:tcPr>
            <w:tcW w:w="689" w:type="pct"/>
            <w:tcBorders>
              <w:top w:val="dotted" w:sz="4" w:space="0" w:color="auto"/>
              <w:bottom w:val="single" w:sz="4" w:space="0" w:color="auto"/>
            </w:tcBorders>
            <w:shd w:val="clear" w:color="auto" w:fill="DAE9F7" w:themeFill="text2" w:themeFillTint="1A"/>
            <w:vAlign w:val="center"/>
          </w:tcPr>
          <w:p w14:paraId="76D0E69B" w14:textId="7839E7DE" w:rsidR="00CD16D1" w:rsidRPr="00D633FF" w:rsidRDefault="00CD16D1" w:rsidP="001B3B64">
            <w:pPr>
              <w:spacing w:after="0" w:line="360" w:lineRule="auto"/>
              <w:jc w:val="center"/>
              <w:rPr>
                <w:rFonts w:ascii="Calibri" w:hAnsi="Calibri" w:cs="Calibri"/>
                <w:sz w:val="18"/>
                <w:szCs w:val="18"/>
              </w:rPr>
            </w:pPr>
            <w:r w:rsidRPr="00D633FF">
              <w:rPr>
                <w:rFonts w:ascii="Calibri" w:eastAsia="Times New Roman" w:hAnsi="Calibri" w:cs="Calibri"/>
                <w:color w:val="000000"/>
                <w:sz w:val="18"/>
                <w:szCs w:val="18"/>
                <w:lang w:eastAsia="en-AU"/>
              </w:rPr>
              <w:t>60</w:t>
            </w:r>
            <w:r w:rsidRPr="00D633FF">
              <w:rPr>
                <w:rFonts w:ascii="Calibri" w:eastAsia="Times New Roman" w:hAnsi="Calibri" w:cs="Calibri"/>
                <w:color w:val="000000"/>
                <w:sz w:val="18"/>
                <w:szCs w:val="18"/>
                <w:vertAlign w:val="superscript"/>
                <w:lang w:eastAsia="en-AU"/>
              </w:rPr>
              <w:t>(</w:t>
            </w:r>
            <w:r w:rsidR="00A06019" w:rsidRPr="00D633FF">
              <w:rPr>
                <w:rFonts w:ascii="Calibri" w:eastAsia="Times New Roman" w:hAnsi="Calibri" w:cs="Calibri"/>
                <w:color w:val="000000"/>
                <w:sz w:val="18"/>
                <w:szCs w:val="18"/>
                <w:vertAlign w:val="superscript"/>
                <w:lang w:eastAsia="en-AU"/>
              </w:rPr>
              <w:t>c</w:t>
            </w:r>
            <w:r w:rsidRPr="00D633FF">
              <w:rPr>
                <w:rFonts w:ascii="Calibri" w:eastAsia="Times New Roman" w:hAnsi="Calibri" w:cs="Calibri"/>
                <w:color w:val="000000"/>
                <w:sz w:val="18"/>
                <w:szCs w:val="18"/>
                <w:vertAlign w:val="superscript"/>
                <w:lang w:eastAsia="en-AU"/>
              </w:rPr>
              <w:t>)</w:t>
            </w:r>
          </w:p>
        </w:tc>
        <w:tc>
          <w:tcPr>
            <w:tcW w:w="690" w:type="pct"/>
            <w:tcBorders>
              <w:top w:val="dotted" w:sz="4" w:space="0" w:color="auto"/>
              <w:bottom w:val="single" w:sz="4" w:space="0" w:color="auto"/>
            </w:tcBorders>
            <w:vAlign w:val="center"/>
          </w:tcPr>
          <w:p w14:paraId="472BB973" w14:textId="77777777" w:rsidR="00CD16D1" w:rsidRPr="00D633FF" w:rsidRDefault="00CD16D1" w:rsidP="001B3B64">
            <w:pPr>
              <w:spacing w:after="0" w:line="360" w:lineRule="auto"/>
              <w:jc w:val="center"/>
              <w:rPr>
                <w:rFonts w:ascii="Calibri" w:hAnsi="Calibri" w:cs="Calibri"/>
                <w:sz w:val="18"/>
                <w:szCs w:val="18"/>
              </w:rPr>
            </w:pPr>
          </w:p>
        </w:tc>
        <w:tc>
          <w:tcPr>
            <w:tcW w:w="689" w:type="pct"/>
            <w:tcBorders>
              <w:top w:val="dotted" w:sz="4" w:space="0" w:color="auto"/>
              <w:bottom w:val="single" w:sz="4" w:space="0" w:color="auto"/>
            </w:tcBorders>
            <w:vAlign w:val="center"/>
          </w:tcPr>
          <w:p w14:paraId="73765567" w14:textId="77777777" w:rsidR="00CD16D1" w:rsidRPr="00D633FF" w:rsidRDefault="00CD16D1" w:rsidP="001B3B64">
            <w:pPr>
              <w:spacing w:after="0" w:line="360" w:lineRule="auto"/>
              <w:jc w:val="center"/>
              <w:rPr>
                <w:rFonts w:ascii="Calibri" w:eastAsia="Times New Roman" w:hAnsi="Calibri" w:cs="Calibri"/>
                <w:i/>
                <w:iCs/>
                <w:color w:val="000000"/>
                <w:sz w:val="18"/>
                <w:szCs w:val="18"/>
                <w:lang w:eastAsia="en-AU"/>
              </w:rPr>
            </w:pPr>
            <w:proofErr w:type="spellStart"/>
            <w:r w:rsidRPr="00D633FF">
              <w:rPr>
                <w:rFonts w:ascii="Calibri" w:hAnsi="Calibri" w:cs="Calibri"/>
                <w:sz w:val="18"/>
                <w:szCs w:val="18"/>
              </w:rPr>
              <w:t>nd</w:t>
            </w:r>
            <w:proofErr w:type="spellEnd"/>
          </w:p>
        </w:tc>
        <w:tc>
          <w:tcPr>
            <w:tcW w:w="690" w:type="pct"/>
            <w:tcBorders>
              <w:top w:val="dotted" w:sz="4" w:space="0" w:color="auto"/>
              <w:bottom w:val="single" w:sz="4" w:space="0" w:color="auto"/>
            </w:tcBorders>
            <w:vAlign w:val="center"/>
          </w:tcPr>
          <w:p w14:paraId="1DB74E73" w14:textId="6DB6CF6A" w:rsidR="00CD16D1" w:rsidRPr="00D633FF" w:rsidRDefault="00CD16D1" w:rsidP="001B3B64">
            <w:pPr>
              <w:spacing w:after="0" w:line="360" w:lineRule="auto"/>
              <w:jc w:val="center"/>
              <w:rPr>
                <w:rFonts w:ascii="Calibri" w:eastAsia="Times New Roman" w:hAnsi="Calibri" w:cs="Calibri"/>
                <w:color w:val="000000"/>
                <w:sz w:val="18"/>
                <w:szCs w:val="18"/>
                <w:lang w:eastAsia="en-AU"/>
              </w:rPr>
            </w:pPr>
            <w:r w:rsidRPr="00D633FF">
              <w:rPr>
                <w:rFonts w:ascii="Calibri" w:eastAsia="Times New Roman" w:hAnsi="Calibri" w:cs="Calibri"/>
                <w:color w:val="000000"/>
                <w:sz w:val="18"/>
                <w:szCs w:val="18"/>
                <w:lang w:eastAsia="en-AU"/>
              </w:rPr>
              <w:t>60</w:t>
            </w:r>
            <w:r w:rsidRPr="00D633FF">
              <w:rPr>
                <w:rFonts w:ascii="Calibri" w:eastAsia="Times New Roman" w:hAnsi="Calibri" w:cs="Calibri"/>
                <w:color w:val="000000"/>
                <w:sz w:val="18"/>
                <w:szCs w:val="18"/>
                <w:vertAlign w:val="superscript"/>
                <w:lang w:eastAsia="en-AU"/>
              </w:rPr>
              <w:t>(</w:t>
            </w:r>
            <w:r w:rsidR="005C5EAE" w:rsidRPr="00D633FF">
              <w:rPr>
                <w:rFonts w:ascii="Calibri" w:eastAsia="Times New Roman" w:hAnsi="Calibri" w:cs="Calibri"/>
                <w:color w:val="000000"/>
                <w:sz w:val="18"/>
                <w:szCs w:val="18"/>
                <w:vertAlign w:val="superscript"/>
                <w:lang w:eastAsia="en-AU"/>
              </w:rPr>
              <w:t>c</w:t>
            </w:r>
            <w:r w:rsidRPr="00D633FF">
              <w:rPr>
                <w:rFonts w:ascii="Calibri" w:eastAsia="Times New Roman" w:hAnsi="Calibri" w:cs="Calibri"/>
                <w:color w:val="000000"/>
                <w:sz w:val="18"/>
                <w:szCs w:val="18"/>
                <w:vertAlign w:val="superscript"/>
                <w:lang w:eastAsia="en-AU"/>
              </w:rPr>
              <w:t>)</w:t>
            </w:r>
          </w:p>
        </w:tc>
        <w:tc>
          <w:tcPr>
            <w:tcW w:w="689" w:type="pct"/>
            <w:tcBorders>
              <w:top w:val="dotted" w:sz="4" w:space="0" w:color="auto"/>
              <w:bottom w:val="single" w:sz="4" w:space="0" w:color="auto"/>
            </w:tcBorders>
            <w:vAlign w:val="center"/>
          </w:tcPr>
          <w:p w14:paraId="1C495956" w14:textId="77777777" w:rsidR="00CD16D1" w:rsidRPr="00D633FF" w:rsidRDefault="00CD16D1" w:rsidP="001B3B64">
            <w:pPr>
              <w:spacing w:after="0" w:line="360" w:lineRule="auto"/>
              <w:jc w:val="center"/>
              <w:rPr>
                <w:rFonts w:ascii="Calibri" w:eastAsia="Times New Roman" w:hAnsi="Calibri" w:cs="Calibri"/>
                <w:i/>
                <w:iCs/>
                <w:color w:val="000000"/>
                <w:sz w:val="18"/>
                <w:szCs w:val="18"/>
                <w:lang w:eastAsia="en-AU"/>
              </w:rPr>
            </w:pPr>
            <w:proofErr w:type="spellStart"/>
            <w:r w:rsidRPr="00D633FF">
              <w:rPr>
                <w:rFonts w:ascii="Calibri" w:hAnsi="Calibri" w:cs="Calibri"/>
                <w:sz w:val="18"/>
                <w:szCs w:val="18"/>
              </w:rPr>
              <w:t>nd</w:t>
            </w:r>
            <w:proofErr w:type="spellEnd"/>
          </w:p>
        </w:tc>
        <w:tc>
          <w:tcPr>
            <w:tcW w:w="691" w:type="pct"/>
            <w:tcBorders>
              <w:top w:val="dotted" w:sz="4" w:space="0" w:color="auto"/>
              <w:bottom w:val="single" w:sz="4" w:space="0" w:color="auto"/>
            </w:tcBorders>
            <w:vAlign w:val="center"/>
          </w:tcPr>
          <w:p w14:paraId="44F4FDA0" w14:textId="77777777" w:rsidR="00CD16D1" w:rsidRPr="00D633FF" w:rsidRDefault="00CD16D1" w:rsidP="001B3B64">
            <w:pPr>
              <w:spacing w:after="0" w:line="360" w:lineRule="auto"/>
              <w:jc w:val="center"/>
              <w:rPr>
                <w:rFonts w:ascii="Calibri" w:eastAsia="Times New Roman" w:hAnsi="Calibri" w:cs="Calibri"/>
                <w:i/>
                <w:iCs/>
                <w:color w:val="000000"/>
                <w:sz w:val="18"/>
                <w:szCs w:val="18"/>
                <w:lang w:eastAsia="en-AU"/>
              </w:rPr>
            </w:pPr>
            <w:proofErr w:type="spellStart"/>
            <w:r w:rsidRPr="00D633FF">
              <w:rPr>
                <w:rFonts w:ascii="Calibri" w:hAnsi="Calibri" w:cs="Calibri"/>
                <w:sz w:val="18"/>
                <w:szCs w:val="18"/>
              </w:rPr>
              <w:t>nd</w:t>
            </w:r>
            <w:proofErr w:type="spellEnd"/>
          </w:p>
        </w:tc>
      </w:tr>
      <w:tr w:rsidR="00171A06" w:rsidRPr="00D633FF" w14:paraId="7E67BC1E" w14:textId="77777777" w:rsidTr="001D7295">
        <w:trPr>
          <w:trHeight w:val="310"/>
        </w:trPr>
        <w:tc>
          <w:tcPr>
            <w:tcW w:w="862" w:type="pct"/>
            <w:tcBorders>
              <w:top w:val="single" w:sz="4" w:space="0" w:color="auto"/>
              <w:left w:val="single" w:sz="4" w:space="0" w:color="auto"/>
              <w:bottom w:val="single" w:sz="4" w:space="0" w:color="auto"/>
              <w:right w:val="nil"/>
            </w:tcBorders>
            <w:shd w:val="clear" w:color="auto" w:fill="C1E4F5" w:themeFill="accent1" w:themeFillTint="33"/>
            <w:noWrap/>
            <w:vAlign w:val="bottom"/>
          </w:tcPr>
          <w:p w14:paraId="4456F863" w14:textId="77777777" w:rsidR="005D4CF3" w:rsidRPr="00D633FF" w:rsidRDefault="005D4CF3" w:rsidP="00416576">
            <w:pPr>
              <w:spacing w:after="0" w:line="240" w:lineRule="auto"/>
              <w:rPr>
                <w:rFonts w:ascii="Calibri" w:eastAsia="Times New Roman" w:hAnsi="Calibri" w:cs="Calibri"/>
                <w:b/>
                <w:bCs/>
                <w:color w:val="000000"/>
                <w:sz w:val="18"/>
                <w:szCs w:val="18"/>
                <w:lang w:eastAsia="en-AU"/>
              </w:rPr>
            </w:pPr>
            <w:r w:rsidRPr="00D633FF">
              <w:rPr>
                <w:rFonts w:ascii="Calibri" w:eastAsia="Times New Roman" w:hAnsi="Calibri" w:cs="Calibri"/>
                <w:b/>
                <w:bCs/>
                <w:color w:val="000000"/>
                <w:sz w:val="18"/>
                <w:szCs w:val="18"/>
                <w:lang w:eastAsia="en-AU"/>
              </w:rPr>
              <w:t>Children &amp; adolescents</w:t>
            </w:r>
          </w:p>
        </w:tc>
        <w:tc>
          <w:tcPr>
            <w:tcW w:w="689" w:type="pct"/>
            <w:tcBorders>
              <w:top w:val="single" w:sz="4" w:space="0" w:color="auto"/>
              <w:left w:val="nil"/>
              <w:bottom w:val="single" w:sz="4" w:space="0" w:color="auto"/>
              <w:right w:val="nil"/>
            </w:tcBorders>
            <w:shd w:val="clear" w:color="auto" w:fill="C1E4F5" w:themeFill="accent1" w:themeFillTint="33"/>
            <w:vAlign w:val="center"/>
          </w:tcPr>
          <w:p w14:paraId="5783BCB7" w14:textId="77777777" w:rsidR="005D4CF3" w:rsidRPr="00D633FF" w:rsidRDefault="005D4CF3" w:rsidP="001B3B64">
            <w:pPr>
              <w:spacing w:after="0" w:line="360" w:lineRule="auto"/>
              <w:jc w:val="center"/>
              <w:rPr>
                <w:rFonts w:ascii="Calibri" w:eastAsia="Times New Roman" w:hAnsi="Calibri" w:cs="Calibri"/>
                <w:b/>
                <w:bCs/>
                <w:color w:val="000000"/>
                <w:sz w:val="18"/>
                <w:szCs w:val="18"/>
                <w:lang w:eastAsia="en-AU"/>
              </w:rPr>
            </w:pPr>
          </w:p>
        </w:tc>
        <w:tc>
          <w:tcPr>
            <w:tcW w:w="690" w:type="pct"/>
            <w:tcBorders>
              <w:top w:val="single" w:sz="4" w:space="0" w:color="auto"/>
              <w:left w:val="nil"/>
              <w:bottom w:val="single" w:sz="4" w:space="0" w:color="auto"/>
              <w:right w:val="nil"/>
            </w:tcBorders>
            <w:shd w:val="clear" w:color="auto" w:fill="C1E4F5" w:themeFill="accent1" w:themeFillTint="33"/>
            <w:vAlign w:val="center"/>
          </w:tcPr>
          <w:p w14:paraId="362D5436" w14:textId="61F66393" w:rsidR="005D4CF3" w:rsidRPr="00D633FF" w:rsidRDefault="005D4CF3" w:rsidP="001B3B64">
            <w:pPr>
              <w:spacing w:after="0" w:line="360" w:lineRule="auto"/>
              <w:jc w:val="center"/>
              <w:rPr>
                <w:rFonts w:ascii="Calibri" w:eastAsia="Times New Roman" w:hAnsi="Calibri" w:cs="Calibri"/>
                <w:b/>
                <w:bCs/>
                <w:color w:val="000000"/>
                <w:sz w:val="18"/>
                <w:szCs w:val="18"/>
                <w:lang w:eastAsia="en-AU"/>
              </w:rPr>
            </w:pPr>
          </w:p>
        </w:tc>
        <w:tc>
          <w:tcPr>
            <w:tcW w:w="689" w:type="pct"/>
            <w:tcBorders>
              <w:top w:val="single" w:sz="4" w:space="0" w:color="auto"/>
              <w:left w:val="nil"/>
              <w:bottom w:val="single" w:sz="4" w:space="0" w:color="auto"/>
              <w:right w:val="nil"/>
            </w:tcBorders>
            <w:shd w:val="clear" w:color="auto" w:fill="C1E4F5" w:themeFill="accent1" w:themeFillTint="33"/>
            <w:vAlign w:val="center"/>
          </w:tcPr>
          <w:p w14:paraId="040476A9" w14:textId="77777777" w:rsidR="005D4CF3" w:rsidRPr="00D633FF" w:rsidRDefault="005D4CF3" w:rsidP="001B3B64">
            <w:pPr>
              <w:spacing w:after="0" w:line="360" w:lineRule="auto"/>
              <w:jc w:val="center"/>
              <w:rPr>
                <w:rFonts w:ascii="Calibri" w:eastAsia="Times New Roman" w:hAnsi="Calibri" w:cs="Calibri"/>
                <w:b/>
                <w:bCs/>
                <w:color w:val="000000"/>
                <w:sz w:val="18"/>
                <w:szCs w:val="18"/>
                <w:lang w:eastAsia="en-AU"/>
              </w:rPr>
            </w:pPr>
          </w:p>
        </w:tc>
        <w:tc>
          <w:tcPr>
            <w:tcW w:w="690" w:type="pct"/>
            <w:tcBorders>
              <w:top w:val="single" w:sz="4" w:space="0" w:color="auto"/>
              <w:left w:val="nil"/>
              <w:bottom w:val="single" w:sz="4" w:space="0" w:color="auto"/>
              <w:right w:val="nil"/>
            </w:tcBorders>
            <w:shd w:val="clear" w:color="auto" w:fill="C1E4F5" w:themeFill="accent1" w:themeFillTint="33"/>
            <w:vAlign w:val="center"/>
          </w:tcPr>
          <w:p w14:paraId="3A48D91B" w14:textId="77777777" w:rsidR="005D4CF3" w:rsidRPr="00D633FF" w:rsidRDefault="005D4CF3" w:rsidP="001B3B64">
            <w:pPr>
              <w:spacing w:after="0" w:line="360" w:lineRule="auto"/>
              <w:jc w:val="center"/>
              <w:rPr>
                <w:rFonts w:ascii="Calibri" w:eastAsia="Times New Roman" w:hAnsi="Calibri" w:cs="Calibri"/>
                <w:b/>
                <w:bCs/>
                <w:color w:val="000000"/>
                <w:sz w:val="18"/>
                <w:szCs w:val="18"/>
                <w:lang w:eastAsia="en-AU"/>
              </w:rPr>
            </w:pPr>
          </w:p>
        </w:tc>
        <w:tc>
          <w:tcPr>
            <w:tcW w:w="689" w:type="pct"/>
            <w:tcBorders>
              <w:top w:val="single" w:sz="4" w:space="0" w:color="auto"/>
              <w:left w:val="nil"/>
              <w:bottom w:val="single" w:sz="4" w:space="0" w:color="auto"/>
              <w:right w:val="nil"/>
            </w:tcBorders>
            <w:shd w:val="clear" w:color="auto" w:fill="C1E4F5" w:themeFill="accent1" w:themeFillTint="33"/>
            <w:vAlign w:val="center"/>
          </w:tcPr>
          <w:p w14:paraId="17BDC4FE" w14:textId="77777777" w:rsidR="005D4CF3" w:rsidRPr="00D633FF" w:rsidRDefault="005D4CF3" w:rsidP="001B3B64">
            <w:pPr>
              <w:spacing w:after="0" w:line="360" w:lineRule="auto"/>
              <w:jc w:val="center"/>
              <w:rPr>
                <w:rFonts w:ascii="Calibri" w:eastAsia="Times New Roman" w:hAnsi="Calibri" w:cs="Calibri"/>
                <w:b/>
                <w:bCs/>
                <w:color w:val="000000"/>
                <w:sz w:val="18"/>
                <w:szCs w:val="18"/>
                <w:lang w:eastAsia="en-AU"/>
              </w:rPr>
            </w:pPr>
          </w:p>
        </w:tc>
        <w:tc>
          <w:tcPr>
            <w:tcW w:w="691" w:type="pct"/>
            <w:tcBorders>
              <w:top w:val="single" w:sz="4" w:space="0" w:color="auto"/>
              <w:left w:val="nil"/>
              <w:bottom w:val="single" w:sz="4" w:space="0" w:color="auto"/>
              <w:right w:val="single" w:sz="4" w:space="0" w:color="auto"/>
            </w:tcBorders>
            <w:shd w:val="clear" w:color="auto" w:fill="C1E4F5" w:themeFill="accent1" w:themeFillTint="33"/>
            <w:vAlign w:val="center"/>
          </w:tcPr>
          <w:p w14:paraId="663AF221" w14:textId="77777777" w:rsidR="005D4CF3" w:rsidRPr="00D633FF" w:rsidRDefault="005D4CF3" w:rsidP="001B3B64">
            <w:pPr>
              <w:spacing w:after="0" w:line="360" w:lineRule="auto"/>
              <w:jc w:val="center"/>
              <w:rPr>
                <w:rFonts w:ascii="Calibri" w:eastAsia="Times New Roman" w:hAnsi="Calibri" w:cs="Calibri"/>
                <w:b/>
                <w:bCs/>
                <w:color w:val="000000"/>
                <w:sz w:val="18"/>
                <w:szCs w:val="18"/>
                <w:lang w:eastAsia="en-AU"/>
              </w:rPr>
            </w:pPr>
          </w:p>
        </w:tc>
      </w:tr>
      <w:tr w:rsidR="001B3B64" w:rsidRPr="00D633FF" w14:paraId="14ED3D5E" w14:textId="77777777" w:rsidTr="001D7295">
        <w:trPr>
          <w:trHeight w:val="310"/>
        </w:trPr>
        <w:tc>
          <w:tcPr>
            <w:tcW w:w="862" w:type="pct"/>
            <w:tcBorders>
              <w:top w:val="single" w:sz="4" w:space="0" w:color="auto"/>
              <w:bottom w:val="dotted" w:sz="4" w:space="0" w:color="auto"/>
            </w:tcBorders>
            <w:noWrap/>
            <w:vAlign w:val="bottom"/>
            <w:hideMark/>
          </w:tcPr>
          <w:p w14:paraId="6CA8CCD2" w14:textId="77777777" w:rsidR="00CD16D1" w:rsidRPr="00D633FF" w:rsidRDefault="00CD16D1">
            <w:pPr>
              <w:spacing w:after="0" w:line="360" w:lineRule="auto"/>
              <w:rPr>
                <w:rFonts w:ascii="Calibri" w:eastAsia="Times New Roman" w:hAnsi="Calibri" w:cs="Calibri"/>
                <w:color w:val="000000"/>
                <w:sz w:val="18"/>
                <w:szCs w:val="18"/>
                <w:lang w:eastAsia="en-AU"/>
              </w:rPr>
            </w:pPr>
            <w:r w:rsidRPr="00D633FF">
              <w:rPr>
                <w:rFonts w:ascii="Calibri" w:eastAsia="Times New Roman" w:hAnsi="Calibri" w:cs="Calibri"/>
                <w:color w:val="000000"/>
                <w:sz w:val="18"/>
                <w:szCs w:val="18"/>
                <w:lang w:eastAsia="en-AU"/>
              </w:rPr>
              <w:t>1-3 years</w:t>
            </w:r>
          </w:p>
        </w:tc>
        <w:tc>
          <w:tcPr>
            <w:tcW w:w="689" w:type="pct"/>
            <w:tcBorders>
              <w:top w:val="single" w:sz="4" w:space="0" w:color="auto"/>
              <w:bottom w:val="dotted" w:sz="4" w:space="0" w:color="auto"/>
            </w:tcBorders>
            <w:shd w:val="clear" w:color="auto" w:fill="DAE9F7" w:themeFill="text2" w:themeFillTint="1A"/>
            <w:vAlign w:val="center"/>
          </w:tcPr>
          <w:p w14:paraId="22C6934B" w14:textId="5BBFDD84" w:rsidR="00CD16D1" w:rsidRPr="00D633FF" w:rsidRDefault="00CD16D1" w:rsidP="001B3B64">
            <w:pPr>
              <w:spacing w:after="0" w:line="360" w:lineRule="auto"/>
              <w:jc w:val="center"/>
              <w:rPr>
                <w:rFonts w:ascii="Calibri" w:eastAsia="Times New Roman" w:hAnsi="Calibri" w:cs="Calibri"/>
                <w:color w:val="000000"/>
                <w:sz w:val="18"/>
                <w:szCs w:val="18"/>
                <w:lang w:eastAsia="en-AU"/>
              </w:rPr>
            </w:pPr>
            <w:r w:rsidRPr="00D633FF">
              <w:rPr>
                <w:rFonts w:ascii="Calibri" w:eastAsia="Times New Roman" w:hAnsi="Calibri" w:cs="Calibri"/>
                <w:color w:val="000000"/>
                <w:sz w:val="18"/>
                <w:szCs w:val="18"/>
                <w:lang w:eastAsia="en-AU"/>
              </w:rPr>
              <w:t>90</w:t>
            </w:r>
            <w:r w:rsidRPr="00D633FF">
              <w:rPr>
                <w:rFonts w:ascii="Calibri" w:eastAsia="Times New Roman" w:hAnsi="Calibri" w:cs="Calibri"/>
                <w:color w:val="000000"/>
                <w:sz w:val="18"/>
                <w:szCs w:val="18"/>
                <w:vertAlign w:val="superscript"/>
                <w:lang w:eastAsia="en-AU"/>
              </w:rPr>
              <w:t>(</w:t>
            </w:r>
            <w:r w:rsidR="00A06019" w:rsidRPr="00D633FF">
              <w:rPr>
                <w:rFonts w:ascii="Calibri" w:eastAsia="Times New Roman" w:hAnsi="Calibri" w:cs="Calibri"/>
                <w:color w:val="000000"/>
                <w:sz w:val="18"/>
                <w:szCs w:val="18"/>
                <w:vertAlign w:val="superscript"/>
                <w:lang w:eastAsia="en-AU"/>
              </w:rPr>
              <w:t>c</w:t>
            </w:r>
            <w:r w:rsidRPr="00D633FF">
              <w:rPr>
                <w:rFonts w:ascii="Calibri" w:eastAsia="Times New Roman" w:hAnsi="Calibri" w:cs="Calibri"/>
                <w:color w:val="000000"/>
                <w:sz w:val="18"/>
                <w:szCs w:val="18"/>
                <w:vertAlign w:val="superscript"/>
                <w:lang w:eastAsia="en-AU"/>
              </w:rPr>
              <w:t>)</w:t>
            </w:r>
          </w:p>
        </w:tc>
        <w:tc>
          <w:tcPr>
            <w:tcW w:w="690" w:type="pct"/>
            <w:tcBorders>
              <w:top w:val="single" w:sz="4" w:space="0" w:color="auto"/>
              <w:bottom w:val="dotted" w:sz="4" w:space="0" w:color="auto"/>
            </w:tcBorders>
            <w:shd w:val="clear" w:color="auto" w:fill="F2CEED" w:themeFill="accent5" w:themeFillTint="33"/>
            <w:vAlign w:val="center"/>
          </w:tcPr>
          <w:p w14:paraId="370D7997" w14:textId="76C36514" w:rsidR="00CD16D1" w:rsidRPr="00D633FF" w:rsidRDefault="00CD16D1" w:rsidP="001B3B64">
            <w:pPr>
              <w:spacing w:after="0" w:line="360" w:lineRule="auto"/>
              <w:jc w:val="center"/>
              <w:rPr>
                <w:rFonts w:ascii="Calibri" w:eastAsia="Times New Roman" w:hAnsi="Calibri" w:cs="Calibri"/>
                <w:color w:val="000000"/>
                <w:sz w:val="18"/>
                <w:szCs w:val="18"/>
                <w:lang w:eastAsia="en-AU"/>
              </w:rPr>
            </w:pPr>
            <w:r w:rsidRPr="00D633FF">
              <w:rPr>
                <w:rFonts w:ascii="Calibri" w:eastAsia="Times New Roman" w:hAnsi="Calibri" w:cs="Calibri"/>
                <w:color w:val="000000"/>
                <w:sz w:val="18"/>
                <w:szCs w:val="18"/>
                <w:lang w:eastAsia="en-AU"/>
              </w:rPr>
              <w:t>70</w:t>
            </w:r>
            <w:r w:rsidRPr="00D633FF">
              <w:rPr>
                <w:rFonts w:ascii="Calibri" w:eastAsia="Times New Roman" w:hAnsi="Calibri" w:cs="Calibri"/>
                <w:color w:val="000000"/>
                <w:sz w:val="18"/>
                <w:szCs w:val="18"/>
                <w:vertAlign w:val="superscript"/>
                <w:lang w:eastAsia="en-AU"/>
              </w:rPr>
              <w:t>(</w:t>
            </w:r>
            <w:r w:rsidR="00A06019" w:rsidRPr="00D633FF">
              <w:rPr>
                <w:rFonts w:ascii="Calibri" w:eastAsia="Times New Roman" w:hAnsi="Calibri" w:cs="Calibri"/>
                <w:color w:val="000000"/>
                <w:sz w:val="18"/>
                <w:szCs w:val="18"/>
                <w:vertAlign w:val="superscript"/>
                <w:lang w:eastAsia="en-AU"/>
              </w:rPr>
              <w:t>d</w:t>
            </w:r>
            <w:r w:rsidRPr="00D633FF">
              <w:rPr>
                <w:rFonts w:ascii="Calibri" w:eastAsia="Times New Roman" w:hAnsi="Calibri" w:cs="Calibri"/>
                <w:color w:val="000000"/>
                <w:sz w:val="18"/>
                <w:szCs w:val="18"/>
                <w:vertAlign w:val="superscript"/>
                <w:lang w:eastAsia="en-AU"/>
              </w:rPr>
              <w:t>)</w:t>
            </w:r>
          </w:p>
        </w:tc>
        <w:tc>
          <w:tcPr>
            <w:tcW w:w="689" w:type="pct"/>
            <w:tcBorders>
              <w:top w:val="single" w:sz="4" w:space="0" w:color="auto"/>
              <w:bottom w:val="dotted" w:sz="4" w:space="0" w:color="auto"/>
            </w:tcBorders>
            <w:vAlign w:val="center"/>
          </w:tcPr>
          <w:p w14:paraId="1AFE6B6D" w14:textId="77777777" w:rsidR="00CD16D1" w:rsidRPr="00D633FF" w:rsidRDefault="00CD16D1" w:rsidP="001B3B64">
            <w:pPr>
              <w:spacing w:after="0" w:line="360" w:lineRule="auto"/>
              <w:jc w:val="center"/>
              <w:rPr>
                <w:rFonts w:ascii="Calibri" w:eastAsia="Times New Roman" w:hAnsi="Calibri" w:cs="Calibri"/>
                <w:color w:val="000000"/>
                <w:sz w:val="18"/>
                <w:szCs w:val="18"/>
                <w:lang w:eastAsia="en-AU"/>
              </w:rPr>
            </w:pPr>
            <w:r w:rsidRPr="00D633FF">
              <w:rPr>
                <w:rFonts w:ascii="Calibri" w:eastAsia="Times New Roman" w:hAnsi="Calibri" w:cs="Calibri"/>
                <w:color w:val="000000"/>
                <w:sz w:val="18"/>
                <w:szCs w:val="18"/>
                <w:lang w:eastAsia="en-AU"/>
              </w:rPr>
              <w:t>60</w:t>
            </w:r>
            <w:r w:rsidRPr="00D633FF">
              <w:rPr>
                <w:rFonts w:ascii="Calibri" w:eastAsia="Times New Roman" w:hAnsi="Calibri" w:cs="Calibri"/>
                <w:color w:val="000000"/>
                <w:sz w:val="18"/>
                <w:szCs w:val="18"/>
                <w:vertAlign w:val="superscript"/>
                <w:lang w:eastAsia="en-AU"/>
              </w:rPr>
              <w:t>(c)</w:t>
            </w:r>
          </w:p>
        </w:tc>
        <w:tc>
          <w:tcPr>
            <w:tcW w:w="690" w:type="pct"/>
            <w:tcBorders>
              <w:top w:val="single" w:sz="4" w:space="0" w:color="auto"/>
              <w:bottom w:val="dotted" w:sz="4" w:space="0" w:color="auto"/>
            </w:tcBorders>
            <w:vAlign w:val="center"/>
          </w:tcPr>
          <w:p w14:paraId="2D6BF8B5" w14:textId="732B288F" w:rsidR="00CD16D1" w:rsidRPr="00D633FF" w:rsidRDefault="00CD16D1" w:rsidP="001B3B64">
            <w:pPr>
              <w:spacing w:after="0" w:line="360" w:lineRule="auto"/>
              <w:jc w:val="center"/>
              <w:rPr>
                <w:rFonts w:ascii="Calibri" w:eastAsia="Times New Roman" w:hAnsi="Calibri" w:cs="Calibri"/>
                <w:color w:val="000000"/>
                <w:sz w:val="18"/>
                <w:szCs w:val="18"/>
                <w:lang w:eastAsia="en-AU"/>
              </w:rPr>
            </w:pPr>
            <w:r w:rsidRPr="00D633FF">
              <w:rPr>
                <w:rFonts w:ascii="Calibri" w:eastAsia="Times New Roman" w:hAnsi="Calibri" w:cs="Calibri"/>
                <w:color w:val="000000"/>
                <w:sz w:val="18"/>
                <w:szCs w:val="18"/>
                <w:lang w:eastAsia="en-AU"/>
              </w:rPr>
              <w:t>90</w:t>
            </w:r>
            <w:r w:rsidRPr="00D633FF">
              <w:rPr>
                <w:rFonts w:ascii="Calibri" w:eastAsia="Times New Roman" w:hAnsi="Calibri" w:cs="Calibri"/>
                <w:color w:val="000000"/>
                <w:sz w:val="18"/>
                <w:szCs w:val="18"/>
                <w:vertAlign w:val="superscript"/>
                <w:lang w:eastAsia="en-AU"/>
              </w:rPr>
              <w:t>(</w:t>
            </w:r>
            <w:r w:rsidR="005C5EAE" w:rsidRPr="00D633FF">
              <w:rPr>
                <w:rFonts w:ascii="Calibri" w:eastAsia="Times New Roman" w:hAnsi="Calibri" w:cs="Calibri"/>
                <w:color w:val="000000"/>
                <w:sz w:val="18"/>
                <w:szCs w:val="18"/>
                <w:vertAlign w:val="superscript"/>
                <w:lang w:eastAsia="en-AU"/>
              </w:rPr>
              <w:t>c</w:t>
            </w:r>
            <w:r w:rsidRPr="00D633FF">
              <w:rPr>
                <w:rFonts w:ascii="Calibri" w:eastAsia="Times New Roman" w:hAnsi="Calibri" w:cs="Calibri"/>
                <w:color w:val="000000"/>
                <w:sz w:val="18"/>
                <w:szCs w:val="18"/>
                <w:vertAlign w:val="superscript"/>
                <w:lang w:eastAsia="en-AU"/>
              </w:rPr>
              <w:t>)</w:t>
            </w:r>
          </w:p>
        </w:tc>
        <w:tc>
          <w:tcPr>
            <w:tcW w:w="689" w:type="pct"/>
            <w:tcBorders>
              <w:top w:val="single" w:sz="4" w:space="0" w:color="auto"/>
              <w:bottom w:val="dotted" w:sz="4" w:space="0" w:color="auto"/>
            </w:tcBorders>
            <w:vAlign w:val="center"/>
          </w:tcPr>
          <w:p w14:paraId="223115DE" w14:textId="77777777" w:rsidR="00CD16D1" w:rsidRPr="00D633FF" w:rsidRDefault="00CD16D1" w:rsidP="001B3B64">
            <w:pPr>
              <w:spacing w:after="0" w:line="360" w:lineRule="auto"/>
              <w:jc w:val="center"/>
              <w:rPr>
                <w:rFonts w:ascii="Calibri" w:eastAsia="Times New Roman" w:hAnsi="Calibri" w:cs="Calibri"/>
                <w:color w:val="000000"/>
                <w:sz w:val="18"/>
                <w:szCs w:val="18"/>
                <w:lang w:eastAsia="en-AU"/>
              </w:rPr>
            </w:pPr>
            <w:proofErr w:type="spellStart"/>
            <w:r w:rsidRPr="00D633FF">
              <w:rPr>
                <w:rFonts w:ascii="Calibri" w:hAnsi="Calibri" w:cs="Calibri"/>
                <w:sz w:val="18"/>
                <w:szCs w:val="18"/>
              </w:rPr>
              <w:t>nd</w:t>
            </w:r>
            <w:proofErr w:type="spellEnd"/>
          </w:p>
        </w:tc>
        <w:tc>
          <w:tcPr>
            <w:tcW w:w="691" w:type="pct"/>
            <w:tcBorders>
              <w:top w:val="single" w:sz="4" w:space="0" w:color="auto"/>
              <w:bottom w:val="dotted" w:sz="4" w:space="0" w:color="auto"/>
            </w:tcBorders>
            <w:vAlign w:val="center"/>
          </w:tcPr>
          <w:p w14:paraId="50209E85" w14:textId="77777777" w:rsidR="00CD16D1" w:rsidRPr="00D633FF" w:rsidRDefault="00CD16D1" w:rsidP="001B3B64">
            <w:pPr>
              <w:spacing w:after="0" w:line="360" w:lineRule="auto"/>
              <w:jc w:val="center"/>
              <w:rPr>
                <w:rFonts w:ascii="Calibri" w:eastAsia="Times New Roman" w:hAnsi="Calibri" w:cs="Calibri"/>
                <w:color w:val="000000"/>
                <w:sz w:val="18"/>
                <w:szCs w:val="18"/>
                <w:lang w:eastAsia="en-AU"/>
              </w:rPr>
            </w:pPr>
            <w:proofErr w:type="spellStart"/>
            <w:r w:rsidRPr="00D633FF">
              <w:rPr>
                <w:rFonts w:ascii="Calibri" w:hAnsi="Calibri" w:cs="Calibri"/>
                <w:sz w:val="18"/>
                <w:szCs w:val="18"/>
              </w:rPr>
              <w:t>nd</w:t>
            </w:r>
            <w:proofErr w:type="spellEnd"/>
          </w:p>
        </w:tc>
      </w:tr>
      <w:tr w:rsidR="001B3B64" w:rsidRPr="00D633FF" w14:paraId="07EE985F" w14:textId="77777777" w:rsidTr="001D7295">
        <w:trPr>
          <w:trHeight w:val="310"/>
        </w:trPr>
        <w:tc>
          <w:tcPr>
            <w:tcW w:w="862" w:type="pct"/>
            <w:tcBorders>
              <w:top w:val="dotted" w:sz="4" w:space="0" w:color="auto"/>
              <w:bottom w:val="dotted" w:sz="4" w:space="0" w:color="auto"/>
            </w:tcBorders>
            <w:noWrap/>
            <w:vAlign w:val="bottom"/>
            <w:hideMark/>
          </w:tcPr>
          <w:p w14:paraId="33272F21" w14:textId="77777777" w:rsidR="00CD16D1" w:rsidRPr="00D633FF" w:rsidRDefault="00CD16D1">
            <w:pPr>
              <w:spacing w:after="0" w:line="360" w:lineRule="auto"/>
              <w:rPr>
                <w:rFonts w:ascii="Calibri" w:eastAsia="Times New Roman" w:hAnsi="Calibri" w:cs="Calibri"/>
                <w:color w:val="000000"/>
                <w:sz w:val="18"/>
                <w:szCs w:val="18"/>
                <w:lang w:eastAsia="en-AU"/>
              </w:rPr>
            </w:pPr>
            <w:r w:rsidRPr="00D633FF">
              <w:rPr>
                <w:rFonts w:ascii="Calibri" w:eastAsia="Times New Roman" w:hAnsi="Calibri" w:cs="Calibri"/>
                <w:color w:val="000000"/>
                <w:sz w:val="18"/>
                <w:szCs w:val="18"/>
                <w:lang w:eastAsia="en-AU"/>
              </w:rPr>
              <w:t>4-6 years</w:t>
            </w:r>
          </w:p>
        </w:tc>
        <w:tc>
          <w:tcPr>
            <w:tcW w:w="689" w:type="pct"/>
            <w:tcBorders>
              <w:top w:val="dotted" w:sz="4" w:space="0" w:color="auto"/>
              <w:bottom w:val="dotted" w:sz="4" w:space="0" w:color="auto"/>
            </w:tcBorders>
            <w:vAlign w:val="center"/>
          </w:tcPr>
          <w:p w14:paraId="0147C7D4" w14:textId="77777777" w:rsidR="00CD16D1" w:rsidRPr="00D633FF" w:rsidRDefault="00CD16D1" w:rsidP="001B3B64">
            <w:pPr>
              <w:spacing w:after="0" w:line="360" w:lineRule="auto"/>
              <w:jc w:val="center"/>
              <w:rPr>
                <w:rFonts w:ascii="Calibri" w:eastAsia="Times New Roman" w:hAnsi="Calibri" w:cs="Calibri"/>
                <w:color w:val="000000"/>
                <w:sz w:val="18"/>
                <w:szCs w:val="18"/>
                <w:lang w:eastAsia="en-AU"/>
              </w:rPr>
            </w:pPr>
          </w:p>
        </w:tc>
        <w:tc>
          <w:tcPr>
            <w:tcW w:w="690" w:type="pct"/>
            <w:tcBorders>
              <w:top w:val="dotted" w:sz="4" w:space="0" w:color="auto"/>
              <w:bottom w:val="dotted" w:sz="4" w:space="0" w:color="auto"/>
            </w:tcBorders>
            <w:shd w:val="clear" w:color="auto" w:fill="F2CEED" w:themeFill="accent5" w:themeFillTint="33"/>
            <w:vAlign w:val="center"/>
          </w:tcPr>
          <w:p w14:paraId="39C9C464" w14:textId="43E56AAF" w:rsidR="00CD16D1" w:rsidRPr="00D633FF" w:rsidRDefault="00CD16D1" w:rsidP="001B3B64">
            <w:pPr>
              <w:spacing w:after="0" w:line="360" w:lineRule="auto"/>
              <w:jc w:val="center"/>
              <w:rPr>
                <w:rFonts w:ascii="Calibri" w:eastAsia="Times New Roman" w:hAnsi="Calibri" w:cs="Calibri"/>
                <w:color w:val="000000"/>
                <w:sz w:val="18"/>
                <w:szCs w:val="18"/>
                <w:lang w:eastAsia="en-AU"/>
              </w:rPr>
            </w:pPr>
            <w:r w:rsidRPr="00D633FF">
              <w:rPr>
                <w:rFonts w:ascii="Calibri" w:eastAsia="Times New Roman" w:hAnsi="Calibri" w:cs="Calibri"/>
                <w:color w:val="000000"/>
                <w:sz w:val="18"/>
                <w:szCs w:val="18"/>
                <w:lang w:eastAsia="en-AU"/>
              </w:rPr>
              <w:t>95</w:t>
            </w:r>
            <w:r w:rsidRPr="00D633FF">
              <w:rPr>
                <w:rFonts w:ascii="Calibri" w:eastAsia="Times New Roman" w:hAnsi="Calibri" w:cs="Calibri"/>
                <w:color w:val="000000"/>
                <w:sz w:val="18"/>
                <w:szCs w:val="18"/>
                <w:vertAlign w:val="superscript"/>
                <w:lang w:eastAsia="en-AU"/>
              </w:rPr>
              <w:t>(</w:t>
            </w:r>
            <w:r w:rsidR="00A06019" w:rsidRPr="00D633FF">
              <w:rPr>
                <w:rFonts w:ascii="Calibri" w:eastAsia="Times New Roman" w:hAnsi="Calibri" w:cs="Calibri"/>
                <w:color w:val="000000"/>
                <w:sz w:val="18"/>
                <w:szCs w:val="18"/>
                <w:vertAlign w:val="superscript"/>
                <w:lang w:eastAsia="en-AU"/>
              </w:rPr>
              <w:t>d</w:t>
            </w:r>
            <w:r w:rsidRPr="00D633FF">
              <w:rPr>
                <w:rFonts w:ascii="Calibri" w:eastAsia="Times New Roman" w:hAnsi="Calibri" w:cs="Calibri"/>
                <w:color w:val="000000"/>
                <w:sz w:val="18"/>
                <w:szCs w:val="18"/>
                <w:vertAlign w:val="superscript"/>
                <w:lang w:eastAsia="en-AU"/>
              </w:rPr>
              <w:t>)</w:t>
            </w:r>
          </w:p>
        </w:tc>
        <w:tc>
          <w:tcPr>
            <w:tcW w:w="689" w:type="pct"/>
            <w:tcBorders>
              <w:top w:val="dotted" w:sz="4" w:space="0" w:color="auto"/>
              <w:bottom w:val="dotted" w:sz="4" w:space="0" w:color="auto"/>
            </w:tcBorders>
            <w:vAlign w:val="center"/>
          </w:tcPr>
          <w:p w14:paraId="0C8008E6" w14:textId="77777777" w:rsidR="00CD16D1" w:rsidRPr="00D633FF" w:rsidRDefault="00CD16D1" w:rsidP="001B3B64">
            <w:pPr>
              <w:spacing w:after="0" w:line="360" w:lineRule="auto"/>
              <w:jc w:val="center"/>
              <w:rPr>
                <w:rFonts w:ascii="Calibri" w:eastAsia="Times New Roman" w:hAnsi="Calibri" w:cs="Calibri"/>
                <w:color w:val="000000"/>
                <w:sz w:val="18"/>
                <w:szCs w:val="18"/>
                <w:lang w:eastAsia="en-AU"/>
              </w:rPr>
            </w:pPr>
            <w:r w:rsidRPr="00D633FF">
              <w:rPr>
                <w:rFonts w:ascii="Calibri" w:eastAsia="Times New Roman" w:hAnsi="Calibri" w:cs="Calibri"/>
                <w:color w:val="000000"/>
                <w:sz w:val="18"/>
                <w:szCs w:val="18"/>
                <w:lang w:eastAsia="en-AU"/>
              </w:rPr>
              <w:t>90</w:t>
            </w:r>
            <w:r w:rsidRPr="00D633FF">
              <w:rPr>
                <w:rFonts w:ascii="Calibri" w:eastAsia="Times New Roman" w:hAnsi="Calibri" w:cs="Calibri"/>
                <w:color w:val="000000"/>
                <w:sz w:val="18"/>
                <w:szCs w:val="18"/>
                <w:vertAlign w:val="superscript"/>
                <w:lang w:eastAsia="en-AU"/>
              </w:rPr>
              <w:t>(c)</w:t>
            </w:r>
          </w:p>
        </w:tc>
        <w:tc>
          <w:tcPr>
            <w:tcW w:w="690" w:type="pct"/>
            <w:tcBorders>
              <w:top w:val="dotted" w:sz="4" w:space="0" w:color="auto"/>
              <w:bottom w:val="dotted" w:sz="4" w:space="0" w:color="auto"/>
            </w:tcBorders>
            <w:vAlign w:val="center"/>
          </w:tcPr>
          <w:p w14:paraId="26E212F5" w14:textId="77777777" w:rsidR="00CD16D1" w:rsidRPr="00D633FF" w:rsidRDefault="00CD16D1" w:rsidP="001B3B64">
            <w:pPr>
              <w:spacing w:after="0" w:line="360" w:lineRule="auto"/>
              <w:jc w:val="center"/>
              <w:rPr>
                <w:rFonts w:ascii="Calibri" w:eastAsia="Times New Roman" w:hAnsi="Calibri" w:cs="Calibri"/>
                <w:color w:val="000000"/>
                <w:sz w:val="18"/>
                <w:szCs w:val="18"/>
                <w:lang w:eastAsia="en-AU"/>
              </w:rPr>
            </w:pPr>
          </w:p>
        </w:tc>
        <w:tc>
          <w:tcPr>
            <w:tcW w:w="689" w:type="pct"/>
            <w:tcBorders>
              <w:top w:val="dotted" w:sz="4" w:space="0" w:color="auto"/>
              <w:bottom w:val="dotted" w:sz="4" w:space="0" w:color="auto"/>
            </w:tcBorders>
            <w:vAlign w:val="center"/>
          </w:tcPr>
          <w:p w14:paraId="49FE0BB5" w14:textId="77777777" w:rsidR="00CD16D1" w:rsidRPr="00D633FF" w:rsidRDefault="00CD16D1" w:rsidP="001B3B64">
            <w:pPr>
              <w:spacing w:after="0" w:line="360" w:lineRule="auto"/>
              <w:jc w:val="center"/>
              <w:rPr>
                <w:rFonts w:ascii="Calibri" w:eastAsia="Times New Roman" w:hAnsi="Calibri" w:cs="Calibri"/>
                <w:i/>
                <w:iCs/>
                <w:color w:val="000000"/>
                <w:sz w:val="18"/>
                <w:szCs w:val="18"/>
                <w:lang w:eastAsia="en-AU"/>
              </w:rPr>
            </w:pPr>
            <w:proofErr w:type="spellStart"/>
            <w:r w:rsidRPr="00D633FF">
              <w:rPr>
                <w:rFonts w:ascii="Calibri" w:hAnsi="Calibri" w:cs="Calibri"/>
                <w:sz w:val="18"/>
                <w:szCs w:val="18"/>
              </w:rPr>
              <w:t>nd</w:t>
            </w:r>
            <w:proofErr w:type="spellEnd"/>
          </w:p>
        </w:tc>
        <w:tc>
          <w:tcPr>
            <w:tcW w:w="691" w:type="pct"/>
            <w:tcBorders>
              <w:top w:val="dotted" w:sz="4" w:space="0" w:color="auto"/>
              <w:bottom w:val="dotted" w:sz="4" w:space="0" w:color="auto"/>
            </w:tcBorders>
            <w:vAlign w:val="center"/>
          </w:tcPr>
          <w:p w14:paraId="3213FC44" w14:textId="77777777" w:rsidR="00CD16D1" w:rsidRPr="00D633FF" w:rsidRDefault="00CD16D1" w:rsidP="001B3B64">
            <w:pPr>
              <w:spacing w:after="0" w:line="360" w:lineRule="auto"/>
              <w:jc w:val="center"/>
              <w:rPr>
                <w:rFonts w:ascii="Calibri" w:eastAsia="Times New Roman" w:hAnsi="Calibri" w:cs="Calibri"/>
                <w:i/>
                <w:iCs/>
                <w:color w:val="000000"/>
                <w:sz w:val="18"/>
                <w:szCs w:val="18"/>
                <w:lang w:eastAsia="en-AU"/>
              </w:rPr>
            </w:pPr>
            <w:proofErr w:type="spellStart"/>
            <w:r w:rsidRPr="00D633FF">
              <w:rPr>
                <w:rFonts w:ascii="Calibri" w:hAnsi="Calibri" w:cs="Calibri"/>
                <w:sz w:val="18"/>
                <w:szCs w:val="18"/>
              </w:rPr>
              <w:t>nd</w:t>
            </w:r>
            <w:proofErr w:type="spellEnd"/>
          </w:p>
        </w:tc>
      </w:tr>
      <w:tr w:rsidR="001B3B64" w:rsidRPr="00D633FF" w14:paraId="1B795D19" w14:textId="77777777" w:rsidTr="001D7295">
        <w:trPr>
          <w:trHeight w:val="310"/>
        </w:trPr>
        <w:tc>
          <w:tcPr>
            <w:tcW w:w="862" w:type="pct"/>
            <w:tcBorders>
              <w:top w:val="dotted" w:sz="4" w:space="0" w:color="auto"/>
              <w:bottom w:val="dotted" w:sz="4" w:space="0" w:color="auto"/>
            </w:tcBorders>
            <w:noWrap/>
            <w:vAlign w:val="bottom"/>
            <w:hideMark/>
          </w:tcPr>
          <w:p w14:paraId="72ED38DB" w14:textId="77777777" w:rsidR="00CD16D1" w:rsidRPr="00D633FF" w:rsidRDefault="00CD16D1">
            <w:pPr>
              <w:spacing w:after="0" w:line="360" w:lineRule="auto"/>
              <w:rPr>
                <w:rFonts w:ascii="Calibri" w:eastAsia="Times New Roman" w:hAnsi="Calibri" w:cs="Calibri"/>
                <w:color w:val="000000"/>
                <w:sz w:val="18"/>
                <w:szCs w:val="18"/>
                <w:lang w:eastAsia="en-AU"/>
              </w:rPr>
            </w:pPr>
            <w:r w:rsidRPr="00D633FF">
              <w:rPr>
                <w:rFonts w:ascii="Calibri" w:eastAsia="Times New Roman" w:hAnsi="Calibri" w:cs="Calibri"/>
                <w:color w:val="000000"/>
                <w:sz w:val="18"/>
                <w:szCs w:val="18"/>
                <w:lang w:eastAsia="en-AU"/>
              </w:rPr>
              <w:t>4-8 years</w:t>
            </w:r>
          </w:p>
        </w:tc>
        <w:tc>
          <w:tcPr>
            <w:tcW w:w="689" w:type="pct"/>
            <w:tcBorders>
              <w:top w:val="dotted" w:sz="4" w:space="0" w:color="auto"/>
              <w:bottom w:val="dotted" w:sz="4" w:space="0" w:color="auto"/>
            </w:tcBorders>
            <w:shd w:val="clear" w:color="auto" w:fill="DAE9F7" w:themeFill="text2" w:themeFillTint="1A"/>
            <w:vAlign w:val="center"/>
          </w:tcPr>
          <w:p w14:paraId="11AB3082" w14:textId="07FED826" w:rsidR="00CD16D1" w:rsidRPr="00D633FF" w:rsidRDefault="00CD16D1" w:rsidP="001B3B64">
            <w:pPr>
              <w:spacing w:after="0" w:line="360" w:lineRule="auto"/>
              <w:jc w:val="center"/>
              <w:rPr>
                <w:rFonts w:ascii="Calibri" w:eastAsia="Times New Roman" w:hAnsi="Calibri" w:cs="Calibri"/>
                <w:color w:val="000000"/>
                <w:sz w:val="18"/>
                <w:szCs w:val="18"/>
                <w:lang w:eastAsia="en-AU"/>
              </w:rPr>
            </w:pPr>
            <w:r w:rsidRPr="00D633FF">
              <w:rPr>
                <w:rFonts w:ascii="Calibri" w:eastAsia="Times New Roman" w:hAnsi="Calibri" w:cs="Calibri"/>
                <w:color w:val="000000"/>
                <w:sz w:val="18"/>
                <w:szCs w:val="18"/>
                <w:lang w:eastAsia="en-AU"/>
              </w:rPr>
              <w:t>150</w:t>
            </w:r>
            <w:r w:rsidRPr="00D633FF">
              <w:rPr>
                <w:rFonts w:ascii="Calibri" w:eastAsia="Times New Roman" w:hAnsi="Calibri" w:cs="Calibri"/>
                <w:color w:val="000000"/>
                <w:sz w:val="18"/>
                <w:szCs w:val="18"/>
                <w:vertAlign w:val="superscript"/>
                <w:lang w:eastAsia="en-AU"/>
              </w:rPr>
              <w:t>(</w:t>
            </w:r>
            <w:r w:rsidR="00A06019" w:rsidRPr="00D633FF">
              <w:rPr>
                <w:rFonts w:ascii="Calibri" w:eastAsia="Times New Roman" w:hAnsi="Calibri" w:cs="Calibri"/>
                <w:color w:val="000000"/>
                <w:sz w:val="18"/>
                <w:szCs w:val="18"/>
                <w:vertAlign w:val="superscript"/>
                <w:lang w:eastAsia="en-AU"/>
              </w:rPr>
              <w:t>c</w:t>
            </w:r>
            <w:r w:rsidRPr="00D633FF">
              <w:rPr>
                <w:rFonts w:ascii="Calibri" w:eastAsia="Times New Roman" w:hAnsi="Calibri" w:cs="Calibri"/>
                <w:color w:val="000000"/>
                <w:sz w:val="18"/>
                <w:szCs w:val="18"/>
                <w:vertAlign w:val="superscript"/>
                <w:lang w:eastAsia="en-AU"/>
              </w:rPr>
              <w:t>)</w:t>
            </w:r>
          </w:p>
        </w:tc>
        <w:tc>
          <w:tcPr>
            <w:tcW w:w="690" w:type="pct"/>
            <w:tcBorders>
              <w:top w:val="dotted" w:sz="4" w:space="0" w:color="auto"/>
              <w:bottom w:val="dotted" w:sz="4" w:space="0" w:color="auto"/>
            </w:tcBorders>
            <w:vAlign w:val="center"/>
          </w:tcPr>
          <w:p w14:paraId="6F70A3F2" w14:textId="77777777" w:rsidR="00CD16D1" w:rsidRPr="00D633FF" w:rsidRDefault="00CD16D1" w:rsidP="001B3B64">
            <w:pPr>
              <w:spacing w:after="0" w:line="360" w:lineRule="auto"/>
              <w:jc w:val="center"/>
              <w:rPr>
                <w:rFonts w:ascii="Calibri" w:eastAsia="Times New Roman" w:hAnsi="Calibri" w:cs="Calibri"/>
                <w:color w:val="000000"/>
                <w:sz w:val="18"/>
                <w:szCs w:val="18"/>
                <w:lang w:eastAsia="en-AU"/>
              </w:rPr>
            </w:pPr>
          </w:p>
        </w:tc>
        <w:tc>
          <w:tcPr>
            <w:tcW w:w="689" w:type="pct"/>
            <w:tcBorders>
              <w:top w:val="dotted" w:sz="4" w:space="0" w:color="auto"/>
              <w:bottom w:val="dotted" w:sz="4" w:space="0" w:color="auto"/>
            </w:tcBorders>
            <w:vAlign w:val="center"/>
          </w:tcPr>
          <w:p w14:paraId="4F4E6802" w14:textId="77777777" w:rsidR="00CD16D1" w:rsidRPr="00D633FF" w:rsidRDefault="00CD16D1" w:rsidP="001B3B64">
            <w:pPr>
              <w:spacing w:after="0" w:line="360" w:lineRule="auto"/>
              <w:jc w:val="center"/>
              <w:rPr>
                <w:rFonts w:ascii="Calibri" w:eastAsia="Times New Roman" w:hAnsi="Calibri" w:cs="Calibri"/>
                <w:color w:val="000000"/>
                <w:sz w:val="18"/>
                <w:szCs w:val="18"/>
                <w:lang w:eastAsia="en-AU"/>
              </w:rPr>
            </w:pPr>
          </w:p>
        </w:tc>
        <w:tc>
          <w:tcPr>
            <w:tcW w:w="690" w:type="pct"/>
            <w:tcBorders>
              <w:top w:val="dotted" w:sz="4" w:space="0" w:color="auto"/>
              <w:bottom w:val="dotted" w:sz="4" w:space="0" w:color="auto"/>
            </w:tcBorders>
            <w:vAlign w:val="center"/>
          </w:tcPr>
          <w:p w14:paraId="0DF9008D" w14:textId="60D1B7C2" w:rsidR="00CD16D1" w:rsidRPr="00D633FF" w:rsidRDefault="00CD16D1" w:rsidP="001B3B64">
            <w:pPr>
              <w:spacing w:after="0" w:line="360" w:lineRule="auto"/>
              <w:jc w:val="center"/>
              <w:rPr>
                <w:rFonts w:ascii="Calibri" w:eastAsia="Times New Roman" w:hAnsi="Calibri" w:cs="Calibri"/>
                <w:color w:val="000000"/>
                <w:sz w:val="18"/>
                <w:szCs w:val="18"/>
                <w:lang w:eastAsia="en-AU"/>
              </w:rPr>
            </w:pPr>
            <w:r w:rsidRPr="00D633FF">
              <w:rPr>
                <w:rFonts w:ascii="Calibri" w:eastAsia="Times New Roman" w:hAnsi="Calibri" w:cs="Calibri"/>
                <w:color w:val="000000"/>
                <w:sz w:val="18"/>
                <w:szCs w:val="18"/>
                <w:lang w:eastAsia="en-AU"/>
              </w:rPr>
              <w:t>150</w:t>
            </w:r>
            <w:r w:rsidRPr="00D633FF">
              <w:rPr>
                <w:rFonts w:ascii="Calibri" w:eastAsia="Times New Roman" w:hAnsi="Calibri" w:cs="Calibri"/>
                <w:color w:val="000000"/>
                <w:sz w:val="18"/>
                <w:szCs w:val="18"/>
                <w:vertAlign w:val="superscript"/>
                <w:lang w:eastAsia="en-AU"/>
              </w:rPr>
              <w:t>(</w:t>
            </w:r>
            <w:r w:rsidR="005C5EAE" w:rsidRPr="00D633FF">
              <w:rPr>
                <w:rFonts w:ascii="Calibri" w:eastAsia="Times New Roman" w:hAnsi="Calibri" w:cs="Calibri"/>
                <w:color w:val="000000"/>
                <w:sz w:val="18"/>
                <w:szCs w:val="18"/>
                <w:vertAlign w:val="superscript"/>
                <w:lang w:eastAsia="en-AU"/>
              </w:rPr>
              <w:t>c</w:t>
            </w:r>
            <w:r w:rsidRPr="00D633FF">
              <w:rPr>
                <w:rFonts w:ascii="Calibri" w:eastAsia="Times New Roman" w:hAnsi="Calibri" w:cs="Calibri"/>
                <w:color w:val="000000"/>
                <w:sz w:val="18"/>
                <w:szCs w:val="18"/>
                <w:vertAlign w:val="superscript"/>
                <w:lang w:eastAsia="en-AU"/>
              </w:rPr>
              <w:t>)</w:t>
            </w:r>
          </w:p>
        </w:tc>
        <w:tc>
          <w:tcPr>
            <w:tcW w:w="689" w:type="pct"/>
            <w:tcBorders>
              <w:top w:val="dotted" w:sz="4" w:space="0" w:color="auto"/>
              <w:bottom w:val="dotted" w:sz="4" w:space="0" w:color="auto"/>
            </w:tcBorders>
            <w:vAlign w:val="center"/>
          </w:tcPr>
          <w:p w14:paraId="2496E350" w14:textId="77777777" w:rsidR="00CD16D1" w:rsidRPr="00D633FF" w:rsidRDefault="00CD16D1" w:rsidP="001B3B64">
            <w:pPr>
              <w:spacing w:after="0" w:line="360" w:lineRule="auto"/>
              <w:jc w:val="center"/>
              <w:rPr>
                <w:rFonts w:ascii="Calibri" w:eastAsia="Times New Roman" w:hAnsi="Calibri" w:cs="Calibri"/>
                <w:color w:val="000000"/>
                <w:sz w:val="18"/>
                <w:szCs w:val="18"/>
                <w:lang w:eastAsia="en-AU"/>
              </w:rPr>
            </w:pPr>
            <w:proofErr w:type="spellStart"/>
            <w:r w:rsidRPr="00D633FF">
              <w:rPr>
                <w:rFonts w:ascii="Calibri" w:hAnsi="Calibri" w:cs="Calibri"/>
                <w:sz w:val="18"/>
                <w:szCs w:val="18"/>
              </w:rPr>
              <w:t>nd</w:t>
            </w:r>
            <w:proofErr w:type="spellEnd"/>
          </w:p>
        </w:tc>
        <w:tc>
          <w:tcPr>
            <w:tcW w:w="691" w:type="pct"/>
            <w:tcBorders>
              <w:top w:val="dotted" w:sz="4" w:space="0" w:color="auto"/>
              <w:bottom w:val="dotted" w:sz="4" w:space="0" w:color="auto"/>
            </w:tcBorders>
            <w:vAlign w:val="center"/>
          </w:tcPr>
          <w:p w14:paraId="4B9B2F7B" w14:textId="77777777" w:rsidR="00CD16D1" w:rsidRPr="00D633FF" w:rsidRDefault="00CD16D1" w:rsidP="001B3B64">
            <w:pPr>
              <w:spacing w:after="0" w:line="360" w:lineRule="auto"/>
              <w:jc w:val="center"/>
              <w:rPr>
                <w:rFonts w:ascii="Calibri" w:eastAsia="Times New Roman" w:hAnsi="Calibri" w:cs="Calibri"/>
                <w:color w:val="000000"/>
                <w:sz w:val="18"/>
                <w:szCs w:val="18"/>
                <w:lang w:eastAsia="en-AU"/>
              </w:rPr>
            </w:pPr>
            <w:proofErr w:type="spellStart"/>
            <w:r w:rsidRPr="00D633FF">
              <w:rPr>
                <w:rFonts w:ascii="Calibri" w:hAnsi="Calibri" w:cs="Calibri"/>
                <w:sz w:val="18"/>
                <w:szCs w:val="18"/>
              </w:rPr>
              <w:t>nd</w:t>
            </w:r>
            <w:proofErr w:type="spellEnd"/>
          </w:p>
        </w:tc>
      </w:tr>
      <w:tr w:rsidR="001B3B64" w:rsidRPr="00D633FF" w14:paraId="3F99D113" w14:textId="77777777" w:rsidTr="001D7295">
        <w:trPr>
          <w:trHeight w:val="310"/>
        </w:trPr>
        <w:tc>
          <w:tcPr>
            <w:tcW w:w="862" w:type="pct"/>
            <w:tcBorders>
              <w:top w:val="dotted" w:sz="4" w:space="0" w:color="auto"/>
              <w:bottom w:val="dotted" w:sz="4" w:space="0" w:color="auto"/>
            </w:tcBorders>
            <w:noWrap/>
            <w:vAlign w:val="bottom"/>
            <w:hideMark/>
          </w:tcPr>
          <w:p w14:paraId="19F552A3" w14:textId="77777777" w:rsidR="00CD16D1" w:rsidRPr="00D633FF" w:rsidRDefault="00CD16D1">
            <w:pPr>
              <w:spacing w:after="0" w:line="360" w:lineRule="auto"/>
              <w:rPr>
                <w:rFonts w:ascii="Calibri" w:eastAsia="Times New Roman" w:hAnsi="Calibri" w:cs="Calibri"/>
                <w:color w:val="000000"/>
                <w:sz w:val="18"/>
                <w:szCs w:val="18"/>
                <w:lang w:eastAsia="en-AU"/>
              </w:rPr>
            </w:pPr>
            <w:r w:rsidRPr="00D633FF">
              <w:rPr>
                <w:rFonts w:ascii="Calibri" w:eastAsia="Times New Roman" w:hAnsi="Calibri" w:cs="Calibri"/>
                <w:color w:val="000000"/>
                <w:sz w:val="18"/>
                <w:szCs w:val="18"/>
                <w:lang w:eastAsia="en-AU"/>
              </w:rPr>
              <w:t>7-10 years</w:t>
            </w:r>
          </w:p>
        </w:tc>
        <w:tc>
          <w:tcPr>
            <w:tcW w:w="689" w:type="pct"/>
            <w:tcBorders>
              <w:top w:val="dotted" w:sz="4" w:space="0" w:color="auto"/>
              <w:bottom w:val="dotted" w:sz="4" w:space="0" w:color="auto"/>
            </w:tcBorders>
            <w:vAlign w:val="center"/>
          </w:tcPr>
          <w:p w14:paraId="737006C9" w14:textId="77777777" w:rsidR="00CD16D1" w:rsidRPr="00D633FF" w:rsidRDefault="00CD16D1" w:rsidP="001B3B64">
            <w:pPr>
              <w:spacing w:after="0" w:line="360" w:lineRule="auto"/>
              <w:jc w:val="center"/>
              <w:rPr>
                <w:rFonts w:ascii="Calibri" w:eastAsia="Times New Roman" w:hAnsi="Calibri" w:cs="Calibri"/>
                <w:color w:val="000000"/>
                <w:sz w:val="18"/>
                <w:szCs w:val="18"/>
                <w:lang w:eastAsia="en-AU"/>
              </w:rPr>
            </w:pPr>
          </w:p>
        </w:tc>
        <w:tc>
          <w:tcPr>
            <w:tcW w:w="690" w:type="pct"/>
            <w:tcBorders>
              <w:top w:val="dotted" w:sz="4" w:space="0" w:color="auto"/>
              <w:bottom w:val="dotted" w:sz="4" w:space="0" w:color="auto"/>
            </w:tcBorders>
            <w:shd w:val="clear" w:color="auto" w:fill="F2CEED" w:themeFill="accent5" w:themeFillTint="33"/>
            <w:vAlign w:val="center"/>
          </w:tcPr>
          <w:p w14:paraId="2BC1497A" w14:textId="55EA1DB8" w:rsidR="00CD16D1" w:rsidRPr="00D633FF" w:rsidRDefault="00CD16D1" w:rsidP="001B3B64">
            <w:pPr>
              <w:spacing w:after="0" w:line="360" w:lineRule="auto"/>
              <w:jc w:val="center"/>
              <w:rPr>
                <w:rFonts w:ascii="Calibri" w:eastAsia="Times New Roman" w:hAnsi="Calibri" w:cs="Calibri"/>
                <w:color w:val="000000"/>
                <w:sz w:val="18"/>
                <w:szCs w:val="18"/>
                <w:lang w:eastAsia="en-AU"/>
              </w:rPr>
            </w:pPr>
            <w:r w:rsidRPr="00D633FF">
              <w:rPr>
                <w:rFonts w:ascii="Calibri" w:eastAsia="Times New Roman" w:hAnsi="Calibri" w:cs="Calibri"/>
                <w:color w:val="000000"/>
                <w:sz w:val="18"/>
                <w:szCs w:val="18"/>
                <w:lang w:eastAsia="en-AU"/>
              </w:rPr>
              <w:t>130</w:t>
            </w:r>
            <w:r w:rsidRPr="00D633FF">
              <w:rPr>
                <w:rFonts w:ascii="Calibri" w:eastAsia="Times New Roman" w:hAnsi="Calibri" w:cs="Calibri"/>
                <w:color w:val="000000"/>
                <w:sz w:val="18"/>
                <w:szCs w:val="18"/>
                <w:vertAlign w:val="superscript"/>
                <w:lang w:eastAsia="en-AU"/>
              </w:rPr>
              <w:t>(</w:t>
            </w:r>
            <w:r w:rsidR="00A06019" w:rsidRPr="00D633FF">
              <w:rPr>
                <w:rFonts w:ascii="Calibri" w:eastAsia="Times New Roman" w:hAnsi="Calibri" w:cs="Calibri"/>
                <w:color w:val="000000"/>
                <w:sz w:val="18"/>
                <w:szCs w:val="18"/>
                <w:vertAlign w:val="superscript"/>
                <w:lang w:eastAsia="en-AU"/>
              </w:rPr>
              <w:t>d</w:t>
            </w:r>
            <w:r w:rsidRPr="00D633FF">
              <w:rPr>
                <w:rFonts w:ascii="Calibri" w:eastAsia="Times New Roman" w:hAnsi="Calibri" w:cs="Calibri"/>
                <w:color w:val="000000"/>
                <w:sz w:val="18"/>
                <w:szCs w:val="18"/>
                <w:vertAlign w:val="superscript"/>
                <w:lang w:eastAsia="en-AU"/>
              </w:rPr>
              <w:t>)</w:t>
            </w:r>
          </w:p>
        </w:tc>
        <w:tc>
          <w:tcPr>
            <w:tcW w:w="689" w:type="pct"/>
            <w:tcBorders>
              <w:top w:val="dotted" w:sz="4" w:space="0" w:color="auto"/>
              <w:bottom w:val="dotted" w:sz="4" w:space="0" w:color="auto"/>
            </w:tcBorders>
            <w:vAlign w:val="center"/>
          </w:tcPr>
          <w:p w14:paraId="312C9BEC" w14:textId="77777777" w:rsidR="00CD16D1" w:rsidRPr="00D633FF" w:rsidRDefault="00CD16D1" w:rsidP="001B3B64">
            <w:pPr>
              <w:spacing w:after="0" w:line="360" w:lineRule="auto"/>
              <w:jc w:val="center"/>
              <w:rPr>
                <w:rFonts w:ascii="Calibri" w:eastAsia="Times New Roman" w:hAnsi="Calibri" w:cs="Calibri"/>
                <w:color w:val="000000"/>
                <w:sz w:val="18"/>
                <w:szCs w:val="18"/>
                <w:lang w:eastAsia="en-AU"/>
              </w:rPr>
            </w:pPr>
            <w:r w:rsidRPr="00D633FF">
              <w:rPr>
                <w:rFonts w:ascii="Calibri" w:eastAsia="Times New Roman" w:hAnsi="Calibri" w:cs="Calibri"/>
                <w:color w:val="000000"/>
                <w:sz w:val="18"/>
                <w:szCs w:val="18"/>
                <w:lang w:eastAsia="en-AU"/>
              </w:rPr>
              <w:t>130</w:t>
            </w:r>
            <w:r w:rsidRPr="00D633FF">
              <w:rPr>
                <w:rFonts w:ascii="Calibri" w:eastAsia="Times New Roman" w:hAnsi="Calibri" w:cs="Calibri"/>
                <w:color w:val="000000"/>
                <w:sz w:val="18"/>
                <w:szCs w:val="18"/>
                <w:vertAlign w:val="superscript"/>
                <w:lang w:eastAsia="en-AU"/>
              </w:rPr>
              <w:t>(c)</w:t>
            </w:r>
          </w:p>
        </w:tc>
        <w:tc>
          <w:tcPr>
            <w:tcW w:w="690" w:type="pct"/>
            <w:tcBorders>
              <w:top w:val="dotted" w:sz="4" w:space="0" w:color="auto"/>
              <w:bottom w:val="dotted" w:sz="4" w:space="0" w:color="auto"/>
            </w:tcBorders>
            <w:vAlign w:val="center"/>
          </w:tcPr>
          <w:p w14:paraId="176674F8" w14:textId="77777777" w:rsidR="00CD16D1" w:rsidRPr="00D633FF" w:rsidRDefault="00CD16D1" w:rsidP="001B3B64">
            <w:pPr>
              <w:spacing w:after="0" w:line="360" w:lineRule="auto"/>
              <w:jc w:val="center"/>
              <w:rPr>
                <w:rFonts w:ascii="Calibri" w:eastAsia="Times New Roman" w:hAnsi="Calibri" w:cs="Calibri"/>
                <w:color w:val="000000"/>
                <w:sz w:val="18"/>
                <w:szCs w:val="18"/>
                <w:lang w:eastAsia="en-AU"/>
              </w:rPr>
            </w:pPr>
          </w:p>
        </w:tc>
        <w:tc>
          <w:tcPr>
            <w:tcW w:w="689" w:type="pct"/>
            <w:tcBorders>
              <w:top w:val="dotted" w:sz="4" w:space="0" w:color="auto"/>
              <w:bottom w:val="dotted" w:sz="4" w:space="0" w:color="auto"/>
            </w:tcBorders>
            <w:vAlign w:val="center"/>
          </w:tcPr>
          <w:p w14:paraId="50A20577" w14:textId="77777777" w:rsidR="00CD16D1" w:rsidRPr="00D633FF" w:rsidRDefault="00CD16D1" w:rsidP="001B3B64">
            <w:pPr>
              <w:spacing w:after="0" w:line="360" w:lineRule="auto"/>
              <w:jc w:val="center"/>
              <w:rPr>
                <w:rFonts w:ascii="Calibri" w:eastAsia="Times New Roman" w:hAnsi="Calibri" w:cs="Calibri"/>
                <w:color w:val="000000"/>
                <w:sz w:val="18"/>
                <w:szCs w:val="18"/>
                <w:lang w:eastAsia="en-AU"/>
              </w:rPr>
            </w:pPr>
            <w:proofErr w:type="spellStart"/>
            <w:r w:rsidRPr="00D633FF">
              <w:rPr>
                <w:rFonts w:ascii="Calibri" w:hAnsi="Calibri" w:cs="Calibri"/>
                <w:sz w:val="18"/>
                <w:szCs w:val="18"/>
              </w:rPr>
              <w:t>nd</w:t>
            </w:r>
            <w:proofErr w:type="spellEnd"/>
          </w:p>
        </w:tc>
        <w:tc>
          <w:tcPr>
            <w:tcW w:w="691" w:type="pct"/>
            <w:tcBorders>
              <w:top w:val="dotted" w:sz="4" w:space="0" w:color="auto"/>
              <w:bottom w:val="dotted" w:sz="4" w:space="0" w:color="auto"/>
            </w:tcBorders>
            <w:vAlign w:val="center"/>
          </w:tcPr>
          <w:p w14:paraId="72B888FC" w14:textId="77777777" w:rsidR="00CD16D1" w:rsidRPr="00D633FF" w:rsidRDefault="00CD16D1" w:rsidP="001B3B64">
            <w:pPr>
              <w:spacing w:after="0" w:line="360" w:lineRule="auto"/>
              <w:jc w:val="center"/>
              <w:rPr>
                <w:rFonts w:ascii="Calibri" w:eastAsia="Times New Roman" w:hAnsi="Calibri" w:cs="Calibri"/>
                <w:color w:val="000000"/>
                <w:sz w:val="18"/>
                <w:szCs w:val="18"/>
                <w:lang w:eastAsia="en-AU"/>
              </w:rPr>
            </w:pPr>
            <w:proofErr w:type="spellStart"/>
            <w:r w:rsidRPr="00D633FF">
              <w:rPr>
                <w:rFonts w:ascii="Calibri" w:hAnsi="Calibri" w:cs="Calibri"/>
                <w:sz w:val="18"/>
                <w:szCs w:val="18"/>
              </w:rPr>
              <w:t>nd</w:t>
            </w:r>
            <w:proofErr w:type="spellEnd"/>
          </w:p>
        </w:tc>
      </w:tr>
      <w:tr w:rsidR="001B3B64" w:rsidRPr="00D633FF" w14:paraId="44C146F6" w14:textId="77777777" w:rsidTr="001D7295">
        <w:trPr>
          <w:trHeight w:val="308"/>
        </w:trPr>
        <w:tc>
          <w:tcPr>
            <w:tcW w:w="862" w:type="pct"/>
            <w:tcBorders>
              <w:top w:val="dotted" w:sz="4" w:space="0" w:color="auto"/>
              <w:bottom w:val="dotted" w:sz="4" w:space="0" w:color="auto"/>
            </w:tcBorders>
            <w:noWrap/>
            <w:vAlign w:val="bottom"/>
            <w:hideMark/>
          </w:tcPr>
          <w:p w14:paraId="49679E12" w14:textId="77777777" w:rsidR="00CD16D1" w:rsidRPr="00D633FF" w:rsidRDefault="00CD16D1">
            <w:pPr>
              <w:spacing w:after="0" w:line="360" w:lineRule="auto"/>
              <w:rPr>
                <w:rFonts w:ascii="Calibri" w:eastAsia="Times New Roman" w:hAnsi="Calibri" w:cs="Calibri"/>
                <w:color w:val="000000"/>
                <w:sz w:val="18"/>
                <w:szCs w:val="18"/>
                <w:lang w:eastAsia="en-AU"/>
              </w:rPr>
            </w:pPr>
            <w:r w:rsidRPr="00D633FF">
              <w:rPr>
                <w:rFonts w:ascii="Calibri" w:eastAsia="Times New Roman" w:hAnsi="Calibri" w:cs="Calibri"/>
                <w:color w:val="000000"/>
                <w:sz w:val="18"/>
                <w:szCs w:val="18"/>
                <w:lang w:eastAsia="en-AU"/>
              </w:rPr>
              <w:t>9-13 years</w:t>
            </w:r>
          </w:p>
        </w:tc>
        <w:tc>
          <w:tcPr>
            <w:tcW w:w="689" w:type="pct"/>
            <w:tcBorders>
              <w:top w:val="dotted" w:sz="4" w:space="0" w:color="auto"/>
              <w:bottom w:val="dotted" w:sz="4" w:space="0" w:color="auto"/>
            </w:tcBorders>
            <w:shd w:val="clear" w:color="auto" w:fill="DAE9F7" w:themeFill="text2" w:themeFillTint="1A"/>
            <w:vAlign w:val="center"/>
          </w:tcPr>
          <w:p w14:paraId="2727F3F4" w14:textId="06E62D16" w:rsidR="00CD16D1" w:rsidRPr="00D633FF" w:rsidRDefault="00CD16D1" w:rsidP="001B3B64">
            <w:pPr>
              <w:spacing w:after="0" w:line="360" w:lineRule="auto"/>
              <w:jc w:val="center"/>
              <w:rPr>
                <w:rFonts w:ascii="Calibri" w:eastAsia="Times New Roman" w:hAnsi="Calibri" w:cs="Calibri"/>
                <w:color w:val="000000"/>
                <w:sz w:val="18"/>
                <w:szCs w:val="18"/>
                <w:lang w:eastAsia="en-AU"/>
              </w:rPr>
            </w:pPr>
            <w:r w:rsidRPr="00D633FF">
              <w:rPr>
                <w:rFonts w:ascii="Calibri" w:eastAsia="Times New Roman" w:hAnsi="Calibri" w:cs="Calibri"/>
                <w:color w:val="000000"/>
                <w:sz w:val="18"/>
                <w:szCs w:val="18"/>
                <w:lang w:eastAsia="en-AU"/>
              </w:rPr>
              <w:t>280</w:t>
            </w:r>
            <w:r w:rsidRPr="00D633FF">
              <w:rPr>
                <w:rFonts w:ascii="Calibri" w:eastAsia="Times New Roman" w:hAnsi="Calibri" w:cs="Calibri"/>
                <w:color w:val="000000"/>
                <w:sz w:val="18"/>
                <w:szCs w:val="18"/>
                <w:vertAlign w:val="superscript"/>
                <w:lang w:eastAsia="en-AU"/>
              </w:rPr>
              <w:t>(</w:t>
            </w:r>
            <w:r w:rsidR="00A06019" w:rsidRPr="00D633FF">
              <w:rPr>
                <w:rFonts w:ascii="Calibri" w:eastAsia="Times New Roman" w:hAnsi="Calibri" w:cs="Calibri"/>
                <w:color w:val="000000"/>
                <w:sz w:val="18"/>
                <w:szCs w:val="18"/>
                <w:vertAlign w:val="superscript"/>
                <w:lang w:eastAsia="en-AU"/>
              </w:rPr>
              <w:t>c</w:t>
            </w:r>
            <w:r w:rsidRPr="00D633FF">
              <w:rPr>
                <w:rFonts w:ascii="Calibri" w:eastAsia="Times New Roman" w:hAnsi="Calibri" w:cs="Calibri"/>
                <w:color w:val="000000"/>
                <w:sz w:val="18"/>
                <w:szCs w:val="18"/>
                <w:vertAlign w:val="superscript"/>
                <w:lang w:eastAsia="en-AU"/>
              </w:rPr>
              <w:t>)</w:t>
            </w:r>
          </w:p>
        </w:tc>
        <w:tc>
          <w:tcPr>
            <w:tcW w:w="690" w:type="pct"/>
            <w:tcBorders>
              <w:top w:val="dotted" w:sz="4" w:space="0" w:color="auto"/>
              <w:bottom w:val="dotted" w:sz="4" w:space="0" w:color="auto"/>
            </w:tcBorders>
            <w:vAlign w:val="center"/>
          </w:tcPr>
          <w:p w14:paraId="42C6A232" w14:textId="77777777" w:rsidR="00CD16D1" w:rsidRPr="00D633FF" w:rsidRDefault="00CD16D1" w:rsidP="001B3B64">
            <w:pPr>
              <w:spacing w:after="0" w:line="360" w:lineRule="auto"/>
              <w:jc w:val="center"/>
              <w:rPr>
                <w:rFonts w:ascii="Calibri" w:eastAsia="Times New Roman" w:hAnsi="Calibri" w:cs="Calibri"/>
                <w:color w:val="000000"/>
                <w:sz w:val="18"/>
                <w:szCs w:val="18"/>
                <w:lang w:eastAsia="en-AU"/>
              </w:rPr>
            </w:pPr>
          </w:p>
        </w:tc>
        <w:tc>
          <w:tcPr>
            <w:tcW w:w="689" w:type="pct"/>
            <w:tcBorders>
              <w:top w:val="dotted" w:sz="4" w:space="0" w:color="auto"/>
              <w:bottom w:val="dotted" w:sz="4" w:space="0" w:color="auto"/>
            </w:tcBorders>
            <w:vAlign w:val="center"/>
          </w:tcPr>
          <w:p w14:paraId="594927BD" w14:textId="77777777" w:rsidR="00CD16D1" w:rsidRPr="00D633FF" w:rsidRDefault="00CD16D1" w:rsidP="001B3B64">
            <w:pPr>
              <w:spacing w:after="0" w:line="360" w:lineRule="auto"/>
              <w:jc w:val="center"/>
              <w:rPr>
                <w:rFonts w:ascii="Calibri" w:eastAsia="Times New Roman" w:hAnsi="Calibri" w:cs="Calibri"/>
                <w:color w:val="000000"/>
                <w:sz w:val="18"/>
                <w:szCs w:val="18"/>
                <w:lang w:eastAsia="en-AU"/>
              </w:rPr>
            </w:pPr>
          </w:p>
        </w:tc>
        <w:tc>
          <w:tcPr>
            <w:tcW w:w="690" w:type="pct"/>
            <w:tcBorders>
              <w:top w:val="dotted" w:sz="4" w:space="0" w:color="auto"/>
              <w:bottom w:val="dotted" w:sz="4" w:space="0" w:color="auto"/>
            </w:tcBorders>
            <w:vAlign w:val="center"/>
          </w:tcPr>
          <w:p w14:paraId="668653C0" w14:textId="27B18CEB" w:rsidR="00CD16D1" w:rsidRPr="00D633FF" w:rsidRDefault="00CD16D1" w:rsidP="001B3B64">
            <w:pPr>
              <w:spacing w:after="0" w:line="360" w:lineRule="auto"/>
              <w:jc w:val="center"/>
              <w:rPr>
                <w:rFonts w:ascii="Calibri" w:eastAsia="Times New Roman" w:hAnsi="Calibri" w:cs="Calibri"/>
                <w:color w:val="000000"/>
                <w:sz w:val="18"/>
                <w:szCs w:val="18"/>
                <w:lang w:eastAsia="en-AU"/>
              </w:rPr>
            </w:pPr>
            <w:r w:rsidRPr="00D633FF">
              <w:rPr>
                <w:rFonts w:ascii="Calibri" w:eastAsia="Times New Roman" w:hAnsi="Calibri" w:cs="Calibri"/>
                <w:color w:val="000000"/>
                <w:sz w:val="18"/>
                <w:szCs w:val="18"/>
                <w:lang w:eastAsia="en-AU"/>
              </w:rPr>
              <w:t>280</w:t>
            </w:r>
            <w:r w:rsidRPr="00D633FF">
              <w:rPr>
                <w:rFonts w:ascii="Calibri" w:eastAsia="Times New Roman" w:hAnsi="Calibri" w:cs="Calibri"/>
                <w:color w:val="000000"/>
                <w:sz w:val="18"/>
                <w:szCs w:val="18"/>
                <w:vertAlign w:val="superscript"/>
                <w:lang w:eastAsia="en-AU"/>
              </w:rPr>
              <w:t>(</w:t>
            </w:r>
            <w:r w:rsidR="005C5EAE" w:rsidRPr="00D633FF">
              <w:rPr>
                <w:rFonts w:ascii="Calibri" w:eastAsia="Times New Roman" w:hAnsi="Calibri" w:cs="Calibri"/>
                <w:color w:val="000000"/>
                <w:sz w:val="18"/>
                <w:szCs w:val="18"/>
                <w:vertAlign w:val="superscript"/>
                <w:lang w:eastAsia="en-AU"/>
              </w:rPr>
              <w:t>c</w:t>
            </w:r>
            <w:r w:rsidRPr="00D633FF">
              <w:rPr>
                <w:rFonts w:ascii="Calibri" w:eastAsia="Times New Roman" w:hAnsi="Calibri" w:cs="Calibri"/>
                <w:color w:val="000000"/>
                <w:sz w:val="18"/>
                <w:szCs w:val="18"/>
                <w:vertAlign w:val="superscript"/>
                <w:lang w:eastAsia="en-AU"/>
              </w:rPr>
              <w:t>)</w:t>
            </w:r>
          </w:p>
        </w:tc>
        <w:tc>
          <w:tcPr>
            <w:tcW w:w="689" w:type="pct"/>
            <w:tcBorders>
              <w:top w:val="dotted" w:sz="4" w:space="0" w:color="auto"/>
              <w:bottom w:val="dotted" w:sz="4" w:space="0" w:color="auto"/>
            </w:tcBorders>
            <w:vAlign w:val="center"/>
          </w:tcPr>
          <w:p w14:paraId="4A47E1A3" w14:textId="77777777" w:rsidR="00CD16D1" w:rsidRPr="00D633FF" w:rsidRDefault="00CD16D1" w:rsidP="001B3B64">
            <w:pPr>
              <w:spacing w:after="0" w:line="360" w:lineRule="auto"/>
              <w:jc w:val="center"/>
              <w:rPr>
                <w:rFonts w:ascii="Calibri" w:eastAsia="Times New Roman" w:hAnsi="Calibri" w:cs="Calibri"/>
                <w:color w:val="000000"/>
                <w:sz w:val="18"/>
                <w:szCs w:val="18"/>
                <w:lang w:eastAsia="en-AU"/>
              </w:rPr>
            </w:pPr>
            <w:proofErr w:type="spellStart"/>
            <w:r w:rsidRPr="00D633FF">
              <w:rPr>
                <w:rFonts w:ascii="Calibri" w:hAnsi="Calibri" w:cs="Calibri"/>
                <w:sz w:val="18"/>
                <w:szCs w:val="18"/>
              </w:rPr>
              <w:t>nd</w:t>
            </w:r>
            <w:proofErr w:type="spellEnd"/>
          </w:p>
        </w:tc>
        <w:tc>
          <w:tcPr>
            <w:tcW w:w="691" w:type="pct"/>
            <w:tcBorders>
              <w:top w:val="dotted" w:sz="4" w:space="0" w:color="auto"/>
              <w:bottom w:val="dotted" w:sz="4" w:space="0" w:color="auto"/>
            </w:tcBorders>
            <w:vAlign w:val="center"/>
          </w:tcPr>
          <w:p w14:paraId="42A811D7" w14:textId="77777777" w:rsidR="00CD16D1" w:rsidRPr="00D633FF" w:rsidRDefault="00CD16D1" w:rsidP="001B3B64">
            <w:pPr>
              <w:spacing w:after="0" w:line="360" w:lineRule="auto"/>
              <w:jc w:val="center"/>
              <w:rPr>
                <w:rFonts w:ascii="Calibri" w:eastAsia="Times New Roman" w:hAnsi="Calibri" w:cs="Calibri"/>
                <w:color w:val="000000"/>
                <w:sz w:val="18"/>
                <w:szCs w:val="18"/>
                <w:lang w:eastAsia="en-AU"/>
              </w:rPr>
            </w:pPr>
            <w:proofErr w:type="spellStart"/>
            <w:r w:rsidRPr="00D633FF">
              <w:rPr>
                <w:rFonts w:ascii="Calibri" w:hAnsi="Calibri" w:cs="Calibri"/>
                <w:sz w:val="18"/>
                <w:szCs w:val="18"/>
              </w:rPr>
              <w:t>nd</w:t>
            </w:r>
            <w:proofErr w:type="spellEnd"/>
          </w:p>
        </w:tc>
      </w:tr>
      <w:tr w:rsidR="001B3B64" w:rsidRPr="00D633FF" w14:paraId="50579F3F" w14:textId="77777777" w:rsidTr="001D7295">
        <w:trPr>
          <w:trHeight w:val="310"/>
        </w:trPr>
        <w:tc>
          <w:tcPr>
            <w:tcW w:w="862" w:type="pct"/>
            <w:tcBorders>
              <w:top w:val="dotted" w:sz="4" w:space="0" w:color="auto"/>
              <w:bottom w:val="dotted" w:sz="4" w:space="0" w:color="auto"/>
            </w:tcBorders>
            <w:noWrap/>
            <w:vAlign w:val="bottom"/>
            <w:hideMark/>
          </w:tcPr>
          <w:p w14:paraId="45CC2DBF" w14:textId="77777777" w:rsidR="00CD16D1" w:rsidRPr="00D633FF" w:rsidRDefault="00CD16D1">
            <w:pPr>
              <w:spacing w:after="0" w:line="360" w:lineRule="auto"/>
              <w:rPr>
                <w:rFonts w:ascii="Calibri" w:eastAsia="Times New Roman" w:hAnsi="Calibri" w:cs="Calibri"/>
                <w:color w:val="000000"/>
                <w:sz w:val="18"/>
                <w:szCs w:val="18"/>
                <w:lang w:eastAsia="en-AU"/>
              </w:rPr>
            </w:pPr>
            <w:r w:rsidRPr="00D633FF">
              <w:rPr>
                <w:rFonts w:ascii="Calibri" w:eastAsia="Times New Roman" w:hAnsi="Calibri" w:cs="Calibri"/>
                <w:color w:val="000000"/>
                <w:sz w:val="18"/>
                <w:szCs w:val="18"/>
                <w:lang w:eastAsia="en-AU"/>
              </w:rPr>
              <w:t>11-14 years</w:t>
            </w:r>
          </w:p>
        </w:tc>
        <w:tc>
          <w:tcPr>
            <w:tcW w:w="689" w:type="pct"/>
            <w:tcBorders>
              <w:top w:val="dotted" w:sz="4" w:space="0" w:color="auto"/>
              <w:bottom w:val="dotted" w:sz="4" w:space="0" w:color="auto"/>
            </w:tcBorders>
            <w:vAlign w:val="center"/>
          </w:tcPr>
          <w:p w14:paraId="4503E52F" w14:textId="77777777" w:rsidR="00CD16D1" w:rsidRPr="00D633FF" w:rsidRDefault="00CD16D1" w:rsidP="001B3B64">
            <w:pPr>
              <w:spacing w:after="0" w:line="360" w:lineRule="auto"/>
              <w:jc w:val="center"/>
              <w:rPr>
                <w:rFonts w:ascii="Calibri" w:eastAsia="Times New Roman" w:hAnsi="Calibri" w:cs="Calibri"/>
                <w:color w:val="000000"/>
                <w:sz w:val="18"/>
                <w:szCs w:val="18"/>
                <w:lang w:eastAsia="en-AU"/>
              </w:rPr>
            </w:pPr>
          </w:p>
        </w:tc>
        <w:tc>
          <w:tcPr>
            <w:tcW w:w="690" w:type="pct"/>
            <w:tcBorders>
              <w:top w:val="dotted" w:sz="4" w:space="0" w:color="auto"/>
              <w:bottom w:val="dotted" w:sz="4" w:space="0" w:color="auto"/>
            </w:tcBorders>
            <w:shd w:val="clear" w:color="auto" w:fill="F2CEED" w:themeFill="accent5" w:themeFillTint="33"/>
            <w:vAlign w:val="center"/>
          </w:tcPr>
          <w:p w14:paraId="417C0C06" w14:textId="1377F0D9" w:rsidR="00CD16D1" w:rsidRPr="00D633FF" w:rsidRDefault="00CD16D1" w:rsidP="001B3B64">
            <w:pPr>
              <w:spacing w:after="0" w:line="360" w:lineRule="auto"/>
              <w:jc w:val="center"/>
              <w:rPr>
                <w:rFonts w:ascii="Calibri" w:eastAsia="Times New Roman" w:hAnsi="Calibri" w:cs="Calibri"/>
                <w:color w:val="000000"/>
                <w:sz w:val="18"/>
                <w:szCs w:val="18"/>
                <w:lang w:eastAsia="en-AU"/>
              </w:rPr>
            </w:pPr>
            <w:r w:rsidRPr="00D633FF">
              <w:rPr>
                <w:rFonts w:ascii="Calibri" w:eastAsia="Times New Roman" w:hAnsi="Calibri" w:cs="Calibri"/>
                <w:color w:val="000000"/>
                <w:sz w:val="18"/>
                <w:szCs w:val="18"/>
                <w:lang w:eastAsia="en-AU"/>
              </w:rPr>
              <w:t>180</w:t>
            </w:r>
            <w:r w:rsidRPr="00D633FF">
              <w:rPr>
                <w:rFonts w:ascii="Calibri" w:eastAsia="Times New Roman" w:hAnsi="Calibri" w:cs="Calibri"/>
                <w:color w:val="000000"/>
                <w:sz w:val="18"/>
                <w:szCs w:val="18"/>
                <w:vertAlign w:val="superscript"/>
                <w:lang w:eastAsia="en-AU"/>
              </w:rPr>
              <w:t>(</w:t>
            </w:r>
            <w:r w:rsidR="00A06019" w:rsidRPr="00D633FF">
              <w:rPr>
                <w:rFonts w:ascii="Calibri" w:eastAsia="Times New Roman" w:hAnsi="Calibri" w:cs="Calibri"/>
                <w:color w:val="000000"/>
                <w:sz w:val="18"/>
                <w:szCs w:val="18"/>
                <w:vertAlign w:val="superscript"/>
                <w:lang w:eastAsia="en-AU"/>
              </w:rPr>
              <w:t>d</w:t>
            </w:r>
            <w:r w:rsidRPr="00D633FF">
              <w:rPr>
                <w:rFonts w:ascii="Calibri" w:eastAsia="Times New Roman" w:hAnsi="Calibri" w:cs="Calibri"/>
                <w:color w:val="000000"/>
                <w:sz w:val="18"/>
                <w:szCs w:val="18"/>
                <w:vertAlign w:val="superscript"/>
                <w:lang w:eastAsia="en-AU"/>
              </w:rPr>
              <w:t>)</w:t>
            </w:r>
          </w:p>
        </w:tc>
        <w:tc>
          <w:tcPr>
            <w:tcW w:w="689" w:type="pct"/>
            <w:tcBorders>
              <w:top w:val="dotted" w:sz="4" w:space="0" w:color="auto"/>
              <w:bottom w:val="dotted" w:sz="4" w:space="0" w:color="auto"/>
            </w:tcBorders>
            <w:vAlign w:val="center"/>
          </w:tcPr>
          <w:p w14:paraId="4EE614C0" w14:textId="77777777" w:rsidR="00CD16D1" w:rsidRPr="00D633FF" w:rsidRDefault="00CD16D1" w:rsidP="001B3B64">
            <w:pPr>
              <w:spacing w:after="0" w:line="360" w:lineRule="auto"/>
              <w:jc w:val="center"/>
              <w:rPr>
                <w:rFonts w:ascii="Calibri" w:eastAsia="Times New Roman" w:hAnsi="Calibri" w:cs="Calibri"/>
                <w:color w:val="000000"/>
                <w:sz w:val="18"/>
                <w:szCs w:val="18"/>
                <w:lang w:eastAsia="en-AU"/>
              </w:rPr>
            </w:pPr>
            <w:r w:rsidRPr="00D633FF">
              <w:rPr>
                <w:rFonts w:ascii="Calibri" w:eastAsia="Times New Roman" w:hAnsi="Calibri" w:cs="Calibri"/>
                <w:color w:val="000000"/>
                <w:sz w:val="18"/>
                <w:szCs w:val="18"/>
                <w:lang w:eastAsia="en-AU"/>
              </w:rPr>
              <w:t>200</w:t>
            </w:r>
            <w:r w:rsidRPr="00D633FF">
              <w:rPr>
                <w:rFonts w:ascii="Calibri" w:eastAsia="Times New Roman" w:hAnsi="Calibri" w:cs="Calibri"/>
                <w:color w:val="000000"/>
                <w:sz w:val="18"/>
                <w:szCs w:val="18"/>
                <w:vertAlign w:val="superscript"/>
                <w:lang w:eastAsia="en-AU"/>
              </w:rPr>
              <w:t>(c)</w:t>
            </w:r>
          </w:p>
        </w:tc>
        <w:tc>
          <w:tcPr>
            <w:tcW w:w="690" w:type="pct"/>
            <w:tcBorders>
              <w:top w:val="dotted" w:sz="4" w:space="0" w:color="auto"/>
              <w:bottom w:val="dotted" w:sz="4" w:space="0" w:color="auto"/>
            </w:tcBorders>
            <w:vAlign w:val="center"/>
          </w:tcPr>
          <w:p w14:paraId="6BB6EA08" w14:textId="77777777" w:rsidR="00CD16D1" w:rsidRPr="00D633FF" w:rsidRDefault="00CD16D1" w:rsidP="001B3B64">
            <w:pPr>
              <w:spacing w:after="0" w:line="360" w:lineRule="auto"/>
              <w:jc w:val="center"/>
              <w:rPr>
                <w:rFonts w:ascii="Calibri" w:eastAsia="Times New Roman" w:hAnsi="Calibri" w:cs="Calibri"/>
                <w:color w:val="000000"/>
                <w:sz w:val="18"/>
                <w:szCs w:val="18"/>
                <w:lang w:eastAsia="en-AU"/>
              </w:rPr>
            </w:pPr>
          </w:p>
        </w:tc>
        <w:tc>
          <w:tcPr>
            <w:tcW w:w="689" w:type="pct"/>
            <w:tcBorders>
              <w:top w:val="dotted" w:sz="4" w:space="0" w:color="auto"/>
              <w:bottom w:val="dotted" w:sz="4" w:space="0" w:color="auto"/>
            </w:tcBorders>
            <w:vAlign w:val="center"/>
          </w:tcPr>
          <w:p w14:paraId="633D1E67" w14:textId="77777777" w:rsidR="00CD16D1" w:rsidRPr="00D633FF" w:rsidRDefault="00CD16D1" w:rsidP="001B3B64">
            <w:pPr>
              <w:spacing w:after="0" w:line="360" w:lineRule="auto"/>
              <w:jc w:val="center"/>
              <w:rPr>
                <w:rFonts w:ascii="Calibri" w:eastAsia="Times New Roman" w:hAnsi="Calibri" w:cs="Calibri"/>
                <w:color w:val="000000"/>
                <w:sz w:val="18"/>
                <w:szCs w:val="18"/>
                <w:lang w:eastAsia="en-AU"/>
              </w:rPr>
            </w:pPr>
            <w:proofErr w:type="spellStart"/>
            <w:r w:rsidRPr="00D633FF">
              <w:rPr>
                <w:rFonts w:ascii="Calibri" w:hAnsi="Calibri" w:cs="Calibri"/>
                <w:sz w:val="18"/>
                <w:szCs w:val="18"/>
              </w:rPr>
              <w:t>nd</w:t>
            </w:r>
            <w:proofErr w:type="spellEnd"/>
          </w:p>
        </w:tc>
        <w:tc>
          <w:tcPr>
            <w:tcW w:w="691" w:type="pct"/>
            <w:tcBorders>
              <w:top w:val="dotted" w:sz="4" w:space="0" w:color="auto"/>
              <w:bottom w:val="dotted" w:sz="4" w:space="0" w:color="auto"/>
            </w:tcBorders>
            <w:vAlign w:val="center"/>
          </w:tcPr>
          <w:p w14:paraId="3AC44C08" w14:textId="77777777" w:rsidR="00CD16D1" w:rsidRPr="00D633FF" w:rsidRDefault="00CD16D1" w:rsidP="001B3B64">
            <w:pPr>
              <w:spacing w:after="0" w:line="360" w:lineRule="auto"/>
              <w:jc w:val="center"/>
              <w:rPr>
                <w:rFonts w:ascii="Calibri" w:eastAsia="Times New Roman" w:hAnsi="Calibri" w:cs="Calibri"/>
                <w:color w:val="000000"/>
                <w:sz w:val="18"/>
                <w:szCs w:val="18"/>
                <w:lang w:eastAsia="en-AU"/>
              </w:rPr>
            </w:pPr>
            <w:proofErr w:type="spellStart"/>
            <w:r w:rsidRPr="00D633FF">
              <w:rPr>
                <w:rFonts w:ascii="Calibri" w:hAnsi="Calibri" w:cs="Calibri"/>
                <w:sz w:val="18"/>
                <w:szCs w:val="18"/>
              </w:rPr>
              <w:t>nd</w:t>
            </w:r>
            <w:proofErr w:type="spellEnd"/>
          </w:p>
        </w:tc>
      </w:tr>
      <w:tr w:rsidR="001B3B64" w:rsidRPr="00D633FF" w14:paraId="51014E76" w14:textId="77777777" w:rsidTr="001D7295">
        <w:trPr>
          <w:trHeight w:val="310"/>
        </w:trPr>
        <w:tc>
          <w:tcPr>
            <w:tcW w:w="862" w:type="pct"/>
            <w:tcBorders>
              <w:top w:val="dotted" w:sz="4" w:space="0" w:color="auto"/>
              <w:bottom w:val="dotted" w:sz="4" w:space="0" w:color="auto"/>
            </w:tcBorders>
            <w:noWrap/>
            <w:vAlign w:val="bottom"/>
            <w:hideMark/>
          </w:tcPr>
          <w:p w14:paraId="469E37B5" w14:textId="77777777" w:rsidR="00CD16D1" w:rsidRPr="00D633FF" w:rsidRDefault="00CD16D1">
            <w:pPr>
              <w:spacing w:after="0" w:line="360" w:lineRule="auto"/>
              <w:rPr>
                <w:rFonts w:ascii="Calibri" w:eastAsia="Times New Roman" w:hAnsi="Calibri" w:cs="Calibri"/>
                <w:color w:val="000000"/>
                <w:sz w:val="18"/>
                <w:szCs w:val="18"/>
                <w:lang w:eastAsia="en-AU"/>
              </w:rPr>
            </w:pPr>
            <w:r w:rsidRPr="00D633FF">
              <w:rPr>
                <w:rFonts w:ascii="Calibri" w:eastAsia="Times New Roman" w:hAnsi="Calibri" w:cs="Calibri"/>
                <w:color w:val="000000"/>
                <w:sz w:val="18"/>
                <w:szCs w:val="18"/>
                <w:lang w:eastAsia="en-AU"/>
              </w:rPr>
              <w:t>14-18 years</w:t>
            </w:r>
          </w:p>
        </w:tc>
        <w:tc>
          <w:tcPr>
            <w:tcW w:w="689" w:type="pct"/>
            <w:tcBorders>
              <w:top w:val="dotted" w:sz="4" w:space="0" w:color="auto"/>
              <w:bottom w:val="dotted" w:sz="4" w:space="0" w:color="auto"/>
            </w:tcBorders>
            <w:shd w:val="clear" w:color="auto" w:fill="DAE9F7" w:themeFill="text2" w:themeFillTint="1A"/>
            <w:vAlign w:val="center"/>
          </w:tcPr>
          <w:p w14:paraId="3ECC05C0" w14:textId="078F5624" w:rsidR="00CD16D1" w:rsidRPr="00D633FF" w:rsidRDefault="00CD16D1" w:rsidP="001B3B64">
            <w:pPr>
              <w:spacing w:after="0" w:line="360" w:lineRule="auto"/>
              <w:jc w:val="center"/>
              <w:rPr>
                <w:rFonts w:ascii="Calibri" w:eastAsia="Times New Roman" w:hAnsi="Calibri" w:cs="Calibri"/>
                <w:color w:val="000000"/>
                <w:sz w:val="18"/>
                <w:szCs w:val="18"/>
                <w:lang w:eastAsia="en-AU"/>
              </w:rPr>
            </w:pPr>
            <w:r w:rsidRPr="00D633FF">
              <w:rPr>
                <w:rFonts w:ascii="Calibri" w:eastAsia="Times New Roman" w:hAnsi="Calibri" w:cs="Calibri"/>
                <w:color w:val="000000"/>
                <w:sz w:val="18"/>
                <w:szCs w:val="18"/>
                <w:lang w:eastAsia="en-AU"/>
              </w:rPr>
              <w:t>400</w:t>
            </w:r>
            <w:r w:rsidRPr="00D633FF">
              <w:rPr>
                <w:rFonts w:ascii="Calibri" w:eastAsia="Times New Roman" w:hAnsi="Calibri" w:cs="Calibri"/>
                <w:color w:val="000000"/>
                <w:sz w:val="18"/>
                <w:szCs w:val="18"/>
                <w:vertAlign w:val="superscript"/>
                <w:lang w:eastAsia="en-AU"/>
              </w:rPr>
              <w:t>(</w:t>
            </w:r>
            <w:r w:rsidR="00A06019" w:rsidRPr="00D633FF">
              <w:rPr>
                <w:rFonts w:ascii="Calibri" w:eastAsia="Times New Roman" w:hAnsi="Calibri" w:cs="Calibri"/>
                <w:color w:val="000000"/>
                <w:sz w:val="18"/>
                <w:szCs w:val="18"/>
                <w:vertAlign w:val="superscript"/>
                <w:lang w:eastAsia="en-AU"/>
              </w:rPr>
              <w:t>c</w:t>
            </w:r>
            <w:r w:rsidRPr="00D633FF">
              <w:rPr>
                <w:rFonts w:ascii="Calibri" w:eastAsia="Times New Roman" w:hAnsi="Calibri" w:cs="Calibri"/>
                <w:color w:val="000000"/>
                <w:sz w:val="18"/>
                <w:szCs w:val="18"/>
                <w:vertAlign w:val="superscript"/>
                <w:lang w:eastAsia="en-AU"/>
              </w:rPr>
              <w:t>)</w:t>
            </w:r>
          </w:p>
        </w:tc>
        <w:tc>
          <w:tcPr>
            <w:tcW w:w="690" w:type="pct"/>
            <w:tcBorders>
              <w:top w:val="dotted" w:sz="4" w:space="0" w:color="auto"/>
              <w:bottom w:val="dotted" w:sz="4" w:space="0" w:color="auto"/>
            </w:tcBorders>
            <w:vAlign w:val="center"/>
          </w:tcPr>
          <w:p w14:paraId="34057F47" w14:textId="77777777" w:rsidR="00CD16D1" w:rsidRPr="00D633FF" w:rsidRDefault="00CD16D1" w:rsidP="001B3B64">
            <w:pPr>
              <w:spacing w:after="0" w:line="360" w:lineRule="auto"/>
              <w:jc w:val="center"/>
              <w:rPr>
                <w:rFonts w:ascii="Calibri" w:eastAsia="Times New Roman" w:hAnsi="Calibri" w:cs="Calibri"/>
                <w:color w:val="000000"/>
                <w:sz w:val="18"/>
                <w:szCs w:val="18"/>
                <w:lang w:eastAsia="en-AU"/>
              </w:rPr>
            </w:pPr>
          </w:p>
        </w:tc>
        <w:tc>
          <w:tcPr>
            <w:tcW w:w="689" w:type="pct"/>
            <w:tcBorders>
              <w:top w:val="dotted" w:sz="4" w:space="0" w:color="auto"/>
              <w:bottom w:val="dotted" w:sz="4" w:space="0" w:color="auto"/>
            </w:tcBorders>
            <w:vAlign w:val="center"/>
          </w:tcPr>
          <w:p w14:paraId="51F0892E" w14:textId="77777777" w:rsidR="00CD16D1" w:rsidRPr="00D633FF" w:rsidRDefault="00CD16D1" w:rsidP="001B3B64">
            <w:pPr>
              <w:spacing w:after="0" w:line="360" w:lineRule="auto"/>
              <w:jc w:val="center"/>
              <w:rPr>
                <w:rFonts w:ascii="Calibri" w:eastAsia="Times New Roman" w:hAnsi="Calibri" w:cs="Calibri"/>
                <w:color w:val="000000"/>
                <w:sz w:val="18"/>
                <w:szCs w:val="18"/>
                <w:lang w:eastAsia="en-AU"/>
              </w:rPr>
            </w:pPr>
          </w:p>
        </w:tc>
        <w:tc>
          <w:tcPr>
            <w:tcW w:w="690" w:type="pct"/>
            <w:tcBorders>
              <w:top w:val="dotted" w:sz="4" w:space="0" w:color="auto"/>
              <w:bottom w:val="dotted" w:sz="4" w:space="0" w:color="auto"/>
            </w:tcBorders>
            <w:vAlign w:val="center"/>
          </w:tcPr>
          <w:p w14:paraId="13CB8101" w14:textId="55BB4D72" w:rsidR="00CD16D1" w:rsidRPr="00D633FF" w:rsidRDefault="00CD16D1" w:rsidP="001B3B64">
            <w:pPr>
              <w:spacing w:after="0" w:line="360" w:lineRule="auto"/>
              <w:jc w:val="center"/>
              <w:rPr>
                <w:rFonts w:ascii="Calibri" w:eastAsia="Times New Roman" w:hAnsi="Calibri" w:cs="Calibri"/>
                <w:color w:val="000000"/>
                <w:sz w:val="18"/>
                <w:szCs w:val="18"/>
                <w:lang w:eastAsia="en-AU"/>
              </w:rPr>
            </w:pPr>
            <w:r w:rsidRPr="00D633FF">
              <w:rPr>
                <w:rFonts w:ascii="Calibri" w:eastAsia="Times New Roman" w:hAnsi="Calibri" w:cs="Calibri"/>
                <w:color w:val="000000"/>
                <w:sz w:val="18"/>
                <w:szCs w:val="18"/>
                <w:lang w:eastAsia="en-AU"/>
              </w:rPr>
              <w:t>400</w:t>
            </w:r>
            <w:r w:rsidRPr="00D633FF">
              <w:rPr>
                <w:rFonts w:ascii="Calibri" w:eastAsia="Times New Roman" w:hAnsi="Calibri" w:cs="Calibri"/>
                <w:color w:val="000000"/>
                <w:sz w:val="18"/>
                <w:szCs w:val="18"/>
                <w:vertAlign w:val="superscript"/>
                <w:lang w:eastAsia="en-AU"/>
              </w:rPr>
              <w:t>(</w:t>
            </w:r>
            <w:r w:rsidR="005C5EAE" w:rsidRPr="00D633FF">
              <w:rPr>
                <w:rFonts w:ascii="Calibri" w:eastAsia="Times New Roman" w:hAnsi="Calibri" w:cs="Calibri"/>
                <w:color w:val="000000"/>
                <w:sz w:val="18"/>
                <w:szCs w:val="18"/>
                <w:vertAlign w:val="superscript"/>
                <w:lang w:eastAsia="en-AU"/>
              </w:rPr>
              <w:t>c</w:t>
            </w:r>
            <w:r w:rsidRPr="00D633FF">
              <w:rPr>
                <w:rFonts w:ascii="Calibri" w:eastAsia="Times New Roman" w:hAnsi="Calibri" w:cs="Calibri"/>
                <w:color w:val="000000"/>
                <w:sz w:val="18"/>
                <w:szCs w:val="18"/>
                <w:vertAlign w:val="superscript"/>
                <w:lang w:eastAsia="en-AU"/>
              </w:rPr>
              <w:t>)</w:t>
            </w:r>
          </w:p>
        </w:tc>
        <w:tc>
          <w:tcPr>
            <w:tcW w:w="689" w:type="pct"/>
            <w:tcBorders>
              <w:top w:val="dotted" w:sz="4" w:space="0" w:color="auto"/>
              <w:bottom w:val="dotted" w:sz="4" w:space="0" w:color="auto"/>
            </w:tcBorders>
            <w:vAlign w:val="center"/>
          </w:tcPr>
          <w:p w14:paraId="0120CE4C" w14:textId="77777777" w:rsidR="00CD16D1" w:rsidRPr="00D633FF" w:rsidRDefault="00CD16D1" w:rsidP="001B3B64">
            <w:pPr>
              <w:spacing w:after="0" w:line="360" w:lineRule="auto"/>
              <w:jc w:val="center"/>
              <w:rPr>
                <w:rFonts w:ascii="Calibri" w:eastAsia="Times New Roman" w:hAnsi="Calibri" w:cs="Calibri"/>
                <w:color w:val="000000"/>
                <w:sz w:val="18"/>
                <w:szCs w:val="18"/>
                <w:lang w:eastAsia="en-AU"/>
              </w:rPr>
            </w:pPr>
          </w:p>
        </w:tc>
        <w:tc>
          <w:tcPr>
            <w:tcW w:w="691" w:type="pct"/>
            <w:tcBorders>
              <w:top w:val="dotted" w:sz="4" w:space="0" w:color="auto"/>
              <w:bottom w:val="dotted" w:sz="4" w:space="0" w:color="auto"/>
            </w:tcBorders>
            <w:vAlign w:val="center"/>
          </w:tcPr>
          <w:p w14:paraId="6296DF4C" w14:textId="77777777" w:rsidR="00CD16D1" w:rsidRPr="00D633FF" w:rsidRDefault="00CD16D1" w:rsidP="001B3B64">
            <w:pPr>
              <w:spacing w:after="0" w:line="360" w:lineRule="auto"/>
              <w:jc w:val="center"/>
              <w:rPr>
                <w:rFonts w:ascii="Calibri" w:eastAsia="Times New Roman" w:hAnsi="Calibri" w:cs="Calibri"/>
                <w:color w:val="000000"/>
                <w:sz w:val="18"/>
                <w:szCs w:val="18"/>
                <w:lang w:eastAsia="en-AU"/>
              </w:rPr>
            </w:pPr>
          </w:p>
        </w:tc>
      </w:tr>
      <w:tr w:rsidR="001B3B64" w:rsidRPr="00D633FF" w14:paraId="6B6A8A2D" w14:textId="77777777" w:rsidTr="005659A6">
        <w:trPr>
          <w:trHeight w:val="310"/>
        </w:trPr>
        <w:tc>
          <w:tcPr>
            <w:tcW w:w="862" w:type="pct"/>
            <w:tcBorders>
              <w:top w:val="dotted" w:sz="4" w:space="0" w:color="auto"/>
              <w:bottom w:val="single" w:sz="4" w:space="0" w:color="auto"/>
            </w:tcBorders>
            <w:noWrap/>
            <w:vAlign w:val="bottom"/>
            <w:hideMark/>
          </w:tcPr>
          <w:p w14:paraId="3A2BE0BB" w14:textId="77777777" w:rsidR="00CD16D1" w:rsidRPr="00D633FF" w:rsidRDefault="00CD16D1">
            <w:pPr>
              <w:spacing w:after="0" w:line="360" w:lineRule="auto"/>
              <w:rPr>
                <w:rFonts w:ascii="Calibri" w:eastAsia="Times New Roman" w:hAnsi="Calibri" w:cs="Calibri"/>
                <w:color w:val="000000"/>
                <w:sz w:val="18"/>
                <w:szCs w:val="18"/>
                <w:lang w:eastAsia="en-AU"/>
              </w:rPr>
            </w:pPr>
            <w:r w:rsidRPr="00D633FF">
              <w:rPr>
                <w:rFonts w:ascii="Calibri" w:eastAsia="Times New Roman" w:hAnsi="Calibri" w:cs="Calibri"/>
                <w:color w:val="000000"/>
                <w:sz w:val="18"/>
                <w:szCs w:val="18"/>
                <w:lang w:eastAsia="en-AU"/>
              </w:rPr>
              <w:t>15-17 years</w:t>
            </w:r>
          </w:p>
        </w:tc>
        <w:tc>
          <w:tcPr>
            <w:tcW w:w="689" w:type="pct"/>
            <w:tcBorders>
              <w:top w:val="dotted" w:sz="4" w:space="0" w:color="auto"/>
              <w:bottom w:val="single" w:sz="4" w:space="0" w:color="auto"/>
            </w:tcBorders>
            <w:vAlign w:val="center"/>
          </w:tcPr>
          <w:p w14:paraId="405933EF" w14:textId="77777777" w:rsidR="00CD16D1" w:rsidRPr="00D633FF" w:rsidRDefault="00CD16D1" w:rsidP="001B3B64">
            <w:pPr>
              <w:spacing w:after="0" w:line="360" w:lineRule="auto"/>
              <w:jc w:val="center"/>
              <w:rPr>
                <w:rFonts w:ascii="Calibri" w:eastAsia="Times New Roman" w:hAnsi="Calibri" w:cs="Calibri"/>
                <w:color w:val="000000"/>
                <w:sz w:val="18"/>
                <w:szCs w:val="18"/>
                <w:lang w:eastAsia="en-AU"/>
              </w:rPr>
            </w:pPr>
          </w:p>
        </w:tc>
        <w:tc>
          <w:tcPr>
            <w:tcW w:w="690" w:type="pct"/>
            <w:tcBorders>
              <w:top w:val="dotted" w:sz="4" w:space="0" w:color="auto"/>
              <w:bottom w:val="single" w:sz="4" w:space="0" w:color="auto"/>
            </w:tcBorders>
            <w:shd w:val="clear" w:color="auto" w:fill="F2CEED" w:themeFill="accent5" w:themeFillTint="33"/>
            <w:vAlign w:val="center"/>
          </w:tcPr>
          <w:p w14:paraId="392A3509" w14:textId="45BB5DD2" w:rsidR="00CD16D1" w:rsidRPr="00D633FF" w:rsidRDefault="00CD16D1" w:rsidP="001B3B64">
            <w:pPr>
              <w:spacing w:after="0" w:line="360" w:lineRule="auto"/>
              <w:jc w:val="center"/>
              <w:rPr>
                <w:rFonts w:ascii="Calibri" w:eastAsia="Times New Roman" w:hAnsi="Calibri" w:cs="Calibri"/>
                <w:color w:val="000000"/>
                <w:sz w:val="18"/>
                <w:szCs w:val="18"/>
                <w:lang w:eastAsia="en-AU"/>
              </w:rPr>
            </w:pPr>
            <w:r w:rsidRPr="00D633FF">
              <w:rPr>
                <w:rFonts w:ascii="Calibri" w:eastAsia="Times New Roman" w:hAnsi="Calibri" w:cs="Calibri"/>
                <w:color w:val="000000"/>
                <w:sz w:val="18"/>
                <w:szCs w:val="18"/>
                <w:lang w:eastAsia="en-AU"/>
              </w:rPr>
              <w:t>230</w:t>
            </w:r>
            <w:r w:rsidRPr="00D633FF">
              <w:rPr>
                <w:rFonts w:ascii="Calibri" w:eastAsia="Times New Roman" w:hAnsi="Calibri" w:cs="Calibri"/>
                <w:color w:val="000000"/>
                <w:sz w:val="18"/>
                <w:szCs w:val="18"/>
                <w:vertAlign w:val="superscript"/>
                <w:lang w:eastAsia="en-AU"/>
              </w:rPr>
              <w:t>(</w:t>
            </w:r>
            <w:r w:rsidR="00A06019" w:rsidRPr="00D633FF">
              <w:rPr>
                <w:rFonts w:ascii="Calibri" w:eastAsia="Times New Roman" w:hAnsi="Calibri" w:cs="Calibri"/>
                <w:color w:val="000000"/>
                <w:sz w:val="18"/>
                <w:szCs w:val="18"/>
                <w:vertAlign w:val="superscript"/>
                <w:lang w:eastAsia="en-AU"/>
              </w:rPr>
              <w:t>d</w:t>
            </w:r>
            <w:r w:rsidRPr="00D633FF">
              <w:rPr>
                <w:rFonts w:ascii="Calibri" w:eastAsia="Times New Roman" w:hAnsi="Calibri" w:cs="Calibri"/>
                <w:color w:val="000000"/>
                <w:sz w:val="18"/>
                <w:szCs w:val="18"/>
                <w:vertAlign w:val="superscript"/>
                <w:lang w:eastAsia="en-AU"/>
              </w:rPr>
              <w:t>)</w:t>
            </w:r>
          </w:p>
        </w:tc>
        <w:tc>
          <w:tcPr>
            <w:tcW w:w="689" w:type="pct"/>
            <w:tcBorders>
              <w:top w:val="dotted" w:sz="4" w:space="0" w:color="auto"/>
              <w:bottom w:val="single" w:sz="4" w:space="0" w:color="auto"/>
            </w:tcBorders>
            <w:vAlign w:val="center"/>
          </w:tcPr>
          <w:p w14:paraId="2341729D" w14:textId="77777777" w:rsidR="00CD16D1" w:rsidRPr="00D633FF" w:rsidRDefault="00CD16D1" w:rsidP="001B3B64">
            <w:pPr>
              <w:spacing w:after="0" w:line="360" w:lineRule="auto"/>
              <w:jc w:val="center"/>
              <w:rPr>
                <w:rFonts w:ascii="Calibri" w:eastAsia="Times New Roman" w:hAnsi="Calibri" w:cs="Calibri"/>
                <w:color w:val="000000"/>
                <w:sz w:val="18"/>
                <w:szCs w:val="18"/>
                <w:lang w:eastAsia="en-AU"/>
              </w:rPr>
            </w:pPr>
            <w:r w:rsidRPr="00D633FF">
              <w:rPr>
                <w:rFonts w:ascii="Calibri" w:eastAsia="Times New Roman" w:hAnsi="Calibri" w:cs="Calibri"/>
                <w:color w:val="000000"/>
                <w:sz w:val="18"/>
                <w:szCs w:val="18"/>
                <w:lang w:eastAsia="en-AU"/>
              </w:rPr>
              <w:t>250</w:t>
            </w:r>
            <w:r w:rsidRPr="00D633FF">
              <w:rPr>
                <w:rFonts w:ascii="Calibri" w:eastAsia="Times New Roman" w:hAnsi="Calibri" w:cs="Calibri"/>
                <w:color w:val="000000"/>
                <w:sz w:val="18"/>
                <w:szCs w:val="18"/>
                <w:vertAlign w:val="superscript"/>
                <w:lang w:eastAsia="en-AU"/>
              </w:rPr>
              <w:t>(c)</w:t>
            </w:r>
          </w:p>
        </w:tc>
        <w:tc>
          <w:tcPr>
            <w:tcW w:w="690" w:type="pct"/>
            <w:tcBorders>
              <w:top w:val="dotted" w:sz="4" w:space="0" w:color="auto"/>
              <w:bottom w:val="single" w:sz="4" w:space="0" w:color="auto"/>
            </w:tcBorders>
            <w:vAlign w:val="center"/>
          </w:tcPr>
          <w:p w14:paraId="20D6AA6F" w14:textId="77777777" w:rsidR="00CD16D1" w:rsidRPr="00D633FF" w:rsidRDefault="00CD16D1" w:rsidP="001B3B64">
            <w:pPr>
              <w:spacing w:after="0" w:line="360" w:lineRule="auto"/>
              <w:jc w:val="center"/>
              <w:rPr>
                <w:rFonts w:ascii="Calibri" w:eastAsia="Times New Roman" w:hAnsi="Calibri" w:cs="Calibri"/>
                <w:color w:val="000000"/>
                <w:sz w:val="18"/>
                <w:szCs w:val="18"/>
                <w:lang w:eastAsia="en-AU"/>
              </w:rPr>
            </w:pPr>
          </w:p>
        </w:tc>
        <w:tc>
          <w:tcPr>
            <w:tcW w:w="689" w:type="pct"/>
            <w:tcBorders>
              <w:top w:val="dotted" w:sz="4" w:space="0" w:color="auto"/>
              <w:bottom w:val="single" w:sz="4" w:space="0" w:color="auto"/>
            </w:tcBorders>
            <w:vAlign w:val="center"/>
          </w:tcPr>
          <w:p w14:paraId="66551D0B" w14:textId="77777777" w:rsidR="00CD16D1" w:rsidRPr="00D633FF" w:rsidRDefault="00CD16D1" w:rsidP="001B3B64">
            <w:pPr>
              <w:spacing w:after="0" w:line="360" w:lineRule="auto"/>
              <w:jc w:val="center"/>
              <w:rPr>
                <w:rFonts w:ascii="Calibri" w:eastAsia="Times New Roman" w:hAnsi="Calibri" w:cs="Calibri"/>
                <w:color w:val="000000"/>
                <w:sz w:val="18"/>
                <w:szCs w:val="18"/>
                <w:lang w:eastAsia="en-AU"/>
              </w:rPr>
            </w:pPr>
            <w:proofErr w:type="spellStart"/>
            <w:r w:rsidRPr="00D633FF">
              <w:rPr>
                <w:rFonts w:ascii="Calibri" w:hAnsi="Calibri" w:cs="Calibri"/>
                <w:sz w:val="18"/>
                <w:szCs w:val="18"/>
              </w:rPr>
              <w:t>nd</w:t>
            </w:r>
            <w:proofErr w:type="spellEnd"/>
          </w:p>
        </w:tc>
        <w:tc>
          <w:tcPr>
            <w:tcW w:w="691" w:type="pct"/>
            <w:tcBorders>
              <w:top w:val="dotted" w:sz="4" w:space="0" w:color="auto"/>
              <w:bottom w:val="single" w:sz="4" w:space="0" w:color="auto"/>
            </w:tcBorders>
            <w:vAlign w:val="center"/>
          </w:tcPr>
          <w:p w14:paraId="6A481C17" w14:textId="77777777" w:rsidR="00CD16D1" w:rsidRPr="00D633FF" w:rsidRDefault="00CD16D1" w:rsidP="001B3B64">
            <w:pPr>
              <w:spacing w:after="0" w:line="360" w:lineRule="auto"/>
              <w:jc w:val="center"/>
              <w:rPr>
                <w:rFonts w:ascii="Calibri" w:eastAsia="Times New Roman" w:hAnsi="Calibri" w:cs="Calibri"/>
                <w:color w:val="000000"/>
                <w:sz w:val="18"/>
                <w:szCs w:val="18"/>
                <w:lang w:eastAsia="en-AU"/>
              </w:rPr>
            </w:pPr>
            <w:proofErr w:type="spellStart"/>
            <w:r w:rsidRPr="00D633FF">
              <w:rPr>
                <w:rFonts w:ascii="Calibri" w:hAnsi="Calibri" w:cs="Calibri"/>
                <w:sz w:val="18"/>
                <w:szCs w:val="18"/>
              </w:rPr>
              <w:t>nd</w:t>
            </w:r>
            <w:proofErr w:type="spellEnd"/>
          </w:p>
        </w:tc>
      </w:tr>
      <w:tr w:rsidR="003C0772" w:rsidRPr="00D633FF" w14:paraId="59B46671" w14:textId="77777777" w:rsidTr="005659A6">
        <w:trPr>
          <w:trHeight w:val="310"/>
        </w:trPr>
        <w:tc>
          <w:tcPr>
            <w:tcW w:w="862" w:type="pct"/>
            <w:tcBorders>
              <w:top w:val="single" w:sz="4" w:space="0" w:color="auto"/>
              <w:right w:val="nil"/>
            </w:tcBorders>
            <w:shd w:val="clear" w:color="auto" w:fill="C1E4F5" w:themeFill="accent1" w:themeFillTint="33"/>
            <w:noWrap/>
            <w:vAlign w:val="bottom"/>
          </w:tcPr>
          <w:p w14:paraId="65D37D13" w14:textId="3FA25A89" w:rsidR="003C0772" w:rsidRPr="00D633FF" w:rsidRDefault="003C0772">
            <w:pPr>
              <w:spacing w:after="0" w:line="360" w:lineRule="auto"/>
              <w:rPr>
                <w:rFonts w:ascii="Calibri" w:eastAsia="Times New Roman" w:hAnsi="Calibri" w:cs="Calibri"/>
                <w:color w:val="000000"/>
                <w:sz w:val="18"/>
                <w:szCs w:val="18"/>
                <w:lang w:eastAsia="en-AU"/>
              </w:rPr>
            </w:pPr>
            <w:r w:rsidRPr="00D633FF">
              <w:rPr>
                <w:rFonts w:ascii="Calibri" w:eastAsia="Times New Roman" w:hAnsi="Calibri" w:cs="Calibri"/>
                <w:b/>
                <w:bCs/>
                <w:color w:val="000000"/>
                <w:sz w:val="18"/>
                <w:szCs w:val="18"/>
                <w:lang w:eastAsia="en-AU"/>
              </w:rPr>
              <w:t>Adults</w:t>
            </w:r>
          </w:p>
        </w:tc>
        <w:tc>
          <w:tcPr>
            <w:tcW w:w="689" w:type="pct"/>
            <w:tcBorders>
              <w:top w:val="single" w:sz="4" w:space="0" w:color="auto"/>
              <w:left w:val="nil"/>
              <w:right w:val="nil"/>
            </w:tcBorders>
            <w:shd w:val="clear" w:color="auto" w:fill="C1E4F5" w:themeFill="accent1" w:themeFillTint="33"/>
            <w:vAlign w:val="center"/>
          </w:tcPr>
          <w:p w14:paraId="7D7233A4" w14:textId="77777777" w:rsidR="003C0772" w:rsidRPr="00D633FF" w:rsidRDefault="003C0772" w:rsidP="001B3B64">
            <w:pPr>
              <w:spacing w:after="0" w:line="360" w:lineRule="auto"/>
              <w:jc w:val="center"/>
              <w:rPr>
                <w:rFonts w:ascii="Calibri" w:eastAsia="Times New Roman" w:hAnsi="Calibri" w:cs="Calibri"/>
                <w:color w:val="000000"/>
                <w:sz w:val="18"/>
                <w:szCs w:val="18"/>
                <w:lang w:eastAsia="en-AU"/>
              </w:rPr>
            </w:pPr>
          </w:p>
        </w:tc>
        <w:tc>
          <w:tcPr>
            <w:tcW w:w="690" w:type="pct"/>
            <w:tcBorders>
              <w:top w:val="single" w:sz="4" w:space="0" w:color="auto"/>
              <w:left w:val="nil"/>
              <w:bottom w:val="single" w:sz="4" w:space="0" w:color="auto"/>
              <w:right w:val="nil"/>
            </w:tcBorders>
            <w:shd w:val="clear" w:color="auto" w:fill="C1E4F5" w:themeFill="accent1" w:themeFillTint="33"/>
            <w:vAlign w:val="center"/>
          </w:tcPr>
          <w:p w14:paraId="21341071" w14:textId="77777777" w:rsidR="003C0772" w:rsidRPr="00D633FF" w:rsidRDefault="003C0772" w:rsidP="001B3B64">
            <w:pPr>
              <w:spacing w:after="0" w:line="360" w:lineRule="auto"/>
              <w:jc w:val="center"/>
              <w:rPr>
                <w:rFonts w:ascii="Calibri" w:eastAsia="Times New Roman" w:hAnsi="Calibri" w:cs="Calibri"/>
                <w:color w:val="000000"/>
                <w:sz w:val="18"/>
                <w:szCs w:val="18"/>
                <w:lang w:eastAsia="en-AU"/>
              </w:rPr>
            </w:pPr>
          </w:p>
        </w:tc>
        <w:tc>
          <w:tcPr>
            <w:tcW w:w="689" w:type="pct"/>
            <w:tcBorders>
              <w:top w:val="single" w:sz="4" w:space="0" w:color="auto"/>
              <w:left w:val="nil"/>
              <w:bottom w:val="single" w:sz="4" w:space="0" w:color="auto"/>
              <w:right w:val="nil"/>
            </w:tcBorders>
            <w:shd w:val="clear" w:color="auto" w:fill="C1E4F5" w:themeFill="accent1" w:themeFillTint="33"/>
            <w:vAlign w:val="center"/>
          </w:tcPr>
          <w:p w14:paraId="65678E3F" w14:textId="77777777" w:rsidR="003C0772" w:rsidRPr="00D633FF" w:rsidRDefault="003C0772" w:rsidP="001B3B64">
            <w:pPr>
              <w:spacing w:after="0" w:line="360" w:lineRule="auto"/>
              <w:jc w:val="center"/>
              <w:rPr>
                <w:rFonts w:ascii="Calibri" w:eastAsia="Times New Roman" w:hAnsi="Calibri" w:cs="Calibri"/>
                <w:color w:val="000000"/>
                <w:sz w:val="18"/>
                <w:szCs w:val="18"/>
                <w:lang w:eastAsia="en-AU"/>
              </w:rPr>
            </w:pPr>
          </w:p>
        </w:tc>
        <w:tc>
          <w:tcPr>
            <w:tcW w:w="690" w:type="pct"/>
            <w:tcBorders>
              <w:top w:val="single" w:sz="4" w:space="0" w:color="auto"/>
              <w:left w:val="nil"/>
              <w:right w:val="nil"/>
            </w:tcBorders>
            <w:shd w:val="clear" w:color="auto" w:fill="C1E4F5" w:themeFill="accent1" w:themeFillTint="33"/>
            <w:vAlign w:val="center"/>
          </w:tcPr>
          <w:p w14:paraId="50C906DD" w14:textId="77777777" w:rsidR="003C0772" w:rsidRPr="00D633FF" w:rsidRDefault="003C0772" w:rsidP="001B3B64">
            <w:pPr>
              <w:spacing w:after="0" w:line="360" w:lineRule="auto"/>
              <w:jc w:val="center"/>
              <w:rPr>
                <w:rFonts w:ascii="Calibri" w:eastAsia="Times New Roman" w:hAnsi="Calibri" w:cs="Calibri"/>
                <w:color w:val="000000"/>
                <w:sz w:val="18"/>
                <w:szCs w:val="18"/>
                <w:lang w:eastAsia="en-AU"/>
              </w:rPr>
            </w:pPr>
          </w:p>
        </w:tc>
        <w:tc>
          <w:tcPr>
            <w:tcW w:w="689" w:type="pct"/>
            <w:tcBorders>
              <w:top w:val="single" w:sz="4" w:space="0" w:color="auto"/>
              <w:left w:val="nil"/>
              <w:right w:val="nil"/>
            </w:tcBorders>
            <w:shd w:val="clear" w:color="auto" w:fill="C1E4F5" w:themeFill="accent1" w:themeFillTint="33"/>
            <w:vAlign w:val="center"/>
          </w:tcPr>
          <w:p w14:paraId="4B192F6A" w14:textId="77777777" w:rsidR="003C0772" w:rsidRPr="00D633FF" w:rsidRDefault="003C0772" w:rsidP="001B3B64">
            <w:pPr>
              <w:spacing w:after="0" w:line="360" w:lineRule="auto"/>
              <w:jc w:val="center"/>
              <w:rPr>
                <w:rFonts w:ascii="Calibri" w:hAnsi="Calibri" w:cs="Calibri"/>
                <w:sz w:val="18"/>
                <w:szCs w:val="18"/>
              </w:rPr>
            </w:pPr>
          </w:p>
        </w:tc>
        <w:tc>
          <w:tcPr>
            <w:tcW w:w="691" w:type="pct"/>
            <w:tcBorders>
              <w:top w:val="single" w:sz="4" w:space="0" w:color="auto"/>
              <w:left w:val="nil"/>
            </w:tcBorders>
            <w:shd w:val="clear" w:color="auto" w:fill="C1E4F5" w:themeFill="accent1" w:themeFillTint="33"/>
            <w:vAlign w:val="center"/>
          </w:tcPr>
          <w:p w14:paraId="203CDB43" w14:textId="77777777" w:rsidR="003C0772" w:rsidRPr="00D633FF" w:rsidRDefault="003C0772" w:rsidP="001B3B64">
            <w:pPr>
              <w:spacing w:after="0" w:line="360" w:lineRule="auto"/>
              <w:jc w:val="center"/>
              <w:rPr>
                <w:rFonts w:ascii="Calibri" w:hAnsi="Calibri" w:cs="Calibri"/>
                <w:sz w:val="18"/>
                <w:szCs w:val="18"/>
              </w:rPr>
            </w:pPr>
          </w:p>
        </w:tc>
      </w:tr>
      <w:tr w:rsidR="003C0772" w:rsidRPr="00D633FF" w14:paraId="55CCF05D" w14:textId="77777777" w:rsidTr="005634FD">
        <w:trPr>
          <w:trHeight w:val="310"/>
        </w:trPr>
        <w:tc>
          <w:tcPr>
            <w:tcW w:w="862" w:type="pct"/>
            <w:tcBorders>
              <w:top w:val="dotted" w:sz="4" w:space="0" w:color="auto"/>
            </w:tcBorders>
            <w:noWrap/>
            <w:vAlign w:val="bottom"/>
          </w:tcPr>
          <w:p w14:paraId="4CF6C7BE" w14:textId="7794A849" w:rsidR="003C0772" w:rsidRPr="00D633FF" w:rsidRDefault="003C0772">
            <w:pPr>
              <w:spacing w:after="0" w:line="360" w:lineRule="auto"/>
              <w:rPr>
                <w:rFonts w:ascii="Calibri" w:eastAsia="Times New Roman" w:hAnsi="Calibri" w:cs="Calibri"/>
                <w:color w:val="000000"/>
                <w:sz w:val="18"/>
                <w:szCs w:val="18"/>
                <w:lang w:eastAsia="en-AU"/>
              </w:rPr>
            </w:pPr>
            <w:r w:rsidRPr="00D633FF">
              <w:rPr>
                <w:rFonts w:ascii="Calibri" w:eastAsia="Times New Roman" w:hAnsi="Calibri" w:cs="Calibri"/>
                <w:color w:val="000000"/>
                <w:sz w:val="18"/>
                <w:szCs w:val="18"/>
                <w:lang w:eastAsia="en-AU"/>
              </w:rPr>
              <w:t>≥ 18 years</w:t>
            </w:r>
          </w:p>
        </w:tc>
        <w:tc>
          <w:tcPr>
            <w:tcW w:w="689" w:type="pct"/>
            <w:tcBorders>
              <w:top w:val="dotted" w:sz="4" w:space="0" w:color="auto"/>
            </w:tcBorders>
            <w:shd w:val="clear" w:color="auto" w:fill="DAE9F7" w:themeFill="text2" w:themeFillTint="1A"/>
            <w:vAlign w:val="center"/>
          </w:tcPr>
          <w:p w14:paraId="3259A475" w14:textId="3FF4970B" w:rsidR="003C0772" w:rsidRPr="00D633FF" w:rsidRDefault="003C0772" w:rsidP="001B3B64">
            <w:pPr>
              <w:spacing w:after="0" w:line="360" w:lineRule="auto"/>
              <w:jc w:val="center"/>
              <w:rPr>
                <w:rFonts w:ascii="Calibri" w:eastAsia="Times New Roman" w:hAnsi="Calibri" w:cs="Calibri"/>
                <w:color w:val="000000"/>
                <w:sz w:val="18"/>
                <w:szCs w:val="18"/>
                <w:lang w:eastAsia="en-AU"/>
              </w:rPr>
            </w:pPr>
            <w:r w:rsidRPr="00D633FF">
              <w:rPr>
                <w:rFonts w:ascii="Calibri" w:eastAsia="Times New Roman" w:hAnsi="Calibri" w:cs="Calibri"/>
                <w:color w:val="000000"/>
                <w:sz w:val="18"/>
                <w:szCs w:val="18"/>
                <w:lang w:eastAsia="en-AU"/>
              </w:rPr>
              <w:t>400</w:t>
            </w:r>
            <w:r w:rsidRPr="00D633FF">
              <w:rPr>
                <w:rFonts w:ascii="Calibri" w:eastAsia="Times New Roman" w:hAnsi="Calibri" w:cs="Calibri"/>
                <w:color w:val="000000"/>
                <w:sz w:val="18"/>
                <w:szCs w:val="18"/>
                <w:vertAlign w:val="superscript"/>
                <w:lang w:eastAsia="en-AU"/>
              </w:rPr>
              <w:t>(e)</w:t>
            </w:r>
          </w:p>
        </w:tc>
        <w:tc>
          <w:tcPr>
            <w:tcW w:w="690" w:type="pct"/>
            <w:tcBorders>
              <w:top w:val="dotted" w:sz="4" w:space="0" w:color="auto"/>
              <w:bottom w:val="single" w:sz="4" w:space="0" w:color="auto"/>
            </w:tcBorders>
            <w:shd w:val="clear" w:color="auto" w:fill="F2CEED" w:themeFill="accent5" w:themeFillTint="33"/>
            <w:vAlign w:val="center"/>
          </w:tcPr>
          <w:p w14:paraId="3406ED94" w14:textId="1B8BAE3A" w:rsidR="003C0772" w:rsidRPr="00D633FF" w:rsidRDefault="003C0772" w:rsidP="001B3B64">
            <w:pPr>
              <w:spacing w:after="0" w:line="360" w:lineRule="auto"/>
              <w:jc w:val="center"/>
              <w:rPr>
                <w:rFonts w:ascii="Calibri" w:eastAsia="Times New Roman" w:hAnsi="Calibri" w:cs="Calibri"/>
                <w:color w:val="000000"/>
                <w:sz w:val="18"/>
                <w:szCs w:val="18"/>
                <w:lang w:eastAsia="en-AU"/>
              </w:rPr>
            </w:pPr>
            <w:r w:rsidRPr="00D633FF">
              <w:rPr>
                <w:rFonts w:ascii="Calibri" w:eastAsia="Times New Roman" w:hAnsi="Calibri" w:cs="Calibri"/>
                <w:color w:val="000000"/>
                <w:sz w:val="18"/>
                <w:szCs w:val="18"/>
                <w:lang w:eastAsia="en-AU"/>
              </w:rPr>
              <w:t>255</w:t>
            </w:r>
            <w:r w:rsidRPr="00D633FF">
              <w:rPr>
                <w:rFonts w:ascii="Calibri" w:eastAsia="Times New Roman" w:hAnsi="Calibri" w:cs="Calibri"/>
                <w:color w:val="000000"/>
                <w:sz w:val="18"/>
                <w:szCs w:val="18"/>
                <w:vertAlign w:val="superscript"/>
                <w:lang w:eastAsia="en-AU"/>
              </w:rPr>
              <w:t>(e)</w:t>
            </w:r>
          </w:p>
        </w:tc>
        <w:tc>
          <w:tcPr>
            <w:tcW w:w="689" w:type="pct"/>
            <w:tcBorders>
              <w:top w:val="dotted" w:sz="4" w:space="0" w:color="auto"/>
              <w:bottom w:val="single" w:sz="4" w:space="0" w:color="auto"/>
            </w:tcBorders>
            <w:vAlign w:val="center"/>
          </w:tcPr>
          <w:p w14:paraId="08D50EC7" w14:textId="210702B1" w:rsidR="003C0772" w:rsidRPr="00D633FF" w:rsidRDefault="003C0772" w:rsidP="001B3B64">
            <w:pPr>
              <w:spacing w:after="0" w:line="360" w:lineRule="auto"/>
              <w:jc w:val="center"/>
              <w:rPr>
                <w:rFonts w:ascii="Calibri" w:eastAsia="Times New Roman" w:hAnsi="Calibri" w:cs="Calibri"/>
                <w:color w:val="000000"/>
                <w:sz w:val="18"/>
                <w:szCs w:val="18"/>
                <w:lang w:eastAsia="en-AU"/>
              </w:rPr>
            </w:pPr>
            <w:r w:rsidRPr="00D633FF">
              <w:rPr>
                <w:rFonts w:ascii="Calibri" w:eastAsia="Times New Roman" w:hAnsi="Calibri" w:cs="Calibri"/>
                <w:color w:val="000000"/>
                <w:sz w:val="18"/>
                <w:szCs w:val="18"/>
                <w:lang w:eastAsia="en-AU"/>
              </w:rPr>
              <w:t>300</w:t>
            </w:r>
            <w:r w:rsidRPr="00D633FF">
              <w:rPr>
                <w:rFonts w:ascii="Calibri" w:eastAsia="Times New Roman" w:hAnsi="Calibri" w:cs="Calibri"/>
                <w:color w:val="000000"/>
                <w:sz w:val="18"/>
                <w:szCs w:val="18"/>
                <w:vertAlign w:val="superscript"/>
                <w:lang w:eastAsia="en-AU"/>
              </w:rPr>
              <w:t>(e)</w:t>
            </w:r>
          </w:p>
        </w:tc>
        <w:tc>
          <w:tcPr>
            <w:tcW w:w="690" w:type="pct"/>
            <w:tcBorders>
              <w:top w:val="dotted" w:sz="4" w:space="0" w:color="auto"/>
            </w:tcBorders>
            <w:vAlign w:val="center"/>
          </w:tcPr>
          <w:p w14:paraId="70A48AC2" w14:textId="1CE10507" w:rsidR="003C0772" w:rsidRPr="00D633FF" w:rsidRDefault="003C0772" w:rsidP="001B3B64">
            <w:pPr>
              <w:spacing w:after="0" w:line="360" w:lineRule="auto"/>
              <w:jc w:val="center"/>
              <w:rPr>
                <w:rFonts w:ascii="Calibri" w:eastAsia="Times New Roman" w:hAnsi="Calibri" w:cs="Calibri"/>
                <w:color w:val="000000"/>
                <w:sz w:val="18"/>
                <w:szCs w:val="18"/>
                <w:lang w:eastAsia="en-AU"/>
              </w:rPr>
            </w:pPr>
            <w:r w:rsidRPr="00D633FF">
              <w:rPr>
                <w:rFonts w:ascii="Calibri" w:eastAsia="Times New Roman" w:hAnsi="Calibri" w:cs="Calibri"/>
                <w:color w:val="000000"/>
                <w:sz w:val="18"/>
                <w:szCs w:val="18"/>
                <w:lang w:eastAsia="en-AU"/>
              </w:rPr>
              <w:t>400</w:t>
            </w:r>
            <w:r w:rsidRPr="00D633FF">
              <w:rPr>
                <w:rFonts w:ascii="Calibri" w:eastAsia="Times New Roman" w:hAnsi="Calibri" w:cs="Calibri"/>
                <w:color w:val="000000"/>
                <w:sz w:val="18"/>
                <w:szCs w:val="18"/>
                <w:vertAlign w:val="superscript"/>
                <w:lang w:eastAsia="en-AU"/>
              </w:rPr>
              <w:t>(c)</w:t>
            </w:r>
          </w:p>
        </w:tc>
        <w:tc>
          <w:tcPr>
            <w:tcW w:w="689" w:type="pct"/>
            <w:tcBorders>
              <w:top w:val="dotted" w:sz="4" w:space="0" w:color="auto"/>
            </w:tcBorders>
            <w:vAlign w:val="center"/>
          </w:tcPr>
          <w:p w14:paraId="736C2398" w14:textId="0E83510D" w:rsidR="003C0772" w:rsidRPr="00D633FF" w:rsidRDefault="003C0772" w:rsidP="001B3B64">
            <w:pPr>
              <w:spacing w:after="0" w:line="360" w:lineRule="auto"/>
              <w:jc w:val="center"/>
              <w:rPr>
                <w:rFonts w:ascii="Calibri" w:hAnsi="Calibri" w:cs="Calibri"/>
                <w:sz w:val="18"/>
                <w:szCs w:val="18"/>
              </w:rPr>
            </w:pPr>
            <w:r w:rsidRPr="00D633FF">
              <w:rPr>
                <w:rFonts w:ascii="Calibri" w:eastAsia="Times New Roman" w:hAnsi="Calibri" w:cs="Calibri"/>
                <w:color w:val="000000"/>
                <w:sz w:val="18"/>
                <w:szCs w:val="18"/>
                <w:lang w:eastAsia="en-AU"/>
              </w:rPr>
              <w:t>450</w:t>
            </w:r>
          </w:p>
        </w:tc>
        <w:tc>
          <w:tcPr>
            <w:tcW w:w="691" w:type="pct"/>
            <w:tcBorders>
              <w:top w:val="dotted" w:sz="4" w:space="0" w:color="auto"/>
            </w:tcBorders>
            <w:vAlign w:val="center"/>
          </w:tcPr>
          <w:p w14:paraId="169E6672" w14:textId="20E558BA" w:rsidR="003C0772" w:rsidRPr="00D633FF" w:rsidRDefault="003C0772" w:rsidP="001B3B64">
            <w:pPr>
              <w:spacing w:after="0" w:line="360" w:lineRule="auto"/>
              <w:jc w:val="center"/>
              <w:rPr>
                <w:rFonts w:ascii="Calibri" w:hAnsi="Calibri" w:cs="Calibri"/>
                <w:sz w:val="18"/>
                <w:szCs w:val="18"/>
              </w:rPr>
            </w:pPr>
            <w:r w:rsidRPr="00D633FF">
              <w:rPr>
                <w:rFonts w:ascii="Calibri" w:eastAsia="Times New Roman" w:hAnsi="Calibri" w:cs="Calibri"/>
                <w:color w:val="000000"/>
                <w:sz w:val="18"/>
                <w:szCs w:val="18"/>
                <w:lang w:eastAsia="en-AU"/>
              </w:rPr>
              <w:t>400</w:t>
            </w:r>
          </w:p>
        </w:tc>
      </w:tr>
    </w:tbl>
    <w:p w14:paraId="61A88A09" w14:textId="011C0B22" w:rsidR="003C4DC2" w:rsidRPr="00D633FF" w:rsidRDefault="003C4DC2" w:rsidP="00E94E3F">
      <w:pPr>
        <w:pStyle w:val="NoSpacing"/>
        <w:rPr>
          <w:rFonts w:ascii="Calibri" w:hAnsi="Calibri" w:cs="Calibri"/>
          <w:sz w:val="16"/>
          <w:szCs w:val="16"/>
        </w:rPr>
      </w:pPr>
      <w:r w:rsidRPr="00D633FF">
        <w:rPr>
          <w:rFonts w:ascii="Calibri" w:hAnsi="Calibri" w:cs="Calibri"/>
          <w:sz w:val="16"/>
          <w:szCs w:val="16"/>
        </w:rPr>
        <w:t>Abbreviations</w:t>
      </w:r>
      <w:r w:rsidR="005B255C" w:rsidRPr="00D633FF">
        <w:rPr>
          <w:rFonts w:ascii="Calibri" w:hAnsi="Calibri" w:cs="Calibri"/>
          <w:sz w:val="16"/>
          <w:szCs w:val="16"/>
        </w:rPr>
        <w:t xml:space="preserve"> -</w:t>
      </w:r>
      <w:r w:rsidRPr="00D633FF">
        <w:rPr>
          <w:rFonts w:ascii="Calibri" w:hAnsi="Calibri" w:cs="Calibri"/>
          <w:sz w:val="16"/>
          <w:szCs w:val="16"/>
        </w:rPr>
        <w:t xml:space="preserve"> </w:t>
      </w:r>
      <w:proofErr w:type="spellStart"/>
      <w:r w:rsidRPr="00D633FF">
        <w:rPr>
          <w:rFonts w:ascii="Calibri" w:hAnsi="Calibri" w:cs="Calibri"/>
          <w:sz w:val="16"/>
          <w:szCs w:val="16"/>
        </w:rPr>
        <w:t>nd</w:t>
      </w:r>
      <w:proofErr w:type="spellEnd"/>
      <w:r w:rsidRPr="00D633FF">
        <w:rPr>
          <w:rFonts w:ascii="Calibri" w:hAnsi="Calibri" w:cs="Calibri"/>
          <w:sz w:val="16"/>
          <w:szCs w:val="16"/>
        </w:rPr>
        <w:t>: not deﬁned; EVM: UK Expert Group on Vitamins and Minerals (UK); IOM: Institute of Medicine (US); NHMRC: National Health and Medical Research Council of Australia and New Zealand; SCF: Scientiﬁc Committee on Food; WHO/FAO: World Health Organization/Food and Agriculture Organization of the United Nations.</w:t>
      </w:r>
    </w:p>
    <w:p w14:paraId="0AB070E9" w14:textId="61230756" w:rsidR="00E47896" w:rsidRPr="00D633FF" w:rsidRDefault="003C4DC2" w:rsidP="00E94E3F">
      <w:pPr>
        <w:pStyle w:val="NoSpacing"/>
        <w:rPr>
          <w:rFonts w:ascii="Calibri" w:hAnsi="Calibri" w:cs="Calibri"/>
          <w:sz w:val="16"/>
          <w:szCs w:val="16"/>
        </w:rPr>
      </w:pPr>
      <w:r w:rsidRPr="00D633FF">
        <w:rPr>
          <w:rFonts w:ascii="Calibri" w:hAnsi="Calibri" w:cs="Calibri"/>
          <w:sz w:val="16"/>
          <w:szCs w:val="16"/>
        </w:rPr>
        <w:t>(a):</w:t>
      </w:r>
      <w:r w:rsidR="00E47896" w:rsidRPr="00D633FF">
        <w:rPr>
          <w:rFonts w:ascii="Calibri" w:hAnsi="Calibri" w:cs="Calibri"/>
          <w:sz w:val="16"/>
          <w:szCs w:val="16"/>
        </w:rPr>
        <w:t xml:space="preserve"> Also adopted by Nordic Nutrition Recommendations 2023</w:t>
      </w:r>
      <w:r w:rsidRPr="00D633FF">
        <w:rPr>
          <w:rFonts w:ascii="Calibri" w:hAnsi="Calibri" w:cs="Calibri"/>
          <w:sz w:val="16"/>
          <w:szCs w:val="16"/>
        </w:rPr>
        <w:t xml:space="preserve"> </w:t>
      </w:r>
    </w:p>
    <w:p w14:paraId="19C46A8A" w14:textId="754920F6" w:rsidR="003C4DC2" w:rsidRPr="00D633FF" w:rsidRDefault="00E47896" w:rsidP="00E94E3F">
      <w:pPr>
        <w:pStyle w:val="NoSpacing"/>
        <w:rPr>
          <w:rFonts w:ascii="Calibri" w:hAnsi="Calibri" w:cs="Calibri"/>
          <w:b/>
          <w:bCs/>
          <w:sz w:val="16"/>
          <w:szCs w:val="16"/>
        </w:rPr>
      </w:pPr>
      <w:r w:rsidRPr="00D633FF">
        <w:rPr>
          <w:rFonts w:ascii="Calibri" w:hAnsi="Calibri" w:cs="Calibri"/>
          <w:sz w:val="16"/>
          <w:szCs w:val="16"/>
        </w:rPr>
        <w:t xml:space="preserve">(b): </w:t>
      </w:r>
      <w:r w:rsidR="003C4DC2" w:rsidRPr="00D633FF">
        <w:rPr>
          <w:rFonts w:ascii="Calibri" w:hAnsi="Calibri" w:cs="Calibri"/>
          <w:sz w:val="16"/>
          <w:szCs w:val="16"/>
        </w:rPr>
        <w:t>Safe upper level (SUL).</w:t>
      </w:r>
    </w:p>
    <w:p w14:paraId="1F37FFDC" w14:textId="2CA94EE7" w:rsidR="003C4DC2" w:rsidRPr="00D633FF" w:rsidRDefault="003C4DC2" w:rsidP="00E94E3F">
      <w:pPr>
        <w:pStyle w:val="NoSpacing"/>
        <w:rPr>
          <w:rFonts w:ascii="Calibri" w:hAnsi="Calibri" w:cs="Calibri"/>
          <w:sz w:val="16"/>
          <w:szCs w:val="16"/>
        </w:rPr>
      </w:pPr>
      <w:r w:rsidRPr="00D633FF">
        <w:rPr>
          <w:rFonts w:ascii="Calibri" w:hAnsi="Calibri" w:cs="Calibri"/>
          <w:sz w:val="16"/>
          <w:szCs w:val="16"/>
        </w:rPr>
        <w:t>(</w:t>
      </w:r>
      <w:r w:rsidR="00E47896" w:rsidRPr="00D633FF">
        <w:rPr>
          <w:rFonts w:ascii="Calibri" w:hAnsi="Calibri" w:cs="Calibri"/>
          <w:sz w:val="16"/>
          <w:szCs w:val="16"/>
        </w:rPr>
        <w:t>c</w:t>
      </w:r>
      <w:r w:rsidRPr="00D633FF">
        <w:rPr>
          <w:rFonts w:ascii="Calibri" w:hAnsi="Calibri" w:cs="Calibri"/>
          <w:sz w:val="16"/>
          <w:szCs w:val="16"/>
        </w:rPr>
        <w:t>): Extrapolated from the UL for infants aged 0–6 months (7 μg/kg body weight/day) on a body weight basis.</w:t>
      </w:r>
    </w:p>
    <w:p w14:paraId="425F5897" w14:textId="71128402" w:rsidR="003C4DC2" w:rsidRPr="00D633FF" w:rsidRDefault="003C4DC2" w:rsidP="00E94E3F">
      <w:pPr>
        <w:pStyle w:val="NoSpacing"/>
        <w:rPr>
          <w:rFonts w:ascii="Calibri" w:hAnsi="Calibri" w:cs="Calibri"/>
          <w:sz w:val="16"/>
          <w:szCs w:val="16"/>
        </w:rPr>
      </w:pPr>
      <w:r w:rsidRPr="00D633FF">
        <w:rPr>
          <w:rFonts w:ascii="Calibri" w:hAnsi="Calibri" w:cs="Calibri"/>
          <w:sz w:val="16"/>
          <w:szCs w:val="16"/>
        </w:rPr>
        <w:t>(</w:t>
      </w:r>
      <w:r w:rsidR="00E47896" w:rsidRPr="00D633FF">
        <w:rPr>
          <w:rFonts w:ascii="Calibri" w:hAnsi="Calibri" w:cs="Calibri"/>
          <w:sz w:val="16"/>
          <w:szCs w:val="16"/>
        </w:rPr>
        <w:t>d</w:t>
      </w:r>
      <w:r w:rsidRPr="00D633FF">
        <w:rPr>
          <w:rFonts w:ascii="Calibri" w:hAnsi="Calibri" w:cs="Calibri"/>
          <w:sz w:val="16"/>
          <w:szCs w:val="16"/>
        </w:rPr>
        <w:t>): Extrapolated from the UL for adults on a body weight basis.</w:t>
      </w:r>
    </w:p>
    <w:p w14:paraId="7BF38F6F" w14:textId="102FEA38" w:rsidR="00CD16D1" w:rsidRPr="00D633FF" w:rsidRDefault="003C4DC2" w:rsidP="00DE2C44">
      <w:pPr>
        <w:pStyle w:val="NoSpacing"/>
        <w:rPr>
          <w:rFonts w:ascii="Calibri" w:hAnsi="Calibri" w:cs="Calibri"/>
          <w:sz w:val="16"/>
          <w:szCs w:val="16"/>
        </w:rPr>
      </w:pPr>
      <w:r w:rsidRPr="00D633FF">
        <w:rPr>
          <w:rFonts w:ascii="Calibri" w:hAnsi="Calibri" w:cs="Calibri"/>
          <w:sz w:val="16"/>
          <w:szCs w:val="16"/>
        </w:rPr>
        <w:t>(</w:t>
      </w:r>
      <w:r w:rsidR="00E47896" w:rsidRPr="00D633FF">
        <w:rPr>
          <w:rFonts w:ascii="Calibri" w:hAnsi="Calibri" w:cs="Calibri"/>
          <w:sz w:val="16"/>
          <w:szCs w:val="16"/>
        </w:rPr>
        <w:t>e</w:t>
      </w:r>
      <w:r w:rsidRPr="00D633FF">
        <w:rPr>
          <w:rFonts w:ascii="Calibri" w:hAnsi="Calibri" w:cs="Calibri"/>
          <w:sz w:val="16"/>
          <w:szCs w:val="16"/>
        </w:rPr>
        <w:t>): Including pregnant and lactating women.</w:t>
      </w:r>
    </w:p>
    <w:p w14:paraId="02555245" w14:textId="77777777" w:rsidR="00B84218" w:rsidRPr="00D633FF" w:rsidRDefault="00B84218" w:rsidP="00DE2C44">
      <w:pPr>
        <w:pStyle w:val="NoSpacing"/>
        <w:rPr>
          <w:rFonts w:ascii="Calibri" w:hAnsi="Calibri" w:cs="Calibri"/>
          <w:sz w:val="16"/>
          <w:szCs w:val="16"/>
        </w:rPr>
      </w:pPr>
    </w:p>
    <w:p w14:paraId="0B7A61A3" w14:textId="17D7DE63" w:rsidR="00B84218" w:rsidRPr="00D633FF" w:rsidRDefault="00B84218" w:rsidP="00B84218">
      <w:pPr>
        <w:rPr>
          <w:rFonts w:ascii="Calibri" w:hAnsi="Calibri" w:cs="Calibri"/>
        </w:rPr>
      </w:pPr>
    </w:p>
    <w:p w14:paraId="171960A9" w14:textId="587C0C48" w:rsidR="001278B4" w:rsidRPr="00D633FF" w:rsidRDefault="001278B4" w:rsidP="001278B4">
      <w:pPr>
        <w:pStyle w:val="Heading3"/>
        <w:rPr>
          <w:rFonts w:ascii="Calibri" w:hAnsi="Calibri" w:cs="Calibri"/>
        </w:rPr>
      </w:pPr>
      <w:bookmarkStart w:id="28" w:name="_Toc218527963"/>
      <w:r w:rsidRPr="00D633FF">
        <w:rPr>
          <w:rFonts w:ascii="Calibri" w:hAnsi="Calibri" w:cs="Calibri"/>
        </w:rPr>
        <w:t>Current recommendations for nutritional requirements</w:t>
      </w:r>
      <w:bookmarkEnd w:id="28"/>
    </w:p>
    <w:p w14:paraId="39458F9E" w14:textId="58F9D658" w:rsidR="001278B4" w:rsidRPr="00D633FF" w:rsidRDefault="001278B4" w:rsidP="001278B4">
      <w:pPr>
        <w:spacing w:line="360" w:lineRule="auto"/>
        <w:rPr>
          <w:rFonts w:ascii="Calibri" w:eastAsia="Times New Roman" w:hAnsi="Calibri" w:cs="Calibri"/>
          <w:kern w:val="0"/>
          <w:lang w:eastAsia="en-AU"/>
          <w14:ligatures w14:val="none"/>
        </w:rPr>
      </w:pPr>
      <w:r w:rsidRPr="00D633FF">
        <w:rPr>
          <w:rFonts w:ascii="Calibri" w:hAnsi="Calibri" w:cs="Calibri"/>
          <w:lang w:eastAsia="en-AU"/>
        </w:rPr>
        <w:t xml:space="preserve">The various UL recommendations of international jurisdictions should be considered relative to the recommendations for ensuring nutritional adequacy. The EFSA Adequate Intake </w:t>
      </w:r>
      <w:r w:rsidR="00DB3905" w:rsidRPr="00D633FF">
        <w:rPr>
          <w:rFonts w:ascii="Calibri" w:hAnsi="Calibri" w:cs="Calibri"/>
          <w:lang w:eastAsia="en-AU"/>
        </w:rPr>
        <w:t xml:space="preserve">(AI) </w:t>
      </w:r>
      <w:r w:rsidRPr="00D633FF">
        <w:rPr>
          <w:rFonts w:ascii="Calibri" w:hAnsi="Calibri" w:cs="Calibri"/>
          <w:lang w:eastAsia="en-AU"/>
        </w:rPr>
        <w:t>values for selenium range from 15 µg/day for infants to 70 µg/day for adults and during pregnancy (</w:t>
      </w:r>
      <w:r w:rsidR="00F90B76" w:rsidRPr="00D633FF">
        <w:rPr>
          <w:rFonts w:ascii="Calibri" w:hAnsi="Calibri" w:cs="Calibri"/>
          <w:lang w:eastAsia="en-AU"/>
        </w:rPr>
        <w:fldChar w:fldCharType="begin" w:fldLock="1"/>
      </w:r>
      <w:r w:rsidR="00F90B76" w:rsidRPr="00D633FF">
        <w:rPr>
          <w:rFonts w:ascii="Calibri" w:hAnsi="Calibri" w:cs="Calibri"/>
          <w:lang w:eastAsia="en-AU"/>
        </w:rPr>
        <w:instrText xml:space="preserve"> REF _Ref213173703 \h  \* MERGEFORMAT </w:instrText>
      </w:r>
      <w:r w:rsidR="00F90B76" w:rsidRPr="00D633FF">
        <w:rPr>
          <w:rFonts w:ascii="Calibri" w:hAnsi="Calibri" w:cs="Calibri"/>
          <w:lang w:eastAsia="en-AU"/>
        </w:rPr>
      </w:r>
      <w:r w:rsidR="00F90B76" w:rsidRPr="00D633FF">
        <w:rPr>
          <w:rFonts w:ascii="Calibri" w:hAnsi="Calibri" w:cs="Calibri"/>
          <w:lang w:eastAsia="en-AU"/>
        </w:rPr>
        <w:fldChar w:fldCharType="separate"/>
      </w:r>
      <w:r w:rsidR="00F90B76" w:rsidRPr="00D633FF">
        <w:rPr>
          <w:rFonts w:ascii="Calibri" w:hAnsi="Calibri" w:cs="Calibri"/>
        </w:rPr>
        <w:t xml:space="preserve">Table </w:t>
      </w:r>
      <w:r w:rsidR="00F90B76" w:rsidRPr="00D633FF">
        <w:rPr>
          <w:rFonts w:ascii="Calibri" w:hAnsi="Calibri" w:cs="Calibri"/>
          <w:noProof/>
        </w:rPr>
        <w:t>3</w:t>
      </w:r>
      <w:r w:rsidR="00F90B76" w:rsidRPr="00D633FF">
        <w:rPr>
          <w:rFonts w:ascii="Calibri" w:hAnsi="Calibri" w:cs="Calibri"/>
          <w:lang w:eastAsia="en-AU"/>
        </w:rPr>
        <w:fldChar w:fldCharType="end"/>
      </w:r>
      <w:r w:rsidRPr="00D633FF">
        <w:rPr>
          <w:rFonts w:ascii="Calibri" w:hAnsi="Calibri" w:cs="Calibri"/>
          <w:lang w:eastAsia="en-AU"/>
        </w:rPr>
        <w:fldChar w:fldCharType="begin" w:fldLock="1"/>
      </w:r>
      <w:r w:rsidRPr="00D633FF">
        <w:rPr>
          <w:rFonts w:ascii="Calibri" w:hAnsi="Calibri" w:cs="Calibri"/>
          <w:lang w:eastAsia="en-AU"/>
        </w:rPr>
        <w:instrText xml:space="preserve"> REF _Ref197953994 \h  \* MERGEFORMAT </w:instrText>
      </w:r>
      <w:r w:rsidRPr="00D633FF">
        <w:rPr>
          <w:rFonts w:ascii="Calibri" w:hAnsi="Calibri" w:cs="Calibri"/>
          <w:lang w:eastAsia="en-AU"/>
        </w:rPr>
      </w:r>
      <w:r w:rsidRPr="00D633FF">
        <w:rPr>
          <w:rFonts w:ascii="Calibri" w:hAnsi="Calibri" w:cs="Calibri"/>
          <w:lang w:eastAsia="en-AU"/>
        </w:rPr>
        <w:fldChar w:fldCharType="end"/>
      </w:r>
      <w:r w:rsidRPr="00D633FF">
        <w:rPr>
          <w:rFonts w:ascii="Calibri" w:hAnsi="Calibri" w:cs="Calibri"/>
          <w:lang w:eastAsia="en-AU"/>
        </w:rPr>
        <w:t>). The new EFSA UL for selenium is set at 255 µg/day, approximately 3.6 times the AI for adults (</w:t>
      </w:r>
      <w:r w:rsidRPr="00D633FF">
        <w:rPr>
          <w:rFonts w:ascii="Calibri" w:hAnsi="Calibri" w:cs="Calibri"/>
          <w:i/>
          <w:iCs/>
          <w:color w:val="0E2841" w:themeColor="text2"/>
          <w:sz w:val="18"/>
          <w:szCs w:val="18"/>
          <w:lang w:eastAsia="en-AU"/>
        </w:rPr>
        <w:fldChar w:fldCharType="begin" w:fldLock="1"/>
      </w:r>
      <w:r w:rsidRPr="00D633FF">
        <w:rPr>
          <w:rFonts w:ascii="Calibri" w:hAnsi="Calibri" w:cs="Calibri"/>
          <w:lang w:eastAsia="en-AU"/>
        </w:rPr>
        <w:instrText xml:space="preserve"> REF _Ref197954180 \h </w:instrText>
      </w:r>
      <w:r w:rsidR="00D633FF">
        <w:rPr>
          <w:rFonts w:ascii="Calibri" w:hAnsi="Calibri" w:cs="Calibri"/>
          <w:i/>
          <w:iCs/>
          <w:color w:val="0E2841" w:themeColor="text2"/>
          <w:sz w:val="18"/>
          <w:szCs w:val="18"/>
          <w:lang w:eastAsia="en-AU"/>
        </w:rPr>
        <w:instrText xml:space="preserve"> \* MERGEFORMAT </w:instrText>
      </w:r>
      <w:r w:rsidRPr="00D633FF">
        <w:rPr>
          <w:rFonts w:ascii="Calibri" w:hAnsi="Calibri" w:cs="Calibri"/>
          <w:i/>
          <w:iCs/>
          <w:color w:val="0E2841" w:themeColor="text2"/>
          <w:sz w:val="18"/>
          <w:szCs w:val="18"/>
          <w:lang w:eastAsia="en-AU"/>
        </w:rPr>
      </w:r>
      <w:r w:rsidRPr="00D633FF">
        <w:rPr>
          <w:rFonts w:ascii="Calibri" w:hAnsi="Calibri" w:cs="Calibri"/>
          <w:i/>
          <w:iCs/>
          <w:color w:val="0E2841" w:themeColor="text2"/>
          <w:sz w:val="18"/>
          <w:szCs w:val="18"/>
          <w:lang w:eastAsia="en-AU"/>
        </w:rPr>
        <w:fldChar w:fldCharType="separate"/>
      </w:r>
      <w:r w:rsidR="001143B4" w:rsidRPr="00D633FF">
        <w:rPr>
          <w:rFonts w:ascii="Calibri" w:hAnsi="Calibri" w:cs="Calibri"/>
        </w:rPr>
        <w:t xml:space="preserve">Table </w:t>
      </w:r>
      <w:r w:rsidR="001143B4" w:rsidRPr="00D633FF">
        <w:rPr>
          <w:rFonts w:ascii="Calibri" w:hAnsi="Calibri" w:cs="Calibri"/>
          <w:noProof/>
        </w:rPr>
        <w:t>2</w:t>
      </w:r>
      <w:r w:rsidRPr="00D633FF">
        <w:rPr>
          <w:rFonts w:ascii="Calibri" w:eastAsia="Times New Roman" w:hAnsi="Calibri" w:cs="Calibri"/>
          <w:kern w:val="0"/>
          <w:lang w:eastAsia="en-AU"/>
          <w14:ligatures w14:val="none"/>
        </w:rPr>
        <w:fldChar w:fldCharType="end"/>
      </w:r>
      <w:r w:rsidRPr="00D633FF">
        <w:rPr>
          <w:rFonts w:ascii="Calibri" w:eastAsia="Times New Roman" w:hAnsi="Calibri" w:cs="Calibri"/>
          <w:kern w:val="0"/>
          <w:lang w:eastAsia="en-AU"/>
          <w14:ligatures w14:val="none"/>
        </w:rPr>
        <w:t xml:space="preserve">). Comparing these values to the NHMRC values, the NHMRC NRVs for selenium are generally similar, with values ranging from 12 µg/day for infants to 70 µg/day for adults. The 2006 NHMRC UL for selenium is higher at 400 µg/day for adults, approximately 5.7 times the Recommended Dietary Intake. If the NHMRC were to adopt EFSA's UL of 255 µg/day, it would represent a significant decrease, aligning more closely with EFSA's conservative approach to selenium intake established from the </w:t>
      </w:r>
      <w:r w:rsidR="00F41A14" w:rsidRPr="00D633FF">
        <w:rPr>
          <w:rFonts w:ascii="Calibri" w:eastAsia="Times New Roman" w:hAnsi="Calibri" w:cs="Calibri"/>
          <w:noProof/>
          <w:kern w:val="0"/>
          <w:lang w:eastAsia="en-AU"/>
          <w14:ligatures w14:val="none"/>
        </w:rPr>
        <w:t>Lippman et al. (2009)</w:t>
      </w:r>
      <w:r w:rsidRPr="00D633FF">
        <w:rPr>
          <w:rFonts w:ascii="Calibri" w:eastAsia="Times New Roman" w:hAnsi="Calibri" w:cs="Calibri"/>
          <w:kern w:val="0"/>
          <w:lang w:eastAsia="en-AU"/>
          <w14:ligatures w14:val="none"/>
        </w:rPr>
        <w:t xml:space="preserve"> endpoint of alopecia and </w:t>
      </w:r>
      <w:r w:rsidRPr="00D633FF">
        <w:rPr>
          <w:rFonts w:ascii="Calibri" w:hAnsi="Calibri" w:cs="Calibri"/>
        </w:rPr>
        <w:t xml:space="preserve">identification of a LOAEL of 330 μg/day. </w:t>
      </w:r>
      <w:r w:rsidRPr="00D633FF">
        <w:rPr>
          <w:rFonts w:ascii="Calibri" w:eastAsia="Times New Roman" w:hAnsi="Calibri" w:cs="Calibri"/>
          <w:kern w:val="0"/>
          <w:lang w:eastAsia="en-AU"/>
          <w14:ligatures w14:val="none"/>
        </w:rPr>
        <w:t xml:space="preserve">This change would potentially reduce the risk of selenium toxicity and align with research published since </w:t>
      </w:r>
      <w:r w:rsidRPr="00D633FF">
        <w:rPr>
          <w:rFonts w:ascii="Calibri" w:eastAsia="Times New Roman" w:hAnsi="Calibri" w:cs="Calibri"/>
          <w:kern w:val="0"/>
          <w:lang w:eastAsia="en-AU"/>
          <w14:ligatures w14:val="none"/>
        </w:rPr>
        <w:lastRenderedPageBreak/>
        <w:t>the UL was last reviewed in 2006. The values for other jurisdictions, such as the Institute of Medicine and</w:t>
      </w:r>
      <w:r w:rsidRPr="00D633FF" w:rsidDel="00435A1C">
        <w:rPr>
          <w:rFonts w:ascii="Calibri" w:eastAsia="Times New Roman" w:hAnsi="Calibri" w:cs="Calibri"/>
          <w:kern w:val="0"/>
          <w:lang w:eastAsia="en-AU"/>
          <w14:ligatures w14:val="none"/>
        </w:rPr>
        <w:t xml:space="preserve"> </w:t>
      </w:r>
      <w:r w:rsidRPr="00D633FF">
        <w:rPr>
          <w:rFonts w:ascii="Calibri" w:eastAsia="Times New Roman" w:hAnsi="Calibri" w:cs="Calibri"/>
          <w:kern w:val="0"/>
          <w:lang w:eastAsia="en-AU"/>
          <w14:ligatures w14:val="none"/>
        </w:rPr>
        <w:t xml:space="preserve">World Health Organization/Food and Agriculture Organization of the United Nations, have not been updated for over 20 years. The Nordic Nutrition </w:t>
      </w:r>
      <w:proofErr w:type="gramStart"/>
      <w:r w:rsidRPr="00D633FF">
        <w:rPr>
          <w:rFonts w:ascii="Calibri" w:eastAsia="Times New Roman" w:hAnsi="Calibri" w:cs="Calibri"/>
          <w:kern w:val="0"/>
          <w:lang w:eastAsia="en-AU"/>
          <w14:ligatures w14:val="none"/>
        </w:rPr>
        <w:t>Recommendations  were</w:t>
      </w:r>
      <w:proofErr w:type="gramEnd"/>
      <w:r w:rsidRPr="00D633FF">
        <w:rPr>
          <w:rFonts w:ascii="Calibri" w:eastAsia="Times New Roman" w:hAnsi="Calibri" w:cs="Calibri"/>
          <w:kern w:val="0"/>
          <w:lang w:eastAsia="en-AU"/>
          <w14:ligatures w14:val="none"/>
        </w:rPr>
        <w:t xml:space="preserve"> updated in 2023 and the adequate intake Selenium increased across age groups. NNR adopted the EFSA UL.</w:t>
      </w:r>
    </w:p>
    <w:p w14:paraId="439DF4A8" w14:textId="50AE4CC4" w:rsidR="001278B4" w:rsidRPr="00BD30B6" w:rsidRDefault="001278B4" w:rsidP="005356DF">
      <w:pPr>
        <w:pStyle w:val="Caption"/>
        <w:keepNext/>
        <w:spacing w:after="120"/>
        <w:rPr>
          <w:rFonts w:ascii="Calibri" w:hAnsi="Calibri" w:cs="Calibri"/>
          <w:b/>
          <w:bCs/>
        </w:rPr>
      </w:pPr>
      <w:bookmarkStart w:id="29" w:name="_Ref213173703"/>
      <w:r w:rsidRPr="00BD30B6">
        <w:rPr>
          <w:rFonts w:ascii="Calibri" w:hAnsi="Calibri" w:cs="Calibri"/>
          <w:b/>
          <w:bCs/>
        </w:rPr>
        <w:t xml:space="preserve">Table </w:t>
      </w:r>
      <w:r w:rsidRPr="00BD30B6">
        <w:rPr>
          <w:rFonts w:ascii="Calibri" w:hAnsi="Calibri" w:cs="Calibri"/>
          <w:b/>
          <w:bCs/>
        </w:rPr>
        <w:fldChar w:fldCharType="begin"/>
      </w:r>
      <w:r w:rsidRPr="00BD30B6">
        <w:rPr>
          <w:rFonts w:ascii="Calibri" w:hAnsi="Calibri" w:cs="Calibri"/>
          <w:b/>
          <w:bCs/>
        </w:rPr>
        <w:instrText xml:space="preserve"> SEQ Table \* ARABIC </w:instrText>
      </w:r>
      <w:r w:rsidRPr="00BD30B6">
        <w:rPr>
          <w:rFonts w:ascii="Calibri" w:hAnsi="Calibri" w:cs="Calibri"/>
          <w:b/>
          <w:bCs/>
        </w:rPr>
        <w:fldChar w:fldCharType="separate"/>
      </w:r>
      <w:r w:rsidR="00CB6915" w:rsidRPr="00BD30B6">
        <w:rPr>
          <w:rFonts w:ascii="Calibri" w:hAnsi="Calibri" w:cs="Calibri"/>
          <w:b/>
          <w:bCs/>
          <w:noProof/>
        </w:rPr>
        <w:t>3</w:t>
      </w:r>
      <w:r w:rsidRPr="00BD30B6">
        <w:rPr>
          <w:rFonts w:ascii="Calibri" w:hAnsi="Calibri" w:cs="Calibri"/>
          <w:b/>
          <w:bCs/>
        </w:rPr>
        <w:fldChar w:fldCharType="end"/>
      </w:r>
      <w:bookmarkEnd w:id="29"/>
      <w:r w:rsidRPr="00BD30B6">
        <w:rPr>
          <w:rFonts w:ascii="Calibri" w:hAnsi="Calibri" w:cs="Calibri"/>
          <w:b/>
          <w:bCs/>
        </w:rPr>
        <w:t>. Overview of nutritional adequacy NRVs for Selenium across the lifespan</w:t>
      </w:r>
      <w:r w:rsidR="00926248" w:rsidRPr="00BD30B6">
        <w:rPr>
          <w:rFonts w:ascii="Calibri" w:hAnsi="Calibri" w:cs="Calibri"/>
          <w:b/>
          <w:bCs/>
        </w:rPr>
        <w:t xml:space="preserve"> (</w:t>
      </w:r>
      <w:r w:rsidRPr="00BD30B6">
        <w:rPr>
          <w:rFonts w:ascii="Calibri" w:hAnsi="Calibri" w:cs="Calibri"/>
          <w:b/>
          <w:bCs/>
        </w:rPr>
        <w:t>µg/day</w:t>
      </w:r>
      <w:r w:rsidR="00926248" w:rsidRPr="00BD30B6">
        <w:rPr>
          <w:rFonts w:ascii="Calibri" w:hAnsi="Calibri" w:cs="Calibri"/>
          <w:b/>
          <w:bCs/>
        </w:rPr>
        <w:t>)</w:t>
      </w:r>
    </w:p>
    <w:tbl>
      <w:tblPr>
        <w:tblpPr w:leftFromText="180" w:rightFromText="180" w:vertAnchor="text" w:tblpY="61"/>
        <w:tblW w:w="9437" w:type="dxa"/>
        <w:tblLayout w:type="fixed"/>
        <w:tblLook w:val="04A0" w:firstRow="1" w:lastRow="0" w:firstColumn="1" w:lastColumn="0" w:noHBand="0" w:noVBand="1"/>
      </w:tblPr>
      <w:tblGrid>
        <w:gridCol w:w="3397"/>
        <w:gridCol w:w="1208"/>
        <w:gridCol w:w="1208"/>
        <w:gridCol w:w="1208"/>
        <w:gridCol w:w="1208"/>
        <w:gridCol w:w="1208"/>
      </w:tblGrid>
      <w:tr w:rsidR="001278B4" w:rsidRPr="00D633FF" w14:paraId="39E7388D" w14:textId="77777777" w:rsidTr="00CA6869">
        <w:trPr>
          <w:cantSplit/>
          <w:trHeight w:val="600"/>
          <w:tblHeader/>
        </w:trPr>
        <w:tc>
          <w:tcPr>
            <w:tcW w:w="3397" w:type="dxa"/>
            <w:tcBorders>
              <w:top w:val="single" w:sz="4" w:space="0" w:color="auto"/>
              <w:left w:val="single" w:sz="4" w:space="0" w:color="auto"/>
              <w:bottom w:val="single" w:sz="4" w:space="0" w:color="auto"/>
              <w:right w:val="single" w:sz="4" w:space="0" w:color="auto"/>
            </w:tcBorders>
            <w:noWrap/>
            <w:hideMark/>
          </w:tcPr>
          <w:p w14:paraId="1DBFB2E4" w14:textId="77777777" w:rsidR="001278B4" w:rsidRPr="00D633FF" w:rsidRDefault="001278B4" w:rsidP="00CA6869">
            <w:pPr>
              <w:spacing w:after="0" w:line="240" w:lineRule="auto"/>
              <w:rPr>
                <w:rFonts w:ascii="Calibri" w:eastAsia="Times New Roman" w:hAnsi="Calibri" w:cs="Calibri"/>
                <w:b/>
                <w:bCs/>
                <w:color w:val="000000"/>
                <w:kern w:val="0"/>
                <w:sz w:val="20"/>
                <w:szCs w:val="20"/>
                <w:lang w:eastAsia="en-AU"/>
                <w14:ligatures w14:val="none"/>
              </w:rPr>
            </w:pPr>
            <w:r w:rsidRPr="00D633FF">
              <w:rPr>
                <w:rFonts w:ascii="Calibri" w:eastAsia="Times New Roman" w:hAnsi="Calibri" w:cs="Calibri"/>
                <w:b/>
                <w:bCs/>
                <w:color w:val="000000"/>
                <w:kern w:val="0"/>
                <w:sz w:val="20"/>
                <w:szCs w:val="20"/>
                <w:lang w:eastAsia="en-AU"/>
                <w14:ligatures w14:val="none"/>
              </w:rPr>
              <w:t>Population Group</w:t>
            </w:r>
          </w:p>
        </w:tc>
        <w:tc>
          <w:tcPr>
            <w:tcW w:w="1208" w:type="dxa"/>
            <w:tcBorders>
              <w:top w:val="single" w:sz="4" w:space="0" w:color="auto"/>
              <w:left w:val="nil"/>
              <w:bottom w:val="single" w:sz="4" w:space="0" w:color="auto"/>
              <w:right w:val="single" w:sz="4" w:space="0" w:color="auto"/>
            </w:tcBorders>
            <w:shd w:val="clear" w:color="000000" w:fill="B5E6A2"/>
            <w:hideMark/>
          </w:tcPr>
          <w:p w14:paraId="5E3E90D8" w14:textId="77777777" w:rsidR="001278B4" w:rsidRPr="00D633FF" w:rsidRDefault="001278B4" w:rsidP="00CA6869">
            <w:pPr>
              <w:spacing w:after="0" w:line="240" w:lineRule="auto"/>
              <w:rPr>
                <w:rFonts w:ascii="Calibri" w:eastAsia="Times New Roman" w:hAnsi="Calibri" w:cs="Calibri"/>
                <w:b/>
                <w:bCs/>
                <w:color w:val="000000"/>
                <w:kern w:val="0"/>
                <w:sz w:val="20"/>
                <w:szCs w:val="20"/>
                <w:lang w:eastAsia="en-AU"/>
                <w14:ligatures w14:val="none"/>
              </w:rPr>
            </w:pPr>
            <w:r w:rsidRPr="00D633FF">
              <w:rPr>
                <w:rFonts w:ascii="Calibri" w:eastAsia="Times New Roman" w:hAnsi="Calibri" w:cs="Calibri"/>
                <w:b/>
                <w:bCs/>
                <w:color w:val="000000"/>
                <w:kern w:val="0"/>
                <w:sz w:val="20"/>
                <w:szCs w:val="20"/>
                <w:lang w:eastAsia="en-AU"/>
                <w14:ligatures w14:val="none"/>
              </w:rPr>
              <w:t>NHMRC (2006)</w:t>
            </w:r>
          </w:p>
        </w:tc>
        <w:tc>
          <w:tcPr>
            <w:tcW w:w="1208" w:type="dxa"/>
            <w:tcBorders>
              <w:top w:val="single" w:sz="4" w:space="0" w:color="auto"/>
              <w:left w:val="nil"/>
              <w:bottom w:val="single" w:sz="4" w:space="0" w:color="auto"/>
              <w:right w:val="single" w:sz="4" w:space="0" w:color="auto"/>
            </w:tcBorders>
            <w:shd w:val="clear" w:color="000000" w:fill="83CCEB"/>
            <w:hideMark/>
          </w:tcPr>
          <w:p w14:paraId="7709EFED" w14:textId="77777777" w:rsidR="00CA6869" w:rsidRDefault="001278B4" w:rsidP="00CA6869">
            <w:pPr>
              <w:spacing w:after="0" w:line="240" w:lineRule="auto"/>
              <w:rPr>
                <w:rFonts w:ascii="Calibri" w:eastAsia="Times New Roman" w:hAnsi="Calibri" w:cs="Calibri"/>
                <w:b/>
                <w:bCs/>
                <w:color w:val="000000"/>
                <w:kern w:val="0"/>
                <w:sz w:val="20"/>
                <w:szCs w:val="20"/>
                <w:lang w:eastAsia="en-AU"/>
                <w14:ligatures w14:val="none"/>
              </w:rPr>
            </w:pPr>
            <w:r w:rsidRPr="00D633FF">
              <w:rPr>
                <w:rFonts w:ascii="Calibri" w:eastAsia="Times New Roman" w:hAnsi="Calibri" w:cs="Calibri"/>
                <w:b/>
                <w:bCs/>
                <w:color w:val="000000"/>
                <w:kern w:val="0"/>
                <w:sz w:val="20"/>
                <w:szCs w:val="20"/>
                <w:lang w:eastAsia="en-AU"/>
                <w14:ligatures w14:val="none"/>
              </w:rPr>
              <w:t xml:space="preserve">EFSA </w:t>
            </w:r>
          </w:p>
          <w:p w14:paraId="21479B44" w14:textId="46D86791" w:rsidR="001278B4" w:rsidRPr="00D633FF" w:rsidRDefault="001278B4" w:rsidP="00CA6869">
            <w:pPr>
              <w:spacing w:after="0" w:line="240" w:lineRule="auto"/>
              <w:rPr>
                <w:rFonts w:ascii="Calibri" w:eastAsia="Times New Roman" w:hAnsi="Calibri" w:cs="Calibri"/>
                <w:b/>
                <w:bCs/>
                <w:color w:val="000000"/>
                <w:kern w:val="0"/>
                <w:sz w:val="20"/>
                <w:szCs w:val="20"/>
                <w:lang w:eastAsia="en-AU"/>
                <w14:ligatures w14:val="none"/>
              </w:rPr>
            </w:pPr>
            <w:r w:rsidRPr="00D633FF">
              <w:rPr>
                <w:rFonts w:ascii="Calibri" w:eastAsia="Times New Roman" w:hAnsi="Calibri" w:cs="Calibri"/>
                <w:b/>
                <w:bCs/>
                <w:color w:val="000000"/>
                <w:kern w:val="0"/>
                <w:sz w:val="20"/>
                <w:szCs w:val="20"/>
                <w:lang w:eastAsia="en-AU"/>
                <w14:ligatures w14:val="none"/>
              </w:rPr>
              <w:t>(2014)</w:t>
            </w:r>
          </w:p>
        </w:tc>
        <w:tc>
          <w:tcPr>
            <w:tcW w:w="1208" w:type="dxa"/>
            <w:tcBorders>
              <w:top w:val="single" w:sz="4" w:space="0" w:color="auto"/>
              <w:left w:val="nil"/>
              <w:bottom w:val="single" w:sz="4" w:space="0" w:color="auto"/>
              <w:right w:val="single" w:sz="4" w:space="0" w:color="auto"/>
            </w:tcBorders>
            <w:shd w:val="clear" w:color="000000" w:fill="D9D9D9"/>
            <w:hideMark/>
          </w:tcPr>
          <w:p w14:paraId="4C989668" w14:textId="77777777" w:rsidR="00CA6869" w:rsidRDefault="001278B4" w:rsidP="00CA6869">
            <w:pPr>
              <w:spacing w:after="0" w:line="240" w:lineRule="auto"/>
              <w:rPr>
                <w:rFonts w:ascii="Calibri" w:eastAsia="Times New Roman" w:hAnsi="Calibri" w:cs="Calibri"/>
                <w:b/>
                <w:bCs/>
                <w:color w:val="000000"/>
                <w:kern w:val="0"/>
                <w:sz w:val="20"/>
                <w:szCs w:val="20"/>
                <w:lang w:eastAsia="en-AU"/>
                <w14:ligatures w14:val="none"/>
              </w:rPr>
            </w:pPr>
            <w:r w:rsidRPr="00D633FF">
              <w:rPr>
                <w:rFonts w:ascii="Calibri" w:eastAsia="Times New Roman" w:hAnsi="Calibri" w:cs="Calibri"/>
                <w:b/>
                <w:bCs/>
                <w:color w:val="000000"/>
                <w:kern w:val="0"/>
                <w:sz w:val="20"/>
                <w:szCs w:val="20"/>
                <w:lang w:eastAsia="en-AU"/>
                <w14:ligatures w14:val="none"/>
              </w:rPr>
              <w:t xml:space="preserve">NNR </w:t>
            </w:r>
          </w:p>
          <w:p w14:paraId="531C4FA7" w14:textId="53465786" w:rsidR="001278B4" w:rsidRPr="00D633FF" w:rsidRDefault="001278B4" w:rsidP="00CA6869">
            <w:pPr>
              <w:spacing w:after="0" w:line="240" w:lineRule="auto"/>
              <w:rPr>
                <w:rFonts w:ascii="Calibri" w:eastAsia="Times New Roman" w:hAnsi="Calibri" w:cs="Calibri"/>
                <w:b/>
                <w:bCs/>
                <w:color w:val="000000"/>
                <w:kern w:val="0"/>
                <w:sz w:val="20"/>
                <w:szCs w:val="20"/>
                <w:lang w:eastAsia="en-AU"/>
                <w14:ligatures w14:val="none"/>
              </w:rPr>
            </w:pPr>
            <w:r w:rsidRPr="00D633FF">
              <w:rPr>
                <w:rFonts w:ascii="Calibri" w:eastAsia="Times New Roman" w:hAnsi="Calibri" w:cs="Calibri"/>
                <w:b/>
                <w:bCs/>
                <w:color w:val="000000"/>
                <w:kern w:val="0"/>
                <w:sz w:val="20"/>
                <w:szCs w:val="20"/>
                <w:lang w:eastAsia="en-AU"/>
                <w14:ligatures w14:val="none"/>
              </w:rPr>
              <w:t>(2023)</w:t>
            </w:r>
          </w:p>
        </w:tc>
        <w:tc>
          <w:tcPr>
            <w:tcW w:w="1208" w:type="dxa"/>
            <w:tcBorders>
              <w:top w:val="single" w:sz="4" w:space="0" w:color="auto"/>
              <w:left w:val="nil"/>
              <w:bottom w:val="single" w:sz="4" w:space="0" w:color="auto"/>
              <w:right w:val="single" w:sz="4" w:space="0" w:color="auto"/>
            </w:tcBorders>
            <w:shd w:val="clear" w:color="000000" w:fill="D9D9D9"/>
            <w:hideMark/>
          </w:tcPr>
          <w:p w14:paraId="00288C3E" w14:textId="77777777" w:rsidR="001278B4" w:rsidRPr="00D633FF" w:rsidRDefault="001278B4" w:rsidP="00CA6869">
            <w:pPr>
              <w:spacing w:after="0" w:line="240" w:lineRule="auto"/>
              <w:rPr>
                <w:rFonts w:ascii="Calibri" w:eastAsia="Times New Roman" w:hAnsi="Calibri" w:cs="Calibri"/>
                <w:b/>
                <w:bCs/>
                <w:color w:val="000000"/>
                <w:kern w:val="0"/>
                <w:sz w:val="20"/>
                <w:szCs w:val="20"/>
                <w:lang w:eastAsia="en-AU"/>
                <w14:ligatures w14:val="none"/>
              </w:rPr>
            </w:pPr>
            <w:r w:rsidRPr="00D633FF">
              <w:rPr>
                <w:rFonts w:ascii="Calibri" w:eastAsia="Times New Roman" w:hAnsi="Calibri" w:cs="Calibri"/>
                <w:b/>
                <w:bCs/>
                <w:color w:val="000000"/>
                <w:kern w:val="0"/>
                <w:sz w:val="20"/>
                <w:szCs w:val="20"/>
                <w:lang w:eastAsia="en-AU"/>
                <w14:ligatures w14:val="none"/>
              </w:rPr>
              <w:t>WHO/FAO (2004)</w:t>
            </w:r>
          </w:p>
        </w:tc>
        <w:tc>
          <w:tcPr>
            <w:tcW w:w="1208" w:type="dxa"/>
            <w:tcBorders>
              <w:top w:val="single" w:sz="4" w:space="0" w:color="auto"/>
              <w:left w:val="nil"/>
              <w:bottom w:val="single" w:sz="4" w:space="0" w:color="auto"/>
              <w:right w:val="single" w:sz="4" w:space="0" w:color="auto"/>
            </w:tcBorders>
            <w:shd w:val="clear" w:color="000000" w:fill="D9D9D9"/>
            <w:hideMark/>
          </w:tcPr>
          <w:p w14:paraId="61A9DC7E" w14:textId="77777777" w:rsidR="00CA6869" w:rsidRDefault="001278B4" w:rsidP="00CA6869">
            <w:pPr>
              <w:spacing w:after="0" w:line="240" w:lineRule="auto"/>
              <w:rPr>
                <w:rFonts w:ascii="Calibri" w:eastAsia="Times New Roman" w:hAnsi="Calibri" w:cs="Calibri"/>
                <w:b/>
                <w:bCs/>
                <w:color w:val="000000"/>
                <w:kern w:val="0"/>
                <w:sz w:val="20"/>
                <w:szCs w:val="20"/>
                <w:lang w:eastAsia="en-AU"/>
                <w14:ligatures w14:val="none"/>
              </w:rPr>
            </w:pPr>
            <w:r w:rsidRPr="00D633FF">
              <w:rPr>
                <w:rFonts w:ascii="Calibri" w:eastAsia="Times New Roman" w:hAnsi="Calibri" w:cs="Calibri"/>
                <w:b/>
                <w:bCs/>
                <w:color w:val="000000"/>
                <w:kern w:val="0"/>
                <w:sz w:val="20"/>
                <w:szCs w:val="20"/>
                <w:lang w:eastAsia="en-AU"/>
                <w14:ligatures w14:val="none"/>
              </w:rPr>
              <w:t xml:space="preserve">IOM </w:t>
            </w:r>
          </w:p>
          <w:p w14:paraId="2E98E072" w14:textId="14CEEEBF" w:rsidR="001278B4" w:rsidRPr="00D633FF" w:rsidRDefault="001278B4" w:rsidP="00CA6869">
            <w:pPr>
              <w:spacing w:after="0" w:line="240" w:lineRule="auto"/>
              <w:rPr>
                <w:rFonts w:ascii="Calibri" w:eastAsia="Times New Roman" w:hAnsi="Calibri" w:cs="Calibri"/>
                <w:b/>
                <w:bCs/>
                <w:color w:val="000000"/>
                <w:kern w:val="0"/>
                <w:sz w:val="20"/>
                <w:szCs w:val="20"/>
                <w:lang w:eastAsia="en-AU"/>
                <w14:ligatures w14:val="none"/>
              </w:rPr>
            </w:pPr>
            <w:r w:rsidRPr="00D633FF">
              <w:rPr>
                <w:rFonts w:ascii="Calibri" w:eastAsia="Times New Roman" w:hAnsi="Calibri" w:cs="Calibri"/>
                <w:b/>
                <w:bCs/>
                <w:color w:val="000000"/>
                <w:kern w:val="0"/>
                <w:sz w:val="20"/>
                <w:szCs w:val="20"/>
                <w:lang w:eastAsia="en-AU"/>
                <w14:ligatures w14:val="none"/>
              </w:rPr>
              <w:t xml:space="preserve">(2000) </w:t>
            </w:r>
          </w:p>
        </w:tc>
      </w:tr>
      <w:tr w:rsidR="00663E1B" w:rsidRPr="00D633FF" w14:paraId="75445634" w14:textId="77777777" w:rsidTr="00CA6869">
        <w:trPr>
          <w:trHeight w:val="300"/>
        </w:trPr>
        <w:tc>
          <w:tcPr>
            <w:tcW w:w="3397" w:type="dxa"/>
            <w:tcBorders>
              <w:top w:val="single" w:sz="4" w:space="0" w:color="auto"/>
              <w:left w:val="single" w:sz="4" w:space="0" w:color="auto"/>
              <w:bottom w:val="single" w:sz="4" w:space="0" w:color="auto"/>
            </w:tcBorders>
            <w:shd w:val="clear" w:color="000000" w:fill="C0E6F5"/>
            <w:noWrap/>
            <w:vAlign w:val="bottom"/>
            <w:hideMark/>
          </w:tcPr>
          <w:p w14:paraId="3688D535" w14:textId="77777777" w:rsidR="00663E1B" w:rsidRPr="00D633FF" w:rsidRDefault="00663E1B" w:rsidP="001952D6">
            <w:pPr>
              <w:spacing w:after="0" w:line="360" w:lineRule="auto"/>
              <w:rPr>
                <w:rFonts w:ascii="Calibri" w:eastAsia="Times New Roman" w:hAnsi="Calibri" w:cs="Calibri"/>
                <w:b/>
                <w:bCs/>
                <w:color w:val="000000"/>
                <w:kern w:val="0"/>
                <w:sz w:val="20"/>
                <w:szCs w:val="20"/>
                <w:lang w:eastAsia="en-AU"/>
                <w14:ligatures w14:val="none"/>
              </w:rPr>
            </w:pPr>
            <w:r w:rsidRPr="00D633FF">
              <w:rPr>
                <w:rFonts w:ascii="Calibri" w:eastAsia="Times New Roman" w:hAnsi="Calibri" w:cs="Calibri"/>
                <w:b/>
                <w:bCs/>
                <w:color w:val="000000"/>
                <w:kern w:val="0"/>
                <w:sz w:val="20"/>
                <w:szCs w:val="20"/>
                <w:lang w:eastAsia="en-AU"/>
                <w14:ligatures w14:val="none"/>
              </w:rPr>
              <w:t>Infants</w:t>
            </w:r>
          </w:p>
        </w:tc>
        <w:tc>
          <w:tcPr>
            <w:tcW w:w="1208" w:type="dxa"/>
            <w:tcBorders>
              <w:top w:val="single" w:sz="4" w:space="0" w:color="auto"/>
              <w:bottom w:val="single" w:sz="4" w:space="0" w:color="auto"/>
            </w:tcBorders>
            <w:shd w:val="clear" w:color="000000" w:fill="C0E6F5"/>
            <w:vAlign w:val="bottom"/>
          </w:tcPr>
          <w:p w14:paraId="3A681B89" w14:textId="77777777" w:rsidR="00663E1B" w:rsidRPr="00D633FF" w:rsidRDefault="00663E1B" w:rsidP="001952D6">
            <w:pPr>
              <w:spacing w:after="0" w:line="360" w:lineRule="auto"/>
              <w:rPr>
                <w:rFonts w:ascii="Calibri" w:eastAsia="Times New Roman" w:hAnsi="Calibri" w:cs="Calibri"/>
                <w:b/>
                <w:bCs/>
                <w:color w:val="000000"/>
                <w:kern w:val="0"/>
                <w:sz w:val="20"/>
                <w:szCs w:val="20"/>
                <w:lang w:eastAsia="en-AU"/>
                <w14:ligatures w14:val="none"/>
              </w:rPr>
            </w:pPr>
          </w:p>
        </w:tc>
        <w:tc>
          <w:tcPr>
            <w:tcW w:w="1208" w:type="dxa"/>
            <w:tcBorders>
              <w:top w:val="single" w:sz="4" w:space="0" w:color="auto"/>
              <w:bottom w:val="single" w:sz="4" w:space="0" w:color="auto"/>
            </w:tcBorders>
            <w:shd w:val="clear" w:color="000000" w:fill="C0E6F5"/>
            <w:vAlign w:val="bottom"/>
          </w:tcPr>
          <w:p w14:paraId="46F522F9" w14:textId="77777777" w:rsidR="00663E1B" w:rsidRPr="00D633FF" w:rsidRDefault="00663E1B" w:rsidP="001952D6">
            <w:pPr>
              <w:spacing w:after="0" w:line="360" w:lineRule="auto"/>
              <w:rPr>
                <w:rFonts w:ascii="Calibri" w:eastAsia="Times New Roman" w:hAnsi="Calibri" w:cs="Calibri"/>
                <w:b/>
                <w:bCs/>
                <w:color w:val="000000"/>
                <w:kern w:val="0"/>
                <w:sz w:val="20"/>
                <w:szCs w:val="20"/>
                <w:lang w:eastAsia="en-AU"/>
                <w14:ligatures w14:val="none"/>
              </w:rPr>
            </w:pPr>
          </w:p>
        </w:tc>
        <w:tc>
          <w:tcPr>
            <w:tcW w:w="1208" w:type="dxa"/>
            <w:tcBorders>
              <w:top w:val="single" w:sz="4" w:space="0" w:color="auto"/>
              <w:bottom w:val="single" w:sz="4" w:space="0" w:color="auto"/>
            </w:tcBorders>
            <w:shd w:val="clear" w:color="000000" w:fill="C0E6F5"/>
            <w:vAlign w:val="bottom"/>
          </w:tcPr>
          <w:p w14:paraId="454B79E2" w14:textId="77777777" w:rsidR="00663E1B" w:rsidRPr="00D633FF" w:rsidRDefault="00663E1B" w:rsidP="001952D6">
            <w:pPr>
              <w:spacing w:after="0" w:line="360" w:lineRule="auto"/>
              <w:rPr>
                <w:rFonts w:ascii="Calibri" w:eastAsia="Times New Roman" w:hAnsi="Calibri" w:cs="Calibri"/>
                <w:b/>
                <w:bCs/>
                <w:color w:val="000000"/>
                <w:kern w:val="0"/>
                <w:sz w:val="20"/>
                <w:szCs w:val="20"/>
                <w:lang w:eastAsia="en-AU"/>
                <w14:ligatures w14:val="none"/>
              </w:rPr>
            </w:pPr>
          </w:p>
        </w:tc>
        <w:tc>
          <w:tcPr>
            <w:tcW w:w="1208" w:type="dxa"/>
            <w:tcBorders>
              <w:top w:val="single" w:sz="4" w:space="0" w:color="auto"/>
              <w:bottom w:val="single" w:sz="4" w:space="0" w:color="auto"/>
            </w:tcBorders>
            <w:shd w:val="clear" w:color="000000" w:fill="C0E6F5"/>
            <w:vAlign w:val="bottom"/>
          </w:tcPr>
          <w:p w14:paraId="7B8F9B41" w14:textId="77777777" w:rsidR="00663E1B" w:rsidRPr="00D633FF" w:rsidRDefault="00663E1B" w:rsidP="001952D6">
            <w:pPr>
              <w:spacing w:after="0" w:line="360" w:lineRule="auto"/>
              <w:rPr>
                <w:rFonts w:ascii="Calibri" w:eastAsia="Times New Roman" w:hAnsi="Calibri" w:cs="Calibri"/>
                <w:b/>
                <w:bCs/>
                <w:color w:val="000000"/>
                <w:kern w:val="0"/>
                <w:sz w:val="20"/>
                <w:szCs w:val="20"/>
                <w:lang w:eastAsia="en-AU"/>
                <w14:ligatures w14:val="none"/>
              </w:rPr>
            </w:pPr>
          </w:p>
        </w:tc>
        <w:tc>
          <w:tcPr>
            <w:tcW w:w="1208" w:type="dxa"/>
            <w:tcBorders>
              <w:top w:val="single" w:sz="4" w:space="0" w:color="auto"/>
              <w:bottom w:val="single" w:sz="4" w:space="0" w:color="auto"/>
              <w:right w:val="single" w:sz="4" w:space="0" w:color="auto"/>
            </w:tcBorders>
            <w:shd w:val="clear" w:color="000000" w:fill="C0E6F5"/>
            <w:vAlign w:val="bottom"/>
          </w:tcPr>
          <w:p w14:paraId="767157DB" w14:textId="5AEC4E68" w:rsidR="00663E1B" w:rsidRPr="00D633FF" w:rsidRDefault="00663E1B" w:rsidP="001952D6">
            <w:pPr>
              <w:spacing w:after="0" w:line="360" w:lineRule="auto"/>
              <w:rPr>
                <w:rFonts w:ascii="Calibri" w:eastAsia="Times New Roman" w:hAnsi="Calibri" w:cs="Calibri"/>
                <w:b/>
                <w:bCs/>
                <w:color w:val="000000"/>
                <w:kern w:val="0"/>
                <w:sz w:val="20"/>
                <w:szCs w:val="20"/>
                <w:lang w:eastAsia="en-AU"/>
                <w14:ligatures w14:val="none"/>
              </w:rPr>
            </w:pPr>
          </w:p>
        </w:tc>
      </w:tr>
      <w:tr w:rsidR="001278B4" w:rsidRPr="00D633FF" w14:paraId="2FBEB7C4" w14:textId="77777777" w:rsidTr="00CA6869">
        <w:trPr>
          <w:trHeight w:val="300"/>
        </w:trPr>
        <w:tc>
          <w:tcPr>
            <w:tcW w:w="3397" w:type="dxa"/>
            <w:tcBorders>
              <w:top w:val="single" w:sz="4" w:space="0" w:color="auto"/>
              <w:left w:val="single" w:sz="4" w:space="0" w:color="auto"/>
              <w:bottom w:val="dotted" w:sz="4" w:space="0" w:color="auto"/>
              <w:right w:val="nil"/>
            </w:tcBorders>
            <w:noWrap/>
            <w:vAlign w:val="bottom"/>
            <w:hideMark/>
          </w:tcPr>
          <w:p w14:paraId="59AC0D96"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0-6 months</w:t>
            </w:r>
          </w:p>
        </w:tc>
        <w:tc>
          <w:tcPr>
            <w:tcW w:w="1208" w:type="dxa"/>
            <w:tcBorders>
              <w:top w:val="single" w:sz="4" w:space="0" w:color="auto"/>
              <w:left w:val="single" w:sz="4" w:space="0" w:color="auto"/>
              <w:bottom w:val="dotted" w:sz="4" w:space="0" w:color="auto"/>
              <w:right w:val="nil"/>
            </w:tcBorders>
            <w:shd w:val="clear" w:color="000000" w:fill="DAF2D0"/>
            <w:noWrap/>
            <w:vAlign w:val="bottom"/>
            <w:hideMark/>
          </w:tcPr>
          <w:p w14:paraId="389227B5"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 xml:space="preserve">12 </w:t>
            </w:r>
            <w:r w:rsidRPr="00D633FF">
              <w:rPr>
                <w:rFonts w:ascii="Calibri" w:eastAsia="Times New Roman" w:hAnsi="Calibri" w:cs="Calibri"/>
                <w:color w:val="000000"/>
                <w:kern w:val="0"/>
                <w:sz w:val="20"/>
                <w:szCs w:val="20"/>
                <w:vertAlign w:val="superscript"/>
                <w:lang w:eastAsia="en-AU"/>
                <w14:ligatures w14:val="none"/>
              </w:rPr>
              <w:t>(a)</w:t>
            </w:r>
          </w:p>
        </w:tc>
        <w:tc>
          <w:tcPr>
            <w:tcW w:w="1208" w:type="dxa"/>
            <w:tcBorders>
              <w:top w:val="single" w:sz="4" w:space="0" w:color="auto"/>
              <w:left w:val="single" w:sz="4" w:space="0" w:color="auto"/>
              <w:bottom w:val="dotted" w:sz="4" w:space="0" w:color="auto"/>
              <w:right w:val="single" w:sz="4" w:space="0" w:color="auto"/>
            </w:tcBorders>
            <w:shd w:val="clear" w:color="000000" w:fill="DAE9F8"/>
            <w:noWrap/>
            <w:vAlign w:val="bottom"/>
            <w:hideMark/>
          </w:tcPr>
          <w:p w14:paraId="5A0A1A07"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15</w:t>
            </w:r>
          </w:p>
        </w:tc>
        <w:tc>
          <w:tcPr>
            <w:tcW w:w="1208" w:type="dxa"/>
            <w:tcBorders>
              <w:top w:val="single" w:sz="4" w:space="0" w:color="auto"/>
              <w:left w:val="nil"/>
              <w:bottom w:val="dotted" w:sz="4" w:space="0" w:color="auto"/>
              <w:right w:val="nil"/>
            </w:tcBorders>
            <w:noWrap/>
            <w:vAlign w:val="bottom"/>
            <w:hideMark/>
          </w:tcPr>
          <w:p w14:paraId="50955F20"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10</w:t>
            </w:r>
          </w:p>
        </w:tc>
        <w:tc>
          <w:tcPr>
            <w:tcW w:w="1208" w:type="dxa"/>
            <w:tcBorders>
              <w:top w:val="single" w:sz="4" w:space="0" w:color="auto"/>
              <w:left w:val="single" w:sz="4" w:space="0" w:color="auto"/>
              <w:bottom w:val="dotted" w:sz="4" w:space="0" w:color="auto"/>
              <w:right w:val="single" w:sz="4" w:space="0" w:color="auto"/>
            </w:tcBorders>
            <w:noWrap/>
            <w:vAlign w:val="bottom"/>
            <w:hideMark/>
          </w:tcPr>
          <w:p w14:paraId="0D6F2DA3"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proofErr w:type="spellStart"/>
            <w:r w:rsidRPr="00D633FF">
              <w:rPr>
                <w:rFonts w:ascii="Calibri" w:eastAsia="Times New Roman" w:hAnsi="Calibri" w:cs="Calibri"/>
                <w:color w:val="000000"/>
                <w:kern w:val="0"/>
                <w:sz w:val="20"/>
                <w:szCs w:val="20"/>
                <w:lang w:eastAsia="en-AU"/>
                <w14:ligatures w14:val="none"/>
              </w:rPr>
              <w:t>nd</w:t>
            </w:r>
            <w:proofErr w:type="spellEnd"/>
          </w:p>
        </w:tc>
        <w:tc>
          <w:tcPr>
            <w:tcW w:w="1208" w:type="dxa"/>
            <w:tcBorders>
              <w:top w:val="single" w:sz="4" w:space="0" w:color="auto"/>
              <w:left w:val="nil"/>
              <w:bottom w:val="dotted" w:sz="4" w:space="0" w:color="auto"/>
              <w:right w:val="single" w:sz="4" w:space="0" w:color="auto"/>
            </w:tcBorders>
            <w:noWrap/>
            <w:vAlign w:val="bottom"/>
            <w:hideMark/>
          </w:tcPr>
          <w:p w14:paraId="7D3685FA"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proofErr w:type="spellStart"/>
            <w:r w:rsidRPr="00D633FF">
              <w:rPr>
                <w:rFonts w:ascii="Calibri" w:eastAsia="Times New Roman" w:hAnsi="Calibri" w:cs="Calibri"/>
                <w:color w:val="000000"/>
                <w:kern w:val="0"/>
                <w:sz w:val="20"/>
                <w:szCs w:val="20"/>
                <w:lang w:eastAsia="en-AU"/>
                <w14:ligatures w14:val="none"/>
              </w:rPr>
              <w:t>nd</w:t>
            </w:r>
            <w:proofErr w:type="spellEnd"/>
          </w:p>
        </w:tc>
      </w:tr>
      <w:tr w:rsidR="001278B4" w:rsidRPr="00D633FF" w14:paraId="73305BE4" w14:textId="77777777" w:rsidTr="00CA6869">
        <w:trPr>
          <w:trHeight w:val="300"/>
        </w:trPr>
        <w:tc>
          <w:tcPr>
            <w:tcW w:w="3397" w:type="dxa"/>
            <w:tcBorders>
              <w:top w:val="dotted" w:sz="4" w:space="0" w:color="auto"/>
              <w:left w:val="single" w:sz="4" w:space="0" w:color="auto"/>
              <w:bottom w:val="single" w:sz="4" w:space="0" w:color="auto"/>
              <w:right w:val="nil"/>
            </w:tcBorders>
            <w:noWrap/>
            <w:vAlign w:val="bottom"/>
            <w:hideMark/>
          </w:tcPr>
          <w:p w14:paraId="429C9C11"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7-11 months</w:t>
            </w:r>
          </w:p>
        </w:tc>
        <w:tc>
          <w:tcPr>
            <w:tcW w:w="1208" w:type="dxa"/>
            <w:tcBorders>
              <w:top w:val="dotted" w:sz="4" w:space="0" w:color="auto"/>
              <w:left w:val="single" w:sz="4" w:space="0" w:color="auto"/>
              <w:bottom w:val="single" w:sz="4" w:space="0" w:color="auto"/>
              <w:right w:val="nil"/>
            </w:tcBorders>
            <w:shd w:val="clear" w:color="000000" w:fill="DAF2D0"/>
            <w:noWrap/>
            <w:vAlign w:val="bottom"/>
            <w:hideMark/>
          </w:tcPr>
          <w:p w14:paraId="0D1C050E"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 xml:space="preserve">15 </w:t>
            </w:r>
            <w:r w:rsidRPr="00D633FF">
              <w:rPr>
                <w:rFonts w:ascii="Calibri" w:eastAsia="Times New Roman" w:hAnsi="Calibri" w:cs="Calibri"/>
                <w:color w:val="000000"/>
                <w:kern w:val="0"/>
                <w:sz w:val="20"/>
                <w:szCs w:val="20"/>
                <w:vertAlign w:val="superscript"/>
                <w:lang w:eastAsia="en-AU"/>
                <w14:ligatures w14:val="none"/>
              </w:rPr>
              <w:t>(a)</w:t>
            </w:r>
          </w:p>
        </w:tc>
        <w:tc>
          <w:tcPr>
            <w:tcW w:w="1208" w:type="dxa"/>
            <w:tcBorders>
              <w:top w:val="dotted" w:sz="4" w:space="0" w:color="auto"/>
              <w:left w:val="single" w:sz="4" w:space="0" w:color="auto"/>
              <w:bottom w:val="single" w:sz="4" w:space="0" w:color="auto"/>
              <w:right w:val="single" w:sz="4" w:space="0" w:color="auto"/>
            </w:tcBorders>
            <w:shd w:val="clear" w:color="000000" w:fill="DAE9F8"/>
            <w:noWrap/>
            <w:vAlign w:val="bottom"/>
            <w:hideMark/>
          </w:tcPr>
          <w:p w14:paraId="06FAAB81"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 xml:space="preserve">15 </w:t>
            </w:r>
            <w:r w:rsidRPr="00D633FF">
              <w:rPr>
                <w:rFonts w:ascii="Calibri" w:eastAsia="Times New Roman" w:hAnsi="Calibri" w:cs="Calibri"/>
                <w:color w:val="000000"/>
                <w:kern w:val="0"/>
                <w:sz w:val="20"/>
                <w:szCs w:val="20"/>
                <w:vertAlign w:val="superscript"/>
                <w:lang w:eastAsia="en-AU"/>
                <w14:ligatures w14:val="none"/>
              </w:rPr>
              <w:t>(a)</w:t>
            </w:r>
          </w:p>
        </w:tc>
        <w:tc>
          <w:tcPr>
            <w:tcW w:w="1208" w:type="dxa"/>
            <w:tcBorders>
              <w:top w:val="dotted" w:sz="4" w:space="0" w:color="auto"/>
              <w:left w:val="nil"/>
              <w:bottom w:val="single" w:sz="4" w:space="0" w:color="auto"/>
              <w:right w:val="nil"/>
            </w:tcBorders>
            <w:noWrap/>
            <w:vAlign w:val="bottom"/>
            <w:hideMark/>
          </w:tcPr>
          <w:p w14:paraId="599216EE"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20</w:t>
            </w:r>
          </w:p>
        </w:tc>
        <w:tc>
          <w:tcPr>
            <w:tcW w:w="1208" w:type="dxa"/>
            <w:tcBorders>
              <w:top w:val="dotted" w:sz="4" w:space="0" w:color="auto"/>
              <w:left w:val="single" w:sz="4" w:space="0" w:color="auto"/>
              <w:bottom w:val="single" w:sz="4" w:space="0" w:color="auto"/>
              <w:right w:val="single" w:sz="4" w:space="0" w:color="auto"/>
            </w:tcBorders>
            <w:noWrap/>
            <w:vAlign w:val="bottom"/>
            <w:hideMark/>
          </w:tcPr>
          <w:p w14:paraId="54868299"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10</w:t>
            </w:r>
          </w:p>
        </w:tc>
        <w:tc>
          <w:tcPr>
            <w:tcW w:w="1208" w:type="dxa"/>
            <w:tcBorders>
              <w:top w:val="dotted" w:sz="4" w:space="0" w:color="auto"/>
              <w:left w:val="nil"/>
              <w:bottom w:val="single" w:sz="4" w:space="0" w:color="auto"/>
              <w:right w:val="single" w:sz="4" w:space="0" w:color="auto"/>
            </w:tcBorders>
            <w:noWrap/>
            <w:vAlign w:val="bottom"/>
            <w:hideMark/>
          </w:tcPr>
          <w:p w14:paraId="474D1521"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 xml:space="preserve">20 </w:t>
            </w:r>
            <w:r w:rsidRPr="00D633FF">
              <w:rPr>
                <w:rFonts w:ascii="Calibri" w:eastAsia="Times New Roman" w:hAnsi="Calibri" w:cs="Calibri"/>
                <w:color w:val="000000"/>
                <w:kern w:val="0"/>
                <w:sz w:val="20"/>
                <w:szCs w:val="20"/>
                <w:vertAlign w:val="superscript"/>
                <w:lang w:eastAsia="en-AU"/>
                <w14:ligatures w14:val="none"/>
              </w:rPr>
              <w:t>(a)</w:t>
            </w:r>
          </w:p>
        </w:tc>
      </w:tr>
      <w:tr w:rsidR="00663E1B" w:rsidRPr="00D633FF" w14:paraId="0335080B" w14:textId="77777777" w:rsidTr="00CA6869">
        <w:trPr>
          <w:trHeight w:val="300"/>
        </w:trPr>
        <w:tc>
          <w:tcPr>
            <w:tcW w:w="3397" w:type="dxa"/>
            <w:tcBorders>
              <w:top w:val="single" w:sz="4" w:space="0" w:color="auto"/>
              <w:left w:val="single" w:sz="4" w:space="0" w:color="auto"/>
              <w:bottom w:val="single" w:sz="4" w:space="0" w:color="auto"/>
            </w:tcBorders>
            <w:shd w:val="clear" w:color="000000" w:fill="C0E6F5"/>
            <w:noWrap/>
            <w:vAlign w:val="bottom"/>
            <w:hideMark/>
          </w:tcPr>
          <w:p w14:paraId="12E61300" w14:textId="77777777" w:rsidR="00663E1B" w:rsidRPr="00D633FF" w:rsidRDefault="00663E1B" w:rsidP="001952D6">
            <w:pPr>
              <w:spacing w:after="0" w:line="360" w:lineRule="auto"/>
              <w:rPr>
                <w:rFonts w:ascii="Calibri" w:eastAsia="Times New Roman" w:hAnsi="Calibri" w:cs="Calibri"/>
                <w:b/>
                <w:bCs/>
                <w:color w:val="000000"/>
                <w:kern w:val="0"/>
                <w:sz w:val="20"/>
                <w:szCs w:val="20"/>
                <w:lang w:eastAsia="en-AU"/>
                <w14:ligatures w14:val="none"/>
              </w:rPr>
            </w:pPr>
            <w:r w:rsidRPr="00D633FF">
              <w:rPr>
                <w:rFonts w:ascii="Calibri" w:eastAsia="Times New Roman" w:hAnsi="Calibri" w:cs="Calibri"/>
                <w:b/>
                <w:bCs/>
                <w:color w:val="000000"/>
                <w:kern w:val="0"/>
                <w:sz w:val="20"/>
                <w:szCs w:val="20"/>
                <w:lang w:eastAsia="en-AU"/>
                <w14:ligatures w14:val="none"/>
              </w:rPr>
              <w:t>Children &amp; adolescents</w:t>
            </w:r>
          </w:p>
        </w:tc>
        <w:tc>
          <w:tcPr>
            <w:tcW w:w="1208" w:type="dxa"/>
            <w:tcBorders>
              <w:top w:val="single" w:sz="4" w:space="0" w:color="auto"/>
              <w:bottom w:val="single" w:sz="4" w:space="0" w:color="auto"/>
            </w:tcBorders>
            <w:shd w:val="clear" w:color="000000" w:fill="C0E6F5"/>
            <w:vAlign w:val="bottom"/>
          </w:tcPr>
          <w:p w14:paraId="1F73B501" w14:textId="77777777" w:rsidR="00663E1B" w:rsidRPr="00D633FF" w:rsidRDefault="00663E1B" w:rsidP="001952D6">
            <w:pPr>
              <w:spacing w:after="0" w:line="360" w:lineRule="auto"/>
              <w:rPr>
                <w:rFonts w:ascii="Calibri" w:eastAsia="Times New Roman" w:hAnsi="Calibri" w:cs="Calibri"/>
                <w:b/>
                <w:bCs/>
                <w:color w:val="000000"/>
                <w:kern w:val="0"/>
                <w:sz w:val="20"/>
                <w:szCs w:val="20"/>
                <w:lang w:eastAsia="en-AU"/>
                <w14:ligatures w14:val="none"/>
              </w:rPr>
            </w:pPr>
          </w:p>
        </w:tc>
        <w:tc>
          <w:tcPr>
            <w:tcW w:w="1208" w:type="dxa"/>
            <w:tcBorders>
              <w:top w:val="single" w:sz="4" w:space="0" w:color="auto"/>
              <w:bottom w:val="single" w:sz="4" w:space="0" w:color="auto"/>
            </w:tcBorders>
            <w:shd w:val="clear" w:color="000000" w:fill="C0E6F5"/>
            <w:vAlign w:val="bottom"/>
          </w:tcPr>
          <w:p w14:paraId="34F39E36" w14:textId="77777777" w:rsidR="00663E1B" w:rsidRPr="00D633FF" w:rsidRDefault="00663E1B" w:rsidP="001952D6">
            <w:pPr>
              <w:spacing w:after="0" w:line="360" w:lineRule="auto"/>
              <w:rPr>
                <w:rFonts w:ascii="Calibri" w:eastAsia="Times New Roman" w:hAnsi="Calibri" w:cs="Calibri"/>
                <w:b/>
                <w:bCs/>
                <w:color w:val="000000"/>
                <w:kern w:val="0"/>
                <w:sz w:val="20"/>
                <w:szCs w:val="20"/>
                <w:lang w:eastAsia="en-AU"/>
                <w14:ligatures w14:val="none"/>
              </w:rPr>
            </w:pPr>
          </w:p>
        </w:tc>
        <w:tc>
          <w:tcPr>
            <w:tcW w:w="1208" w:type="dxa"/>
            <w:tcBorders>
              <w:top w:val="single" w:sz="4" w:space="0" w:color="auto"/>
              <w:bottom w:val="single" w:sz="4" w:space="0" w:color="auto"/>
            </w:tcBorders>
            <w:shd w:val="clear" w:color="000000" w:fill="C0E6F5"/>
            <w:vAlign w:val="bottom"/>
          </w:tcPr>
          <w:p w14:paraId="010955F6" w14:textId="77777777" w:rsidR="00663E1B" w:rsidRPr="00D633FF" w:rsidRDefault="00663E1B" w:rsidP="001952D6">
            <w:pPr>
              <w:spacing w:after="0" w:line="360" w:lineRule="auto"/>
              <w:rPr>
                <w:rFonts w:ascii="Calibri" w:eastAsia="Times New Roman" w:hAnsi="Calibri" w:cs="Calibri"/>
                <w:b/>
                <w:bCs/>
                <w:color w:val="000000"/>
                <w:kern w:val="0"/>
                <w:sz w:val="20"/>
                <w:szCs w:val="20"/>
                <w:lang w:eastAsia="en-AU"/>
                <w14:ligatures w14:val="none"/>
              </w:rPr>
            </w:pPr>
          </w:p>
        </w:tc>
        <w:tc>
          <w:tcPr>
            <w:tcW w:w="1208" w:type="dxa"/>
            <w:tcBorders>
              <w:top w:val="single" w:sz="4" w:space="0" w:color="auto"/>
              <w:bottom w:val="single" w:sz="4" w:space="0" w:color="auto"/>
            </w:tcBorders>
            <w:shd w:val="clear" w:color="000000" w:fill="C0E6F5"/>
            <w:vAlign w:val="bottom"/>
          </w:tcPr>
          <w:p w14:paraId="5E3377C3" w14:textId="77777777" w:rsidR="00663E1B" w:rsidRPr="00D633FF" w:rsidRDefault="00663E1B" w:rsidP="001952D6">
            <w:pPr>
              <w:spacing w:after="0" w:line="360" w:lineRule="auto"/>
              <w:rPr>
                <w:rFonts w:ascii="Calibri" w:eastAsia="Times New Roman" w:hAnsi="Calibri" w:cs="Calibri"/>
                <w:b/>
                <w:bCs/>
                <w:color w:val="000000"/>
                <w:kern w:val="0"/>
                <w:sz w:val="20"/>
                <w:szCs w:val="20"/>
                <w:lang w:eastAsia="en-AU"/>
                <w14:ligatures w14:val="none"/>
              </w:rPr>
            </w:pPr>
          </w:p>
        </w:tc>
        <w:tc>
          <w:tcPr>
            <w:tcW w:w="1208" w:type="dxa"/>
            <w:tcBorders>
              <w:top w:val="single" w:sz="4" w:space="0" w:color="auto"/>
              <w:bottom w:val="single" w:sz="4" w:space="0" w:color="auto"/>
              <w:right w:val="single" w:sz="4" w:space="0" w:color="auto"/>
            </w:tcBorders>
            <w:shd w:val="clear" w:color="000000" w:fill="C0E6F5"/>
            <w:vAlign w:val="bottom"/>
          </w:tcPr>
          <w:p w14:paraId="21422FEB" w14:textId="063DFB80" w:rsidR="00663E1B" w:rsidRPr="00D633FF" w:rsidRDefault="00663E1B" w:rsidP="001952D6">
            <w:pPr>
              <w:spacing w:after="0" w:line="360" w:lineRule="auto"/>
              <w:rPr>
                <w:rFonts w:ascii="Calibri" w:eastAsia="Times New Roman" w:hAnsi="Calibri" w:cs="Calibri"/>
                <w:b/>
                <w:bCs/>
                <w:color w:val="000000"/>
                <w:kern w:val="0"/>
                <w:sz w:val="20"/>
                <w:szCs w:val="20"/>
                <w:lang w:eastAsia="en-AU"/>
                <w14:ligatures w14:val="none"/>
              </w:rPr>
            </w:pPr>
          </w:p>
        </w:tc>
      </w:tr>
      <w:tr w:rsidR="001278B4" w:rsidRPr="00D633FF" w14:paraId="54E1EED0" w14:textId="77777777" w:rsidTr="00CA6869">
        <w:trPr>
          <w:trHeight w:val="300"/>
        </w:trPr>
        <w:tc>
          <w:tcPr>
            <w:tcW w:w="3397" w:type="dxa"/>
            <w:tcBorders>
              <w:top w:val="single" w:sz="4" w:space="0" w:color="auto"/>
              <w:left w:val="single" w:sz="4" w:space="0" w:color="auto"/>
              <w:bottom w:val="dotted" w:sz="4" w:space="0" w:color="auto"/>
              <w:right w:val="single" w:sz="4" w:space="0" w:color="auto"/>
            </w:tcBorders>
            <w:noWrap/>
            <w:vAlign w:val="bottom"/>
            <w:hideMark/>
          </w:tcPr>
          <w:p w14:paraId="24822DEB"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1-3 years</w:t>
            </w:r>
          </w:p>
        </w:tc>
        <w:tc>
          <w:tcPr>
            <w:tcW w:w="1208" w:type="dxa"/>
            <w:tcBorders>
              <w:top w:val="single" w:sz="4" w:space="0" w:color="auto"/>
              <w:left w:val="single" w:sz="4" w:space="0" w:color="auto"/>
              <w:bottom w:val="dotted" w:sz="4" w:space="0" w:color="auto"/>
              <w:right w:val="single" w:sz="4" w:space="0" w:color="auto"/>
            </w:tcBorders>
            <w:shd w:val="clear" w:color="000000" w:fill="DAF2D0"/>
            <w:noWrap/>
            <w:vAlign w:val="bottom"/>
            <w:hideMark/>
          </w:tcPr>
          <w:p w14:paraId="31285263"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20-25</w:t>
            </w:r>
          </w:p>
        </w:tc>
        <w:tc>
          <w:tcPr>
            <w:tcW w:w="1208" w:type="dxa"/>
            <w:tcBorders>
              <w:top w:val="single" w:sz="4" w:space="0" w:color="auto"/>
              <w:left w:val="single" w:sz="4" w:space="0" w:color="auto"/>
              <w:bottom w:val="dotted" w:sz="4" w:space="0" w:color="auto"/>
              <w:right w:val="single" w:sz="4" w:space="0" w:color="auto"/>
            </w:tcBorders>
            <w:shd w:val="clear" w:color="000000" w:fill="DAE9F8"/>
            <w:noWrap/>
            <w:vAlign w:val="bottom"/>
            <w:hideMark/>
          </w:tcPr>
          <w:p w14:paraId="72ED6B6A"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 xml:space="preserve">15 </w:t>
            </w:r>
            <w:r w:rsidRPr="00D633FF">
              <w:rPr>
                <w:rFonts w:ascii="Calibri" w:eastAsia="Times New Roman" w:hAnsi="Calibri" w:cs="Calibri"/>
                <w:color w:val="000000"/>
                <w:kern w:val="0"/>
                <w:sz w:val="20"/>
                <w:szCs w:val="20"/>
                <w:vertAlign w:val="superscript"/>
                <w:lang w:eastAsia="en-AU"/>
                <w14:ligatures w14:val="none"/>
              </w:rPr>
              <w:t>(a)</w:t>
            </w:r>
          </w:p>
        </w:tc>
        <w:tc>
          <w:tcPr>
            <w:tcW w:w="1208" w:type="dxa"/>
            <w:tcBorders>
              <w:top w:val="single" w:sz="4" w:space="0" w:color="auto"/>
              <w:left w:val="single" w:sz="4" w:space="0" w:color="auto"/>
              <w:bottom w:val="dotted" w:sz="4" w:space="0" w:color="auto"/>
              <w:right w:val="single" w:sz="4" w:space="0" w:color="auto"/>
            </w:tcBorders>
            <w:noWrap/>
            <w:vAlign w:val="bottom"/>
            <w:hideMark/>
          </w:tcPr>
          <w:p w14:paraId="193EBE57"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20</w:t>
            </w:r>
          </w:p>
        </w:tc>
        <w:tc>
          <w:tcPr>
            <w:tcW w:w="1208" w:type="dxa"/>
            <w:tcBorders>
              <w:top w:val="single" w:sz="4" w:space="0" w:color="auto"/>
              <w:left w:val="single" w:sz="4" w:space="0" w:color="auto"/>
              <w:bottom w:val="dotted" w:sz="4" w:space="0" w:color="auto"/>
              <w:right w:val="single" w:sz="4" w:space="0" w:color="auto"/>
            </w:tcBorders>
            <w:noWrap/>
            <w:vAlign w:val="bottom"/>
            <w:hideMark/>
          </w:tcPr>
          <w:p w14:paraId="1718DAC3"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17</w:t>
            </w:r>
          </w:p>
        </w:tc>
        <w:tc>
          <w:tcPr>
            <w:tcW w:w="1208" w:type="dxa"/>
            <w:tcBorders>
              <w:top w:val="single" w:sz="4" w:space="0" w:color="auto"/>
              <w:left w:val="single" w:sz="4" w:space="0" w:color="auto"/>
              <w:bottom w:val="dotted" w:sz="4" w:space="0" w:color="auto"/>
              <w:right w:val="single" w:sz="4" w:space="0" w:color="auto"/>
            </w:tcBorders>
            <w:noWrap/>
            <w:vAlign w:val="bottom"/>
            <w:hideMark/>
          </w:tcPr>
          <w:p w14:paraId="2F8D256F"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20</w:t>
            </w:r>
          </w:p>
        </w:tc>
      </w:tr>
      <w:tr w:rsidR="001278B4" w:rsidRPr="00D633FF" w14:paraId="51A24B87" w14:textId="77777777" w:rsidTr="00CA6869">
        <w:trPr>
          <w:trHeight w:val="300"/>
        </w:trPr>
        <w:tc>
          <w:tcPr>
            <w:tcW w:w="3397" w:type="dxa"/>
            <w:tcBorders>
              <w:top w:val="dotted" w:sz="4" w:space="0" w:color="auto"/>
              <w:left w:val="single" w:sz="4" w:space="0" w:color="auto"/>
              <w:bottom w:val="dotted" w:sz="4" w:space="0" w:color="auto"/>
              <w:right w:val="single" w:sz="4" w:space="0" w:color="auto"/>
            </w:tcBorders>
            <w:noWrap/>
            <w:vAlign w:val="bottom"/>
            <w:hideMark/>
          </w:tcPr>
          <w:p w14:paraId="7A937315"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4-8 years</w:t>
            </w:r>
          </w:p>
        </w:tc>
        <w:tc>
          <w:tcPr>
            <w:tcW w:w="1208" w:type="dxa"/>
            <w:tcBorders>
              <w:top w:val="dotted" w:sz="4" w:space="0" w:color="auto"/>
              <w:left w:val="single" w:sz="4" w:space="0" w:color="auto"/>
              <w:bottom w:val="dotted" w:sz="4" w:space="0" w:color="auto"/>
              <w:right w:val="single" w:sz="4" w:space="0" w:color="auto"/>
            </w:tcBorders>
            <w:shd w:val="clear" w:color="000000" w:fill="DAF2D0"/>
            <w:noWrap/>
            <w:vAlign w:val="bottom"/>
            <w:hideMark/>
          </w:tcPr>
          <w:p w14:paraId="05B2DE73"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25-30</w:t>
            </w:r>
          </w:p>
        </w:tc>
        <w:tc>
          <w:tcPr>
            <w:tcW w:w="1208" w:type="dxa"/>
            <w:tcBorders>
              <w:top w:val="dotted" w:sz="4" w:space="0" w:color="auto"/>
              <w:left w:val="single" w:sz="4" w:space="0" w:color="auto"/>
              <w:bottom w:val="dotted" w:sz="4" w:space="0" w:color="auto"/>
              <w:right w:val="single" w:sz="4" w:space="0" w:color="auto"/>
            </w:tcBorders>
            <w:shd w:val="clear" w:color="000000" w:fill="DAE9F8"/>
            <w:noWrap/>
            <w:vAlign w:val="bottom"/>
            <w:hideMark/>
          </w:tcPr>
          <w:p w14:paraId="3A0C91F5"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 xml:space="preserve">20 </w:t>
            </w:r>
            <w:r w:rsidRPr="00D633FF">
              <w:rPr>
                <w:rFonts w:ascii="Calibri" w:eastAsia="Times New Roman" w:hAnsi="Calibri" w:cs="Calibri"/>
                <w:color w:val="000000"/>
                <w:kern w:val="0"/>
                <w:sz w:val="20"/>
                <w:szCs w:val="20"/>
                <w:vertAlign w:val="superscript"/>
                <w:lang w:eastAsia="en-AU"/>
                <w14:ligatures w14:val="none"/>
              </w:rPr>
              <w:t>(a)</w:t>
            </w:r>
          </w:p>
        </w:tc>
        <w:tc>
          <w:tcPr>
            <w:tcW w:w="1208" w:type="dxa"/>
            <w:tcBorders>
              <w:top w:val="dotted" w:sz="4" w:space="0" w:color="auto"/>
              <w:left w:val="single" w:sz="4" w:space="0" w:color="auto"/>
              <w:bottom w:val="dotted" w:sz="4" w:space="0" w:color="auto"/>
              <w:right w:val="single" w:sz="4" w:space="0" w:color="auto"/>
            </w:tcBorders>
            <w:noWrap/>
            <w:vAlign w:val="bottom"/>
            <w:hideMark/>
          </w:tcPr>
          <w:p w14:paraId="0F4835FB"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25</w:t>
            </w:r>
          </w:p>
        </w:tc>
        <w:tc>
          <w:tcPr>
            <w:tcW w:w="1208" w:type="dxa"/>
            <w:tcBorders>
              <w:top w:val="dotted" w:sz="4" w:space="0" w:color="auto"/>
              <w:left w:val="single" w:sz="4" w:space="0" w:color="auto"/>
              <w:bottom w:val="dotted" w:sz="4" w:space="0" w:color="auto"/>
              <w:right w:val="single" w:sz="4" w:space="0" w:color="auto"/>
            </w:tcBorders>
            <w:noWrap/>
            <w:vAlign w:val="bottom"/>
            <w:hideMark/>
          </w:tcPr>
          <w:p w14:paraId="604B86B8"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22</w:t>
            </w:r>
          </w:p>
        </w:tc>
        <w:tc>
          <w:tcPr>
            <w:tcW w:w="1208" w:type="dxa"/>
            <w:tcBorders>
              <w:top w:val="dotted" w:sz="4" w:space="0" w:color="auto"/>
              <w:left w:val="single" w:sz="4" w:space="0" w:color="auto"/>
              <w:bottom w:val="dotted" w:sz="4" w:space="0" w:color="auto"/>
              <w:right w:val="single" w:sz="4" w:space="0" w:color="auto"/>
            </w:tcBorders>
            <w:noWrap/>
            <w:vAlign w:val="bottom"/>
            <w:hideMark/>
          </w:tcPr>
          <w:p w14:paraId="4C7C24F3"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30</w:t>
            </w:r>
          </w:p>
        </w:tc>
      </w:tr>
      <w:tr w:rsidR="001278B4" w:rsidRPr="00D633FF" w14:paraId="40292EC9" w14:textId="77777777" w:rsidTr="00CA6869">
        <w:trPr>
          <w:trHeight w:val="203"/>
        </w:trPr>
        <w:tc>
          <w:tcPr>
            <w:tcW w:w="3397" w:type="dxa"/>
            <w:tcBorders>
              <w:top w:val="dotted" w:sz="4" w:space="0" w:color="auto"/>
              <w:left w:val="single" w:sz="4" w:space="0" w:color="auto"/>
              <w:bottom w:val="dotted" w:sz="4" w:space="0" w:color="auto"/>
              <w:right w:val="single" w:sz="4" w:space="0" w:color="auto"/>
            </w:tcBorders>
            <w:noWrap/>
            <w:vAlign w:val="bottom"/>
            <w:hideMark/>
          </w:tcPr>
          <w:p w14:paraId="5A385E4C"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7-10 years</w:t>
            </w:r>
          </w:p>
        </w:tc>
        <w:tc>
          <w:tcPr>
            <w:tcW w:w="1208" w:type="dxa"/>
            <w:tcBorders>
              <w:top w:val="dotted" w:sz="4" w:space="0" w:color="auto"/>
              <w:left w:val="single" w:sz="4" w:space="0" w:color="auto"/>
              <w:bottom w:val="dotted" w:sz="4" w:space="0" w:color="auto"/>
              <w:right w:val="single" w:sz="4" w:space="0" w:color="auto"/>
            </w:tcBorders>
            <w:noWrap/>
            <w:vAlign w:val="bottom"/>
            <w:hideMark/>
          </w:tcPr>
          <w:p w14:paraId="3F8664CC"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 </w:t>
            </w:r>
          </w:p>
        </w:tc>
        <w:tc>
          <w:tcPr>
            <w:tcW w:w="1208" w:type="dxa"/>
            <w:tcBorders>
              <w:top w:val="dotted" w:sz="4" w:space="0" w:color="auto"/>
              <w:left w:val="single" w:sz="4" w:space="0" w:color="auto"/>
              <w:bottom w:val="dotted" w:sz="4" w:space="0" w:color="auto"/>
              <w:right w:val="single" w:sz="4" w:space="0" w:color="auto"/>
            </w:tcBorders>
            <w:shd w:val="clear" w:color="000000" w:fill="DAE9F8"/>
            <w:noWrap/>
            <w:vAlign w:val="bottom"/>
            <w:hideMark/>
          </w:tcPr>
          <w:p w14:paraId="21D5C220"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 xml:space="preserve">35 </w:t>
            </w:r>
            <w:r w:rsidRPr="00D633FF">
              <w:rPr>
                <w:rFonts w:ascii="Calibri" w:eastAsia="Times New Roman" w:hAnsi="Calibri" w:cs="Calibri"/>
                <w:color w:val="000000"/>
                <w:kern w:val="0"/>
                <w:sz w:val="20"/>
                <w:szCs w:val="20"/>
                <w:vertAlign w:val="superscript"/>
                <w:lang w:eastAsia="en-AU"/>
                <w14:ligatures w14:val="none"/>
              </w:rPr>
              <w:t>(a)</w:t>
            </w:r>
          </w:p>
        </w:tc>
        <w:tc>
          <w:tcPr>
            <w:tcW w:w="1208" w:type="dxa"/>
            <w:tcBorders>
              <w:top w:val="dotted" w:sz="4" w:space="0" w:color="auto"/>
              <w:left w:val="single" w:sz="4" w:space="0" w:color="auto"/>
              <w:bottom w:val="dotted" w:sz="4" w:space="0" w:color="auto"/>
              <w:right w:val="single" w:sz="4" w:space="0" w:color="auto"/>
            </w:tcBorders>
            <w:noWrap/>
            <w:vAlign w:val="bottom"/>
            <w:hideMark/>
          </w:tcPr>
          <w:p w14:paraId="2084FB33"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40</w:t>
            </w:r>
          </w:p>
        </w:tc>
        <w:tc>
          <w:tcPr>
            <w:tcW w:w="1208" w:type="dxa"/>
            <w:tcBorders>
              <w:top w:val="dotted" w:sz="4" w:space="0" w:color="auto"/>
              <w:left w:val="single" w:sz="4" w:space="0" w:color="auto"/>
              <w:bottom w:val="dotted" w:sz="4" w:space="0" w:color="auto"/>
              <w:right w:val="single" w:sz="4" w:space="0" w:color="auto"/>
            </w:tcBorders>
            <w:noWrap/>
            <w:vAlign w:val="bottom"/>
            <w:hideMark/>
          </w:tcPr>
          <w:p w14:paraId="28A5A87F"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21</w:t>
            </w:r>
          </w:p>
        </w:tc>
        <w:tc>
          <w:tcPr>
            <w:tcW w:w="1208" w:type="dxa"/>
            <w:tcBorders>
              <w:top w:val="dotted" w:sz="4" w:space="0" w:color="auto"/>
              <w:left w:val="single" w:sz="4" w:space="0" w:color="auto"/>
              <w:bottom w:val="dotted" w:sz="4" w:space="0" w:color="auto"/>
              <w:right w:val="single" w:sz="4" w:space="0" w:color="auto"/>
            </w:tcBorders>
            <w:noWrap/>
            <w:vAlign w:val="bottom"/>
            <w:hideMark/>
          </w:tcPr>
          <w:p w14:paraId="763DE939"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 </w:t>
            </w:r>
          </w:p>
        </w:tc>
      </w:tr>
      <w:tr w:rsidR="001278B4" w:rsidRPr="00D633FF" w14:paraId="24447AB7" w14:textId="77777777" w:rsidTr="00CA6869">
        <w:trPr>
          <w:trHeight w:val="300"/>
        </w:trPr>
        <w:tc>
          <w:tcPr>
            <w:tcW w:w="3397" w:type="dxa"/>
            <w:tcBorders>
              <w:top w:val="dotted" w:sz="4" w:space="0" w:color="auto"/>
              <w:left w:val="single" w:sz="4" w:space="0" w:color="auto"/>
              <w:bottom w:val="dotted" w:sz="4" w:space="0" w:color="auto"/>
              <w:right w:val="single" w:sz="4" w:space="0" w:color="auto"/>
            </w:tcBorders>
            <w:noWrap/>
            <w:vAlign w:val="bottom"/>
            <w:hideMark/>
          </w:tcPr>
          <w:p w14:paraId="06F4B143"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9-13 years (boys)</w:t>
            </w:r>
          </w:p>
        </w:tc>
        <w:tc>
          <w:tcPr>
            <w:tcW w:w="1208" w:type="dxa"/>
            <w:tcBorders>
              <w:top w:val="dotted" w:sz="4" w:space="0" w:color="auto"/>
              <w:left w:val="single" w:sz="4" w:space="0" w:color="auto"/>
              <w:bottom w:val="dotted" w:sz="4" w:space="0" w:color="auto"/>
              <w:right w:val="single" w:sz="4" w:space="0" w:color="auto"/>
            </w:tcBorders>
            <w:shd w:val="clear" w:color="000000" w:fill="DAF2D0"/>
            <w:noWrap/>
            <w:vAlign w:val="bottom"/>
            <w:hideMark/>
          </w:tcPr>
          <w:p w14:paraId="7440FB74"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40-50</w:t>
            </w:r>
          </w:p>
        </w:tc>
        <w:tc>
          <w:tcPr>
            <w:tcW w:w="1208" w:type="dxa"/>
            <w:tcBorders>
              <w:top w:val="dotted" w:sz="4" w:space="0" w:color="auto"/>
              <w:left w:val="single" w:sz="4" w:space="0" w:color="auto"/>
              <w:bottom w:val="dotted" w:sz="4" w:space="0" w:color="auto"/>
              <w:right w:val="single" w:sz="4" w:space="0" w:color="auto"/>
            </w:tcBorders>
            <w:shd w:val="clear" w:color="000000" w:fill="DAE9F8"/>
            <w:noWrap/>
            <w:vAlign w:val="bottom"/>
            <w:hideMark/>
          </w:tcPr>
          <w:p w14:paraId="7BFB801B"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 xml:space="preserve">55 </w:t>
            </w:r>
            <w:r w:rsidRPr="00D633FF">
              <w:rPr>
                <w:rFonts w:ascii="Calibri" w:eastAsia="Times New Roman" w:hAnsi="Calibri" w:cs="Calibri"/>
                <w:color w:val="000000"/>
                <w:kern w:val="0"/>
                <w:sz w:val="20"/>
                <w:szCs w:val="20"/>
                <w:vertAlign w:val="superscript"/>
                <w:lang w:eastAsia="en-AU"/>
                <w14:ligatures w14:val="none"/>
              </w:rPr>
              <w:t>(a)</w:t>
            </w:r>
          </w:p>
        </w:tc>
        <w:tc>
          <w:tcPr>
            <w:tcW w:w="1208" w:type="dxa"/>
            <w:tcBorders>
              <w:top w:val="dotted" w:sz="4" w:space="0" w:color="auto"/>
              <w:left w:val="single" w:sz="4" w:space="0" w:color="auto"/>
              <w:bottom w:val="dotted" w:sz="4" w:space="0" w:color="auto"/>
              <w:right w:val="single" w:sz="4" w:space="0" w:color="auto"/>
            </w:tcBorders>
            <w:noWrap/>
            <w:vAlign w:val="bottom"/>
            <w:hideMark/>
          </w:tcPr>
          <w:p w14:paraId="7A6E8C75"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65</w:t>
            </w:r>
          </w:p>
        </w:tc>
        <w:tc>
          <w:tcPr>
            <w:tcW w:w="1208" w:type="dxa"/>
            <w:tcBorders>
              <w:top w:val="dotted" w:sz="4" w:space="0" w:color="auto"/>
              <w:left w:val="single" w:sz="4" w:space="0" w:color="auto"/>
              <w:bottom w:val="dotted" w:sz="4" w:space="0" w:color="auto"/>
              <w:right w:val="single" w:sz="4" w:space="0" w:color="auto"/>
            </w:tcBorders>
            <w:noWrap/>
            <w:vAlign w:val="bottom"/>
            <w:hideMark/>
          </w:tcPr>
          <w:p w14:paraId="7E0F600F"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32</w:t>
            </w:r>
          </w:p>
        </w:tc>
        <w:tc>
          <w:tcPr>
            <w:tcW w:w="1208" w:type="dxa"/>
            <w:tcBorders>
              <w:top w:val="dotted" w:sz="4" w:space="0" w:color="auto"/>
              <w:left w:val="single" w:sz="4" w:space="0" w:color="auto"/>
              <w:bottom w:val="dotted" w:sz="4" w:space="0" w:color="auto"/>
              <w:right w:val="single" w:sz="4" w:space="0" w:color="auto"/>
            </w:tcBorders>
            <w:noWrap/>
            <w:vAlign w:val="bottom"/>
            <w:hideMark/>
          </w:tcPr>
          <w:p w14:paraId="2EE50D85"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40</w:t>
            </w:r>
          </w:p>
        </w:tc>
      </w:tr>
      <w:tr w:rsidR="001278B4" w:rsidRPr="00D633FF" w14:paraId="46132DDF" w14:textId="77777777" w:rsidTr="00CA6869">
        <w:trPr>
          <w:trHeight w:val="300"/>
        </w:trPr>
        <w:tc>
          <w:tcPr>
            <w:tcW w:w="3397" w:type="dxa"/>
            <w:tcBorders>
              <w:top w:val="dotted" w:sz="4" w:space="0" w:color="auto"/>
              <w:left w:val="single" w:sz="4" w:space="0" w:color="auto"/>
              <w:bottom w:val="dotted" w:sz="4" w:space="0" w:color="auto"/>
              <w:right w:val="single" w:sz="4" w:space="0" w:color="auto"/>
            </w:tcBorders>
            <w:noWrap/>
            <w:vAlign w:val="bottom"/>
            <w:hideMark/>
          </w:tcPr>
          <w:p w14:paraId="72247853"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9-13 years (girls)</w:t>
            </w:r>
          </w:p>
        </w:tc>
        <w:tc>
          <w:tcPr>
            <w:tcW w:w="1208" w:type="dxa"/>
            <w:tcBorders>
              <w:top w:val="dotted" w:sz="4" w:space="0" w:color="auto"/>
              <w:left w:val="single" w:sz="4" w:space="0" w:color="auto"/>
              <w:bottom w:val="dotted" w:sz="4" w:space="0" w:color="auto"/>
              <w:right w:val="single" w:sz="4" w:space="0" w:color="auto"/>
            </w:tcBorders>
            <w:shd w:val="clear" w:color="000000" w:fill="DAF2D0"/>
            <w:noWrap/>
            <w:vAlign w:val="bottom"/>
            <w:hideMark/>
          </w:tcPr>
          <w:p w14:paraId="7C28EAAE"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40-50</w:t>
            </w:r>
          </w:p>
        </w:tc>
        <w:tc>
          <w:tcPr>
            <w:tcW w:w="1208" w:type="dxa"/>
            <w:tcBorders>
              <w:top w:val="dotted" w:sz="4" w:space="0" w:color="auto"/>
              <w:left w:val="single" w:sz="4" w:space="0" w:color="auto"/>
              <w:bottom w:val="dotted" w:sz="4" w:space="0" w:color="auto"/>
              <w:right w:val="single" w:sz="4" w:space="0" w:color="auto"/>
            </w:tcBorders>
            <w:shd w:val="clear" w:color="000000" w:fill="DAE9F8"/>
            <w:noWrap/>
            <w:vAlign w:val="bottom"/>
            <w:hideMark/>
          </w:tcPr>
          <w:p w14:paraId="48C01005"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 xml:space="preserve">55 </w:t>
            </w:r>
            <w:r w:rsidRPr="00D633FF">
              <w:rPr>
                <w:rFonts w:ascii="Calibri" w:eastAsia="Times New Roman" w:hAnsi="Calibri" w:cs="Calibri"/>
                <w:color w:val="000000"/>
                <w:kern w:val="0"/>
                <w:sz w:val="20"/>
                <w:szCs w:val="20"/>
                <w:vertAlign w:val="superscript"/>
                <w:lang w:eastAsia="en-AU"/>
                <w14:ligatures w14:val="none"/>
              </w:rPr>
              <w:t>(a)</w:t>
            </w:r>
          </w:p>
        </w:tc>
        <w:tc>
          <w:tcPr>
            <w:tcW w:w="1208" w:type="dxa"/>
            <w:tcBorders>
              <w:top w:val="dotted" w:sz="4" w:space="0" w:color="auto"/>
              <w:left w:val="single" w:sz="4" w:space="0" w:color="auto"/>
              <w:bottom w:val="dotted" w:sz="4" w:space="0" w:color="auto"/>
              <w:right w:val="single" w:sz="4" w:space="0" w:color="auto"/>
            </w:tcBorders>
            <w:noWrap/>
            <w:vAlign w:val="bottom"/>
            <w:hideMark/>
          </w:tcPr>
          <w:p w14:paraId="0B335E92"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60</w:t>
            </w:r>
          </w:p>
        </w:tc>
        <w:tc>
          <w:tcPr>
            <w:tcW w:w="1208" w:type="dxa"/>
            <w:tcBorders>
              <w:top w:val="dotted" w:sz="4" w:space="0" w:color="auto"/>
              <w:left w:val="single" w:sz="4" w:space="0" w:color="auto"/>
              <w:bottom w:val="dotted" w:sz="4" w:space="0" w:color="auto"/>
              <w:right w:val="single" w:sz="4" w:space="0" w:color="auto"/>
            </w:tcBorders>
            <w:noWrap/>
            <w:vAlign w:val="bottom"/>
            <w:hideMark/>
          </w:tcPr>
          <w:p w14:paraId="4CBFB6D8"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26</w:t>
            </w:r>
          </w:p>
        </w:tc>
        <w:tc>
          <w:tcPr>
            <w:tcW w:w="1208" w:type="dxa"/>
            <w:tcBorders>
              <w:top w:val="dotted" w:sz="4" w:space="0" w:color="auto"/>
              <w:left w:val="single" w:sz="4" w:space="0" w:color="auto"/>
              <w:bottom w:val="dotted" w:sz="4" w:space="0" w:color="auto"/>
              <w:right w:val="single" w:sz="4" w:space="0" w:color="auto"/>
            </w:tcBorders>
            <w:noWrap/>
            <w:vAlign w:val="bottom"/>
            <w:hideMark/>
          </w:tcPr>
          <w:p w14:paraId="71D651F6"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40</w:t>
            </w:r>
          </w:p>
        </w:tc>
      </w:tr>
      <w:tr w:rsidR="001278B4" w:rsidRPr="00D633FF" w14:paraId="6C1783B4" w14:textId="77777777" w:rsidTr="00CA6869">
        <w:trPr>
          <w:trHeight w:val="300"/>
        </w:trPr>
        <w:tc>
          <w:tcPr>
            <w:tcW w:w="3397" w:type="dxa"/>
            <w:tcBorders>
              <w:top w:val="dotted" w:sz="4" w:space="0" w:color="auto"/>
              <w:left w:val="single" w:sz="4" w:space="0" w:color="auto"/>
              <w:bottom w:val="dotted" w:sz="4" w:space="0" w:color="auto"/>
              <w:right w:val="single" w:sz="4" w:space="0" w:color="auto"/>
            </w:tcBorders>
            <w:noWrap/>
            <w:vAlign w:val="bottom"/>
            <w:hideMark/>
          </w:tcPr>
          <w:p w14:paraId="68D3A63E"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14-18 years (boys)</w:t>
            </w:r>
          </w:p>
        </w:tc>
        <w:tc>
          <w:tcPr>
            <w:tcW w:w="1208" w:type="dxa"/>
            <w:tcBorders>
              <w:top w:val="dotted" w:sz="4" w:space="0" w:color="auto"/>
              <w:left w:val="single" w:sz="4" w:space="0" w:color="auto"/>
              <w:bottom w:val="dotted" w:sz="4" w:space="0" w:color="auto"/>
              <w:right w:val="single" w:sz="4" w:space="0" w:color="auto"/>
            </w:tcBorders>
            <w:shd w:val="clear" w:color="000000" w:fill="DAF2D0"/>
            <w:noWrap/>
            <w:vAlign w:val="bottom"/>
            <w:hideMark/>
          </w:tcPr>
          <w:p w14:paraId="1A9D7763"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60-70</w:t>
            </w:r>
          </w:p>
        </w:tc>
        <w:tc>
          <w:tcPr>
            <w:tcW w:w="1208" w:type="dxa"/>
            <w:tcBorders>
              <w:top w:val="dotted" w:sz="4" w:space="0" w:color="auto"/>
              <w:left w:val="single" w:sz="4" w:space="0" w:color="auto"/>
              <w:bottom w:val="dotted" w:sz="4" w:space="0" w:color="auto"/>
              <w:right w:val="single" w:sz="4" w:space="0" w:color="auto"/>
            </w:tcBorders>
            <w:shd w:val="clear" w:color="000000" w:fill="DAE9F8"/>
            <w:noWrap/>
            <w:vAlign w:val="bottom"/>
            <w:hideMark/>
          </w:tcPr>
          <w:p w14:paraId="25F9C2CB"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 xml:space="preserve">70 </w:t>
            </w:r>
            <w:r w:rsidRPr="00D633FF">
              <w:rPr>
                <w:rFonts w:ascii="Calibri" w:eastAsia="Times New Roman" w:hAnsi="Calibri" w:cs="Calibri"/>
                <w:color w:val="000000"/>
                <w:kern w:val="0"/>
                <w:sz w:val="20"/>
                <w:szCs w:val="20"/>
                <w:vertAlign w:val="superscript"/>
                <w:lang w:eastAsia="en-AU"/>
                <w14:ligatures w14:val="none"/>
              </w:rPr>
              <w:t>(a)</w:t>
            </w:r>
          </w:p>
        </w:tc>
        <w:tc>
          <w:tcPr>
            <w:tcW w:w="1208" w:type="dxa"/>
            <w:tcBorders>
              <w:top w:val="dotted" w:sz="4" w:space="0" w:color="auto"/>
              <w:left w:val="single" w:sz="4" w:space="0" w:color="auto"/>
              <w:bottom w:val="dotted" w:sz="4" w:space="0" w:color="auto"/>
              <w:right w:val="single" w:sz="4" w:space="0" w:color="auto"/>
            </w:tcBorders>
            <w:noWrap/>
            <w:vAlign w:val="bottom"/>
            <w:hideMark/>
          </w:tcPr>
          <w:p w14:paraId="79B2B791"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85</w:t>
            </w:r>
          </w:p>
        </w:tc>
        <w:tc>
          <w:tcPr>
            <w:tcW w:w="1208" w:type="dxa"/>
            <w:tcBorders>
              <w:top w:val="dotted" w:sz="4" w:space="0" w:color="auto"/>
              <w:left w:val="single" w:sz="4" w:space="0" w:color="auto"/>
              <w:bottom w:val="dotted" w:sz="4" w:space="0" w:color="auto"/>
              <w:right w:val="single" w:sz="4" w:space="0" w:color="auto"/>
            </w:tcBorders>
            <w:noWrap/>
            <w:vAlign w:val="bottom"/>
            <w:hideMark/>
          </w:tcPr>
          <w:p w14:paraId="58391D00"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32</w:t>
            </w:r>
          </w:p>
        </w:tc>
        <w:tc>
          <w:tcPr>
            <w:tcW w:w="1208" w:type="dxa"/>
            <w:tcBorders>
              <w:top w:val="dotted" w:sz="4" w:space="0" w:color="auto"/>
              <w:left w:val="single" w:sz="4" w:space="0" w:color="auto"/>
              <w:bottom w:val="dotted" w:sz="4" w:space="0" w:color="auto"/>
              <w:right w:val="single" w:sz="4" w:space="0" w:color="auto"/>
            </w:tcBorders>
            <w:noWrap/>
            <w:vAlign w:val="bottom"/>
            <w:hideMark/>
          </w:tcPr>
          <w:p w14:paraId="221A756C"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45</w:t>
            </w:r>
          </w:p>
        </w:tc>
      </w:tr>
      <w:tr w:rsidR="001278B4" w:rsidRPr="00D633FF" w14:paraId="5A72A04C" w14:textId="77777777" w:rsidTr="00CA6869">
        <w:trPr>
          <w:trHeight w:val="300"/>
        </w:trPr>
        <w:tc>
          <w:tcPr>
            <w:tcW w:w="3397" w:type="dxa"/>
            <w:tcBorders>
              <w:top w:val="dotted" w:sz="4" w:space="0" w:color="auto"/>
              <w:left w:val="single" w:sz="4" w:space="0" w:color="auto"/>
              <w:bottom w:val="single" w:sz="4" w:space="0" w:color="auto"/>
              <w:right w:val="single" w:sz="4" w:space="0" w:color="auto"/>
            </w:tcBorders>
            <w:noWrap/>
            <w:vAlign w:val="bottom"/>
            <w:hideMark/>
          </w:tcPr>
          <w:p w14:paraId="5D247791"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14-18 years (girls)</w:t>
            </w:r>
          </w:p>
        </w:tc>
        <w:tc>
          <w:tcPr>
            <w:tcW w:w="1208" w:type="dxa"/>
            <w:tcBorders>
              <w:top w:val="dotted" w:sz="4" w:space="0" w:color="auto"/>
              <w:left w:val="single" w:sz="4" w:space="0" w:color="auto"/>
              <w:bottom w:val="single" w:sz="4" w:space="0" w:color="auto"/>
              <w:right w:val="single" w:sz="4" w:space="0" w:color="auto"/>
            </w:tcBorders>
            <w:shd w:val="clear" w:color="000000" w:fill="DAF2D0"/>
            <w:noWrap/>
            <w:vAlign w:val="bottom"/>
            <w:hideMark/>
          </w:tcPr>
          <w:p w14:paraId="5B0BD429"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50-60</w:t>
            </w:r>
          </w:p>
        </w:tc>
        <w:tc>
          <w:tcPr>
            <w:tcW w:w="1208" w:type="dxa"/>
            <w:tcBorders>
              <w:top w:val="dotted" w:sz="4" w:space="0" w:color="auto"/>
              <w:left w:val="single" w:sz="4" w:space="0" w:color="auto"/>
              <w:bottom w:val="single" w:sz="4" w:space="0" w:color="auto"/>
              <w:right w:val="single" w:sz="4" w:space="0" w:color="auto"/>
            </w:tcBorders>
            <w:shd w:val="clear" w:color="000000" w:fill="DAE9F8"/>
            <w:noWrap/>
            <w:vAlign w:val="bottom"/>
            <w:hideMark/>
          </w:tcPr>
          <w:p w14:paraId="6FD7049B"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 xml:space="preserve">70 </w:t>
            </w:r>
            <w:r w:rsidRPr="00D633FF">
              <w:rPr>
                <w:rFonts w:ascii="Calibri" w:eastAsia="Times New Roman" w:hAnsi="Calibri" w:cs="Calibri"/>
                <w:color w:val="000000"/>
                <w:kern w:val="0"/>
                <w:sz w:val="20"/>
                <w:szCs w:val="20"/>
                <w:vertAlign w:val="superscript"/>
                <w:lang w:eastAsia="en-AU"/>
                <w14:ligatures w14:val="none"/>
              </w:rPr>
              <w:t>(a)</w:t>
            </w:r>
          </w:p>
        </w:tc>
        <w:tc>
          <w:tcPr>
            <w:tcW w:w="1208" w:type="dxa"/>
            <w:tcBorders>
              <w:top w:val="dotted" w:sz="4" w:space="0" w:color="auto"/>
              <w:left w:val="single" w:sz="4" w:space="0" w:color="auto"/>
              <w:bottom w:val="single" w:sz="4" w:space="0" w:color="auto"/>
              <w:right w:val="single" w:sz="4" w:space="0" w:color="auto"/>
            </w:tcBorders>
            <w:noWrap/>
            <w:vAlign w:val="bottom"/>
            <w:hideMark/>
          </w:tcPr>
          <w:p w14:paraId="26D894BD"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70</w:t>
            </w:r>
          </w:p>
        </w:tc>
        <w:tc>
          <w:tcPr>
            <w:tcW w:w="1208" w:type="dxa"/>
            <w:tcBorders>
              <w:top w:val="dotted" w:sz="4" w:space="0" w:color="auto"/>
              <w:left w:val="single" w:sz="4" w:space="0" w:color="auto"/>
              <w:bottom w:val="single" w:sz="4" w:space="0" w:color="auto"/>
              <w:right w:val="single" w:sz="4" w:space="0" w:color="auto"/>
            </w:tcBorders>
            <w:noWrap/>
            <w:vAlign w:val="bottom"/>
            <w:hideMark/>
          </w:tcPr>
          <w:p w14:paraId="5DCED5D3"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26</w:t>
            </w:r>
          </w:p>
        </w:tc>
        <w:tc>
          <w:tcPr>
            <w:tcW w:w="1208" w:type="dxa"/>
            <w:tcBorders>
              <w:top w:val="dotted" w:sz="4" w:space="0" w:color="auto"/>
              <w:left w:val="single" w:sz="4" w:space="0" w:color="auto"/>
              <w:bottom w:val="single" w:sz="4" w:space="0" w:color="auto"/>
              <w:right w:val="single" w:sz="4" w:space="0" w:color="auto"/>
            </w:tcBorders>
            <w:noWrap/>
            <w:vAlign w:val="bottom"/>
            <w:hideMark/>
          </w:tcPr>
          <w:p w14:paraId="62EDDE36"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45</w:t>
            </w:r>
          </w:p>
        </w:tc>
      </w:tr>
      <w:tr w:rsidR="00663E1B" w:rsidRPr="00D633FF" w14:paraId="115EA7D7" w14:textId="77777777" w:rsidTr="00CA6869">
        <w:trPr>
          <w:trHeight w:val="300"/>
        </w:trPr>
        <w:tc>
          <w:tcPr>
            <w:tcW w:w="3397" w:type="dxa"/>
            <w:tcBorders>
              <w:top w:val="single" w:sz="4" w:space="0" w:color="auto"/>
              <w:left w:val="single" w:sz="4" w:space="0" w:color="auto"/>
              <w:bottom w:val="single" w:sz="4" w:space="0" w:color="auto"/>
            </w:tcBorders>
            <w:shd w:val="clear" w:color="000000" w:fill="C0E6F5"/>
            <w:noWrap/>
            <w:vAlign w:val="bottom"/>
            <w:hideMark/>
          </w:tcPr>
          <w:p w14:paraId="41940820" w14:textId="77777777" w:rsidR="00663E1B" w:rsidRPr="00D633FF" w:rsidRDefault="00663E1B" w:rsidP="001952D6">
            <w:pPr>
              <w:spacing w:after="0" w:line="360" w:lineRule="auto"/>
              <w:rPr>
                <w:rFonts w:ascii="Calibri" w:eastAsia="Times New Roman" w:hAnsi="Calibri" w:cs="Calibri"/>
                <w:b/>
                <w:bCs/>
                <w:color w:val="000000"/>
                <w:kern w:val="0"/>
                <w:sz w:val="20"/>
                <w:szCs w:val="20"/>
                <w:lang w:eastAsia="en-AU"/>
                <w14:ligatures w14:val="none"/>
              </w:rPr>
            </w:pPr>
            <w:r w:rsidRPr="00D633FF">
              <w:rPr>
                <w:rFonts w:ascii="Calibri" w:eastAsia="Times New Roman" w:hAnsi="Calibri" w:cs="Calibri"/>
                <w:b/>
                <w:bCs/>
                <w:color w:val="000000"/>
                <w:kern w:val="0"/>
                <w:sz w:val="20"/>
                <w:szCs w:val="20"/>
                <w:lang w:eastAsia="en-AU"/>
                <w14:ligatures w14:val="none"/>
              </w:rPr>
              <w:t>Adults</w:t>
            </w:r>
          </w:p>
        </w:tc>
        <w:tc>
          <w:tcPr>
            <w:tcW w:w="1208" w:type="dxa"/>
            <w:tcBorders>
              <w:top w:val="single" w:sz="4" w:space="0" w:color="auto"/>
              <w:bottom w:val="single" w:sz="4" w:space="0" w:color="auto"/>
            </w:tcBorders>
            <w:shd w:val="clear" w:color="000000" w:fill="C0E6F5"/>
            <w:vAlign w:val="bottom"/>
          </w:tcPr>
          <w:p w14:paraId="67087F86" w14:textId="77777777" w:rsidR="00663E1B" w:rsidRPr="00D633FF" w:rsidRDefault="00663E1B" w:rsidP="001952D6">
            <w:pPr>
              <w:spacing w:after="0" w:line="360" w:lineRule="auto"/>
              <w:rPr>
                <w:rFonts w:ascii="Calibri" w:eastAsia="Times New Roman" w:hAnsi="Calibri" w:cs="Calibri"/>
                <w:b/>
                <w:bCs/>
                <w:color w:val="000000"/>
                <w:kern w:val="0"/>
                <w:sz w:val="20"/>
                <w:szCs w:val="20"/>
                <w:lang w:eastAsia="en-AU"/>
                <w14:ligatures w14:val="none"/>
              </w:rPr>
            </w:pPr>
          </w:p>
        </w:tc>
        <w:tc>
          <w:tcPr>
            <w:tcW w:w="1208" w:type="dxa"/>
            <w:tcBorders>
              <w:top w:val="single" w:sz="4" w:space="0" w:color="auto"/>
              <w:bottom w:val="single" w:sz="4" w:space="0" w:color="auto"/>
            </w:tcBorders>
            <w:shd w:val="clear" w:color="000000" w:fill="C0E6F5"/>
            <w:vAlign w:val="bottom"/>
          </w:tcPr>
          <w:p w14:paraId="4C1137F5" w14:textId="77777777" w:rsidR="00663E1B" w:rsidRPr="00D633FF" w:rsidRDefault="00663E1B" w:rsidP="001952D6">
            <w:pPr>
              <w:spacing w:after="0" w:line="360" w:lineRule="auto"/>
              <w:rPr>
                <w:rFonts w:ascii="Calibri" w:eastAsia="Times New Roman" w:hAnsi="Calibri" w:cs="Calibri"/>
                <w:b/>
                <w:bCs/>
                <w:color w:val="000000"/>
                <w:kern w:val="0"/>
                <w:sz w:val="20"/>
                <w:szCs w:val="20"/>
                <w:lang w:eastAsia="en-AU"/>
                <w14:ligatures w14:val="none"/>
              </w:rPr>
            </w:pPr>
          </w:p>
        </w:tc>
        <w:tc>
          <w:tcPr>
            <w:tcW w:w="1208" w:type="dxa"/>
            <w:tcBorders>
              <w:top w:val="single" w:sz="4" w:space="0" w:color="auto"/>
              <w:bottom w:val="single" w:sz="4" w:space="0" w:color="auto"/>
            </w:tcBorders>
            <w:shd w:val="clear" w:color="000000" w:fill="C0E6F5"/>
            <w:vAlign w:val="bottom"/>
          </w:tcPr>
          <w:p w14:paraId="4B9C8AA5" w14:textId="77777777" w:rsidR="00663E1B" w:rsidRPr="00D633FF" w:rsidRDefault="00663E1B" w:rsidP="001952D6">
            <w:pPr>
              <w:spacing w:after="0" w:line="360" w:lineRule="auto"/>
              <w:rPr>
                <w:rFonts w:ascii="Calibri" w:eastAsia="Times New Roman" w:hAnsi="Calibri" w:cs="Calibri"/>
                <w:b/>
                <w:bCs/>
                <w:color w:val="000000"/>
                <w:kern w:val="0"/>
                <w:sz w:val="20"/>
                <w:szCs w:val="20"/>
                <w:lang w:eastAsia="en-AU"/>
                <w14:ligatures w14:val="none"/>
              </w:rPr>
            </w:pPr>
          </w:p>
        </w:tc>
        <w:tc>
          <w:tcPr>
            <w:tcW w:w="1208" w:type="dxa"/>
            <w:tcBorders>
              <w:top w:val="single" w:sz="4" w:space="0" w:color="auto"/>
              <w:bottom w:val="single" w:sz="4" w:space="0" w:color="auto"/>
            </w:tcBorders>
            <w:shd w:val="clear" w:color="000000" w:fill="C0E6F5"/>
            <w:vAlign w:val="bottom"/>
          </w:tcPr>
          <w:p w14:paraId="4F7FB136" w14:textId="77777777" w:rsidR="00663E1B" w:rsidRPr="00D633FF" w:rsidRDefault="00663E1B" w:rsidP="001952D6">
            <w:pPr>
              <w:spacing w:after="0" w:line="360" w:lineRule="auto"/>
              <w:rPr>
                <w:rFonts w:ascii="Calibri" w:eastAsia="Times New Roman" w:hAnsi="Calibri" w:cs="Calibri"/>
                <w:b/>
                <w:bCs/>
                <w:color w:val="000000"/>
                <w:kern w:val="0"/>
                <w:sz w:val="20"/>
                <w:szCs w:val="20"/>
                <w:lang w:eastAsia="en-AU"/>
                <w14:ligatures w14:val="none"/>
              </w:rPr>
            </w:pPr>
          </w:p>
        </w:tc>
        <w:tc>
          <w:tcPr>
            <w:tcW w:w="1208" w:type="dxa"/>
            <w:tcBorders>
              <w:top w:val="single" w:sz="4" w:space="0" w:color="auto"/>
              <w:bottom w:val="single" w:sz="4" w:space="0" w:color="auto"/>
              <w:right w:val="single" w:sz="4" w:space="0" w:color="auto"/>
            </w:tcBorders>
            <w:shd w:val="clear" w:color="000000" w:fill="C0E6F5"/>
            <w:vAlign w:val="bottom"/>
          </w:tcPr>
          <w:p w14:paraId="7A7C65E9" w14:textId="57DFD8FB" w:rsidR="00663E1B" w:rsidRPr="00D633FF" w:rsidRDefault="00663E1B" w:rsidP="001952D6">
            <w:pPr>
              <w:spacing w:after="0" w:line="360" w:lineRule="auto"/>
              <w:rPr>
                <w:rFonts w:ascii="Calibri" w:eastAsia="Times New Roman" w:hAnsi="Calibri" w:cs="Calibri"/>
                <w:b/>
                <w:bCs/>
                <w:color w:val="000000"/>
                <w:kern w:val="0"/>
                <w:sz w:val="20"/>
                <w:szCs w:val="20"/>
                <w:lang w:eastAsia="en-AU"/>
                <w14:ligatures w14:val="none"/>
              </w:rPr>
            </w:pPr>
          </w:p>
        </w:tc>
      </w:tr>
      <w:tr w:rsidR="001278B4" w:rsidRPr="00D633FF" w14:paraId="186D6FCC" w14:textId="77777777" w:rsidTr="00CA6869">
        <w:trPr>
          <w:trHeight w:val="300"/>
        </w:trPr>
        <w:tc>
          <w:tcPr>
            <w:tcW w:w="3397" w:type="dxa"/>
            <w:tcBorders>
              <w:top w:val="single" w:sz="4" w:space="0" w:color="auto"/>
              <w:left w:val="single" w:sz="4" w:space="0" w:color="auto"/>
              <w:bottom w:val="dotted" w:sz="4" w:space="0" w:color="auto"/>
              <w:right w:val="nil"/>
            </w:tcBorders>
            <w:noWrap/>
            <w:vAlign w:val="bottom"/>
            <w:hideMark/>
          </w:tcPr>
          <w:p w14:paraId="775990E2"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18-</w:t>
            </w:r>
            <w:proofErr w:type="gramStart"/>
            <w:r w:rsidRPr="00D633FF">
              <w:rPr>
                <w:rFonts w:ascii="Calibri" w:eastAsia="Times New Roman" w:hAnsi="Calibri" w:cs="Calibri"/>
                <w:color w:val="000000"/>
                <w:kern w:val="0"/>
                <w:sz w:val="20"/>
                <w:szCs w:val="20"/>
                <w:lang w:eastAsia="en-AU"/>
                <w14:ligatures w14:val="none"/>
              </w:rPr>
              <w:t>65  (</w:t>
            </w:r>
            <w:proofErr w:type="gramEnd"/>
            <w:r w:rsidRPr="00D633FF">
              <w:rPr>
                <w:rFonts w:ascii="Calibri" w:eastAsia="Times New Roman" w:hAnsi="Calibri" w:cs="Calibri"/>
                <w:color w:val="000000"/>
                <w:kern w:val="0"/>
                <w:sz w:val="20"/>
                <w:szCs w:val="20"/>
                <w:lang w:eastAsia="en-AU"/>
                <w14:ligatures w14:val="none"/>
              </w:rPr>
              <w:t>males)</w:t>
            </w:r>
          </w:p>
        </w:tc>
        <w:tc>
          <w:tcPr>
            <w:tcW w:w="1208" w:type="dxa"/>
            <w:tcBorders>
              <w:top w:val="single" w:sz="4" w:space="0" w:color="auto"/>
              <w:left w:val="single" w:sz="4" w:space="0" w:color="auto"/>
              <w:bottom w:val="dotted" w:sz="4" w:space="0" w:color="auto"/>
              <w:right w:val="single" w:sz="4" w:space="0" w:color="auto"/>
            </w:tcBorders>
            <w:shd w:val="clear" w:color="000000" w:fill="DAF2D0"/>
            <w:noWrap/>
            <w:vAlign w:val="bottom"/>
            <w:hideMark/>
          </w:tcPr>
          <w:p w14:paraId="42182DA1"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60-70</w:t>
            </w:r>
          </w:p>
        </w:tc>
        <w:tc>
          <w:tcPr>
            <w:tcW w:w="1208" w:type="dxa"/>
            <w:tcBorders>
              <w:top w:val="single" w:sz="4" w:space="0" w:color="auto"/>
              <w:left w:val="nil"/>
              <w:bottom w:val="dotted" w:sz="4" w:space="0" w:color="auto"/>
              <w:right w:val="nil"/>
            </w:tcBorders>
            <w:shd w:val="clear" w:color="000000" w:fill="DAE9F8"/>
            <w:noWrap/>
            <w:vAlign w:val="bottom"/>
            <w:hideMark/>
          </w:tcPr>
          <w:p w14:paraId="349B5953"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 xml:space="preserve">70 </w:t>
            </w:r>
            <w:r w:rsidRPr="00D633FF">
              <w:rPr>
                <w:rFonts w:ascii="Calibri" w:eastAsia="Times New Roman" w:hAnsi="Calibri" w:cs="Calibri"/>
                <w:color w:val="000000"/>
                <w:kern w:val="0"/>
                <w:sz w:val="20"/>
                <w:szCs w:val="20"/>
                <w:vertAlign w:val="superscript"/>
                <w:lang w:eastAsia="en-AU"/>
                <w14:ligatures w14:val="none"/>
              </w:rPr>
              <w:t>(a)</w:t>
            </w:r>
          </w:p>
        </w:tc>
        <w:tc>
          <w:tcPr>
            <w:tcW w:w="1208" w:type="dxa"/>
            <w:tcBorders>
              <w:top w:val="single" w:sz="4" w:space="0" w:color="auto"/>
              <w:left w:val="single" w:sz="4" w:space="0" w:color="auto"/>
              <w:bottom w:val="dotted" w:sz="4" w:space="0" w:color="auto"/>
              <w:right w:val="single" w:sz="4" w:space="0" w:color="auto"/>
            </w:tcBorders>
            <w:noWrap/>
            <w:vAlign w:val="bottom"/>
            <w:hideMark/>
          </w:tcPr>
          <w:p w14:paraId="46BE84D7"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90</w:t>
            </w:r>
          </w:p>
        </w:tc>
        <w:tc>
          <w:tcPr>
            <w:tcW w:w="1208" w:type="dxa"/>
            <w:tcBorders>
              <w:top w:val="single" w:sz="4" w:space="0" w:color="auto"/>
              <w:left w:val="nil"/>
              <w:bottom w:val="dotted" w:sz="4" w:space="0" w:color="auto"/>
              <w:right w:val="nil"/>
            </w:tcBorders>
            <w:noWrap/>
            <w:vAlign w:val="bottom"/>
            <w:hideMark/>
          </w:tcPr>
          <w:p w14:paraId="15FB1515"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34</w:t>
            </w:r>
          </w:p>
        </w:tc>
        <w:tc>
          <w:tcPr>
            <w:tcW w:w="1208" w:type="dxa"/>
            <w:tcBorders>
              <w:top w:val="single" w:sz="4" w:space="0" w:color="auto"/>
              <w:left w:val="single" w:sz="4" w:space="0" w:color="auto"/>
              <w:bottom w:val="dotted" w:sz="4" w:space="0" w:color="auto"/>
              <w:right w:val="single" w:sz="4" w:space="0" w:color="auto"/>
            </w:tcBorders>
            <w:noWrap/>
            <w:vAlign w:val="bottom"/>
            <w:hideMark/>
          </w:tcPr>
          <w:p w14:paraId="5C648C76"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55</w:t>
            </w:r>
          </w:p>
        </w:tc>
      </w:tr>
      <w:tr w:rsidR="001278B4" w:rsidRPr="00D633FF" w14:paraId="598D43DF" w14:textId="77777777" w:rsidTr="00CA6869">
        <w:trPr>
          <w:trHeight w:val="300"/>
        </w:trPr>
        <w:tc>
          <w:tcPr>
            <w:tcW w:w="3397" w:type="dxa"/>
            <w:tcBorders>
              <w:top w:val="dotted" w:sz="4" w:space="0" w:color="auto"/>
              <w:left w:val="single" w:sz="4" w:space="0" w:color="auto"/>
              <w:bottom w:val="dotted" w:sz="4" w:space="0" w:color="auto"/>
              <w:right w:val="nil"/>
            </w:tcBorders>
            <w:noWrap/>
            <w:vAlign w:val="bottom"/>
            <w:hideMark/>
          </w:tcPr>
          <w:p w14:paraId="3966B249"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18-</w:t>
            </w:r>
            <w:proofErr w:type="gramStart"/>
            <w:r w:rsidRPr="00D633FF">
              <w:rPr>
                <w:rFonts w:ascii="Calibri" w:eastAsia="Times New Roman" w:hAnsi="Calibri" w:cs="Calibri"/>
                <w:color w:val="000000"/>
                <w:kern w:val="0"/>
                <w:sz w:val="20"/>
                <w:szCs w:val="20"/>
                <w:lang w:eastAsia="en-AU"/>
                <w14:ligatures w14:val="none"/>
              </w:rPr>
              <w:t>65  (</w:t>
            </w:r>
            <w:proofErr w:type="gramEnd"/>
            <w:r w:rsidRPr="00D633FF">
              <w:rPr>
                <w:rFonts w:ascii="Calibri" w:eastAsia="Times New Roman" w:hAnsi="Calibri" w:cs="Calibri"/>
                <w:color w:val="000000"/>
                <w:kern w:val="0"/>
                <w:sz w:val="20"/>
                <w:szCs w:val="20"/>
                <w:lang w:eastAsia="en-AU"/>
                <w14:ligatures w14:val="none"/>
              </w:rPr>
              <w:t>females)</w:t>
            </w:r>
          </w:p>
        </w:tc>
        <w:tc>
          <w:tcPr>
            <w:tcW w:w="1208" w:type="dxa"/>
            <w:tcBorders>
              <w:top w:val="dotted" w:sz="4" w:space="0" w:color="auto"/>
              <w:left w:val="single" w:sz="4" w:space="0" w:color="auto"/>
              <w:bottom w:val="dotted" w:sz="4" w:space="0" w:color="auto"/>
              <w:right w:val="single" w:sz="4" w:space="0" w:color="auto"/>
            </w:tcBorders>
            <w:shd w:val="clear" w:color="000000" w:fill="DAF2D0"/>
            <w:noWrap/>
            <w:vAlign w:val="bottom"/>
            <w:hideMark/>
          </w:tcPr>
          <w:p w14:paraId="33D277CE"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50-60</w:t>
            </w:r>
          </w:p>
        </w:tc>
        <w:tc>
          <w:tcPr>
            <w:tcW w:w="1208" w:type="dxa"/>
            <w:tcBorders>
              <w:top w:val="dotted" w:sz="4" w:space="0" w:color="auto"/>
              <w:left w:val="nil"/>
              <w:bottom w:val="dotted" w:sz="4" w:space="0" w:color="auto"/>
              <w:right w:val="nil"/>
            </w:tcBorders>
            <w:shd w:val="clear" w:color="000000" w:fill="DAE9F8"/>
            <w:noWrap/>
            <w:vAlign w:val="bottom"/>
            <w:hideMark/>
          </w:tcPr>
          <w:p w14:paraId="2C4AF925"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 xml:space="preserve">70 </w:t>
            </w:r>
            <w:r w:rsidRPr="00D633FF">
              <w:rPr>
                <w:rFonts w:ascii="Calibri" w:eastAsia="Times New Roman" w:hAnsi="Calibri" w:cs="Calibri"/>
                <w:color w:val="000000"/>
                <w:kern w:val="0"/>
                <w:sz w:val="20"/>
                <w:szCs w:val="20"/>
                <w:vertAlign w:val="superscript"/>
                <w:lang w:eastAsia="en-AU"/>
                <w14:ligatures w14:val="none"/>
              </w:rPr>
              <w:t>(a)</w:t>
            </w:r>
          </w:p>
        </w:tc>
        <w:tc>
          <w:tcPr>
            <w:tcW w:w="1208" w:type="dxa"/>
            <w:tcBorders>
              <w:top w:val="dotted" w:sz="4" w:space="0" w:color="auto"/>
              <w:left w:val="single" w:sz="4" w:space="0" w:color="auto"/>
              <w:bottom w:val="dotted" w:sz="4" w:space="0" w:color="auto"/>
              <w:right w:val="single" w:sz="4" w:space="0" w:color="auto"/>
            </w:tcBorders>
            <w:noWrap/>
            <w:vAlign w:val="bottom"/>
            <w:hideMark/>
          </w:tcPr>
          <w:p w14:paraId="5344DC14"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75</w:t>
            </w:r>
          </w:p>
        </w:tc>
        <w:tc>
          <w:tcPr>
            <w:tcW w:w="1208" w:type="dxa"/>
            <w:tcBorders>
              <w:top w:val="dotted" w:sz="4" w:space="0" w:color="auto"/>
              <w:left w:val="nil"/>
              <w:bottom w:val="dotted" w:sz="4" w:space="0" w:color="auto"/>
              <w:right w:val="nil"/>
            </w:tcBorders>
            <w:noWrap/>
            <w:vAlign w:val="bottom"/>
            <w:hideMark/>
          </w:tcPr>
          <w:p w14:paraId="13BBCABA"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26</w:t>
            </w:r>
          </w:p>
        </w:tc>
        <w:tc>
          <w:tcPr>
            <w:tcW w:w="1208" w:type="dxa"/>
            <w:tcBorders>
              <w:top w:val="dotted" w:sz="4" w:space="0" w:color="auto"/>
              <w:left w:val="single" w:sz="4" w:space="0" w:color="auto"/>
              <w:bottom w:val="dotted" w:sz="4" w:space="0" w:color="auto"/>
              <w:right w:val="single" w:sz="4" w:space="0" w:color="auto"/>
            </w:tcBorders>
            <w:noWrap/>
            <w:vAlign w:val="bottom"/>
            <w:hideMark/>
          </w:tcPr>
          <w:p w14:paraId="265D04C8"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55</w:t>
            </w:r>
          </w:p>
        </w:tc>
      </w:tr>
      <w:tr w:rsidR="001278B4" w:rsidRPr="00D633FF" w14:paraId="21EFD2B8" w14:textId="77777777" w:rsidTr="00CA6869">
        <w:trPr>
          <w:trHeight w:val="300"/>
        </w:trPr>
        <w:tc>
          <w:tcPr>
            <w:tcW w:w="3397" w:type="dxa"/>
            <w:tcBorders>
              <w:top w:val="dotted" w:sz="4" w:space="0" w:color="auto"/>
              <w:left w:val="single" w:sz="4" w:space="0" w:color="auto"/>
              <w:bottom w:val="dotted" w:sz="4" w:space="0" w:color="auto"/>
              <w:right w:val="nil"/>
            </w:tcBorders>
            <w:noWrap/>
            <w:vAlign w:val="bottom"/>
            <w:hideMark/>
          </w:tcPr>
          <w:p w14:paraId="1B71AC56"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&gt;65 years (male)</w:t>
            </w:r>
          </w:p>
        </w:tc>
        <w:tc>
          <w:tcPr>
            <w:tcW w:w="1208" w:type="dxa"/>
            <w:tcBorders>
              <w:top w:val="dotted" w:sz="4" w:space="0" w:color="auto"/>
              <w:left w:val="single" w:sz="4" w:space="0" w:color="auto"/>
              <w:bottom w:val="dotted" w:sz="4" w:space="0" w:color="auto"/>
              <w:right w:val="single" w:sz="4" w:space="0" w:color="auto"/>
            </w:tcBorders>
            <w:noWrap/>
            <w:vAlign w:val="bottom"/>
            <w:hideMark/>
          </w:tcPr>
          <w:p w14:paraId="72ED2F6A"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 </w:t>
            </w:r>
          </w:p>
        </w:tc>
        <w:tc>
          <w:tcPr>
            <w:tcW w:w="1208" w:type="dxa"/>
            <w:tcBorders>
              <w:top w:val="dotted" w:sz="4" w:space="0" w:color="auto"/>
              <w:left w:val="nil"/>
              <w:bottom w:val="dotted" w:sz="4" w:space="0" w:color="auto"/>
              <w:right w:val="nil"/>
            </w:tcBorders>
            <w:noWrap/>
            <w:vAlign w:val="bottom"/>
            <w:hideMark/>
          </w:tcPr>
          <w:p w14:paraId="1040DCFD"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 </w:t>
            </w:r>
          </w:p>
        </w:tc>
        <w:tc>
          <w:tcPr>
            <w:tcW w:w="1208" w:type="dxa"/>
            <w:tcBorders>
              <w:top w:val="dotted" w:sz="4" w:space="0" w:color="auto"/>
              <w:left w:val="single" w:sz="4" w:space="0" w:color="auto"/>
              <w:bottom w:val="dotted" w:sz="4" w:space="0" w:color="auto"/>
              <w:right w:val="single" w:sz="4" w:space="0" w:color="auto"/>
            </w:tcBorders>
            <w:noWrap/>
            <w:vAlign w:val="bottom"/>
            <w:hideMark/>
          </w:tcPr>
          <w:p w14:paraId="236A838B"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85</w:t>
            </w:r>
          </w:p>
        </w:tc>
        <w:tc>
          <w:tcPr>
            <w:tcW w:w="1208" w:type="dxa"/>
            <w:tcBorders>
              <w:top w:val="dotted" w:sz="4" w:space="0" w:color="auto"/>
              <w:left w:val="nil"/>
              <w:bottom w:val="dotted" w:sz="4" w:space="0" w:color="auto"/>
              <w:right w:val="nil"/>
            </w:tcBorders>
            <w:noWrap/>
            <w:vAlign w:val="bottom"/>
            <w:hideMark/>
          </w:tcPr>
          <w:p w14:paraId="484536B9"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33</w:t>
            </w:r>
          </w:p>
        </w:tc>
        <w:tc>
          <w:tcPr>
            <w:tcW w:w="1208" w:type="dxa"/>
            <w:tcBorders>
              <w:top w:val="dotted" w:sz="4" w:space="0" w:color="auto"/>
              <w:left w:val="single" w:sz="4" w:space="0" w:color="auto"/>
              <w:bottom w:val="dotted" w:sz="4" w:space="0" w:color="auto"/>
              <w:right w:val="single" w:sz="4" w:space="0" w:color="auto"/>
            </w:tcBorders>
            <w:noWrap/>
            <w:vAlign w:val="bottom"/>
            <w:hideMark/>
          </w:tcPr>
          <w:p w14:paraId="22513F22"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 </w:t>
            </w:r>
          </w:p>
        </w:tc>
      </w:tr>
      <w:tr w:rsidR="001278B4" w:rsidRPr="00D633FF" w14:paraId="466E52E5" w14:textId="77777777" w:rsidTr="00CA6869">
        <w:trPr>
          <w:trHeight w:val="300"/>
        </w:trPr>
        <w:tc>
          <w:tcPr>
            <w:tcW w:w="3397" w:type="dxa"/>
            <w:tcBorders>
              <w:top w:val="dotted" w:sz="4" w:space="0" w:color="auto"/>
              <w:left w:val="single" w:sz="4" w:space="0" w:color="auto"/>
              <w:bottom w:val="single" w:sz="4" w:space="0" w:color="auto"/>
              <w:right w:val="nil"/>
            </w:tcBorders>
            <w:noWrap/>
            <w:vAlign w:val="bottom"/>
            <w:hideMark/>
          </w:tcPr>
          <w:p w14:paraId="0873AEBE"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&gt;65 years (female)</w:t>
            </w:r>
          </w:p>
        </w:tc>
        <w:tc>
          <w:tcPr>
            <w:tcW w:w="1208" w:type="dxa"/>
            <w:tcBorders>
              <w:top w:val="dotted" w:sz="4" w:space="0" w:color="auto"/>
              <w:left w:val="single" w:sz="4" w:space="0" w:color="auto"/>
              <w:bottom w:val="single" w:sz="4" w:space="0" w:color="auto"/>
              <w:right w:val="single" w:sz="4" w:space="0" w:color="auto"/>
            </w:tcBorders>
            <w:noWrap/>
            <w:vAlign w:val="bottom"/>
            <w:hideMark/>
          </w:tcPr>
          <w:p w14:paraId="590376F4"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 </w:t>
            </w:r>
          </w:p>
        </w:tc>
        <w:tc>
          <w:tcPr>
            <w:tcW w:w="1208" w:type="dxa"/>
            <w:tcBorders>
              <w:top w:val="dotted" w:sz="4" w:space="0" w:color="auto"/>
              <w:left w:val="nil"/>
              <w:bottom w:val="single" w:sz="4" w:space="0" w:color="auto"/>
              <w:right w:val="nil"/>
            </w:tcBorders>
            <w:noWrap/>
            <w:vAlign w:val="bottom"/>
            <w:hideMark/>
          </w:tcPr>
          <w:p w14:paraId="74F756DD"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 </w:t>
            </w:r>
          </w:p>
        </w:tc>
        <w:tc>
          <w:tcPr>
            <w:tcW w:w="1208" w:type="dxa"/>
            <w:tcBorders>
              <w:top w:val="dotted" w:sz="4" w:space="0" w:color="auto"/>
              <w:left w:val="single" w:sz="4" w:space="0" w:color="auto"/>
              <w:bottom w:val="single" w:sz="4" w:space="0" w:color="auto"/>
              <w:right w:val="single" w:sz="4" w:space="0" w:color="auto"/>
            </w:tcBorders>
            <w:noWrap/>
            <w:vAlign w:val="bottom"/>
            <w:hideMark/>
          </w:tcPr>
          <w:p w14:paraId="4FCC4F86"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75</w:t>
            </w:r>
          </w:p>
        </w:tc>
        <w:tc>
          <w:tcPr>
            <w:tcW w:w="1208" w:type="dxa"/>
            <w:tcBorders>
              <w:top w:val="dotted" w:sz="4" w:space="0" w:color="auto"/>
              <w:left w:val="nil"/>
              <w:bottom w:val="single" w:sz="4" w:space="0" w:color="auto"/>
              <w:right w:val="nil"/>
            </w:tcBorders>
            <w:noWrap/>
            <w:vAlign w:val="bottom"/>
            <w:hideMark/>
          </w:tcPr>
          <w:p w14:paraId="6C13AF9A"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25</w:t>
            </w:r>
          </w:p>
        </w:tc>
        <w:tc>
          <w:tcPr>
            <w:tcW w:w="1208" w:type="dxa"/>
            <w:tcBorders>
              <w:top w:val="dotted" w:sz="4" w:space="0" w:color="auto"/>
              <w:left w:val="single" w:sz="4" w:space="0" w:color="auto"/>
              <w:bottom w:val="single" w:sz="4" w:space="0" w:color="auto"/>
              <w:right w:val="single" w:sz="4" w:space="0" w:color="auto"/>
            </w:tcBorders>
            <w:noWrap/>
            <w:vAlign w:val="bottom"/>
            <w:hideMark/>
          </w:tcPr>
          <w:p w14:paraId="4A44A4AD"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 </w:t>
            </w:r>
          </w:p>
        </w:tc>
      </w:tr>
      <w:tr w:rsidR="00663E1B" w:rsidRPr="00D633FF" w14:paraId="6822AC6E" w14:textId="77777777" w:rsidTr="00CA6869">
        <w:trPr>
          <w:trHeight w:val="300"/>
        </w:trPr>
        <w:tc>
          <w:tcPr>
            <w:tcW w:w="3397" w:type="dxa"/>
            <w:tcBorders>
              <w:top w:val="single" w:sz="4" w:space="0" w:color="auto"/>
              <w:left w:val="single" w:sz="4" w:space="0" w:color="auto"/>
              <w:bottom w:val="single" w:sz="4" w:space="0" w:color="auto"/>
            </w:tcBorders>
            <w:shd w:val="clear" w:color="000000" w:fill="C0E6F5"/>
            <w:noWrap/>
            <w:vAlign w:val="bottom"/>
            <w:hideMark/>
          </w:tcPr>
          <w:p w14:paraId="273C13AC" w14:textId="77777777" w:rsidR="00663E1B" w:rsidRPr="00D633FF" w:rsidRDefault="00663E1B" w:rsidP="001952D6">
            <w:pPr>
              <w:spacing w:after="0" w:line="360" w:lineRule="auto"/>
              <w:rPr>
                <w:rFonts w:ascii="Calibri" w:eastAsia="Times New Roman" w:hAnsi="Calibri" w:cs="Calibri"/>
                <w:b/>
                <w:bCs/>
                <w:color w:val="000000"/>
                <w:kern w:val="0"/>
                <w:sz w:val="20"/>
                <w:szCs w:val="20"/>
                <w:lang w:eastAsia="en-AU"/>
                <w14:ligatures w14:val="none"/>
              </w:rPr>
            </w:pPr>
            <w:r w:rsidRPr="00D633FF">
              <w:rPr>
                <w:rFonts w:ascii="Calibri" w:eastAsia="Times New Roman" w:hAnsi="Calibri" w:cs="Calibri"/>
                <w:b/>
                <w:bCs/>
                <w:color w:val="000000"/>
                <w:kern w:val="0"/>
                <w:sz w:val="20"/>
                <w:szCs w:val="20"/>
                <w:lang w:eastAsia="en-AU"/>
                <w14:ligatures w14:val="none"/>
              </w:rPr>
              <w:t xml:space="preserve">Pregnancy and Lactation </w:t>
            </w:r>
          </w:p>
        </w:tc>
        <w:tc>
          <w:tcPr>
            <w:tcW w:w="1208" w:type="dxa"/>
            <w:tcBorders>
              <w:top w:val="single" w:sz="4" w:space="0" w:color="auto"/>
              <w:bottom w:val="single" w:sz="4" w:space="0" w:color="auto"/>
            </w:tcBorders>
            <w:shd w:val="clear" w:color="000000" w:fill="C0E6F5"/>
            <w:vAlign w:val="bottom"/>
          </w:tcPr>
          <w:p w14:paraId="46CB7ABC" w14:textId="77777777" w:rsidR="00663E1B" w:rsidRPr="00D633FF" w:rsidRDefault="00663E1B" w:rsidP="001952D6">
            <w:pPr>
              <w:spacing w:after="0" w:line="360" w:lineRule="auto"/>
              <w:rPr>
                <w:rFonts w:ascii="Calibri" w:eastAsia="Times New Roman" w:hAnsi="Calibri" w:cs="Calibri"/>
                <w:b/>
                <w:bCs/>
                <w:color w:val="000000"/>
                <w:kern w:val="0"/>
                <w:sz w:val="20"/>
                <w:szCs w:val="20"/>
                <w:lang w:eastAsia="en-AU"/>
                <w14:ligatures w14:val="none"/>
              </w:rPr>
            </w:pPr>
          </w:p>
        </w:tc>
        <w:tc>
          <w:tcPr>
            <w:tcW w:w="1208" w:type="dxa"/>
            <w:tcBorders>
              <w:top w:val="single" w:sz="4" w:space="0" w:color="auto"/>
              <w:bottom w:val="single" w:sz="4" w:space="0" w:color="auto"/>
            </w:tcBorders>
            <w:shd w:val="clear" w:color="000000" w:fill="C0E6F5"/>
            <w:vAlign w:val="bottom"/>
          </w:tcPr>
          <w:p w14:paraId="0730628E" w14:textId="77777777" w:rsidR="00663E1B" w:rsidRPr="00D633FF" w:rsidRDefault="00663E1B" w:rsidP="001952D6">
            <w:pPr>
              <w:spacing w:after="0" w:line="360" w:lineRule="auto"/>
              <w:rPr>
                <w:rFonts w:ascii="Calibri" w:eastAsia="Times New Roman" w:hAnsi="Calibri" w:cs="Calibri"/>
                <w:b/>
                <w:bCs/>
                <w:color w:val="000000"/>
                <w:kern w:val="0"/>
                <w:sz w:val="20"/>
                <w:szCs w:val="20"/>
                <w:lang w:eastAsia="en-AU"/>
                <w14:ligatures w14:val="none"/>
              </w:rPr>
            </w:pPr>
          </w:p>
        </w:tc>
        <w:tc>
          <w:tcPr>
            <w:tcW w:w="1208" w:type="dxa"/>
            <w:tcBorders>
              <w:top w:val="single" w:sz="4" w:space="0" w:color="auto"/>
              <w:bottom w:val="single" w:sz="4" w:space="0" w:color="auto"/>
            </w:tcBorders>
            <w:shd w:val="clear" w:color="000000" w:fill="C0E6F5"/>
            <w:vAlign w:val="bottom"/>
          </w:tcPr>
          <w:p w14:paraId="66419669" w14:textId="77777777" w:rsidR="00663E1B" w:rsidRPr="00D633FF" w:rsidRDefault="00663E1B" w:rsidP="001952D6">
            <w:pPr>
              <w:spacing w:after="0" w:line="360" w:lineRule="auto"/>
              <w:rPr>
                <w:rFonts w:ascii="Calibri" w:eastAsia="Times New Roman" w:hAnsi="Calibri" w:cs="Calibri"/>
                <w:b/>
                <w:bCs/>
                <w:color w:val="000000"/>
                <w:kern w:val="0"/>
                <w:sz w:val="20"/>
                <w:szCs w:val="20"/>
                <w:lang w:eastAsia="en-AU"/>
                <w14:ligatures w14:val="none"/>
              </w:rPr>
            </w:pPr>
          </w:p>
        </w:tc>
        <w:tc>
          <w:tcPr>
            <w:tcW w:w="1208" w:type="dxa"/>
            <w:tcBorders>
              <w:top w:val="single" w:sz="4" w:space="0" w:color="auto"/>
              <w:bottom w:val="single" w:sz="4" w:space="0" w:color="auto"/>
            </w:tcBorders>
            <w:shd w:val="clear" w:color="000000" w:fill="C0E6F5"/>
            <w:vAlign w:val="bottom"/>
          </w:tcPr>
          <w:p w14:paraId="7D341627" w14:textId="77777777" w:rsidR="00663E1B" w:rsidRPr="00D633FF" w:rsidRDefault="00663E1B" w:rsidP="001952D6">
            <w:pPr>
              <w:spacing w:after="0" w:line="360" w:lineRule="auto"/>
              <w:rPr>
                <w:rFonts w:ascii="Calibri" w:eastAsia="Times New Roman" w:hAnsi="Calibri" w:cs="Calibri"/>
                <w:b/>
                <w:bCs/>
                <w:color w:val="000000"/>
                <w:kern w:val="0"/>
                <w:sz w:val="20"/>
                <w:szCs w:val="20"/>
                <w:lang w:eastAsia="en-AU"/>
                <w14:ligatures w14:val="none"/>
              </w:rPr>
            </w:pPr>
          </w:p>
        </w:tc>
        <w:tc>
          <w:tcPr>
            <w:tcW w:w="1208" w:type="dxa"/>
            <w:tcBorders>
              <w:top w:val="single" w:sz="4" w:space="0" w:color="auto"/>
              <w:bottom w:val="single" w:sz="4" w:space="0" w:color="auto"/>
              <w:right w:val="single" w:sz="4" w:space="0" w:color="auto"/>
            </w:tcBorders>
            <w:shd w:val="clear" w:color="000000" w:fill="C0E6F5"/>
            <w:vAlign w:val="bottom"/>
          </w:tcPr>
          <w:p w14:paraId="116EF110" w14:textId="7055D0E7" w:rsidR="00663E1B" w:rsidRPr="00D633FF" w:rsidRDefault="00663E1B" w:rsidP="001952D6">
            <w:pPr>
              <w:spacing w:after="0" w:line="360" w:lineRule="auto"/>
              <w:rPr>
                <w:rFonts w:ascii="Calibri" w:eastAsia="Times New Roman" w:hAnsi="Calibri" w:cs="Calibri"/>
                <w:b/>
                <w:bCs/>
                <w:color w:val="000000"/>
                <w:kern w:val="0"/>
                <w:sz w:val="20"/>
                <w:szCs w:val="20"/>
                <w:lang w:eastAsia="en-AU"/>
                <w14:ligatures w14:val="none"/>
              </w:rPr>
            </w:pPr>
          </w:p>
        </w:tc>
      </w:tr>
      <w:tr w:rsidR="001278B4" w:rsidRPr="00D633FF" w14:paraId="201E0B2C" w14:textId="77777777" w:rsidTr="00CA6869">
        <w:trPr>
          <w:trHeight w:val="300"/>
        </w:trPr>
        <w:tc>
          <w:tcPr>
            <w:tcW w:w="3397" w:type="dxa"/>
            <w:tcBorders>
              <w:top w:val="single" w:sz="4" w:space="0" w:color="auto"/>
              <w:left w:val="single" w:sz="4" w:space="0" w:color="auto"/>
              <w:bottom w:val="dotted" w:sz="4" w:space="0" w:color="auto"/>
              <w:right w:val="nil"/>
            </w:tcBorders>
            <w:noWrap/>
            <w:vAlign w:val="bottom"/>
            <w:hideMark/>
          </w:tcPr>
          <w:p w14:paraId="153DEBF4"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Pregnancy</w:t>
            </w:r>
          </w:p>
        </w:tc>
        <w:tc>
          <w:tcPr>
            <w:tcW w:w="1208" w:type="dxa"/>
            <w:tcBorders>
              <w:top w:val="single" w:sz="4" w:space="0" w:color="auto"/>
              <w:left w:val="single" w:sz="4" w:space="0" w:color="auto"/>
              <w:bottom w:val="dotted" w:sz="4" w:space="0" w:color="auto"/>
              <w:right w:val="single" w:sz="4" w:space="0" w:color="auto"/>
            </w:tcBorders>
            <w:shd w:val="clear" w:color="000000" w:fill="DAF2D0"/>
            <w:noWrap/>
            <w:vAlign w:val="bottom"/>
            <w:hideMark/>
          </w:tcPr>
          <w:p w14:paraId="0391AA04"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55-65</w:t>
            </w:r>
          </w:p>
        </w:tc>
        <w:tc>
          <w:tcPr>
            <w:tcW w:w="1208" w:type="dxa"/>
            <w:tcBorders>
              <w:top w:val="single" w:sz="4" w:space="0" w:color="auto"/>
              <w:left w:val="nil"/>
              <w:bottom w:val="dotted" w:sz="4" w:space="0" w:color="auto"/>
              <w:right w:val="nil"/>
            </w:tcBorders>
            <w:shd w:val="clear" w:color="000000" w:fill="DAE9F8"/>
            <w:noWrap/>
            <w:vAlign w:val="bottom"/>
            <w:hideMark/>
          </w:tcPr>
          <w:p w14:paraId="0633FBAD"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70</w:t>
            </w:r>
          </w:p>
        </w:tc>
        <w:tc>
          <w:tcPr>
            <w:tcW w:w="1208" w:type="dxa"/>
            <w:tcBorders>
              <w:top w:val="single" w:sz="4" w:space="0" w:color="auto"/>
              <w:left w:val="single" w:sz="4" w:space="0" w:color="auto"/>
              <w:bottom w:val="dotted" w:sz="4" w:space="0" w:color="auto"/>
              <w:right w:val="single" w:sz="4" w:space="0" w:color="auto"/>
            </w:tcBorders>
            <w:noWrap/>
            <w:vAlign w:val="bottom"/>
            <w:hideMark/>
          </w:tcPr>
          <w:p w14:paraId="134AD35F"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80/85/90</w:t>
            </w:r>
            <w:r w:rsidRPr="00D633FF">
              <w:rPr>
                <w:rFonts w:ascii="Calibri" w:eastAsia="Times New Roman" w:hAnsi="Calibri" w:cs="Calibri"/>
                <w:color w:val="000000"/>
                <w:kern w:val="0"/>
                <w:sz w:val="20"/>
                <w:szCs w:val="20"/>
                <w:vertAlign w:val="superscript"/>
                <w:lang w:eastAsia="en-AU"/>
                <w14:ligatures w14:val="none"/>
              </w:rPr>
              <w:t>(b)</w:t>
            </w:r>
          </w:p>
        </w:tc>
        <w:tc>
          <w:tcPr>
            <w:tcW w:w="1208" w:type="dxa"/>
            <w:tcBorders>
              <w:top w:val="single" w:sz="4" w:space="0" w:color="auto"/>
              <w:left w:val="nil"/>
              <w:bottom w:val="dotted" w:sz="4" w:space="0" w:color="auto"/>
              <w:right w:val="nil"/>
            </w:tcBorders>
            <w:noWrap/>
            <w:vAlign w:val="bottom"/>
            <w:hideMark/>
          </w:tcPr>
          <w:p w14:paraId="389BADD7"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 xml:space="preserve">28/30 </w:t>
            </w:r>
            <w:r w:rsidRPr="00D633FF">
              <w:rPr>
                <w:rFonts w:ascii="Calibri" w:eastAsia="Times New Roman" w:hAnsi="Calibri" w:cs="Calibri"/>
                <w:color w:val="000000"/>
                <w:kern w:val="0"/>
                <w:sz w:val="20"/>
                <w:szCs w:val="20"/>
                <w:vertAlign w:val="superscript"/>
                <w:lang w:eastAsia="en-AU"/>
                <w14:ligatures w14:val="none"/>
              </w:rPr>
              <w:t>(b)</w:t>
            </w:r>
          </w:p>
        </w:tc>
        <w:tc>
          <w:tcPr>
            <w:tcW w:w="1208" w:type="dxa"/>
            <w:tcBorders>
              <w:top w:val="single" w:sz="4" w:space="0" w:color="auto"/>
              <w:left w:val="single" w:sz="4" w:space="0" w:color="auto"/>
              <w:bottom w:val="dotted" w:sz="4" w:space="0" w:color="auto"/>
              <w:right w:val="single" w:sz="4" w:space="0" w:color="auto"/>
            </w:tcBorders>
            <w:noWrap/>
            <w:vAlign w:val="bottom"/>
            <w:hideMark/>
          </w:tcPr>
          <w:p w14:paraId="4768F223"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14-50</w:t>
            </w:r>
          </w:p>
        </w:tc>
      </w:tr>
      <w:tr w:rsidR="001278B4" w:rsidRPr="00D633FF" w14:paraId="7F87337C" w14:textId="77777777" w:rsidTr="00CA6869">
        <w:trPr>
          <w:trHeight w:val="300"/>
        </w:trPr>
        <w:tc>
          <w:tcPr>
            <w:tcW w:w="3397" w:type="dxa"/>
            <w:tcBorders>
              <w:top w:val="dotted" w:sz="4" w:space="0" w:color="auto"/>
              <w:left w:val="single" w:sz="4" w:space="0" w:color="auto"/>
              <w:bottom w:val="single" w:sz="4" w:space="0" w:color="auto"/>
              <w:right w:val="nil"/>
            </w:tcBorders>
            <w:noWrap/>
            <w:vAlign w:val="bottom"/>
            <w:hideMark/>
          </w:tcPr>
          <w:p w14:paraId="3B9F6463"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Lactation</w:t>
            </w:r>
          </w:p>
        </w:tc>
        <w:tc>
          <w:tcPr>
            <w:tcW w:w="1208" w:type="dxa"/>
            <w:tcBorders>
              <w:top w:val="dotted" w:sz="4" w:space="0" w:color="auto"/>
              <w:left w:val="single" w:sz="4" w:space="0" w:color="auto"/>
              <w:bottom w:val="single" w:sz="4" w:space="0" w:color="auto"/>
              <w:right w:val="single" w:sz="4" w:space="0" w:color="auto"/>
            </w:tcBorders>
            <w:shd w:val="clear" w:color="000000" w:fill="DAF2D0"/>
            <w:noWrap/>
            <w:vAlign w:val="bottom"/>
            <w:hideMark/>
          </w:tcPr>
          <w:p w14:paraId="6CDAF5CA"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65-75</w:t>
            </w:r>
          </w:p>
        </w:tc>
        <w:tc>
          <w:tcPr>
            <w:tcW w:w="1208" w:type="dxa"/>
            <w:tcBorders>
              <w:top w:val="dotted" w:sz="4" w:space="0" w:color="auto"/>
              <w:left w:val="nil"/>
              <w:bottom w:val="single" w:sz="4" w:space="0" w:color="auto"/>
              <w:right w:val="nil"/>
            </w:tcBorders>
            <w:shd w:val="clear" w:color="000000" w:fill="DAE9F8"/>
            <w:noWrap/>
            <w:vAlign w:val="bottom"/>
            <w:hideMark/>
          </w:tcPr>
          <w:p w14:paraId="27143FB2"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85</w:t>
            </w:r>
          </w:p>
        </w:tc>
        <w:tc>
          <w:tcPr>
            <w:tcW w:w="1208" w:type="dxa"/>
            <w:tcBorders>
              <w:top w:val="dotted" w:sz="4" w:space="0" w:color="auto"/>
              <w:left w:val="single" w:sz="4" w:space="0" w:color="auto"/>
              <w:bottom w:val="single" w:sz="4" w:space="0" w:color="auto"/>
              <w:right w:val="single" w:sz="4" w:space="0" w:color="auto"/>
            </w:tcBorders>
            <w:noWrap/>
            <w:vAlign w:val="bottom"/>
            <w:hideMark/>
          </w:tcPr>
          <w:p w14:paraId="4EDC4623"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85</w:t>
            </w:r>
          </w:p>
        </w:tc>
        <w:tc>
          <w:tcPr>
            <w:tcW w:w="1208" w:type="dxa"/>
            <w:tcBorders>
              <w:top w:val="dotted" w:sz="4" w:space="0" w:color="auto"/>
              <w:left w:val="nil"/>
              <w:bottom w:val="single" w:sz="4" w:space="0" w:color="auto"/>
              <w:right w:val="nil"/>
            </w:tcBorders>
            <w:noWrap/>
            <w:vAlign w:val="bottom"/>
            <w:hideMark/>
          </w:tcPr>
          <w:p w14:paraId="737B8893"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 xml:space="preserve">35/42 </w:t>
            </w:r>
            <w:r w:rsidRPr="00D633FF">
              <w:rPr>
                <w:rFonts w:ascii="Calibri" w:eastAsia="Times New Roman" w:hAnsi="Calibri" w:cs="Calibri"/>
                <w:color w:val="000000"/>
                <w:kern w:val="0"/>
                <w:sz w:val="20"/>
                <w:szCs w:val="20"/>
                <w:vertAlign w:val="superscript"/>
                <w:lang w:eastAsia="en-AU"/>
                <w14:ligatures w14:val="none"/>
              </w:rPr>
              <w:t>(c)</w:t>
            </w:r>
          </w:p>
        </w:tc>
        <w:tc>
          <w:tcPr>
            <w:tcW w:w="1208" w:type="dxa"/>
            <w:tcBorders>
              <w:top w:val="dotted" w:sz="4" w:space="0" w:color="auto"/>
              <w:left w:val="single" w:sz="4" w:space="0" w:color="auto"/>
              <w:bottom w:val="single" w:sz="4" w:space="0" w:color="auto"/>
              <w:right w:val="single" w:sz="4" w:space="0" w:color="auto"/>
            </w:tcBorders>
            <w:noWrap/>
            <w:vAlign w:val="bottom"/>
            <w:hideMark/>
          </w:tcPr>
          <w:p w14:paraId="653363C4" w14:textId="77777777" w:rsidR="001278B4" w:rsidRPr="00D633FF" w:rsidRDefault="001278B4" w:rsidP="001952D6">
            <w:pPr>
              <w:spacing w:after="0" w:line="36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70</w:t>
            </w:r>
          </w:p>
        </w:tc>
      </w:tr>
    </w:tbl>
    <w:p w14:paraId="00CF21B9" w14:textId="77777777" w:rsidR="001278B4" w:rsidRPr="00D633FF" w:rsidRDefault="001278B4" w:rsidP="001278B4">
      <w:pPr>
        <w:pStyle w:val="NoSpacing"/>
        <w:rPr>
          <w:rFonts w:ascii="Calibri" w:hAnsi="Calibri" w:cs="Calibri"/>
          <w:sz w:val="18"/>
          <w:szCs w:val="18"/>
        </w:rPr>
      </w:pPr>
      <w:proofErr w:type="spellStart"/>
      <w:r w:rsidRPr="00D633FF">
        <w:rPr>
          <w:rFonts w:ascii="Calibri" w:hAnsi="Calibri" w:cs="Calibri"/>
          <w:sz w:val="18"/>
          <w:szCs w:val="18"/>
        </w:rPr>
        <w:t>nd</w:t>
      </w:r>
      <w:proofErr w:type="spellEnd"/>
      <w:r w:rsidRPr="00D633FF">
        <w:rPr>
          <w:rFonts w:ascii="Calibri" w:hAnsi="Calibri" w:cs="Calibri"/>
          <w:sz w:val="18"/>
          <w:szCs w:val="18"/>
        </w:rPr>
        <w:t>: not deﬁned; NHMRC: National Health and Medical Research Council of Australia and New Zealand; EFSA: European Food Safety Authority; NNR: Nordic Nutrition Recommendations; WHO/FAO: World Health Organization/Food and Agriculture Organization of the United Nations; IOM: Institute of Medicine (US).</w:t>
      </w:r>
    </w:p>
    <w:p w14:paraId="254D6B7C" w14:textId="77777777" w:rsidR="001278B4" w:rsidRPr="00D633FF" w:rsidRDefault="001278B4" w:rsidP="001278B4">
      <w:pPr>
        <w:pStyle w:val="NoSpacing"/>
        <w:rPr>
          <w:rFonts w:ascii="Calibri" w:hAnsi="Calibri" w:cs="Calibri"/>
          <w:b/>
          <w:bCs/>
          <w:sz w:val="18"/>
          <w:szCs w:val="18"/>
        </w:rPr>
      </w:pPr>
      <w:r w:rsidRPr="00D633FF">
        <w:rPr>
          <w:rFonts w:ascii="Calibri" w:hAnsi="Calibri" w:cs="Calibri"/>
          <w:sz w:val="18"/>
          <w:szCs w:val="18"/>
        </w:rPr>
        <w:t>(a): Adequate Intake (AI)</w:t>
      </w:r>
    </w:p>
    <w:p w14:paraId="26212D25" w14:textId="77777777" w:rsidR="001278B4" w:rsidRPr="00D633FF" w:rsidRDefault="001278B4" w:rsidP="001278B4">
      <w:pPr>
        <w:spacing w:after="0" w:line="240" w:lineRule="auto"/>
        <w:rPr>
          <w:rFonts w:ascii="Calibri" w:eastAsia="Times New Roman" w:hAnsi="Calibri" w:cs="Calibri"/>
          <w:kern w:val="0"/>
          <w:sz w:val="18"/>
          <w:szCs w:val="18"/>
          <w:lang w:eastAsia="en-AU"/>
          <w14:ligatures w14:val="none"/>
        </w:rPr>
      </w:pPr>
      <w:r w:rsidRPr="00D633FF">
        <w:rPr>
          <w:rFonts w:ascii="Calibri" w:eastAsia="Times New Roman" w:hAnsi="Calibri" w:cs="Calibri"/>
          <w:kern w:val="0"/>
          <w:sz w:val="18"/>
          <w:szCs w:val="18"/>
          <w:lang w:eastAsia="en-AU"/>
          <w14:ligatures w14:val="none"/>
        </w:rPr>
        <w:t>(b) 2nd trimester/3rd trimester</w:t>
      </w:r>
    </w:p>
    <w:p w14:paraId="61CDB327" w14:textId="77777777" w:rsidR="001278B4" w:rsidRPr="00D633FF" w:rsidRDefault="001278B4" w:rsidP="001278B4">
      <w:pPr>
        <w:spacing w:after="0" w:line="240" w:lineRule="auto"/>
        <w:rPr>
          <w:rFonts w:ascii="Calibri" w:eastAsia="Times New Roman" w:hAnsi="Calibri" w:cs="Calibri"/>
          <w:kern w:val="0"/>
          <w:sz w:val="18"/>
          <w:szCs w:val="18"/>
          <w:lang w:eastAsia="en-AU"/>
          <w14:ligatures w14:val="none"/>
        </w:rPr>
      </w:pPr>
      <w:r w:rsidRPr="00D633FF">
        <w:rPr>
          <w:rFonts w:ascii="Calibri" w:eastAsia="Times New Roman" w:hAnsi="Calibri" w:cs="Calibri"/>
          <w:kern w:val="0"/>
          <w:sz w:val="18"/>
          <w:szCs w:val="18"/>
          <w:lang w:eastAsia="en-AU"/>
          <w14:ligatures w14:val="none"/>
        </w:rPr>
        <w:t>(c) 0-6 months post-partum /7-12 months post-partum</w:t>
      </w:r>
    </w:p>
    <w:p w14:paraId="2B5EC509" w14:textId="77777777" w:rsidR="001278B4" w:rsidRPr="00D633FF" w:rsidRDefault="001278B4" w:rsidP="001278B4">
      <w:pPr>
        <w:rPr>
          <w:rFonts w:ascii="Calibri" w:eastAsia="Times New Roman" w:hAnsi="Calibri" w:cs="Calibri"/>
          <w:kern w:val="0"/>
          <w:sz w:val="18"/>
          <w:szCs w:val="18"/>
          <w:lang w:eastAsia="en-AU"/>
          <w14:ligatures w14:val="none"/>
        </w:rPr>
      </w:pPr>
    </w:p>
    <w:p w14:paraId="6289BE2B" w14:textId="768BBA9C" w:rsidR="006D49D7" w:rsidRPr="00D633FF" w:rsidRDefault="006D49D7">
      <w:pPr>
        <w:rPr>
          <w:rFonts w:ascii="Calibri" w:eastAsiaTheme="majorEastAsia" w:hAnsi="Calibri" w:cs="Calibri"/>
          <w:color w:val="0F4761" w:themeColor="accent1" w:themeShade="BF"/>
          <w:sz w:val="16"/>
          <w:szCs w:val="16"/>
        </w:rPr>
      </w:pPr>
      <w:r w:rsidRPr="00D633FF">
        <w:rPr>
          <w:rFonts w:ascii="Calibri" w:hAnsi="Calibri" w:cs="Calibri"/>
          <w:sz w:val="16"/>
          <w:szCs w:val="16"/>
        </w:rPr>
        <w:br w:type="page"/>
      </w:r>
    </w:p>
    <w:p w14:paraId="6B3BD35A" w14:textId="4DCC84B4" w:rsidR="00923AE9" w:rsidRPr="00D633FF" w:rsidRDefault="00AA4677" w:rsidP="00A62838">
      <w:pPr>
        <w:pStyle w:val="Heading1"/>
        <w:spacing w:line="360" w:lineRule="auto"/>
        <w:rPr>
          <w:rFonts w:ascii="Calibri" w:hAnsi="Calibri" w:cs="Calibri"/>
          <w:b/>
          <w:bCs/>
        </w:rPr>
      </w:pPr>
      <w:bookmarkStart w:id="30" w:name="_Toc218527964"/>
      <w:r w:rsidRPr="00D633FF">
        <w:rPr>
          <w:rFonts w:ascii="Calibri" w:hAnsi="Calibri" w:cs="Calibri"/>
          <w:b/>
          <w:bCs/>
        </w:rPr>
        <w:lastRenderedPageBreak/>
        <w:t xml:space="preserve">Australian and New Zealand </w:t>
      </w:r>
      <w:r w:rsidR="00B15A52" w:rsidRPr="00D633FF">
        <w:rPr>
          <w:rFonts w:ascii="Calibri" w:hAnsi="Calibri" w:cs="Calibri"/>
          <w:b/>
          <w:bCs/>
        </w:rPr>
        <w:t>context</w:t>
      </w:r>
      <w:bookmarkEnd w:id="30"/>
      <w:r w:rsidR="00923AE9" w:rsidRPr="00D633FF">
        <w:rPr>
          <w:rFonts w:ascii="Calibri" w:hAnsi="Calibri" w:cs="Calibri"/>
          <w:b/>
          <w:bCs/>
        </w:rPr>
        <w:t xml:space="preserve"> </w:t>
      </w:r>
    </w:p>
    <w:p w14:paraId="25403428" w14:textId="18F2C9BE" w:rsidR="00784757" w:rsidRPr="00D633FF" w:rsidRDefault="007E50CF" w:rsidP="00C013EC">
      <w:pPr>
        <w:pStyle w:val="Heading2"/>
        <w:spacing w:line="360" w:lineRule="auto"/>
        <w:rPr>
          <w:rFonts w:ascii="Calibri" w:hAnsi="Calibri" w:cs="Calibri"/>
        </w:rPr>
      </w:pPr>
      <w:bookmarkStart w:id="31" w:name="_Toc218527965"/>
      <w:r w:rsidRPr="00D633FF">
        <w:rPr>
          <w:rFonts w:ascii="Calibri" w:hAnsi="Calibri" w:cs="Calibri"/>
        </w:rPr>
        <w:t>Population status and intakes</w:t>
      </w:r>
      <w:bookmarkEnd w:id="31"/>
    </w:p>
    <w:p w14:paraId="113F54CD" w14:textId="796D2929" w:rsidR="00744351" w:rsidRPr="00D633FF" w:rsidRDefault="00744351" w:rsidP="00C70F42">
      <w:pPr>
        <w:pStyle w:val="Heading3"/>
        <w:rPr>
          <w:rFonts w:ascii="Calibri" w:hAnsi="Calibri" w:cs="Calibri"/>
        </w:rPr>
      </w:pPr>
      <w:bookmarkStart w:id="32" w:name="_Toc218527966"/>
      <w:r w:rsidRPr="00D633FF">
        <w:rPr>
          <w:rFonts w:ascii="Calibri" w:hAnsi="Calibri" w:cs="Calibri"/>
        </w:rPr>
        <w:t>Selenium intake</w:t>
      </w:r>
      <w:bookmarkEnd w:id="32"/>
      <w:r w:rsidRPr="00D633FF">
        <w:rPr>
          <w:rFonts w:ascii="Calibri" w:hAnsi="Calibri" w:cs="Calibri"/>
        </w:rPr>
        <w:t xml:space="preserve"> </w:t>
      </w:r>
    </w:p>
    <w:p w14:paraId="7BBA8D9F" w14:textId="77777777" w:rsidR="00E93D30" w:rsidRPr="00D633FF" w:rsidRDefault="00E93D30" w:rsidP="00E93D30">
      <w:pPr>
        <w:pStyle w:val="Heading4"/>
        <w:rPr>
          <w:rFonts w:ascii="Calibri" w:hAnsi="Calibri" w:cs="Calibri"/>
        </w:rPr>
      </w:pPr>
      <w:r w:rsidRPr="00D633FF">
        <w:rPr>
          <w:rFonts w:ascii="Calibri" w:hAnsi="Calibri" w:cs="Calibri"/>
        </w:rPr>
        <w:t>Intake estimate methods</w:t>
      </w:r>
    </w:p>
    <w:p w14:paraId="3ED80EB0" w14:textId="72EC0774" w:rsidR="00E93D30" w:rsidRPr="00D633FF" w:rsidRDefault="00E93D30" w:rsidP="00E93D30">
      <w:pPr>
        <w:spacing w:line="360" w:lineRule="auto"/>
        <w:rPr>
          <w:rFonts w:ascii="Calibri" w:hAnsi="Calibri" w:cs="Calibri"/>
        </w:rPr>
      </w:pPr>
      <w:bookmarkStart w:id="33" w:name="_Hlk204870519"/>
      <w:r w:rsidRPr="00D633FF">
        <w:rPr>
          <w:rFonts w:ascii="Calibri" w:hAnsi="Calibri" w:cs="Calibri"/>
        </w:rPr>
        <w:t xml:space="preserve">Nutrient intakes for Australia and New Zealand </w:t>
      </w:r>
      <w:r w:rsidR="002965A2" w:rsidRPr="00D633FF">
        <w:rPr>
          <w:rFonts w:ascii="Calibri" w:hAnsi="Calibri" w:cs="Calibri"/>
        </w:rPr>
        <w:t xml:space="preserve">have been </w:t>
      </w:r>
      <w:r w:rsidRPr="00D633FF">
        <w:rPr>
          <w:rFonts w:ascii="Calibri" w:hAnsi="Calibri" w:cs="Calibri"/>
        </w:rPr>
        <w:t>estimated using national nutrition surveys. In these surveys, results of 24-hour dietary recall interviews (food and supplement use</w:t>
      </w:r>
      <w:r w:rsidR="00BC11B5" w:rsidRPr="00D633FF">
        <w:rPr>
          <w:rFonts w:ascii="Calibri" w:hAnsi="Calibri" w:cs="Calibri"/>
        </w:rPr>
        <w:t xml:space="preserve"> for Australia, food only for New Zealand</w:t>
      </w:r>
      <w:r w:rsidRPr="00D633FF">
        <w:rPr>
          <w:rFonts w:ascii="Calibri" w:hAnsi="Calibri" w:cs="Calibri"/>
        </w:rPr>
        <w:t>) were applied to national food composition databases to derive estimates of intake for different population groups. Mean and 90</w:t>
      </w:r>
      <w:r w:rsidRPr="00D633FF">
        <w:rPr>
          <w:rFonts w:ascii="Calibri" w:hAnsi="Calibri" w:cs="Calibri"/>
          <w:vertAlign w:val="superscript"/>
        </w:rPr>
        <w:t>th</w:t>
      </w:r>
      <w:r w:rsidRPr="00D633FF">
        <w:rPr>
          <w:rFonts w:ascii="Calibri" w:hAnsi="Calibri" w:cs="Calibri"/>
        </w:rPr>
        <w:t xml:space="preserve"> (New Zealand) or 95</w:t>
      </w:r>
      <w:r w:rsidRPr="00D633FF">
        <w:rPr>
          <w:rFonts w:ascii="Calibri" w:hAnsi="Calibri" w:cs="Calibri"/>
          <w:vertAlign w:val="superscript"/>
        </w:rPr>
        <w:t>th</w:t>
      </w:r>
      <w:r w:rsidRPr="00D633FF">
        <w:rPr>
          <w:rFonts w:ascii="Calibri" w:hAnsi="Calibri" w:cs="Calibri"/>
        </w:rPr>
        <w:t xml:space="preserve"> (Australia) percentile estimates were calculated for each population group, however, no 95</w:t>
      </w:r>
      <w:r w:rsidRPr="00D633FF">
        <w:rPr>
          <w:rFonts w:ascii="Calibri" w:hAnsi="Calibri" w:cs="Calibri"/>
          <w:vertAlign w:val="superscript"/>
        </w:rPr>
        <w:t>th</w:t>
      </w:r>
      <w:r w:rsidRPr="00D633FF">
        <w:rPr>
          <w:rFonts w:ascii="Calibri" w:hAnsi="Calibri" w:cs="Calibri"/>
        </w:rPr>
        <w:t xml:space="preserve"> percentile intake estimates were available for Aboriginal and Torres Strait Islander populations. </w:t>
      </w:r>
    </w:p>
    <w:p w14:paraId="6A91EF60" w14:textId="77777777" w:rsidR="006B5A1D" w:rsidRPr="00D633FF" w:rsidRDefault="006B5A1D" w:rsidP="00437C3F">
      <w:pPr>
        <w:spacing w:after="0" w:line="360" w:lineRule="auto"/>
        <w:rPr>
          <w:rFonts w:ascii="Calibri" w:eastAsia="Times New Roman" w:hAnsi="Calibri" w:cs="Calibri"/>
        </w:rPr>
      </w:pPr>
      <w:r w:rsidRPr="00D633FF">
        <w:rPr>
          <w:rFonts w:ascii="Calibri" w:eastAsia="Times New Roman" w:hAnsi="Calibri" w:cs="Calibri"/>
        </w:rPr>
        <w:t>Assumptions made about the Australian and New Zealand Nutrition Surveys were:</w:t>
      </w:r>
    </w:p>
    <w:p w14:paraId="7B991721" w14:textId="77777777" w:rsidR="006B5A1D" w:rsidRPr="00D633FF" w:rsidRDefault="006B5A1D" w:rsidP="00437C3F">
      <w:pPr>
        <w:pStyle w:val="ListParagraph"/>
        <w:numPr>
          <w:ilvl w:val="0"/>
          <w:numId w:val="10"/>
        </w:numPr>
        <w:spacing w:after="0" w:line="276" w:lineRule="auto"/>
        <w:contextualSpacing w:val="0"/>
        <w:rPr>
          <w:rFonts w:ascii="Calibri" w:eastAsia="Times New Roman" w:hAnsi="Calibri" w:cs="Calibri"/>
        </w:rPr>
      </w:pPr>
      <w:r w:rsidRPr="00D633FF">
        <w:rPr>
          <w:rFonts w:ascii="Calibri" w:eastAsia="Times New Roman" w:hAnsi="Calibri" w:cs="Calibri"/>
        </w:rPr>
        <w:t>that the sample represents the diverse demographics of the population</w:t>
      </w:r>
    </w:p>
    <w:p w14:paraId="3B19445A" w14:textId="77777777" w:rsidR="006B5A1D" w:rsidRPr="00D633FF" w:rsidRDefault="006B5A1D" w:rsidP="00437C3F">
      <w:pPr>
        <w:pStyle w:val="ListParagraph"/>
        <w:numPr>
          <w:ilvl w:val="0"/>
          <w:numId w:val="10"/>
        </w:numPr>
        <w:spacing w:after="0" w:line="360" w:lineRule="auto"/>
        <w:contextualSpacing w:val="0"/>
        <w:rPr>
          <w:rFonts w:ascii="Calibri" w:eastAsia="Times New Roman" w:hAnsi="Calibri" w:cs="Calibri"/>
        </w:rPr>
      </w:pPr>
      <w:r w:rsidRPr="00D633FF">
        <w:rPr>
          <w:rFonts w:ascii="Calibri" w:eastAsia="Times New Roman" w:hAnsi="Calibri" w:cs="Calibri"/>
        </w:rPr>
        <w:t>that the data collection methods were reliable and valid (that respondents provide honest and accurate information)</w:t>
      </w:r>
    </w:p>
    <w:p w14:paraId="535FF1CF" w14:textId="29376D49" w:rsidR="006B5A1D" w:rsidRPr="00D633FF" w:rsidRDefault="006B5A1D" w:rsidP="00437C3F">
      <w:pPr>
        <w:pStyle w:val="ListParagraph"/>
        <w:numPr>
          <w:ilvl w:val="0"/>
          <w:numId w:val="10"/>
        </w:numPr>
        <w:spacing w:line="360" w:lineRule="auto"/>
        <w:ind w:left="714" w:hanging="357"/>
        <w:contextualSpacing w:val="0"/>
        <w:rPr>
          <w:rFonts w:ascii="Calibri" w:eastAsia="Times New Roman" w:hAnsi="Calibri" w:cs="Calibri"/>
        </w:rPr>
      </w:pPr>
      <w:r w:rsidRPr="00D633FF">
        <w:rPr>
          <w:rFonts w:ascii="Calibri" w:eastAsia="Times New Roman" w:hAnsi="Calibri" w:cs="Calibri"/>
        </w:rPr>
        <w:t xml:space="preserve">that dietary patterns observed at the time of the survey were not likely to change due to seasonal variation in eating patterns and were representative of usual intake. </w:t>
      </w:r>
    </w:p>
    <w:p w14:paraId="01B84E95" w14:textId="2FE5C791" w:rsidR="00E93D30" w:rsidRPr="00D633FF" w:rsidRDefault="00E93D30" w:rsidP="00E93D30">
      <w:pPr>
        <w:spacing w:line="360" w:lineRule="auto"/>
        <w:rPr>
          <w:rFonts w:ascii="Calibri" w:hAnsi="Calibri" w:cs="Calibri"/>
        </w:rPr>
      </w:pPr>
      <w:r w:rsidRPr="00D633FF">
        <w:rPr>
          <w:rFonts w:ascii="Calibri" w:hAnsi="Calibri" w:cs="Calibri"/>
        </w:rPr>
        <w:t xml:space="preserve">EFSA intake data were based on food consumption surveys from Finland, France, Germany, Ireland, Italy, Latvia, the Netherlands and Sweden with data collected between 2000 and 2012 </w:t>
      </w:r>
      <w:r w:rsidR="00F41A14" w:rsidRPr="00D633FF">
        <w:rPr>
          <w:rFonts w:ascii="Calibri" w:hAnsi="Calibri" w:cs="Calibri"/>
          <w:noProof/>
        </w:rPr>
        <w:t>(Turck et al. 2023)</w:t>
      </w:r>
      <w:r w:rsidRPr="00D633FF">
        <w:rPr>
          <w:rFonts w:ascii="Calibri" w:hAnsi="Calibri" w:cs="Calibri"/>
        </w:rPr>
        <w:t xml:space="preserve">. Intake estimates from these surveys </w:t>
      </w:r>
      <w:r w:rsidR="002965A2" w:rsidRPr="00D633FF">
        <w:rPr>
          <w:rFonts w:ascii="Calibri" w:hAnsi="Calibri" w:cs="Calibri"/>
        </w:rPr>
        <w:t xml:space="preserve">were </w:t>
      </w:r>
      <w:r w:rsidRPr="00D633FF">
        <w:rPr>
          <w:rFonts w:ascii="Calibri" w:hAnsi="Calibri" w:cs="Calibri"/>
        </w:rPr>
        <w:t xml:space="preserve">based on food only and </w:t>
      </w:r>
      <w:r w:rsidR="002965A2" w:rsidRPr="00D633FF">
        <w:rPr>
          <w:rFonts w:ascii="Calibri" w:hAnsi="Calibri" w:cs="Calibri"/>
        </w:rPr>
        <w:t xml:space="preserve">did </w:t>
      </w:r>
      <w:r w:rsidRPr="00D633FF">
        <w:rPr>
          <w:rFonts w:ascii="Calibri" w:hAnsi="Calibri" w:cs="Calibri"/>
        </w:rPr>
        <w:t xml:space="preserve">not include supplement use. As EFSA intake estimates </w:t>
      </w:r>
      <w:r w:rsidR="00BC213A" w:rsidRPr="00D633FF">
        <w:rPr>
          <w:rFonts w:ascii="Calibri" w:hAnsi="Calibri" w:cs="Calibri"/>
        </w:rPr>
        <w:t xml:space="preserve">came </w:t>
      </w:r>
      <w:r w:rsidRPr="00D633FF">
        <w:rPr>
          <w:rFonts w:ascii="Calibri" w:hAnsi="Calibri" w:cs="Calibri"/>
        </w:rPr>
        <w:t xml:space="preserve">from multiple surveys, minimum and maximum values </w:t>
      </w:r>
      <w:r w:rsidR="00BC213A" w:rsidRPr="00D633FF">
        <w:rPr>
          <w:rFonts w:ascii="Calibri" w:hAnsi="Calibri" w:cs="Calibri"/>
        </w:rPr>
        <w:t xml:space="preserve">were </w:t>
      </w:r>
      <w:r w:rsidRPr="00D633FF">
        <w:rPr>
          <w:rFonts w:ascii="Calibri" w:hAnsi="Calibri" w:cs="Calibri"/>
        </w:rPr>
        <w:t>reported for mean and 95</w:t>
      </w:r>
      <w:r w:rsidRPr="00D633FF">
        <w:rPr>
          <w:rFonts w:ascii="Calibri" w:hAnsi="Calibri" w:cs="Calibri"/>
          <w:vertAlign w:val="superscript"/>
        </w:rPr>
        <w:t>th</w:t>
      </w:r>
      <w:r w:rsidRPr="00D633FF">
        <w:rPr>
          <w:rFonts w:ascii="Calibri" w:hAnsi="Calibri" w:cs="Calibri"/>
        </w:rPr>
        <w:t xml:space="preserve"> percentile, rather than a single value for each. </w:t>
      </w:r>
      <w:bookmarkEnd w:id="33"/>
    </w:p>
    <w:p w14:paraId="4E14C157" w14:textId="1A70BA8E" w:rsidR="00E55EB7" w:rsidRPr="00D633FF" w:rsidRDefault="00E55EB7" w:rsidP="00EA091F">
      <w:pPr>
        <w:pStyle w:val="Heading4"/>
        <w:rPr>
          <w:rFonts w:ascii="Calibri" w:hAnsi="Calibri" w:cs="Calibri"/>
        </w:rPr>
      </w:pPr>
      <w:r w:rsidRPr="00D633FF">
        <w:rPr>
          <w:rFonts w:ascii="Calibri" w:hAnsi="Calibri" w:cs="Calibri"/>
        </w:rPr>
        <w:t xml:space="preserve">Australia </w:t>
      </w:r>
    </w:p>
    <w:p w14:paraId="1EF6EE78" w14:textId="00073C13" w:rsidR="00085D19" w:rsidRPr="00D633FF" w:rsidRDefault="00085D19" w:rsidP="00085D19">
      <w:pPr>
        <w:rPr>
          <w:rFonts w:ascii="Calibri" w:hAnsi="Calibri" w:cs="Calibri"/>
        </w:rPr>
      </w:pPr>
      <w:r w:rsidRPr="00D633FF">
        <w:rPr>
          <w:rFonts w:ascii="Calibri" w:hAnsi="Calibri" w:cs="Calibri"/>
        </w:rPr>
        <w:t xml:space="preserve">There is a lack of recent </w:t>
      </w:r>
      <w:r w:rsidR="00437C3F" w:rsidRPr="00D633FF">
        <w:rPr>
          <w:rFonts w:ascii="Calibri" w:hAnsi="Calibri" w:cs="Calibri"/>
        </w:rPr>
        <w:t xml:space="preserve">national </w:t>
      </w:r>
      <w:r w:rsidRPr="00D633FF">
        <w:rPr>
          <w:rFonts w:ascii="Calibri" w:hAnsi="Calibri" w:cs="Calibri"/>
        </w:rPr>
        <w:t xml:space="preserve">data on selenium intake </w:t>
      </w:r>
      <w:r w:rsidR="00F46971" w:rsidRPr="00D633FF">
        <w:rPr>
          <w:rFonts w:ascii="Calibri" w:hAnsi="Calibri" w:cs="Calibri"/>
        </w:rPr>
        <w:t xml:space="preserve">in </w:t>
      </w:r>
      <w:r w:rsidRPr="00D633FF">
        <w:rPr>
          <w:rFonts w:ascii="Calibri" w:hAnsi="Calibri" w:cs="Calibri"/>
        </w:rPr>
        <w:t>Australia.</w:t>
      </w:r>
    </w:p>
    <w:p w14:paraId="439E7BDC" w14:textId="1531F9EC" w:rsidR="00901C75" w:rsidRPr="00D633FF" w:rsidRDefault="007831FD" w:rsidP="000E3B78">
      <w:pPr>
        <w:spacing w:line="360" w:lineRule="auto"/>
        <w:rPr>
          <w:rFonts w:ascii="Calibri" w:hAnsi="Calibri" w:cs="Calibri"/>
        </w:rPr>
      </w:pPr>
      <w:r w:rsidRPr="00D633FF">
        <w:rPr>
          <w:rFonts w:ascii="Calibri" w:hAnsi="Calibri" w:cs="Calibri"/>
        </w:rPr>
        <w:t>T</w:t>
      </w:r>
      <w:r w:rsidR="00EC1C95" w:rsidRPr="00D633FF">
        <w:rPr>
          <w:rFonts w:ascii="Calibri" w:hAnsi="Calibri" w:cs="Calibri"/>
        </w:rPr>
        <w:t xml:space="preserve">he most recent source of Australian national data on selenium intake </w:t>
      </w:r>
      <w:r w:rsidRPr="00D633FF">
        <w:rPr>
          <w:rFonts w:ascii="Calibri" w:hAnsi="Calibri" w:cs="Calibri"/>
        </w:rPr>
        <w:t>i</w:t>
      </w:r>
      <w:r w:rsidR="006B3ADB" w:rsidRPr="00D633FF">
        <w:rPr>
          <w:rFonts w:ascii="Calibri" w:hAnsi="Calibri" w:cs="Calibri"/>
        </w:rPr>
        <w:t xml:space="preserve">s the </w:t>
      </w:r>
      <w:r w:rsidR="007C5DF7" w:rsidRPr="00D633FF">
        <w:rPr>
          <w:rFonts w:ascii="Calibri" w:hAnsi="Calibri" w:cs="Calibri"/>
        </w:rPr>
        <w:t>2011-2012 Australian Health Survey</w:t>
      </w:r>
      <w:r w:rsidR="003720F7" w:rsidRPr="00D633FF">
        <w:rPr>
          <w:rFonts w:ascii="Calibri" w:hAnsi="Calibri" w:cs="Calibri"/>
        </w:rPr>
        <w:t xml:space="preserve"> </w:t>
      </w:r>
      <w:r w:rsidR="00F41A14" w:rsidRPr="00D633FF">
        <w:rPr>
          <w:rFonts w:ascii="Calibri" w:hAnsi="Calibri" w:cs="Calibri"/>
          <w:noProof/>
        </w:rPr>
        <w:t>(ABS 2011)</w:t>
      </w:r>
      <w:r w:rsidR="002D39A8" w:rsidRPr="00D633FF">
        <w:rPr>
          <w:rFonts w:ascii="Calibri" w:hAnsi="Calibri" w:cs="Calibri"/>
        </w:rPr>
        <w:t xml:space="preserve"> </w:t>
      </w:r>
      <w:r w:rsidR="003720F7" w:rsidRPr="00D633FF">
        <w:rPr>
          <w:rFonts w:ascii="Calibri" w:hAnsi="Calibri" w:cs="Calibri"/>
        </w:rPr>
        <w:t>and the 2013 National Aboriginal and Torres Strait Islander Nutrition and Physical Activity Survey</w:t>
      </w:r>
      <w:r w:rsidR="007C5DF7" w:rsidRPr="00D633FF">
        <w:rPr>
          <w:rFonts w:ascii="Calibri" w:hAnsi="Calibri" w:cs="Calibri"/>
        </w:rPr>
        <w:t xml:space="preserve"> </w:t>
      </w:r>
      <w:r w:rsidR="00F41A14" w:rsidRPr="00D633FF">
        <w:rPr>
          <w:rFonts w:ascii="Calibri" w:hAnsi="Calibri" w:cs="Calibri"/>
          <w:noProof/>
        </w:rPr>
        <w:t>(ABS 2015)</w:t>
      </w:r>
      <w:r w:rsidR="00FB749B" w:rsidRPr="00D633FF">
        <w:rPr>
          <w:rFonts w:ascii="Calibri" w:hAnsi="Calibri" w:cs="Calibri"/>
        </w:rPr>
        <w:t>.</w:t>
      </w:r>
      <w:r w:rsidR="00AB6DA6" w:rsidRPr="00D633FF">
        <w:rPr>
          <w:rFonts w:ascii="Calibri" w:hAnsi="Calibri" w:cs="Calibri"/>
        </w:rPr>
        <w:t xml:space="preserve"> </w:t>
      </w:r>
      <w:r w:rsidR="00FB749B" w:rsidRPr="00D633FF">
        <w:rPr>
          <w:rFonts w:ascii="Calibri" w:hAnsi="Calibri" w:cs="Calibri"/>
        </w:rPr>
        <w:t>A</w:t>
      </w:r>
      <w:r w:rsidRPr="00D633FF">
        <w:rPr>
          <w:rFonts w:ascii="Calibri" w:hAnsi="Calibri" w:cs="Calibri"/>
        </w:rPr>
        <w:t xml:space="preserve">t the time of writing, </w:t>
      </w:r>
      <w:r w:rsidR="00753AEA" w:rsidRPr="00D633FF">
        <w:rPr>
          <w:rFonts w:ascii="Calibri" w:hAnsi="Calibri" w:cs="Calibri"/>
        </w:rPr>
        <w:t xml:space="preserve">selenium intake </w:t>
      </w:r>
      <w:r w:rsidRPr="00D633FF">
        <w:rPr>
          <w:rFonts w:ascii="Calibri" w:hAnsi="Calibri" w:cs="Calibri"/>
        </w:rPr>
        <w:t>data</w:t>
      </w:r>
      <w:r w:rsidR="00901C75" w:rsidRPr="00D633FF">
        <w:rPr>
          <w:rFonts w:ascii="Calibri" w:hAnsi="Calibri" w:cs="Calibri"/>
        </w:rPr>
        <w:t xml:space="preserve"> </w:t>
      </w:r>
      <w:r w:rsidR="003720F7" w:rsidRPr="00D633FF">
        <w:rPr>
          <w:rFonts w:ascii="Calibri" w:hAnsi="Calibri" w:cs="Calibri"/>
        </w:rPr>
        <w:t>from</w:t>
      </w:r>
      <w:r w:rsidR="00901C75" w:rsidRPr="00D633FF">
        <w:rPr>
          <w:rFonts w:ascii="Calibri" w:hAnsi="Calibri" w:cs="Calibri"/>
        </w:rPr>
        <w:t xml:space="preserve"> the 202</w:t>
      </w:r>
      <w:r w:rsidR="0048598F" w:rsidRPr="00D633FF">
        <w:rPr>
          <w:rFonts w:ascii="Calibri" w:hAnsi="Calibri" w:cs="Calibri"/>
        </w:rPr>
        <w:t>3</w:t>
      </w:r>
      <w:r w:rsidR="00901C75" w:rsidRPr="00D633FF">
        <w:rPr>
          <w:rFonts w:ascii="Calibri" w:hAnsi="Calibri" w:cs="Calibri"/>
        </w:rPr>
        <w:t xml:space="preserve"> National</w:t>
      </w:r>
      <w:r w:rsidR="0048598F" w:rsidRPr="00D633FF">
        <w:rPr>
          <w:rFonts w:ascii="Calibri" w:hAnsi="Calibri" w:cs="Calibri"/>
        </w:rPr>
        <w:t xml:space="preserve"> Nutrition and Physical Activity </w:t>
      </w:r>
      <w:r w:rsidR="00901C75" w:rsidRPr="00D633FF">
        <w:rPr>
          <w:rFonts w:ascii="Calibri" w:hAnsi="Calibri" w:cs="Calibri"/>
        </w:rPr>
        <w:t xml:space="preserve">Survey had not yet been released. </w:t>
      </w:r>
    </w:p>
    <w:p w14:paraId="505DA9AE" w14:textId="6FE5D253" w:rsidR="001654EF" w:rsidRPr="00D633FF" w:rsidRDefault="00181160" w:rsidP="00E55A94">
      <w:pPr>
        <w:spacing w:line="360" w:lineRule="auto"/>
        <w:rPr>
          <w:rFonts w:ascii="Calibri" w:hAnsi="Calibri" w:cs="Calibri"/>
        </w:rPr>
      </w:pPr>
      <w:r w:rsidRPr="00D633FF">
        <w:rPr>
          <w:rFonts w:ascii="Calibri" w:hAnsi="Calibri" w:cs="Calibri"/>
        </w:rPr>
        <w:t xml:space="preserve">Mean intake of selenium for the </w:t>
      </w:r>
      <w:r w:rsidR="005E7EFD" w:rsidRPr="00D633FF">
        <w:rPr>
          <w:rFonts w:ascii="Calibri" w:hAnsi="Calibri" w:cs="Calibri"/>
        </w:rPr>
        <w:t xml:space="preserve">total Australian population ranged from </w:t>
      </w:r>
      <w:r w:rsidR="00F02FDD" w:rsidRPr="00D633FF">
        <w:rPr>
          <w:rFonts w:ascii="Calibri" w:hAnsi="Calibri" w:cs="Calibri"/>
        </w:rPr>
        <w:t>47</w:t>
      </w:r>
      <w:r w:rsidR="00F02FDD" w:rsidRPr="00D633FF">
        <w:rPr>
          <w:rFonts w:ascii="Calibri" w:eastAsia="Times New Roman" w:hAnsi="Calibri" w:cs="Calibri"/>
          <w:color w:val="000000"/>
          <w:kern w:val="0"/>
          <w:lang w:eastAsia="en-AU"/>
          <w14:ligatures w14:val="none"/>
        </w:rPr>
        <w:t xml:space="preserve"> µg/day</w:t>
      </w:r>
      <w:r w:rsidR="000F7106" w:rsidRPr="00D633FF">
        <w:rPr>
          <w:rFonts w:ascii="Calibri" w:eastAsia="Times New Roman" w:hAnsi="Calibri" w:cs="Calibri"/>
          <w:color w:val="000000"/>
          <w:kern w:val="0"/>
          <w:lang w:eastAsia="en-AU"/>
          <w14:ligatures w14:val="none"/>
        </w:rPr>
        <w:t xml:space="preserve"> in the 2-</w:t>
      </w:r>
      <w:r w:rsidR="004C625F" w:rsidRPr="00D633FF">
        <w:rPr>
          <w:rFonts w:ascii="Calibri" w:eastAsia="Times New Roman" w:hAnsi="Calibri" w:cs="Calibri"/>
          <w:color w:val="000000"/>
          <w:kern w:val="0"/>
          <w:lang w:eastAsia="en-AU"/>
          <w14:ligatures w14:val="none"/>
        </w:rPr>
        <w:t xml:space="preserve"> to </w:t>
      </w:r>
      <w:r w:rsidR="000F7106" w:rsidRPr="00D633FF">
        <w:rPr>
          <w:rFonts w:ascii="Calibri" w:eastAsia="Times New Roman" w:hAnsi="Calibri" w:cs="Calibri"/>
          <w:color w:val="000000"/>
          <w:kern w:val="0"/>
          <w:lang w:eastAsia="en-AU"/>
          <w14:ligatures w14:val="none"/>
        </w:rPr>
        <w:t>3-year age group</w:t>
      </w:r>
      <w:r w:rsidR="004C625F" w:rsidRPr="00D633FF">
        <w:rPr>
          <w:rFonts w:ascii="Calibri" w:eastAsia="Times New Roman" w:hAnsi="Calibri" w:cs="Calibri"/>
          <w:color w:val="000000"/>
          <w:kern w:val="0"/>
          <w:lang w:eastAsia="en-AU"/>
          <w14:ligatures w14:val="none"/>
        </w:rPr>
        <w:t>,</w:t>
      </w:r>
      <w:r w:rsidR="000F7106" w:rsidRPr="00D633FF">
        <w:rPr>
          <w:rFonts w:ascii="Calibri" w:eastAsia="Times New Roman" w:hAnsi="Calibri" w:cs="Calibri"/>
          <w:color w:val="000000"/>
          <w:kern w:val="0"/>
          <w:lang w:eastAsia="en-AU"/>
          <w14:ligatures w14:val="none"/>
        </w:rPr>
        <w:t xml:space="preserve"> to 9</w:t>
      </w:r>
      <w:r w:rsidR="0040532E" w:rsidRPr="00D633FF">
        <w:rPr>
          <w:rFonts w:ascii="Calibri" w:eastAsia="Times New Roman" w:hAnsi="Calibri" w:cs="Calibri"/>
          <w:color w:val="000000"/>
          <w:kern w:val="0"/>
          <w:lang w:eastAsia="en-AU"/>
          <w14:ligatures w14:val="none"/>
        </w:rPr>
        <w:t>4</w:t>
      </w:r>
      <w:r w:rsidR="00B67489" w:rsidRPr="00D633FF">
        <w:rPr>
          <w:rFonts w:ascii="Calibri" w:eastAsia="Times New Roman" w:hAnsi="Calibri" w:cs="Calibri"/>
          <w:color w:val="000000"/>
          <w:kern w:val="0"/>
          <w:lang w:eastAsia="en-AU"/>
          <w14:ligatures w14:val="none"/>
        </w:rPr>
        <w:t xml:space="preserve"> µg/day</w:t>
      </w:r>
      <w:r w:rsidR="00290179" w:rsidRPr="00D633FF">
        <w:rPr>
          <w:rFonts w:ascii="Calibri" w:eastAsia="Times New Roman" w:hAnsi="Calibri" w:cs="Calibri"/>
          <w:color w:val="000000"/>
          <w:kern w:val="0"/>
          <w:lang w:eastAsia="en-AU"/>
          <w14:ligatures w14:val="none"/>
        </w:rPr>
        <w:t xml:space="preserve"> in the 19-</w:t>
      </w:r>
      <w:r w:rsidR="004C625F" w:rsidRPr="00D633FF">
        <w:rPr>
          <w:rFonts w:ascii="Calibri" w:eastAsia="Times New Roman" w:hAnsi="Calibri" w:cs="Calibri"/>
          <w:color w:val="000000"/>
          <w:kern w:val="0"/>
          <w:lang w:eastAsia="en-AU"/>
          <w14:ligatures w14:val="none"/>
        </w:rPr>
        <w:t xml:space="preserve"> to </w:t>
      </w:r>
      <w:r w:rsidR="00290179" w:rsidRPr="00D633FF">
        <w:rPr>
          <w:rFonts w:ascii="Calibri" w:eastAsia="Times New Roman" w:hAnsi="Calibri" w:cs="Calibri"/>
          <w:color w:val="000000"/>
          <w:kern w:val="0"/>
          <w:lang w:eastAsia="en-AU"/>
          <w14:ligatures w14:val="none"/>
        </w:rPr>
        <w:t>30-year age group</w:t>
      </w:r>
      <w:r w:rsidR="00073B77" w:rsidRPr="00D633FF">
        <w:rPr>
          <w:rFonts w:ascii="Calibri" w:eastAsia="Times New Roman" w:hAnsi="Calibri" w:cs="Calibri"/>
          <w:color w:val="000000"/>
          <w:kern w:val="0"/>
          <w:lang w:eastAsia="en-AU"/>
          <w14:ligatures w14:val="none"/>
        </w:rPr>
        <w:t xml:space="preserve">. </w:t>
      </w:r>
      <w:r w:rsidR="006D6B52" w:rsidRPr="00D633FF">
        <w:rPr>
          <w:rFonts w:ascii="Calibri" w:eastAsia="Times New Roman" w:hAnsi="Calibri" w:cs="Calibri"/>
          <w:color w:val="000000"/>
          <w:kern w:val="0"/>
          <w:lang w:eastAsia="en-AU"/>
          <w14:ligatures w14:val="none"/>
        </w:rPr>
        <w:t xml:space="preserve">For </w:t>
      </w:r>
      <w:r w:rsidR="003209C8" w:rsidRPr="00D633FF">
        <w:rPr>
          <w:rFonts w:ascii="Calibri" w:hAnsi="Calibri" w:cs="Calibri"/>
        </w:rPr>
        <w:t>Aboriginal and Torres Strait Islander</w:t>
      </w:r>
      <w:r w:rsidR="006D6B52" w:rsidRPr="00D633FF">
        <w:rPr>
          <w:rFonts w:ascii="Calibri" w:eastAsia="Times New Roman" w:hAnsi="Calibri" w:cs="Calibri"/>
          <w:color w:val="000000"/>
          <w:kern w:val="0"/>
          <w:lang w:eastAsia="en-AU"/>
          <w14:ligatures w14:val="none"/>
        </w:rPr>
        <w:t xml:space="preserve"> </w:t>
      </w:r>
      <w:r w:rsidR="004C625F" w:rsidRPr="00D633FF">
        <w:rPr>
          <w:rFonts w:ascii="Calibri" w:eastAsia="Times New Roman" w:hAnsi="Calibri" w:cs="Calibri"/>
          <w:color w:val="000000"/>
          <w:kern w:val="0"/>
          <w:lang w:eastAsia="en-AU"/>
          <w14:ligatures w14:val="none"/>
        </w:rPr>
        <w:t>Australians</w:t>
      </w:r>
      <w:r w:rsidR="006D6B52" w:rsidRPr="00D633FF">
        <w:rPr>
          <w:rFonts w:ascii="Calibri" w:eastAsia="Times New Roman" w:hAnsi="Calibri" w:cs="Calibri"/>
          <w:color w:val="000000"/>
          <w:kern w:val="0"/>
          <w:lang w:eastAsia="en-AU"/>
          <w14:ligatures w14:val="none"/>
        </w:rPr>
        <w:t xml:space="preserve">, the range was </w:t>
      </w:r>
      <w:r w:rsidR="00831A14" w:rsidRPr="00D633FF">
        <w:rPr>
          <w:rFonts w:ascii="Calibri" w:eastAsia="Times New Roman" w:hAnsi="Calibri" w:cs="Calibri"/>
          <w:color w:val="000000"/>
          <w:kern w:val="0"/>
          <w:lang w:eastAsia="en-AU"/>
          <w14:ligatures w14:val="none"/>
        </w:rPr>
        <w:t xml:space="preserve">between </w:t>
      </w:r>
      <w:r w:rsidR="0040532E" w:rsidRPr="00D633FF">
        <w:rPr>
          <w:rFonts w:ascii="Calibri" w:eastAsia="Times New Roman" w:hAnsi="Calibri" w:cs="Calibri"/>
          <w:color w:val="000000"/>
          <w:kern w:val="0"/>
          <w:lang w:eastAsia="en-AU"/>
          <w14:ligatures w14:val="none"/>
        </w:rPr>
        <w:t>50</w:t>
      </w:r>
      <w:r w:rsidR="007857E8" w:rsidRPr="00D633FF">
        <w:rPr>
          <w:rFonts w:ascii="Calibri" w:eastAsia="Times New Roman" w:hAnsi="Calibri" w:cs="Calibri"/>
          <w:color w:val="000000"/>
          <w:kern w:val="0"/>
          <w:lang w:eastAsia="en-AU"/>
          <w14:ligatures w14:val="none"/>
        </w:rPr>
        <w:t xml:space="preserve"> µg/day (</w:t>
      </w:r>
      <w:r w:rsidR="00200563" w:rsidRPr="00D633FF">
        <w:rPr>
          <w:rFonts w:ascii="Calibri" w:eastAsia="Times New Roman" w:hAnsi="Calibri" w:cs="Calibri"/>
          <w:color w:val="000000"/>
          <w:kern w:val="0"/>
          <w:lang w:eastAsia="en-AU"/>
          <w14:ligatures w14:val="none"/>
        </w:rPr>
        <w:t>2-3 years</w:t>
      </w:r>
      <w:r w:rsidR="007857E8" w:rsidRPr="00D633FF">
        <w:rPr>
          <w:rFonts w:ascii="Calibri" w:eastAsia="Times New Roman" w:hAnsi="Calibri" w:cs="Calibri"/>
          <w:color w:val="000000"/>
          <w:kern w:val="0"/>
          <w:lang w:eastAsia="en-AU"/>
          <w14:ligatures w14:val="none"/>
        </w:rPr>
        <w:t>)</w:t>
      </w:r>
      <w:r w:rsidR="009F7D3D" w:rsidRPr="00D633FF">
        <w:rPr>
          <w:rFonts w:ascii="Calibri" w:eastAsia="Times New Roman" w:hAnsi="Calibri" w:cs="Calibri"/>
          <w:color w:val="000000"/>
          <w:kern w:val="0"/>
          <w:lang w:eastAsia="en-AU"/>
          <w14:ligatures w14:val="none"/>
        </w:rPr>
        <w:t xml:space="preserve"> and </w:t>
      </w:r>
      <w:r w:rsidR="007D6F0F" w:rsidRPr="00D633FF">
        <w:rPr>
          <w:rFonts w:ascii="Calibri" w:eastAsia="Times New Roman" w:hAnsi="Calibri" w:cs="Calibri"/>
          <w:color w:val="000000"/>
          <w:kern w:val="0"/>
          <w:lang w:eastAsia="en-AU"/>
          <w14:ligatures w14:val="none"/>
        </w:rPr>
        <w:t>9</w:t>
      </w:r>
      <w:r w:rsidR="0040532E" w:rsidRPr="00D633FF">
        <w:rPr>
          <w:rFonts w:ascii="Calibri" w:eastAsia="Times New Roman" w:hAnsi="Calibri" w:cs="Calibri"/>
          <w:color w:val="000000"/>
          <w:kern w:val="0"/>
          <w:lang w:eastAsia="en-AU"/>
          <w14:ligatures w14:val="none"/>
        </w:rPr>
        <w:t xml:space="preserve">3 </w:t>
      </w:r>
      <w:r w:rsidR="006E3276" w:rsidRPr="00D633FF">
        <w:rPr>
          <w:rFonts w:ascii="Calibri" w:eastAsia="Times New Roman" w:hAnsi="Calibri" w:cs="Calibri"/>
          <w:color w:val="000000"/>
          <w:kern w:val="0"/>
          <w:lang w:eastAsia="en-AU"/>
          <w14:ligatures w14:val="none"/>
        </w:rPr>
        <w:t>µg/day (19-30 years)</w:t>
      </w:r>
      <w:r w:rsidR="00E26BFC" w:rsidRPr="00D633FF">
        <w:rPr>
          <w:rFonts w:ascii="Calibri" w:eastAsia="Times New Roman" w:hAnsi="Calibri" w:cs="Calibri"/>
          <w:color w:val="000000"/>
          <w:kern w:val="0"/>
          <w:lang w:eastAsia="en-AU"/>
          <w14:ligatures w14:val="none"/>
        </w:rPr>
        <w:t xml:space="preserve">, and </w:t>
      </w:r>
      <w:r w:rsidR="00E26BFC" w:rsidRPr="00D633FF">
        <w:rPr>
          <w:rFonts w:ascii="Calibri" w:eastAsia="Times New Roman" w:hAnsi="Calibri" w:cs="Calibri"/>
          <w:color w:val="000000"/>
          <w:kern w:val="0"/>
          <w:lang w:eastAsia="en-AU"/>
          <w14:ligatures w14:val="none"/>
        </w:rPr>
        <w:lastRenderedPageBreak/>
        <w:t>for non-Indigenous Australians</w:t>
      </w:r>
      <w:r w:rsidR="000C5B11" w:rsidRPr="00D633FF">
        <w:rPr>
          <w:rFonts w:ascii="Calibri" w:eastAsia="Times New Roman" w:hAnsi="Calibri" w:cs="Calibri"/>
          <w:color w:val="000000"/>
          <w:kern w:val="0"/>
          <w:lang w:eastAsia="en-AU"/>
          <w14:ligatures w14:val="none"/>
        </w:rPr>
        <w:t>,</w:t>
      </w:r>
      <w:r w:rsidR="00E26BFC" w:rsidRPr="00D633FF">
        <w:rPr>
          <w:rFonts w:ascii="Calibri" w:eastAsia="Times New Roman" w:hAnsi="Calibri" w:cs="Calibri"/>
          <w:color w:val="000000"/>
          <w:kern w:val="0"/>
          <w:lang w:eastAsia="en-AU"/>
          <w14:ligatures w14:val="none"/>
        </w:rPr>
        <w:t xml:space="preserve"> </w:t>
      </w:r>
      <w:r w:rsidR="00072DFE" w:rsidRPr="00D633FF">
        <w:rPr>
          <w:rFonts w:ascii="Calibri" w:eastAsia="Times New Roman" w:hAnsi="Calibri" w:cs="Calibri"/>
          <w:color w:val="000000"/>
          <w:kern w:val="0"/>
          <w:lang w:eastAsia="en-AU"/>
          <w14:ligatures w14:val="none"/>
        </w:rPr>
        <w:t>between 46 µg/day</w:t>
      </w:r>
      <w:r w:rsidR="004E779B" w:rsidRPr="00D633FF">
        <w:rPr>
          <w:rFonts w:ascii="Calibri" w:eastAsia="Times New Roman" w:hAnsi="Calibri" w:cs="Calibri"/>
          <w:color w:val="000000"/>
          <w:kern w:val="0"/>
          <w:lang w:eastAsia="en-AU"/>
          <w14:ligatures w14:val="none"/>
        </w:rPr>
        <w:t xml:space="preserve"> (2-3</w:t>
      </w:r>
      <w:r w:rsidR="006747DE" w:rsidRPr="00D633FF">
        <w:rPr>
          <w:rFonts w:ascii="Calibri" w:eastAsia="Times New Roman" w:hAnsi="Calibri" w:cs="Calibri"/>
          <w:color w:val="000000"/>
          <w:kern w:val="0"/>
          <w:lang w:eastAsia="en-AU"/>
          <w14:ligatures w14:val="none"/>
        </w:rPr>
        <w:t xml:space="preserve"> </w:t>
      </w:r>
      <w:r w:rsidR="004E779B" w:rsidRPr="00D633FF">
        <w:rPr>
          <w:rFonts w:ascii="Calibri" w:eastAsia="Times New Roman" w:hAnsi="Calibri" w:cs="Calibri"/>
          <w:color w:val="000000"/>
          <w:kern w:val="0"/>
          <w:lang w:eastAsia="en-AU"/>
          <w14:ligatures w14:val="none"/>
        </w:rPr>
        <w:t xml:space="preserve">years) </w:t>
      </w:r>
      <w:r w:rsidR="006747DE" w:rsidRPr="00D633FF">
        <w:rPr>
          <w:rFonts w:ascii="Calibri" w:eastAsia="Times New Roman" w:hAnsi="Calibri" w:cs="Calibri"/>
          <w:color w:val="000000"/>
          <w:kern w:val="0"/>
          <w:lang w:eastAsia="en-AU"/>
          <w14:ligatures w14:val="none"/>
        </w:rPr>
        <w:t xml:space="preserve">and </w:t>
      </w:r>
      <w:r w:rsidR="00056F97" w:rsidRPr="00D633FF">
        <w:rPr>
          <w:rFonts w:ascii="Calibri" w:eastAsia="Times New Roman" w:hAnsi="Calibri" w:cs="Calibri"/>
          <w:color w:val="000000"/>
          <w:kern w:val="0"/>
          <w:lang w:eastAsia="en-AU"/>
          <w14:ligatures w14:val="none"/>
        </w:rPr>
        <w:t>98</w:t>
      </w:r>
      <w:r w:rsidR="006970FF" w:rsidRPr="00D633FF">
        <w:rPr>
          <w:rFonts w:ascii="Calibri" w:eastAsia="Times New Roman" w:hAnsi="Calibri" w:cs="Calibri"/>
          <w:color w:val="000000"/>
          <w:kern w:val="0"/>
          <w:lang w:eastAsia="en-AU"/>
          <w14:ligatures w14:val="none"/>
        </w:rPr>
        <w:t xml:space="preserve"> (</w:t>
      </w:r>
      <w:r w:rsidR="002A1EC0" w:rsidRPr="00D633FF">
        <w:rPr>
          <w:rFonts w:ascii="Calibri" w:eastAsia="Times New Roman" w:hAnsi="Calibri" w:cs="Calibri"/>
          <w:color w:val="000000"/>
          <w:kern w:val="0"/>
          <w:lang w:eastAsia="en-AU"/>
          <w14:ligatures w14:val="none"/>
        </w:rPr>
        <w:t>19-30 years)</w:t>
      </w:r>
      <w:r w:rsidR="009C6E43" w:rsidRPr="00D633FF">
        <w:rPr>
          <w:rFonts w:ascii="Calibri" w:eastAsia="Times New Roman" w:hAnsi="Calibri" w:cs="Calibri"/>
          <w:color w:val="000000"/>
          <w:kern w:val="0"/>
          <w:lang w:eastAsia="en-AU"/>
          <w14:ligatures w14:val="none"/>
        </w:rPr>
        <w:t xml:space="preserve"> (see </w:t>
      </w:r>
      <w:r w:rsidR="00047D36" w:rsidRPr="00D633FF">
        <w:rPr>
          <w:rFonts w:ascii="Calibri" w:eastAsia="Times New Roman" w:hAnsi="Calibri" w:cs="Calibri"/>
          <w:color w:val="000000"/>
          <w:kern w:val="0"/>
          <w:lang w:eastAsia="en-AU"/>
          <w14:ligatures w14:val="none"/>
        </w:rPr>
        <w:fldChar w:fldCharType="begin" w:fldLock="1"/>
      </w:r>
      <w:r w:rsidR="00047D36" w:rsidRPr="00D633FF">
        <w:rPr>
          <w:rFonts w:ascii="Calibri" w:eastAsia="Times New Roman" w:hAnsi="Calibri" w:cs="Calibri"/>
          <w:color w:val="000000"/>
          <w:kern w:val="0"/>
          <w:lang w:eastAsia="en-AU"/>
          <w14:ligatures w14:val="none"/>
        </w:rPr>
        <w:instrText xml:space="preserve"> REF _Ref199413050 \h  \* MERGEFORMAT </w:instrText>
      </w:r>
      <w:r w:rsidR="00047D36" w:rsidRPr="00D633FF">
        <w:rPr>
          <w:rFonts w:ascii="Calibri" w:eastAsia="Times New Roman" w:hAnsi="Calibri" w:cs="Calibri"/>
          <w:color w:val="000000"/>
          <w:kern w:val="0"/>
          <w:lang w:eastAsia="en-AU"/>
          <w14:ligatures w14:val="none"/>
        </w:rPr>
      </w:r>
      <w:r w:rsidR="00047D36" w:rsidRPr="00D633FF">
        <w:rPr>
          <w:rFonts w:ascii="Calibri" w:eastAsia="Times New Roman" w:hAnsi="Calibri" w:cs="Calibri"/>
          <w:color w:val="000000"/>
          <w:kern w:val="0"/>
          <w:lang w:eastAsia="en-AU"/>
          <w14:ligatures w14:val="none"/>
        </w:rPr>
        <w:fldChar w:fldCharType="separate"/>
      </w:r>
      <w:r w:rsidR="005F51E8" w:rsidRPr="00D633FF">
        <w:rPr>
          <w:rFonts w:ascii="Calibri" w:hAnsi="Calibri" w:cs="Calibri"/>
        </w:rPr>
        <w:t xml:space="preserve">Table </w:t>
      </w:r>
      <w:r w:rsidR="005F51E8" w:rsidRPr="00D633FF">
        <w:rPr>
          <w:rFonts w:ascii="Calibri" w:hAnsi="Calibri" w:cs="Calibri"/>
          <w:noProof/>
        </w:rPr>
        <w:t>3</w:t>
      </w:r>
      <w:r w:rsidR="00047D36" w:rsidRPr="00D633FF">
        <w:rPr>
          <w:rFonts w:ascii="Calibri" w:eastAsia="Times New Roman" w:hAnsi="Calibri" w:cs="Calibri"/>
          <w:color w:val="000000"/>
          <w:kern w:val="0"/>
          <w:lang w:eastAsia="en-AU"/>
          <w14:ligatures w14:val="none"/>
        </w:rPr>
        <w:fldChar w:fldCharType="end"/>
      </w:r>
      <w:r w:rsidR="009C6E43" w:rsidRPr="00D633FF">
        <w:rPr>
          <w:rFonts w:ascii="Calibri" w:eastAsia="Times New Roman" w:hAnsi="Calibri" w:cs="Calibri"/>
          <w:color w:val="000000"/>
          <w:kern w:val="0"/>
          <w:lang w:eastAsia="en-AU"/>
          <w14:ligatures w14:val="none"/>
        </w:rPr>
        <w:t>)</w:t>
      </w:r>
      <w:r w:rsidR="00F02FDD" w:rsidRPr="00D633FF">
        <w:rPr>
          <w:rFonts w:ascii="Calibri" w:hAnsi="Calibri" w:cs="Calibri"/>
        </w:rPr>
        <w:t xml:space="preserve"> </w:t>
      </w:r>
      <w:r w:rsidR="00F41A14" w:rsidRPr="00D633FF">
        <w:rPr>
          <w:rFonts w:ascii="Calibri" w:hAnsi="Calibri" w:cs="Calibri"/>
          <w:noProof/>
        </w:rPr>
        <w:t>(ABS 2011, 2015)</w:t>
      </w:r>
      <w:r w:rsidR="001654EF" w:rsidRPr="00D633FF">
        <w:rPr>
          <w:rFonts w:ascii="Calibri" w:hAnsi="Calibri" w:cs="Calibri"/>
        </w:rPr>
        <w:t xml:space="preserve">. </w:t>
      </w:r>
    </w:p>
    <w:p w14:paraId="33321B0A" w14:textId="396F8876" w:rsidR="00646D58" w:rsidRPr="00D633FF" w:rsidRDefault="004C625F" w:rsidP="00E55A94">
      <w:pPr>
        <w:spacing w:line="360" w:lineRule="auto"/>
        <w:rPr>
          <w:rFonts w:ascii="Calibri" w:hAnsi="Calibri" w:cs="Calibri"/>
        </w:rPr>
      </w:pPr>
      <w:r w:rsidRPr="00D633FF">
        <w:rPr>
          <w:rFonts w:ascii="Calibri" w:hAnsi="Calibri" w:cs="Calibri"/>
        </w:rPr>
        <w:t>Overall,</w:t>
      </w:r>
      <w:r w:rsidR="003720F7" w:rsidRPr="00D633FF">
        <w:rPr>
          <w:rFonts w:ascii="Calibri" w:hAnsi="Calibri" w:cs="Calibri"/>
        </w:rPr>
        <w:t xml:space="preserve"> </w:t>
      </w:r>
      <w:r w:rsidR="007C5DF7" w:rsidRPr="00D633FF">
        <w:rPr>
          <w:rFonts w:ascii="Calibri" w:hAnsi="Calibri" w:cs="Calibri"/>
        </w:rPr>
        <w:t>almost all Australians met their requirements for selenium intake (</w:t>
      </w:r>
      <w:r w:rsidR="003636A4" w:rsidRPr="00D633FF">
        <w:rPr>
          <w:rFonts w:ascii="Calibri" w:hAnsi="Calibri" w:cs="Calibri"/>
        </w:rPr>
        <w:t xml:space="preserve">only </w:t>
      </w:r>
      <w:r w:rsidR="007C5DF7" w:rsidRPr="00D633FF">
        <w:rPr>
          <w:rFonts w:ascii="Calibri" w:hAnsi="Calibri" w:cs="Calibri"/>
        </w:rPr>
        <w:t>3% of males and 6% of females aged two years and over did not). Amongst those 71 years and over, approximately one in ten had inadequate selenium intakes (12% of males and 10% of females). Less than 5% of the population exceeded the UL for selenium</w:t>
      </w:r>
      <w:r w:rsidR="00A80F97" w:rsidRPr="00D633FF">
        <w:rPr>
          <w:rFonts w:ascii="Calibri" w:hAnsi="Calibri" w:cs="Calibri"/>
        </w:rPr>
        <w:t xml:space="preserve"> </w:t>
      </w:r>
      <w:r w:rsidR="00F41A14" w:rsidRPr="00D633FF">
        <w:rPr>
          <w:rFonts w:ascii="Calibri" w:hAnsi="Calibri" w:cs="Calibri"/>
          <w:noProof/>
        </w:rPr>
        <w:t>(ABS 2011)</w:t>
      </w:r>
      <w:r w:rsidR="007C5DF7" w:rsidRPr="00D633FF">
        <w:rPr>
          <w:rFonts w:ascii="Calibri" w:hAnsi="Calibri" w:cs="Calibri"/>
        </w:rPr>
        <w:t xml:space="preserve">. </w:t>
      </w:r>
      <w:r w:rsidR="00A64A11" w:rsidRPr="00D633FF">
        <w:rPr>
          <w:rFonts w:ascii="Calibri" w:hAnsi="Calibri" w:cs="Calibri"/>
        </w:rPr>
        <w:t xml:space="preserve">Separate results </w:t>
      </w:r>
      <w:r w:rsidR="00D12376" w:rsidRPr="00D633FF">
        <w:rPr>
          <w:rFonts w:ascii="Calibri" w:hAnsi="Calibri" w:cs="Calibri"/>
        </w:rPr>
        <w:t>were not reported for Aboriginal and Torres Strait Islander</w:t>
      </w:r>
      <w:r w:rsidR="00890C9C" w:rsidRPr="00D633FF">
        <w:rPr>
          <w:rFonts w:ascii="Calibri" w:hAnsi="Calibri" w:cs="Calibri"/>
        </w:rPr>
        <w:t xml:space="preserve"> populations</w:t>
      </w:r>
      <w:r w:rsidR="00D12376" w:rsidRPr="00D633FF">
        <w:rPr>
          <w:rFonts w:ascii="Calibri" w:hAnsi="Calibri" w:cs="Calibri"/>
        </w:rPr>
        <w:t>.</w:t>
      </w:r>
    </w:p>
    <w:p w14:paraId="7B0070BC" w14:textId="30766E02" w:rsidR="00E55EB7" w:rsidRPr="00D633FF" w:rsidRDefault="00E55EB7" w:rsidP="00EA091F">
      <w:pPr>
        <w:pStyle w:val="Heading4"/>
        <w:rPr>
          <w:rFonts w:ascii="Calibri" w:hAnsi="Calibri" w:cs="Calibri"/>
        </w:rPr>
      </w:pPr>
      <w:r w:rsidRPr="00D633FF">
        <w:rPr>
          <w:rFonts w:ascii="Calibri" w:hAnsi="Calibri" w:cs="Calibri"/>
        </w:rPr>
        <w:t>New Zealand</w:t>
      </w:r>
    </w:p>
    <w:p w14:paraId="37F0D644" w14:textId="7919CAE8" w:rsidR="00085D19" w:rsidRPr="00D633FF" w:rsidRDefault="00085D19" w:rsidP="00085D19">
      <w:pPr>
        <w:rPr>
          <w:rFonts w:ascii="Calibri" w:hAnsi="Calibri" w:cs="Calibri"/>
        </w:rPr>
      </w:pPr>
      <w:r w:rsidRPr="00D633FF">
        <w:rPr>
          <w:rFonts w:ascii="Calibri" w:hAnsi="Calibri" w:cs="Calibri"/>
        </w:rPr>
        <w:t>There is a lack of recent data on selenium intake for New Zealand.</w:t>
      </w:r>
    </w:p>
    <w:p w14:paraId="021B4693" w14:textId="771029B6" w:rsidR="00C136EC" w:rsidRPr="00D633FF" w:rsidRDefault="001D2533" w:rsidP="000E3B78">
      <w:pPr>
        <w:spacing w:line="360" w:lineRule="auto"/>
        <w:rPr>
          <w:rFonts w:ascii="Calibri" w:hAnsi="Calibri" w:cs="Calibri"/>
        </w:rPr>
      </w:pPr>
      <w:r w:rsidRPr="00D633FF">
        <w:rPr>
          <w:rFonts w:ascii="Calibri" w:hAnsi="Calibri" w:cs="Calibri"/>
        </w:rPr>
        <w:t xml:space="preserve">According to the </w:t>
      </w:r>
      <w:r w:rsidR="004B6945" w:rsidRPr="00D633FF">
        <w:rPr>
          <w:rFonts w:ascii="Calibri" w:hAnsi="Calibri" w:cs="Calibri"/>
        </w:rPr>
        <w:t xml:space="preserve">2008-2009 New Zealand Adults </w:t>
      </w:r>
      <w:r w:rsidR="00201515" w:rsidRPr="00D633FF">
        <w:rPr>
          <w:rFonts w:ascii="Calibri" w:hAnsi="Calibri" w:cs="Calibri"/>
        </w:rPr>
        <w:t>Nutrition Survey</w:t>
      </w:r>
      <w:r w:rsidR="004A20F1" w:rsidRPr="00D633FF">
        <w:rPr>
          <w:rFonts w:ascii="Calibri" w:hAnsi="Calibri" w:cs="Calibri"/>
        </w:rPr>
        <w:t xml:space="preserve"> </w:t>
      </w:r>
      <w:r w:rsidR="00F41A14" w:rsidRPr="00D633FF">
        <w:rPr>
          <w:rFonts w:ascii="Calibri" w:hAnsi="Calibri" w:cs="Calibri"/>
          <w:noProof/>
        </w:rPr>
        <w:t>(University of Otago &amp; Ministry of Health 2011)</w:t>
      </w:r>
      <w:r w:rsidR="00236870" w:rsidRPr="00D633FF">
        <w:rPr>
          <w:rFonts w:ascii="Calibri" w:hAnsi="Calibri" w:cs="Calibri"/>
        </w:rPr>
        <w:t xml:space="preserve"> </w:t>
      </w:r>
      <w:r w:rsidR="00295156" w:rsidRPr="00D633FF">
        <w:rPr>
          <w:rFonts w:ascii="Calibri" w:hAnsi="Calibri" w:cs="Calibri"/>
        </w:rPr>
        <w:t>and 2002 New Zealand National Children’s Nutrition Survey</w:t>
      </w:r>
      <w:r w:rsidR="00B2263C" w:rsidRPr="00D633FF">
        <w:rPr>
          <w:rFonts w:ascii="Calibri" w:hAnsi="Calibri" w:cs="Calibri"/>
        </w:rPr>
        <w:t xml:space="preserve"> </w:t>
      </w:r>
      <w:r w:rsidR="00F41A14" w:rsidRPr="00D633FF">
        <w:rPr>
          <w:rFonts w:ascii="Calibri" w:hAnsi="Calibri" w:cs="Calibri"/>
          <w:noProof/>
        </w:rPr>
        <w:t>(Ministry of Health 2003)</w:t>
      </w:r>
      <w:r w:rsidR="00A72380" w:rsidRPr="00D633FF">
        <w:rPr>
          <w:rFonts w:ascii="Calibri" w:hAnsi="Calibri" w:cs="Calibri"/>
        </w:rPr>
        <w:t xml:space="preserve">, </w:t>
      </w:r>
      <w:r w:rsidR="00247DA6" w:rsidRPr="00D633FF">
        <w:rPr>
          <w:rFonts w:ascii="Calibri" w:hAnsi="Calibri" w:cs="Calibri"/>
        </w:rPr>
        <w:t>t</w:t>
      </w:r>
      <w:r w:rsidR="009E78FF" w:rsidRPr="00D633FF">
        <w:rPr>
          <w:rFonts w:ascii="Calibri" w:hAnsi="Calibri" w:cs="Calibri"/>
        </w:rPr>
        <w:t xml:space="preserve">he median usual daily selenium intake </w:t>
      </w:r>
      <w:r w:rsidR="006B52C8" w:rsidRPr="00D633FF">
        <w:rPr>
          <w:rFonts w:ascii="Calibri" w:hAnsi="Calibri" w:cs="Calibri"/>
        </w:rPr>
        <w:t>from food</w:t>
      </w:r>
      <w:r w:rsidR="00A8431B" w:rsidRPr="00D633FF">
        <w:rPr>
          <w:rFonts w:ascii="Calibri" w:hAnsi="Calibri" w:cs="Calibri"/>
        </w:rPr>
        <w:t xml:space="preserve"> </w:t>
      </w:r>
      <w:r w:rsidR="00DD7CAA" w:rsidRPr="00D633FF">
        <w:rPr>
          <w:rFonts w:ascii="Calibri" w:hAnsi="Calibri" w:cs="Calibri"/>
        </w:rPr>
        <w:t xml:space="preserve">for the total New Zealand population </w:t>
      </w:r>
      <w:r w:rsidR="009E78FF" w:rsidRPr="00D633FF">
        <w:rPr>
          <w:rFonts w:ascii="Calibri" w:hAnsi="Calibri" w:cs="Calibri"/>
        </w:rPr>
        <w:t xml:space="preserve">was 67 µg for males and 47 µg for females. Older males and females aged 71+ years (52 µg and </w:t>
      </w:r>
      <w:r w:rsidR="0040532E" w:rsidRPr="00D633FF">
        <w:rPr>
          <w:rFonts w:ascii="Calibri" w:hAnsi="Calibri" w:cs="Calibri"/>
        </w:rPr>
        <w:t>40</w:t>
      </w:r>
      <w:r w:rsidR="009E78FF" w:rsidRPr="00D633FF">
        <w:rPr>
          <w:rFonts w:ascii="Calibri" w:hAnsi="Calibri" w:cs="Calibri"/>
        </w:rPr>
        <w:t xml:space="preserve"> µg, respectively) and females aged 15–18 years (3</w:t>
      </w:r>
      <w:r w:rsidR="0040532E" w:rsidRPr="00D633FF">
        <w:rPr>
          <w:rFonts w:ascii="Calibri" w:hAnsi="Calibri" w:cs="Calibri"/>
        </w:rPr>
        <w:t>9</w:t>
      </w:r>
      <w:r w:rsidR="009E78FF" w:rsidRPr="00D633FF">
        <w:rPr>
          <w:rFonts w:ascii="Calibri" w:hAnsi="Calibri" w:cs="Calibri"/>
        </w:rPr>
        <w:t xml:space="preserve"> µg) had lower </w:t>
      </w:r>
      <w:r w:rsidR="00BA0321" w:rsidRPr="00D633FF">
        <w:rPr>
          <w:rFonts w:ascii="Calibri" w:hAnsi="Calibri" w:cs="Calibri"/>
        </w:rPr>
        <w:t xml:space="preserve">median </w:t>
      </w:r>
      <w:r w:rsidR="009E78FF" w:rsidRPr="00D633FF">
        <w:rPr>
          <w:rFonts w:ascii="Calibri" w:hAnsi="Calibri" w:cs="Calibri"/>
        </w:rPr>
        <w:t>intakes of selenium than 31–50-year-old males and females (78 µg and 5</w:t>
      </w:r>
      <w:r w:rsidR="0040532E" w:rsidRPr="00D633FF">
        <w:rPr>
          <w:rFonts w:ascii="Calibri" w:hAnsi="Calibri" w:cs="Calibri"/>
        </w:rPr>
        <w:t>2</w:t>
      </w:r>
      <w:r w:rsidR="009E78FF" w:rsidRPr="00D633FF">
        <w:rPr>
          <w:rFonts w:ascii="Calibri" w:hAnsi="Calibri" w:cs="Calibri"/>
        </w:rPr>
        <w:t xml:space="preserve"> µg, respectively).</w:t>
      </w:r>
    </w:p>
    <w:p w14:paraId="00D9998E" w14:textId="4337FC66" w:rsidR="000C5B11" w:rsidRPr="00D633FF" w:rsidRDefault="00010646" w:rsidP="000E3B78">
      <w:pPr>
        <w:spacing w:line="360" w:lineRule="auto"/>
        <w:rPr>
          <w:rFonts w:ascii="Calibri" w:hAnsi="Calibri" w:cs="Calibri"/>
        </w:rPr>
      </w:pPr>
      <w:r w:rsidRPr="00D633FF">
        <w:rPr>
          <w:rFonts w:ascii="Calibri" w:hAnsi="Calibri" w:cs="Calibri"/>
        </w:rPr>
        <w:t xml:space="preserve">Mean </w:t>
      </w:r>
      <w:r w:rsidR="00563D7F" w:rsidRPr="00D633FF">
        <w:rPr>
          <w:rFonts w:ascii="Calibri" w:hAnsi="Calibri" w:cs="Calibri"/>
        </w:rPr>
        <w:t xml:space="preserve">selenium intake </w:t>
      </w:r>
      <w:r w:rsidR="005913E5" w:rsidRPr="00D633FF">
        <w:rPr>
          <w:rFonts w:ascii="Calibri" w:hAnsi="Calibri" w:cs="Calibri"/>
        </w:rPr>
        <w:t xml:space="preserve">for the total New Zealand population </w:t>
      </w:r>
      <w:r w:rsidR="00563D7F" w:rsidRPr="00D633FF">
        <w:rPr>
          <w:rFonts w:ascii="Calibri" w:hAnsi="Calibri" w:cs="Calibri"/>
        </w:rPr>
        <w:t xml:space="preserve">ranged from </w:t>
      </w:r>
      <w:r w:rsidR="00F2715C" w:rsidRPr="00D633FF">
        <w:rPr>
          <w:rFonts w:ascii="Calibri" w:hAnsi="Calibri" w:cs="Calibri"/>
        </w:rPr>
        <w:t>28</w:t>
      </w:r>
      <w:r w:rsidR="00EE24B9" w:rsidRPr="00D633FF">
        <w:rPr>
          <w:rFonts w:ascii="Calibri" w:hAnsi="Calibri" w:cs="Calibri"/>
        </w:rPr>
        <w:t xml:space="preserve"> </w:t>
      </w:r>
      <w:r w:rsidR="00EE24B9" w:rsidRPr="00D633FF">
        <w:rPr>
          <w:rFonts w:ascii="Calibri" w:eastAsia="Times New Roman" w:hAnsi="Calibri" w:cs="Calibri"/>
          <w:color w:val="000000"/>
          <w:kern w:val="0"/>
          <w:lang w:eastAsia="en-AU"/>
          <w14:ligatures w14:val="none"/>
        </w:rPr>
        <w:t>µg/day</w:t>
      </w:r>
      <w:r w:rsidR="00266CE4" w:rsidRPr="00D633FF">
        <w:rPr>
          <w:rFonts w:ascii="Calibri" w:eastAsia="Times New Roman" w:hAnsi="Calibri" w:cs="Calibri"/>
          <w:color w:val="000000"/>
          <w:kern w:val="0"/>
          <w:lang w:eastAsia="en-AU"/>
          <w14:ligatures w14:val="none"/>
        </w:rPr>
        <w:t xml:space="preserve"> in the </w:t>
      </w:r>
      <w:r w:rsidR="00D67A82" w:rsidRPr="00D633FF">
        <w:rPr>
          <w:rFonts w:ascii="Calibri" w:eastAsia="Times New Roman" w:hAnsi="Calibri" w:cs="Calibri"/>
          <w:color w:val="000000"/>
          <w:kern w:val="0"/>
          <w:lang w:eastAsia="en-AU"/>
          <w14:ligatures w14:val="none"/>
        </w:rPr>
        <w:t>5- to 6-year age group</w:t>
      </w:r>
      <w:r w:rsidR="005913E5" w:rsidRPr="00D633FF">
        <w:rPr>
          <w:rFonts w:ascii="Calibri" w:eastAsia="Times New Roman" w:hAnsi="Calibri" w:cs="Calibri"/>
          <w:color w:val="000000"/>
          <w:kern w:val="0"/>
          <w:lang w:eastAsia="en-AU"/>
          <w14:ligatures w14:val="none"/>
        </w:rPr>
        <w:t xml:space="preserve"> and </w:t>
      </w:r>
      <w:r w:rsidR="000F299C" w:rsidRPr="00D633FF">
        <w:rPr>
          <w:rFonts w:ascii="Calibri" w:eastAsia="Times New Roman" w:hAnsi="Calibri" w:cs="Calibri"/>
          <w:color w:val="000000"/>
          <w:kern w:val="0"/>
          <w:lang w:eastAsia="en-AU"/>
          <w14:ligatures w14:val="none"/>
        </w:rPr>
        <w:t>6</w:t>
      </w:r>
      <w:r w:rsidR="0040532E" w:rsidRPr="00D633FF">
        <w:rPr>
          <w:rFonts w:ascii="Calibri" w:eastAsia="Times New Roman" w:hAnsi="Calibri" w:cs="Calibri"/>
          <w:color w:val="000000"/>
          <w:kern w:val="0"/>
          <w:lang w:eastAsia="en-AU"/>
          <w14:ligatures w14:val="none"/>
        </w:rPr>
        <w:t>7</w:t>
      </w:r>
      <w:r w:rsidR="000F299C" w:rsidRPr="00D633FF">
        <w:rPr>
          <w:rFonts w:ascii="Calibri" w:eastAsia="Times New Roman" w:hAnsi="Calibri" w:cs="Calibri"/>
          <w:color w:val="000000"/>
          <w:kern w:val="0"/>
          <w:lang w:eastAsia="en-AU"/>
          <w14:ligatures w14:val="none"/>
        </w:rPr>
        <w:t xml:space="preserve"> µg/day in the </w:t>
      </w:r>
      <w:r w:rsidR="00C83920" w:rsidRPr="00D633FF">
        <w:rPr>
          <w:rFonts w:ascii="Calibri" w:eastAsia="Times New Roman" w:hAnsi="Calibri" w:cs="Calibri"/>
          <w:color w:val="000000"/>
          <w:kern w:val="0"/>
          <w:lang w:eastAsia="en-AU"/>
          <w14:ligatures w14:val="none"/>
        </w:rPr>
        <w:t>31- to 50</w:t>
      </w:r>
      <w:r w:rsidR="00E756E0" w:rsidRPr="00D633FF">
        <w:rPr>
          <w:rFonts w:ascii="Calibri" w:eastAsia="Times New Roman" w:hAnsi="Calibri" w:cs="Calibri"/>
          <w:color w:val="000000"/>
          <w:kern w:val="0"/>
          <w:lang w:eastAsia="en-AU"/>
          <w14:ligatures w14:val="none"/>
        </w:rPr>
        <w:t>-</w:t>
      </w:r>
      <w:r w:rsidR="00C83920" w:rsidRPr="00D633FF">
        <w:rPr>
          <w:rFonts w:ascii="Calibri" w:eastAsia="Times New Roman" w:hAnsi="Calibri" w:cs="Calibri"/>
          <w:color w:val="000000"/>
          <w:kern w:val="0"/>
          <w:lang w:eastAsia="en-AU"/>
          <w14:ligatures w14:val="none"/>
        </w:rPr>
        <w:t>year age group</w:t>
      </w:r>
      <w:r w:rsidR="00E756E0" w:rsidRPr="00D633FF">
        <w:rPr>
          <w:rFonts w:ascii="Calibri" w:eastAsia="Times New Roman" w:hAnsi="Calibri" w:cs="Calibri"/>
          <w:color w:val="000000"/>
          <w:kern w:val="0"/>
          <w:lang w:eastAsia="en-AU"/>
          <w14:ligatures w14:val="none"/>
        </w:rPr>
        <w:t xml:space="preserve">. </w:t>
      </w:r>
      <w:r w:rsidR="008B76BA" w:rsidRPr="00D633FF">
        <w:rPr>
          <w:rFonts w:ascii="Calibri" w:eastAsia="Times New Roman" w:hAnsi="Calibri" w:cs="Calibri"/>
          <w:color w:val="000000"/>
          <w:kern w:val="0"/>
          <w:lang w:eastAsia="en-AU"/>
          <w14:ligatures w14:val="none"/>
        </w:rPr>
        <w:t xml:space="preserve">For the </w:t>
      </w:r>
      <w:r w:rsidR="006B2092" w:rsidRPr="00D633FF">
        <w:rPr>
          <w:rFonts w:ascii="Calibri" w:hAnsi="Calibri" w:cs="Calibri"/>
        </w:rPr>
        <w:t>Māori</w:t>
      </w:r>
      <w:r w:rsidR="008B76BA" w:rsidRPr="00D633FF">
        <w:rPr>
          <w:rFonts w:ascii="Calibri" w:eastAsia="Times New Roman" w:hAnsi="Calibri" w:cs="Calibri"/>
          <w:color w:val="000000"/>
          <w:kern w:val="0"/>
          <w:lang w:eastAsia="en-AU"/>
          <w14:ligatures w14:val="none"/>
        </w:rPr>
        <w:t xml:space="preserve"> </w:t>
      </w:r>
      <w:r w:rsidR="00D20DD3" w:rsidRPr="00D633FF">
        <w:rPr>
          <w:rFonts w:ascii="Calibri" w:eastAsia="Times New Roman" w:hAnsi="Calibri" w:cs="Calibri"/>
          <w:color w:val="000000"/>
          <w:kern w:val="0"/>
          <w:lang w:eastAsia="en-AU"/>
          <w14:ligatures w14:val="none"/>
        </w:rPr>
        <w:t>population</w:t>
      </w:r>
      <w:r w:rsidR="0087704E" w:rsidRPr="00D633FF">
        <w:rPr>
          <w:rFonts w:ascii="Calibri" w:eastAsia="Times New Roman" w:hAnsi="Calibri" w:cs="Calibri"/>
          <w:color w:val="000000"/>
          <w:kern w:val="0"/>
          <w:lang w:eastAsia="en-AU"/>
          <w14:ligatures w14:val="none"/>
        </w:rPr>
        <w:t>,</w:t>
      </w:r>
      <w:r w:rsidR="00D20DD3" w:rsidRPr="00D633FF">
        <w:rPr>
          <w:rFonts w:ascii="Calibri" w:eastAsia="Times New Roman" w:hAnsi="Calibri" w:cs="Calibri"/>
          <w:color w:val="000000"/>
          <w:kern w:val="0"/>
          <w:lang w:eastAsia="en-AU"/>
          <w14:ligatures w14:val="none"/>
        </w:rPr>
        <w:t xml:space="preserve"> the range was </w:t>
      </w:r>
      <w:r w:rsidR="000402A5" w:rsidRPr="00D633FF">
        <w:rPr>
          <w:rFonts w:ascii="Calibri" w:eastAsia="Times New Roman" w:hAnsi="Calibri" w:cs="Calibri"/>
          <w:color w:val="000000"/>
          <w:kern w:val="0"/>
          <w:lang w:eastAsia="en-AU"/>
          <w14:ligatures w14:val="none"/>
        </w:rPr>
        <w:t>3</w:t>
      </w:r>
      <w:r w:rsidR="0040532E" w:rsidRPr="00D633FF">
        <w:rPr>
          <w:rFonts w:ascii="Calibri" w:eastAsia="Times New Roman" w:hAnsi="Calibri" w:cs="Calibri"/>
          <w:color w:val="000000"/>
          <w:kern w:val="0"/>
          <w:lang w:eastAsia="en-AU"/>
          <w14:ligatures w14:val="none"/>
        </w:rPr>
        <w:t>4</w:t>
      </w:r>
      <w:r w:rsidR="000402A5" w:rsidRPr="00D633FF">
        <w:rPr>
          <w:rFonts w:ascii="Calibri" w:eastAsia="Times New Roman" w:hAnsi="Calibri" w:cs="Calibri"/>
          <w:color w:val="000000"/>
          <w:kern w:val="0"/>
          <w:lang w:eastAsia="en-AU"/>
          <w14:ligatures w14:val="none"/>
        </w:rPr>
        <w:t xml:space="preserve"> µg/day (5-6 years) to </w:t>
      </w:r>
      <w:r w:rsidR="00DB0288" w:rsidRPr="00D633FF">
        <w:rPr>
          <w:rFonts w:ascii="Calibri" w:eastAsia="Times New Roman" w:hAnsi="Calibri" w:cs="Calibri"/>
          <w:color w:val="000000"/>
          <w:kern w:val="0"/>
          <w:lang w:eastAsia="en-AU"/>
          <w14:ligatures w14:val="none"/>
        </w:rPr>
        <w:t>69 µg/day (</w:t>
      </w:r>
      <w:r w:rsidR="00B1335D" w:rsidRPr="00D633FF">
        <w:rPr>
          <w:rFonts w:ascii="Calibri" w:eastAsia="Times New Roman" w:hAnsi="Calibri" w:cs="Calibri"/>
          <w:color w:val="000000"/>
          <w:kern w:val="0"/>
          <w:lang w:eastAsia="en-AU"/>
          <w14:ligatures w14:val="none"/>
        </w:rPr>
        <w:t>19-30 years</w:t>
      </w:r>
      <w:r w:rsidR="00DB0288" w:rsidRPr="00D633FF">
        <w:rPr>
          <w:rFonts w:ascii="Calibri" w:eastAsia="Times New Roman" w:hAnsi="Calibri" w:cs="Calibri"/>
          <w:color w:val="000000"/>
          <w:kern w:val="0"/>
          <w:lang w:eastAsia="en-AU"/>
          <w14:ligatures w14:val="none"/>
        </w:rPr>
        <w:t>)</w:t>
      </w:r>
      <w:r w:rsidR="00914032" w:rsidRPr="00D633FF">
        <w:rPr>
          <w:rFonts w:ascii="Calibri" w:eastAsia="Times New Roman" w:hAnsi="Calibri" w:cs="Calibri"/>
          <w:color w:val="000000"/>
          <w:kern w:val="0"/>
          <w:lang w:eastAsia="en-AU"/>
          <w14:ligatures w14:val="none"/>
        </w:rPr>
        <w:t>;</w:t>
      </w:r>
      <w:r w:rsidR="00D0357B" w:rsidRPr="00D633FF">
        <w:rPr>
          <w:rFonts w:ascii="Calibri" w:eastAsia="Times New Roman" w:hAnsi="Calibri" w:cs="Calibri"/>
          <w:color w:val="000000"/>
          <w:kern w:val="0"/>
          <w:lang w:eastAsia="en-AU"/>
          <w14:ligatures w14:val="none"/>
        </w:rPr>
        <w:t xml:space="preserve"> </w:t>
      </w:r>
      <w:r w:rsidR="00DD01BE" w:rsidRPr="00D633FF">
        <w:rPr>
          <w:rFonts w:ascii="Calibri" w:eastAsia="Times New Roman" w:hAnsi="Calibri" w:cs="Calibri"/>
          <w:color w:val="000000"/>
          <w:kern w:val="0"/>
          <w:lang w:eastAsia="en-AU"/>
          <w14:ligatures w14:val="none"/>
        </w:rPr>
        <w:t>f</w:t>
      </w:r>
      <w:r w:rsidR="00D0357B" w:rsidRPr="00D633FF">
        <w:rPr>
          <w:rFonts w:ascii="Calibri" w:eastAsia="Times New Roman" w:hAnsi="Calibri" w:cs="Calibri"/>
          <w:color w:val="000000"/>
          <w:kern w:val="0"/>
          <w:lang w:eastAsia="en-AU"/>
          <w14:ligatures w14:val="none"/>
        </w:rPr>
        <w:t>or the Pac</w:t>
      </w:r>
      <w:r w:rsidR="008939D8" w:rsidRPr="00D633FF">
        <w:rPr>
          <w:rFonts w:ascii="Calibri" w:eastAsia="Times New Roman" w:hAnsi="Calibri" w:cs="Calibri"/>
          <w:color w:val="000000"/>
          <w:kern w:val="0"/>
          <w:lang w:eastAsia="en-AU"/>
          <w14:ligatures w14:val="none"/>
        </w:rPr>
        <w:t>ific population</w:t>
      </w:r>
      <w:r w:rsidR="0035708A" w:rsidRPr="00D633FF">
        <w:rPr>
          <w:rFonts w:ascii="Calibri" w:eastAsia="Times New Roman" w:hAnsi="Calibri" w:cs="Calibri"/>
          <w:color w:val="000000"/>
          <w:kern w:val="0"/>
          <w:lang w:eastAsia="en-AU"/>
          <w14:ligatures w14:val="none"/>
        </w:rPr>
        <w:t>,</w:t>
      </w:r>
      <w:r w:rsidR="008939D8" w:rsidRPr="00D633FF">
        <w:rPr>
          <w:rFonts w:ascii="Calibri" w:eastAsia="Times New Roman" w:hAnsi="Calibri" w:cs="Calibri"/>
          <w:color w:val="000000"/>
          <w:kern w:val="0"/>
          <w:lang w:eastAsia="en-AU"/>
          <w14:ligatures w14:val="none"/>
        </w:rPr>
        <w:t xml:space="preserve"> </w:t>
      </w:r>
      <w:r w:rsidR="00286CEF" w:rsidRPr="00D633FF">
        <w:rPr>
          <w:rFonts w:ascii="Calibri" w:eastAsia="Times New Roman" w:hAnsi="Calibri" w:cs="Calibri"/>
          <w:color w:val="000000"/>
          <w:kern w:val="0"/>
          <w:lang w:eastAsia="en-AU"/>
          <w14:ligatures w14:val="none"/>
        </w:rPr>
        <w:t>3</w:t>
      </w:r>
      <w:r w:rsidR="0040532E" w:rsidRPr="00D633FF">
        <w:rPr>
          <w:rFonts w:ascii="Calibri" w:eastAsia="Times New Roman" w:hAnsi="Calibri" w:cs="Calibri"/>
          <w:color w:val="000000"/>
          <w:kern w:val="0"/>
          <w:lang w:eastAsia="en-AU"/>
          <w14:ligatures w14:val="none"/>
        </w:rPr>
        <w:t>2</w:t>
      </w:r>
      <w:r w:rsidR="00475D3C" w:rsidRPr="00D633FF">
        <w:rPr>
          <w:rFonts w:ascii="Calibri" w:eastAsia="Times New Roman" w:hAnsi="Calibri" w:cs="Calibri"/>
          <w:color w:val="000000"/>
          <w:kern w:val="0"/>
          <w:lang w:eastAsia="en-AU"/>
          <w14:ligatures w14:val="none"/>
        </w:rPr>
        <w:t xml:space="preserve"> µg/day</w:t>
      </w:r>
      <w:r w:rsidR="005E2267" w:rsidRPr="00D633FF">
        <w:rPr>
          <w:rFonts w:ascii="Calibri" w:eastAsia="Times New Roman" w:hAnsi="Calibri" w:cs="Calibri"/>
          <w:color w:val="000000"/>
          <w:kern w:val="0"/>
          <w:lang w:eastAsia="en-AU"/>
          <w14:ligatures w14:val="none"/>
        </w:rPr>
        <w:t xml:space="preserve"> (5-6 years) to </w:t>
      </w:r>
      <w:r w:rsidR="008E44D3" w:rsidRPr="00D633FF">
        <w:rPr>
          <w:rFonts w:ascii="Calibri" w:eastAsia="Times New Roman" w:hAnsi="Calibri" w:cs="Calibri"/>
          <w:color w:val="000000"/>
          <w:kern w:val="0"/>
          <w:lang w:eastAsia="en-AU"/>
          <w14:ligatures w14:val="none"/>
        </w:rPr>
        <w:t>85 µg/day (</w:t>
      </w:r>
      <w:r w:rsidR="00AD70A3" w:rsidRPr="00D633FF">
        <w:rPr>
          <w:rFonts w:ascii="Calibri" w:eastAsia="Times New Roman" w:hAnsi="Calibri" w:cs="Calibri"/>
          <w:color w:val="000000"/>
          <w:kern w:val="0"/>
          <w:lang w:eastAsia="en-AU"/>
          <w14:ligatures w14:val="none"/>
        </w:rPr>
        <w:t>31-50</w:t>
      </w:r>
      <w:r w:rsidR="00EB0B7F" w:rsidRPr="00D633FF">
        <w:rPr>
          <w:rFonts w:ascii="Calibri" w:eastAsia="Times New Roman" w:hAnsi="Calibri" w:cs="Calibri"/>
          <w:color w:val="000000"/>
          <w:kern w:val="0"/>
          <w:lang w:eastAsia="en-AU"/>
          <w14:ligatures w14:val="none"/>
        </w:rPr>
        <w:t xml:space="preserve"> years)</w:t>
      </w:r>
      <w:r w:rsidR="008A3484" w:rsidRPr="00D633FF">
        <w:rPr>
          <w:rFonts w:ascii="Calibri" w:eastAsia="Times New Roman" w:hAnsi="Calibri" w:cs="Calibri"/>
          <w:color w:val="000000"/>
          <w:kern w:val="0"/>
          <w:lang w:eastAsia="en-AU"/>
          <w14:ligatures w14:val="none"/>
        </w:rPr>
        <w:t xml:space="preserve">; and for the </w:t>
      </w:r>
      <w:r w:rsidR="00331411" w:rsidRPr="00D633FF">
        <w:rPr>
          <w:rFonts w:ascii="Calibri" w:eastAsia="Times New Roman" w:hAnsi="Calibri" w:cs="Calibri"/>
          <w:color w:val="000000"/>
          <w:kern w:val="0"/>
          <w:lang w:eastAsia="en-AU"/>
          <w14:ligatures w14:val="none"/>
        </w:rPr>
        <w:t>‘Eur</w:t>
      </w:r>
      <w:r w:rsidR="006E056D" w:rsidRPr="00D633FF">
        <w:rPr>
          <w:rFonts w:ascii="Calibri" w:eastAsia="Times New Roman" w:hAnsi="Calibri" w:cs="Calibri"/>
          <w:color w:val="000000"/>
          <w:kern w:val="0"/>
          <w:lang w:eastAsia="en-AU"/>
          <w14:ligatures w14:val="none"/>
        </w:rPr>
        <w:t>o</w:t>
      </w:r>
      <w:r w:rsidR="00331411" w:rsidRPr="00D633FF">
        <w:rPr>
          <w:rFonts w:ascii="Calibri" w:eastAsia="Times New Roman" w:hAnsi="Calibri" w:cs="Calibri"/>
          <w:color w:val="000000"/>
          <w:kern w:val="0"/>
          <w:lang w:eastAsia="en-AU"/>
          <w14:ligatures w14:val="none"/>
        </w:rPr>
        <w:t>pean and other</w:t>
      </w:r>
      <w:r w:rsidR="006E056D" w:rsidRPr="00D633FF">
        <w:rPr>
          <w:rFonts w:ascii="Calibri" w:eastAsia="Times New Roman" w:hAnsi="Calibri" w:cs="Calibri"/>
          <w:color w:val="000000"/>
          <w:kern w:val="0"/>
          <w:lang w:eastAsia="en-AU"/>
          <w14:ligatures w14:val="none"/>
        </w:rPr>
        <w:t>’ population</w:t>
      </w:r>
      <w:r w:rsidR="00397FD2" w:rsidRPr="00D633FF">
        <w:rPr>
          <w:rFonts w:ascii="Calibri" w:eastAsia="Times New Roman" w:hAnsi="Calibri" w:cs="Calibri"/>
          <w:color w:val="000000"/>
          <w:kern w:val="0"/>
          <w:lang w:eastAsia="en-AU"/>
          <w14:ligatures w14:val="none"/>
        </w:rPr>
        <w:t xml:space="preserve">, </w:t>
      </w:r>
      <w:r w:rsidR="00223548" w:rsidRPr="00D633FF">
        <w:rPr>
          <w:rFonts w:ascii="Calibri" w:eastAsia="Times New Roman" w:hAnsi="Calibri" w:cs="Calibri"/>
          <w:color w:val="000000"/>
          <w:kern w:val="0"/>
          <w:lang w:eastAsia="en-AU"/>
          <w14:ligatures w14:val="none"/>
        </w:rPr>
        <w:t>2</w:t>
      </w:r>
      <w:r w:rsidR="0040532E" w:rsidRPr="00D633FF">
        <w:rPr>
          <w:rFonts w:ascii="Calibri" w:eastAsia="Times New Roman" w:hAnsi="Calibri" w:cs="Calibri"/>
          <w:color w:val="000000"/>
          <w:kern w:val="0"/>
          <w:lang w:eastAsia="en-AU"/>
          <w14:ligatures w14:val="none"/>
        </w:rPr>
        <w:t>6</w:t>
      </w:r>
      <w:r w:rsidR="00717C98" w:rsidRPr="00D633FF">
        <w:rPr>
          <w:rFonts w:ascii="Calibri" w:eastAsia="Times New Roman" w:hAnsi="Calibri" w:cs="Calibri"/>
          <w:color w:val="000000"/>
          <w:kern w:val="0"/>
          <w:lang w:eastAsia="en-AU"/>
          <w14:ligatures w14:val="none"/>
        </w:rPr>
        <w:t xml:space="preserve"> µg/day (5-6 years) to </w:t>
      </w:r>
      <w:r w:rsidR="00EA5A2F" w:rsidRPr="00D633FF">
        <w:rPr>
          <w:rFonts w:ascii="Calibri" w:eastAsia="Times New Roman" w:hAnsi="Calibri" w:cs="Calibri"/>
          <w:color w:val="000000"/>
          <w:kern w:val="0"/>
          <w:lang w:eastAsia="en-AU"/>
          <w14:ligatures w14:val="none"/>
        </w:rPr>
        <w:t>6</w:t>
      </w:r>
      <w:r w:rsidR="004421C2" w:rsidRPr="00D633FF">
        <w:rPr>
          <w:rFonts w:ascii="Calibri" w:eastAsia="Times New Roman" w:hAnsi="Calibri" w:cs="Calibri"/>
          <w:color w:val="000000"/>
          <w:kern w:val="0"/>
          <w:lang w:eastAsia="en-AU"/>
          <w14:ligatures w14:val="none"/>
        </w:rPr>
        <w:t>5</w:t>
      </w:r>
      <w:r w:rsidR="005A35BC" w:rsidRPr="00D633FF">
        <w:rPr>
          <w:rFonts w:ascii="Calibri" w:eastAsia="Times New Roman" w:hAnsi="Calibri" w:cs="Calibri"/>
          <w:color w:val="000000"/>
          <w:kern w:val="0"/>
          <w:lang w:eastAsia="en-AU"/>
          <w14:ligatures w14:val="none"/>
        </w:rPr>
        <w:t xml:space="preserve"> µg/day (</w:t>
      </w:r>
      <w:r w:rsidR="00FE4D19" w:rsidRPr="00D633FF">
        <w:rPr>
          <w:rFonts w:ascii="Calibri" w:eastAsia="Times New Roman" w:hAnsi="Calibri" w:cs="Calibri"/>
          <w:color w:val="000000"/>
          <w:kern w:val="0"/>
          <w:lang w:eastAsia="en-AU"/>
          <w14:ligatures w14:val="none"/>
        </w:rPr>
        <w:t>31</w:t>
      </w:r>
      <w:r w:rsidR="009507E7" w:rsidRPr="00D633FF">
        <w:rPr>
          <w:rFonts w:ascii="Calibri" w:eastAsia="Times New Roman" w:hAnsi="Calibri" w:cs="Calibri"/>
          <w:color w:val="000000"/>
          <w:kern w:val="0"/>
          <w:lang w:eastAsia="en-AU"/>
          <w14:ligatures w14:val="none"/>
        </w:rPr>
        <w:t>-</w:t>
      </w:r>
      <w:r w:rsidR="00FE4D19" w:rsidRPr="00D633FF">
        <w:rPr>
          <w:rFonts w:ascii="Calibri" w:eastAsia="Times New Roman" w:hAnsi="Calibri" w:cs="Calibri"/>
          <w:color w:val="000000"/>
          <w:kern w:val="0"/>
          <w:lang w:eastAsia="en-AU"/>
          <w14:ligatures w14:val="none"/>
        </w:rPr>
        <w:t>50</w:t>
      </w:r>
      <w:r w:rsidR="009507E7" w:rsidRPr="00D633FF">
        <w:rPr>
          <w:rFonts w:ascii="Calibri" w:eastAsia="Times New Roman" w:hAnsi="Calibri" w:cs="Calibri"/>
          <w:color w:val="000000"/>
          <w:kern w:val="0"/>
          <w:lang w:eastAsia="en-AU"/>
          <w14:ligatures w14:val="none"/>
        </w:rPr>
        <w:t xml:space="preserve"> years)</w:t>
      </w:r>
      <w:r w:rsidR="00020EED" w:rsidRPr="00D633FF">
        <w:rPr>
          <w:rFonts w:ascii="Calibri" w:eastAsia="Times New Roman" w:hAnsi="Calibri" w:cs="Calibri"/>
          <w:color w:val="000000"/>
          <w:kern w:val="0"/>
          <w:lang w:eastAsia="en-AU"/>
          <w14:ligatures w14:val="none"/>
        </w:rPr>
        <w:t xml:space="preserve">. </w:t>
      </w:r>
      <w:r w:rsidR="00B17B41" w:rsidRPr="00D633FF">
        <w:rPr>
          <w:rFonts w:ascii="Calibri" w:eastAsia="Times New Roman" w:hAnsi="Calibri" w:cs="Calibri"/>
          <w:color w:val="000000"/>
          <w:kern w:val="0"/>
          <w:lang w:eastAsia="en-AU"/>
          <w14:ligatures w14:val="none"/>
        </w:rPr>
        <w:t>For more detail, s</w:t>
      </w:r>
      <w:r w:rsidR="00020EED" w:rsidRPr="00D633FF">
        <w:rPr>
          <w:rFonts w:ascii="Calibri" w:eastAsia="Times New Roman" w:hAnsi="Calibri" w:cs="Calibri"/>
          <w:color w:val="000000"/>
          <w:kern w:val="0"/>
          <w:lang w:eastAsia="en-AU"/>
          <w14:ligatures w14:val="none"/>
        </w:rPr>
        <w:t xml:space="preserve">ee </w:t>
      </w:r>
      <w:r w:rsidR="009B03E8" w:rsidRPr="00D633FF">
        <w:rPr>
          <w:rFonts w:ascii="Calibri" w:eastAsia="Times New Roman" w:hAnsi="Calibri" w:cs="Calibri"/>
          <w:color w:val="000000"/>
          <w:kern w:val="0"/>
          <w:lang w:eastAsia="en-AU"/>
          <w14:ligatures w14:val="none"/>
        </w:rPr>
        <w:fldChar w:fldCharType="begin" w:fldLock="1"/>
      </w:r>
      <w:r w:rsidR="009B03E8" w:rsidRPr="00D633FF">
        <w:rPr>
          <w:rFonts w:ascii="Calibri" w:eastAsia="Times New Roman" w:hAnsi="Calibri" w:cs="Calibri"/>
          <w:color w:val="000000"/>
          <w:kern w:val="0"/>
          <w:lang w:eastAsia="en-AU"/>
          <w14:ligatures w14:val="none"/>
        </w:rPr>
        <w:instrText xml:space="preserve"> REF _Ref199413050 \h </w:instrText>
      </w:r>
      <w:r w:rsidR="00047D36" w:rsidRPr="00D633FF">
        <w:rPr>
          <w:rFonts w:ascii="Calibri" w:eastAsia="Times New Roman" w:hAnsi="Calibri" w:cs="Calibri"/>
          <w:color w:val="000000"/>
          <w:kern w:val="0"/>
          <w:lang w:eastAsia="en-AU"/>
          <w14:ligatures w14:val="none"/>
        </w:rPr>
        <w:instrText xml:space="preserve"> \* MERGEFORMAT </w:instrText>
      </w:r>
      <w:r w:rsidR="009B03E8" w:rsidRPr="00D633FF">
        <w:rPr>
          <w:rFonts w:ascii="Calibri" w:eastAsia="Times New Roman" w:hAnsi="Calibri" w:cs="Calibri"/>
          <w:color w:val="000000"/>
          <w:kern w:val="0"/>
          <w:lang w:eastAsia="en-AU"/>
          <w14:ligatures w14:val="none"/>
        </w:rPr>
      </w:r>
      <w:r w:rsidR="009B03E8" w:rsidRPr="00D633FF">
        <w:rPr>
          <w:rFonts w:ascii="Calibri" w:eastAsia="Times New Roman" w:hAnsi="Calibri" w:cs="Calibri"/>
          <w:color w:val="000000"/>
          <w:kern w:val="0"/>
          <w:lang w:eastAsia="en-AU"/>
          <w14:ligatures w14:val="none"/>
        </w:rPr>
        <w:fldChar w:fldCharType="separate"/>
      </w:r>
      <w:r w:rsidR="005F51E8" w:rsidRPr="00D633FF">
        <w:rPr>
          <w:rFonts w:ascii="Calibri" w:hAnsi="Calibri" w:cs="Calibri"/>
        </w:rPr>
        <w:t xml:space="preserve">Table </w:t>
      </w:r>
      <w:r w:rsidR="005F51E8" w:rsidRPr="00D633FF">
        <w:rPr>
          <w:rFonts w:ascii="Calibri" w:hAnsi="Calibri" w:cs="Calibri"/>
          <w:noProof/>
        </w:rPr>
        <w:t>3</w:t>
      </w:r>
      <w:r w:rsidR="009B03E8" w:rsidRPr="00D633FF">
        <w:rPr>
          <w:rFonts w:ascii="Calibri" w:eastAsia="Times New Roman" w:hAnsi="Calibri" w:cs="Calibri"/>
          <w:color w:val="000000"/>
          <w:kern w:val="0"/>
          <w:lang w:eastAsia="en-AU"/>
          <w14:ligatures w14:val="none"/>
        </w:rPr>
        <w:fldChar w:fldCharType="end"/>
      </w:r>
      <w:r w:rsidR="00AE42E3" w:rsidRPr="00D633FF">
        <w:rPr>
          <w:rFonts w:ascii="Calibri" w:eastAsia="Times New Roman" w:hAnsi="Calibri" w:cs="Calibri"/>
          <w:color w:val="000000"/>
          <w:kern w:val="0"/>
          <w:lang w:eastAsia="en-AU"/>
          <w14:ligatures w14:val="none"/>
        </w:rPr>
        <w:t xml:space="preserve"> </w:t>
      </w:r>
      <w:r w:rsidR="00F41A14" w:rsidRPr="00D633FF">
        <w:rPr>
          <w:rFonts w:ascii="Calibri" w:eastAsia="Times New Roman" w:hAnsi="Calibri" w:cs="Calibri"/>
          <w:noProof/>
          <w:color w:val="000000"/>
          <w:kern w:val="0"/>
          <w:lang w:eastAsia="en-AU"/>
          <w14:ligatures w14:val="none"/>
        </w:rPr>
        <w:t>(Ministry of Health 2003; University of Otago &amp; Ministry of Health 2011)</w:t>
      </w:r>
      <w:r w:rsidR="00F9199A" w:rsidRPr="00D633FF">
        <w:rPr>
          <w:rFonts w:ascii="Calibri" w:eastAsia="Times New Roman" w:hAnsi="Calibri" w:cs="Calibri"/>
          <w:color w:val="000000"/>
          <w:kern w:val="0"/>
          <w:lang w:eastAsia="en-AU"/>
          <w14:ligatures w14:val="none"/>
        </w:rPr>
        <w:t>.</w:t>
      </w:r>
    </w:p>
    <w:p w14:paraId="7615B411" w14:textId="1BFB3CE3" w:rsidR="005631FA" w:rsidRPr="00D633FF" w:rsidRDefault="00236870" w:rsidP="008E7EEF">
      <w:pPr>
        <w:spacing w:line="360" w:lineRule="auto"/>
        <w:rPr>
          <w:rFonts w:ascii="Calibri" w:hAnsi="Calibri" w:cs="Calibri"/>
        </w:rPr>
      </w:pPr>
      <w:r w:rsidRPr="00D633FF">
        <w:rPr>
          <w:rFonts w:ascii="Calibri" w:hAnsi="Calibri" w:cs="Calibri"/>
        </w:rPr>
        <w:t xml:space="preserve">Overall, </w:t>
      </w:r>
      <w:r w:rsidR="007575CF" w:rsidRPr="00D633FF">
        <w:rPr>
          <w:rFonts w:ascii="Calibri" w:hAnsi="Calibri" w:cs="Calibri"/>
        </w:rPr>
        <w:t xml:space="preserve">although selenium intakes </w:t>
      </w:r>
      <w:r w:rsidR="000D6E4C" w:rsidRPr="00D633FF">
        <w:rPr>
          <w:rFonts w:ascii="Calibri" w:hAnsi="Calibri" w:cs="Calibri"/>
        </w:rPr>
        <w:t xml:space="preserve">in the New Zealand population aged 15 and over </w:t>
      </w:r>
      <w:r w:rsidR="007575CF" w:rsidRPr="00D633FF">
        <w:rPr>
          <w:rFonts w:ascii="Calibri" w:hAnsi="Calibri" w:cs="Calibri"/>
        </w:rPr>
        <w:t>had increased since the previous</w:t>
      </w:r>
      <w:r w:rsidR="006C7AFE" w:rsidRPr="00D633FF">
        <w:rPr>
          <w:rFonts w:ascii="Calibri" w:hAnsi="Calibri" w:cs="Calibri"/>
        </w:rPr>
        <w:t xml:space="preserve"> survey in 1997, </w:t>
      </w:r>
      <w:r w:rsidR="0040266F" w:rsidRPr="00D633FF">
        <w:rPr>
          <w:rFonts w:ascii="Calibri" w:hAnsi="Calibri" w:cs="Calibri"/>
        </w:rPr>
        <w:t xml:space="preserve">intakes were still inadequate for </w:t>
      </w:r>
      <w:r w:rsidR="00803395" w:rsidRPr="00D633FF">
        <w:rPr>
          <w:rFonts w:ascii="Calibri" w:hAnsi="Calibri" w:cs="Calibri"/>
        </w:rPr>
        <w:t xml:space="preserve">around </w:t>
      </w:r>
      <w:r w:rsidR="0040266F" w:rsidRPr="00D633FF">
        <w:rPr>
          <w:rFonts w:ascii="Calibri" w:hAnsi="Calibri" w:cs="Calibri"/>
        </w:rPr>
        <w:t>one-third of males (3</w:t>
      </w:r>
      <w:r w:rsidR="00803395" w:rsidRPr="00D633FF">
        <w:rPr>
          <w:rFonts w:ascii="Calibri" w:hAnsi="Calibri" w:cs="Calibri"/>
        </w:rPr>
        <w:t>2</w:t>
      </w:r>
      <w:r w:rsidR="0040266F" w:rsidRPr="00D633FF">
        <w:rPr>
          <w:rFonts w:ascii="Calibri" w:hAnsi="Calibri" w:cs="Calibri"/>
        </w:rPr>
        <w:t>%) and over half (58%) of females</w:t>
      </w:r>
      <w:r w:rsidR="00A80F97" w:rsidRPr="00D633FF">
        <w:rPr>
          <w:rFonts w:ascii="Calibri" w:hAnsi="Calibri" w:cs="Calibri"/>
        </w:rPr>
        <w:t>.</w:t>
      </w:r>
      <w:r w:rsidR="00646D58" w:rsidRPr="00D633FF">
        <w:rPr>
          <w:rFonts w:ascii="Calibri" w:hAnsi="Calibri" w:cs="Calibri"/>
        </w:rPr>
        <w:t xml:space="preserve"> </w:t>
      </w:r>
      <w:r w:rsidR="00803395" w:rsidRPr="00D633FF">
        <w:rPr>
          <w:rFonts w:ascii="Calibri" w:hAnsi="Calibri" w:cs="Calibri"/>
        </w:rPr>
        <w:t>Females aged 15–18 years had a consistently high prevalence of inadequate intake (over 70%) across all ethnic groups</w:t>
      </w:r>
      <w:r w:rsidR="006D48C7" w:rsidRPr="00D633FF">
        <w:rPr>
          <w:rFonts w:ascii="Calibri" w:hAnsi="Calibri" w:cs="Calibri"/>
        </w:rPr>
        <w:t xml:space="preserve"> </w:t>
      </w:r>
      <w:r w:rsidR="00F41A14" w:rsidRPr="00D633FF">
        <w:rPr>
          <w:rFonts w:ascii="Calibri" w:hAnsi="Calibri" w:cs="Calibri"/>
          <w:noProof/>
        </w:rPr>
        <w:t>(University of Otago &amp; Ministry of Health 2011)</w:t>
      </w:r>
      <w:r w:rsidR="00803395" w:rsidRPr="00D633FF">
        <w:rPr>
          <w:rFonts w:ascii="Calibri" w:hAnsi="Calibri" w:cs="Calibri"/>
        </w:rPr>
        <w:t xml:space="preserve">. </w:t>
      </w:r>
      <w:r w:rsidR="00690D05" w:rsidRPr="00D633FF">
        <w:rPr>
          <w:rFonts w:ascii="Calibri" w:hAnsi="Calibri" w:cs="Calibri"/>
        </w:rPr>
        <w:t xml:space="preserve">Results from the 2002 New Zealand National Children’s Nutrition Survey </w:t>
      </w:r>
      <w:r w:rsidR="004D2AFA" w:rsidRPr="00D633FF">
        <w:rPr>
          <w:rFonts w:ascii="Calibri" w:hAnsi="Calibri" w:cs="Calibri"/>
        </w:rPr>
        <w:t xml:space="preserve">suggested </w:t>
      </w:r>
      <w:r w:rsidR="0059328A" w:rsidRPr="00D633FF">
        <w:rPr>
          <w:rFonts w:ascii="Calibri" w:hAnsi="Calibri" w:cs="Calibri"/>
        </w:rPr>
        <w:t>that overall</w:t>
      </w:r>
      <w:r w:rsidR="0043350F" w:rsidRPr="00D633FF">
        <w:rPr>
          <w:rFonts w:ascii="Calibri" w:hAnsi="Calibri" w:cs="Calibri"/>
        </w:rPr>
        <w:t>,</w:t>
      </w:r>
      <w:r w:rsidR="0059328A" w:rsidRPr="00D633FF">
        <w:rPr>
          <w:rFonts w:ascii="Calibri" w:hAnsi="Calibri" w:cs="Calibri"/>
        </w:rPr>
        <w:t xml:space="preserve"> </w:t>
      </w:r>
      <w:r w:rsidR="004D2AFA" w:rsidRPr="00D633FF">
        <w:rPr>
          <w:rFonts w:ascii="Calibri" w:hAnsi="Calibri" w:cs="Calibri"/>
        </w:rPr>
        <w:t>New Zealand children</w:t>
      </w:r>
      <w:r w:rsidR="00AF6E57" w:rsidRPr="00D633FF">
        <w:rPr>
          <w:rFonts w:ascii="Calibri" w:hAnsi="Calibri" w:cs="Calibri"/>
        </w:rPr>
        <w:t xml:space="preserve"> (</w:t>
      </w:r>
      <w:r w:rsidR="002001A3" w:rsidRPr="00D633FF">
        <w:rPr>
          <w:rFonts w:ascii="Calibri" w:hAnsi="Calibri" w:cs="Calibri"/>
        </w:rPr>
        <w:t xml:space="preserve">aged </w:t>
      </w:r>
      <w:r w:rsidR="0059328A" w:rsidRPr="00D633FF">
        <w:rPr>
          <w:rFonts w:ascii="Calibri" w:hAnsi="Calibri" w:cs="Calibri"/>
        </w:rPr>
        <w:t>5 to 14 years)</w:t>
      </w:r>
      <w:r w:rsidR="004D2AFA" w:rsidRPr="00D633FF">
        <w:rPr>
          <w:rFonts w:ascii="Calibri" w:hAnsi="Calibri" w:cs="Calibri"/>
        </w:rPr>
        <w:t xml:space="preserve"> were at risk of having inadequate selenium intakes</w:t>
      </w:r>
      <w:r w:rsidR="0043350F" w:rsidRPr="00D633FF">
        <w:rPr>
          <w:rFonts w:ascii="Calibri" w:hAnsi="Calibri" w:cs="Calibri"/>
        </w:rPr>
        <w:t>, especially older children (11-14 years)</w:t>
      </w:r>
      <w:r w:rsidR="00AE42E3" w:rsidRPr="00D633FF">
        <w:rPr>
          <w:rFonts w:ascii="Calibri" w:hAnsi="Calibri" w:cs="Calibri"/>
        </w:rPr>
        <w:t xml:space="preserve">. </w:t>
      </w:r>
      <w:r w:rsidR="00E920B6" w:rsidRPr="00D633FF">
        <w:rPr>
          <w:rFonts w:ascii="Calibri" w:hAnsi="Calibri" w:cs="Calibri"/>
        </w:rPr>
        <w:t>N</w:t>
      </w:r>
      <w:r w:rsidR="00AE42E3" w:rsidRPr="00D633FF">
        <w:rPr>
          <w:rFonts w:ascii="Calibri" w:hAnsi="Calibri" w:cs="Calibri"/>
        </w:rPr>
        <w:t>o es</w:t>
      </w:r>
      <w:r w:rsidR="00E920B6" w:rsidRPr="00D633FF">
        <w:rPr>
          <w:rFonts w:ascii="Calibri" w:hAnsi="Calibri" w:cs="Calibri"/>
        </w:rPr>
        <w:t>t</w:t>
      </w:r>
      <w:r w:rsidR="00AE42E3" w:rsidRPr="00D633FF">
        <w:rPr>
          <w:rFonts w:ascii="Calibri" w:hAnsi="Calibri" w:cs="Calibri"/>
        </w:rPr>
        <w:t>imates of the proportion of the population exceeding</w:t>
      </w:r>
      <w:r w:rsidR="00E920B6" w:rsidRPr="00D633FF">
        <w:rPr>
          <w:rFonts w:ascii="Calibri" w:hAnsi="Calibri" w:cs="Calibri"/>
        </w:rPr>
        <w:t xml:space="preserve"> the UL for selenium were reported </w:t>
      </w:r>
      <w:r w:rsidR="00F41A14" w:rsidRPr="00D633FF">
        <w:rPr>
          <w:rFonts w:ascii="Calibri" w:hAnsi="Calibri" w:cs="Calibri"/>
          <w:noProof/>
        </w:rPr>
        <w:t>(Ministry of Health 2003)</w:t>
      </w:r>
      <w:r w:rsidR="004D2AFA" w:rsidRPr="00D633FF">
        <w:rPr>
          <w:rFonts w:ascii="Calibri" w:hAnsi="Calibri" w:cs="Calibri"/>
        </w:rPr>
        <w:t>.</w:t>
      </w:r>
      <w:r w:rsidR="009E2FF4" w:rsidRPr="00D633FF">
        <w:rPr>
          <w:rFonts w:ascii="Calibri" w:hAnsi="Calibri" w:cs="Calibri"/>
        </w:rPr>
        <w:t xml:space="preserve"> </w:t>
      </w:r>
    </w:p>
    <w:p w14:paraId="5B05E739" w14:textId="757C3830" w:rsidR="007221CA" w:rsidRPr="00D633FF" w:rsidRDefault="007221CA" w:rsidP="00E01A99">
      <w:pPr>
        <w:spacing w:line="360" w:lineRule="auto"/>
        <w:rPr>
          <w:rFonts w:ascii="Calibri" w:eastAsia="Times New Roman" w:hAnsi="Calibri" w:cs="Calibri"/>
        </w:rPr>
        <w:sectPr w:rsidR="007221CA" w:rsidRPr="00D633FF" w:rsidSect="00215CE4">
          <w:footnotePr>
            <w:pos w:val="beneathText"/>
          </w:footnotePr>
          <w:pgSz w:w="11906" w:h="16838"/>
          <w:pgMar w:top="1440" w:right="1440" w:bottom="1440" w:left="1440" w:header="708" w:footer="708" w:gutter="0"/>
          <w:cols w:space="708"/>
          <w:docGrid w:linePitch="360"/>
        </w:sectPr>
      </w:pPr>
    </w:p>
    <w:p w14:paraId="4BF5FAC1" w14:textId="4F1793B7" w:rsidR="00F448A6" w:rsidRPr="00BD30B6" w:rsidRDefault="00F448A6" w:rsidP="005356DF">
      <w:pPr>
        <w:pStyle w:val="Caption"/>
        <w:keepNext/>
        <w:spacing w:after="120" w:line="276" w:lineRule="auto"/>
        <w:rPr>
          <w:rFonts w:ascii="Calibri" w:hAnsi="Calibri" w:cs="Calibri"/>
          <w:b/>
          <w:bCs/>
        </w:rPr>
      </w:pPr>
      <w:bookmarkStart w:id="34" w:name="_Ref198212643"/>
      <w:bookmarkStart w:id="35" w:name="_Ref199413050"/>
      <w:r w:rsidRPr="00BD30B6">
        <w:rPr>
          <w:rFonts w:ascii="Calibri" w:hAnsi="Calibri" w:cs="Calibri"/>
          <w:b/>
          <w:bCs/>
        </w:rPr>
        <w:lastRenderedPageBreak/>
        <w:t xml:space="preserve">Table </w:t>
      </w:r>
      <w:r w:rsidRPr="00BD30B6">
        <w:rPr>
          <w:rFonts w:ascii="Calibri" w:hAnsi="Calibri" w:cs="Calibri"/>
          <w:b/>
          <w:bCs/>
        </w:rPr>
        <w:fldChar w:fldCharType="begin"/>
      </w:r>
      <w:r w:rsidRPr="00BD30B6">
        <w:rPr>
          <w:rFonts w:ascii="Calibri" w:hAnsi="Calibri" w:cs="Calibri"/>
          <w:b/>
          <w:bCs/>
        </w:rPr>
        <w:instrText xml:space="preserve"> SEQ Table \* ARABIC </w:instrText>
      </w:r>
      <w:r w:rsidRPr="00BD30B6">
        <w:rPr>
          <w:rFonts w:ascii="Calibri" w:hAnsi="Calibri" w:cs="Calibri"/>
          <w:b/>
          <w:bCs/>
        </w:rPr>
        <w:fldChar w:fldCharType="separate"/>
      </w:r>
      <w:r w:rsidR="00CB6915" w:rsidRPr="00BD30B6">
        <w:rPr>
          <w:rFonts w:ascii="Calibri" w:hAnsi="Calibri" w:cs="Calibri"/>
          <w:b/>
          <w:bCs/>
          <w:noProof/>
        </w:rPr>
        <w:t>4</w:t>
      </w:r>
      <w:r w:rsidRPr="00BD30B6">
        <w:rPr>
          <w:rFonts w:ascii="Calibri" w:hAnsi="Calibri" w:cs="Calibri"/>
          <w:b/>
          <w:bCs/>
        </w:rPr>
        <w:fldChar w:fldCharType="end"/>
      </w:r>
      <w:bookmarkEnd w:id="34"/>
      <w:bookmarkEnd w:id="35"/>
      <w:r w:rsidRPr="00BD30B6">
        <w:rPr>
          <w:rFonts w:ascii="Calibri" w:hAnsi="Calibri" w:cs="Calibri"/>
          <w:b/>
          <w:bCs/>
        </w:rPr>
        <w:t xml:space="preserve">. Selenium intake comparison </w:t>
      </w:r>
      <w:r w:rsidR="00E600AD">
        <w:rPr>
          <w:rFonts w:ascii="Calibri" w:hAnsi="Calibri" w:cs="Calibri"/>
          <w:b/>
          <w:bCs/>
        </w:rPr>
        <w:t>—</w:t>
      </w:r>
      <w:r w:rsidR="00B6302F">
        <w:rPr>
          <w:rFonts w:ascii="Calibri" w:hAnsi="Calibri" w:cs="Calibri"/>
          <w:b/>
          <w:bCs/>
        </w:rPr>
        <w:t xml:space="preserve"> </w:t>
      </w:r>
      <w:r w:rsidRPr="00BD30B6">
        <w:rPr>
          <w:rFonts w:ascii="Calibri" w:hAnsi="Calibri" w:cs="Calibri"/>
          <w:b/>
          <w:bCs/>
        </w:rPr>
        <w:t>mean</w:t>
      </w:r>
      <w:r w:rsidR="00E600AD">
        <w:rPr>
          <w:rFonts w:ascii="Calibri" w:hAnsi="Calibri" w:cs="Calibri"/>
          <w:b/>
          <w:bCs/>
        </w:rPr>
        <w:t xml:space="preserve"> intake (</w:t>
      </w:r>
      <w:r w:rsidR="00E600AD" w:rsidRPr="00E600AD">
        <w:rPr>
          <w:rFonts w:ascii="Calibri" w:hAnsi="Calibri" w:cs="Calibri"/>
          <w:b/>
          <w:bCs/>
        </w:rPr>
        <w:t>µg/day</w:t>
      </w:r>
      <w:r w:rsidRPr="00BD30B6">
        <w:rPr>
          <w:rFonts w:ascii="Calibri" w:hAnsi="Calibri" w:cs="Calibri"/>
          <w:b/>
          <w:bCs/>
        </w:rPr>
        <w:t>)</w:t>
      </w:r>
    </w:p>
    <w:tbl>
      <w:tblPr>
        <w:tblW w:w="4993" w:type="pct"/>
        <w:tblLayout w:type="fixed"/>
        <w:tblLook w:val="04A0" w:firstRow="1" w:lastRow="0" w:firstColumn="1" w:lastColumn="0" w:noHBand="0" w:noVBand="1"/>
      </w:tblPr>
      <w:tblGrid>
        <w:gridCol w:w="2966"/>
        <w:gridCol w:w="1420"/>
        <w:gridCol w:w="1275"/>
        <w:gridCol w:w="1275"/>
        <w:gridCol w:w="1133"/>
        <w:gridCol w:w="1136"/>
        <w:gridCol w:w="1133"/>
        <w:gridCol w:w="1275"/>
        <w:gridCol w:w="1278"/>
        <w:gridCol w:w="1027"/>
      </w:tblGrid>
      <w:tr w:rsidR="0013075A" w:rsidRPr="00D479B3" w14:paraId="319F2F26" w14:textId="77777777" w:rsidTr="0013075A">
        <w:trPr>
          <w:trHeight w:val="312"/>
        </w:trPr>
        <w:tc>
          <w:tcPr>
            <w:tcW w:w="1066" w:type="pct"/>
            <w:tcBorders>
              <w:top w:val="single" w:sz="8" w:space="0" w:color="auto"/>
              <w:left w:val="single" w:sz="8" w:space="0" w:color="auto"/>
              <w:right w:val="single" w:sz="8" w:space="0" w:color="auto"/>
            </w:tcBorders>
            <w:vAlign w:val="center"/>
            <w:hideMark/>
          </w:tcPr>
          <w:p w14:paraId="04258A83" w14:textId="77777777" w:rsidR="00813EE6" w:rsidRPr="00D479B3" w:rsidRDefault="00813EE6">
            <w:pPr>
              <w:spacing w:after="0" w:line="240" w:lineRule="auto"/>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 xml:space="preserve">Population </w:t>
            </w:r>
          </w:p>
        </w:tc>
        <w:tc>
          <w:tcPr>
            <w:tcW w:w="510" w:type="pct"/>
            <w:tcBorders>
              <w:top w:val="single" w:sz="8" w:space="0" w:color="auto"/>
              <w:left w:val="nil"/>
              <w:bottom w:val="single" w:sz="4" w:space="0" w:color="auto"/>
            </w:tcBorders>
            <w:vAlign w:val="center"/>
            <w:hideMark/>
          </w:tcPr>
          <w:p w14:paraId="32AB90EF" w14:textId="512BD24F" w:rsidR="00813EE6" w:rsidRPr="00D479B3" w:rsidRDefault="00813EE6">
            <w:pPr>
              <w:spacing w:after="0" w:line="240" w:lineRule="auto"/>
              <w:jc w:val="center"/>
              <w:rPr>
                <w:rFonts w:ascii="Calibri" w:eastAsia="Times New Roman" w:hAnsi="Calibri" w:cs="Calibri"/>
                <w:b/>
                <w:bCs/>
                <w:color w:val="000000"/>
                <w:kern w:val="0"/>
                <w:sz w:val="18"/>
                <w:szCs w:val="18"/>
                <w:lang w:eastAsia="en-AU"/>
                <w14:ligatures w14:val="none"/>
              </w:rPr>
            </w:pPr>
          </w:p>
        </w:tc>
        <w:tc>
          <w:tcPr>
            <w:tcW w:w="458" w:type="pct"/>
            <w:tcBorders>
              <w:top w:val="single" w:sz="8" w:space="0" w:color="auto"/>
              <w:bottom w:val="single" w:sz="4" w:space="0" w:color="auto"/>
            </w:tcBorders>
            <w:vAlign w:val="center"/>
          </w:tcPr>
          <w:p w14:paraId="7AE3FF15" w14:textId="77777777" w:rsidR="00813EE6" w:rsidRPr="00D479B3" w:rsidRDefault="00813EE6">
            <w:pPr>
              <w:spacing w:after="0" w:line="240" w:lineRule="auto"/>
              <w:jc w:val="center"/>
              <w:rPr>
                <w:rFonts w:ascii="Calibri" w:eastAsia="Times New Roman" w:hAnsi="Calibri" w:cs="Calibri"/>
                <w:b/>
                <w:bCs/>
                <w:color w:val="000000"/>
                <w:kern w:val="0"/>
                <w:sz w:val="18"/>
                <w:szCs w:val="18"/>
                <w:lang w:eastAsia="en-AU"/>
                <w14:ligatures w14:val="none"/>
              </w:rPr>
            </w:pPr>
          </w:p>
        </w:tc>
        <w:tc>
          <w:tcPr>
            <w:tcW w:w="458" w:type="pct"/>
            <w:tcBorders>
              <w:top w:val="single" w:sz="8" w:space="0" w:color="auto"/>
              <w:bottom w:val="single" w:sz="4" w:space="0" w:color="auto"/>
            </w:tcBorders>
            <w:vAlign w:val="center"/>
          </w:tcPr>
          <w:p w14:paraId="17BDB5CD" w14:textId="77777777" w:rsidR="00813EE6" w:rsidRPr="00D479B3" w:rsidRDefault="00813EE6">
            <w:pPr>
              <w:spacing w:after="0" w:line="240" w:lineRule="auto"/>
              <w:jc w:val="center"/>
              <w:rPr>
                <w:rFonts w:ascii="Calibri" w:eastAsia="Times New Roman" w:hAnsi="Calibri" w:cs="Calibri"/>
                <w:b/>
                <w:bCs/>
                <w:color w:val="000000"/>
                <w:kern w:val="0"/>
                <w:sz w:val="18"/>
                <w:szCs w:val="18"/>
                <w:lang w:eastAsia="en-AU"/>
                <w14:ligatures w14:val="none"/>
              </w:rPr>
            </w:pPr>
          </w:p>
        </w:tc>
        <w:tc>
          <w:tcPr>
            <w:tcW w:w="407" w:type="pct"/>
            <w:tcBorders>
              <w:top w:val="single" w:sz="8" w:space="0" w:color="auto"/>
              <w:bottom w:val="single" w:sz="4" w:space="0" w:color="auto"/>
            </w:tcBorders>
            <w:vAlign w:val="center"/>
          </w:tcPr>
          <w:p w14:paraId="63F445F9" w14:textId="77777777" w:rsidR="00813EE6" w:rsidRPr="00D479B3" w:rsidRDefault="00813EE6">
            <w:pPr>
              <w:spacing w:after="0" w:line="240" w:lineRule="auto"/>
              <w:jc w:val="center"/>
              <w:rPr>
                <w:rFonts w:ascii="Calibri" w:eastAsia="Times New Roman" w:hAnsi="Calibri" w:cs="Calibri"/>
                <w:b/>
                <w:bCs/>
                <w:color w:val="000000"/>
                <w:kern w:val="0"/>
                <w:sz w:val="18"/>
                <w:szCs w:val="18"/>
                <w:lang w:eastAsia="en-AU"/>
                <w14:ligatures w14:val="none"/>
              </w:rPr>
            </w:pPr>
          </w:p>
        </w:tc>
        <w:tc>
          <w:tcPr>
            <w:tcW w:w="408" w:type="pct"/>
            <w:tcBorders>
              <w:top w:val="single" w:sz="8" w:space="0" w:color="auto"/>
              <w:bottom w:val="single" w:sz="4" w:space="0" w:color="auto"/>
            </w:tcBorders>
            <w:vAlign w:val="center"/>
          </w:tcPr>
          <w:p w14:paraId="2D2D4CC1" w14:textId="1D18858B" w:rsidR="00813EE6" w:rsidRPr="00D479B3" w:rsidRDefault="00ED0EB7" w:rsidP="00ED0EB7">
            <w:pPr>
              <w:spacing w:after="0" w:line="240" w:lineRule="auto"/>
              <w:jc w:val="right"/>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Age Group</w:t>
            </w:r>
          </w:p>
        </w:tc>
        <w:tc>
          <w:tcPr>
            <w:tcW w:w="407" w:type="pct"/>
            <w:tcBorders>
              <w:top w:val="single" w:sz="8" w:space="0" w:color="auto"/>
              <w:bottom w:val="single" w:sz="4" w:space="0" w:color="auto"/>
            </w:tcBorders>
            <w:vAlign w:val="center"/>
          </w:tcPr>
          <w:p w14:paraId="3DE66626" w14:textId="192FF539" w:rsidR="00813EE6" w:rsidRPr="00D479B3" w:rsidRDefault="00ED0EB7" w:rsidP="000D41A0">
            <w:pPr>
              <w:spacing w:after="0" w:line="240" w:lineRule="auto"/>
              <w:ind w:left="-110"/>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(years)</w:t>
            </w:r>
          </w:p>
        </w:tc>
        <w:tc>
          <w:tcPr>
            <w:tcW w:w="458" w:type="pct"/>
            <w:tcBorders>
              <w:top w:val="single" w:sz="8" w:space="0" w:color="auto"/>
              <w:bottom w:val="single" w:sz="4" w:space="0" w:color="auto"/>
            </w:tcBorders>
            <w:vAlign w:val="center"/>
          </w:tcPr>
          <w:p w14:paraId="4AE99812" w14:textId="77777777" w:rsidR="00813EE6" w:rsidRPr="00D479B3" w:rsidRDefault="00813EE6">
            <w:pPr>
              <w:spacing w:after="0" w:line="240" w:lineRule="auto"/>
              <w:jc w:val="center"/>
              <w:rPr>
                <w:rFonts w:ascii="Calibri" w:eastAsia="Times New Roman" w:hAnsi="Calibri" w:cs="Calibri"/>
                <w:b/>
                <w:bCs/>
                <w:color w:val="000000"/>
                <w:kern w:val="0"/>
                <w:sz w:val="18"/>
                <w:szCs w:val="18"/>
                <w:lang w:eastAsia="en-AU"/>
                <w14:ligatures w14:val="none"/>
              </w:rPr>
            </w:pPr>
          </w:p>
        </w:tc>
        <w:tc>
          <w:tcPr>
            <w:tcW w:w="459" w:type="pct"/>
            <w:tcBorders>
              <w:top w:val="single" w:sz="8" w:space="0" w:color="auto"/>
              <w:bottom w:val="single" w:sz="4" w:space="0" w:color="auto"/>
            </w:tcBorders>
            <w:vAlign w:val="center"/>
          </w:tcPr>
          <w:p w14:paraId="7E7BC353" w14:textId="77777777" w:rsidR="00813EE6" w:rsidRPr="00D479B3" w:rsidRDefault="00813EE6">
            <w:pPr>
              <w:spacing w:after="0" w:line="240" w:lineRule="auto"/>
              <w:jc w:val="center"/>
              <w:rPr>
                <w:rFonts w:ascii="Calibri" w:eastAsia="Times New Roman" w:hAnsi="Calibri" w:cs="Calibri"/>
                <w:b/>
                <w:bCs/>
                <w:color w:val="000000"/>
                <w:kern w:val="0"/>
                <w:sz w:val="18"/>
                <w:szCs w:val="18"/>
                <w:lang w:eastAsia="en-AU"/>
                <w14:ligatures w14:val="none"/>
              </w:rPr>
            </w:pPr>
          </w:p>
        </w:tc>
        <w:tc>
          <w:tcPr>
            <w:tcW w:w="369" w:type="pct"/>
            <w:tcBorders>
              <w:top w:val="single" w:sz="8" w:space="0" w:color="auto"/>
              <w:bottom w:val="single" w:sz="4" w:space="0" w:color="auto"/>
              <w:right w:val="single" w:sz="8" w:space="0" w:color="000000"/>
            </w:tcBorders>
            <w:vAlign w:val="center"/>
          </w:tcPr>
          <w:p w14:paraId="2F3F7CB0" w14:textId="66930ECC" w:rsidR="00813EE6" w:rsidRPr="00D479B3" w:rsidRDefault="00813EE6">
            <w:pPr>
              <w:spacing w:after="0" w:line="240" w:lineRule="auto"/>
              <w:jc w:val="center"/>
              <w:rPr>
                <w:rFonts w:ascii="Calibri" w:eastAsia="Times New Roman" w:hAnsi="Calibri" w:cs="Calibri"/>
                <w:b/>
                <w:bCs/>
                <w:color w:val="000000"/>
                <w:kern w:val="0"/>
                <w:sz w:val="18"/>
                <w:szCs w:val="18"/>
                <w:lang w:eastAsia="en-AU"/>
                <w14:ligatures w14:val="none"/>
              </w:rPr>
            </w:pPr>
          </w:p>
        </w:tc>
      </w:tr>
      <w:tr w:rsidR="0013075A" w:rsidRPr="00D479B3" w14:paraId="488B50F4" w14:textId="77777777" w:rsidTr="0013075A">
        <w:trPr>
          <w:trHeight w:val="300"/>
        </w:trPr>
        <w:tc>
          <w:tcPr>
            <w:tcW w:w="1066" w:type="pct"/>
            <w:tcBorders>
              <w:left w:val="single" w:sz="8" w:space="0" w:color="auto"/>
              <w:bottom w:val="single" w:sz="8" w:space="0" w:color="000000"/>
              <w:right w:val="single" w:sz="8" w:space="0" w:color="auto"/>
            </w:tcBorders>
            <w:vAlign w:val="center"/>
          </w:tcPr>
          <w:p w14:paraId="2B1145BA" w14:textId="77777777" w:rsidR="001172A1" w:rsidRPr="00D479B3" w:rsidRDefault="001172A1">
            <w:pPr>
              <w:spacing w:after="0" w:line="240" w:lineRule="auto"/>
              <w:rPr>
                <w:rFonts w:ascii="Calibri" w:eastAsia="Times New Roman" w:hAnsi="Calibri" w:cs="Calibri"/>
                <w:color w:val="000000"/>
                <w:kern w:val="0"/>
                <w:sz w:val="18"/>
                <w:szCs w:val="18"/>
                <w:lang w:eastAsia="en-AU"/>
                <w14:ligatures w14:val="none"/>
              </w:rPr>
            </w:pPr>
          </w:p>
        </w:tc>
        <w:tc>
          <w:tcPr>
            <w:tcW w:w="510" w:type="pct"/>
            <w:tcBorders>
              <w:top w:val="single" w:sz="4" w:space="0" w:color="auto"/>
              <w:left w:val="nil"/>
              <w:bottom w:val="single" w:sz="8" w:space="0" w:color="auto"/>
            </w:tcBorders>
            <w:vAlign w:val="center"/>
          </w:tcPr>
          <w:p w14:paraId="5EB35075" w14:textId="03E81CCA" w:rsidR="001172A1" w:rsidRPr="00D479B3" w:rsidRDefault="001172A1" w:rsidP="00325C3E">
            <w:pPr>
              <w:spacing w:after="0" w:line="240" w:lineRule="auto"/>
              <w:jc w:val="right"/>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CHILDREN AND</w:t>
            </w:r>
          </w:p>
        </w:tc>
        <w:tc>
          <w:tcPr>
            <w:tcW w:w="458" w:type="pct"/>
            <w:tcBorders>
              <w:top w:val="single" w:sz="4" w:space="0" w:color="auto"/>
              <w:bottom w:val="single" w:sz="8" w:space="0" w:color="auto"/>
            </w:tcBorders>
            <w:vAlign w:val="center"/>
          </w:tcPr>
          <w:p w14:paraId="7E1DC304" w14:textId="0ECCF838" w:rsidR="001172A1" w:rsidRPr="00D479B3" w:rsidRDefault="001172A1" w:rsidP="002E6FDD">
            <w:pPr>
              <w:spacing w:after="0" w:line="240" w:lineRule="auto"/>
              <w:ind w:left="-113"/>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ADOLESCENTS</w:t>
            </w:r>
          </w:p>
        </w:tc>
        <w:tc>
          <w:tcPr>
            <w:tcW w:w="458" w:type="pct"/>
            <w:tcBorders>
              <w:top w:val="single" w:sz="4" w:space="0" w:color="auto"/>
              <w:bottom w:val="single" w:sz="8" w:space="0" w:color="auto"/>
            </w:tcBorders>
            <w:vAlign w:val="center"/>
          </w:tcPr>
          <w:p w14:paraId="202291AA" w14:textId="46B7394B" w:rsidR="001172A1" w:rsidRPr="00D479B3" w:rsidRDefault="001172A1" w:rsidP="00813EE6">
            <w:pPr>
              <w:spacing w:after="0" w:line="240" w:lineRule="auto"/>
              <w:ind w:left="-113"/>
              <w:jc w:val="center"/>
              <w:rPr>
                <w:rFonts w:ascii="Calibri" w:eastAsia="Times New Roman" w:hAnsi="Calibri" w:cs="Calibri"/>
                <w:b/>
                <w:bCs/>
                <w:color w:val="000000"/>
                <w:kern w:val="0"/>
                <w:sz w:val="18"/>
                <w:szCs w:val="18"/>
                <w:lang w:eastAsia="en-AU"/>
                <w14:ligatures w14:val="none"/>
              </w:rPr>
            </w:pPr>
          </w:p>
        </w:tc>
        <w:tc>
          <w:tcPr>
            <w:tcW w:w="407" w:type="pct"/>
            <w:tcBorders>
              <w:top w:val="single" w:sz="4" w:space="0" w:color="auto"/>
              <w:bottom w:val="single" w:sz="8" w:space="0" w:color="auto"/>
            </w:tcBorders>
            <w:vAlign w:val="center"/>
          </w:tcPr>
          <w:p w14:paraId="693AF595" w14:textId="77777777" w:rsidR="001172A1" w:rsidRPr="00D479B3" w:rsidRDefault="001172A1">
            <w:pPr>
              <w:spacing w:after="0" w:line="240" w:lineRule="auto"/>
              <w:jc w:val="center"/>
              <w:rPr>
                <w:rFonts w:ascii="Calibri" w:eastAsia="Times New Roman" w:hAnsi="Calibri" w:cs="Calibri"/>
                <w:b/>
                <w:bCs/>
                <w:color w:val="000000"/>
                <w:kern w:val="0"/>
                <w:sz w:val="18"/>
                <w:szCs w:val="18"/>
                <w:lang w:eastAsia="en-AU"/>
                <w14:ligatures w14:val="none"/>
              </w:rPr>
            </w:pPr>
          </w:p>
        </w:tc>
        <w:tc>
          <w:tcPr>
            <w:tcW w:w="408" w:type="pct"/>
            <w:tcBorders>
              <w:top w:val="single" w:sz="4" w:space="0" w:color="auto"/>
              <w:bottom w:val="single" w:sz="8" w:space="0" w:color="auto"/>
              <w:right w:val="single" w:sz="8" w:space="0" w:color="000000"/>
            </w:tcBorders>
            <w:vAlign w:val="center"/>
          </w:tcPr>
          <w:p w14:paraId="50ACC47D" w14:textId="50EAE72B" w:rsidR="001172A1" w:rsidRPr="00D479B3" w:rsidRDefault="001172A1">
            <w:pPr>
              <w:spacing w:after="0" w:line="240" w:lineRule="auto"/>
              <w:jc w:val="center"/>
              <w:rPr>
                <w:rFonts w:ascii="Calibri" w:eastAsia="Times New Roman" w:hAnsi="Calibri" w:cs="Calibri"/>
                <w:b/>
                <w:bCs/>
                <w:color w:val="000000"/>
                <w:kern w:val="0"/>
                <w:sz w:val="18"/>
                <w:szCs w:val="18"/>
                <w:lang w:eastAsia="en-AU"/>
                <w14:ligatures w14:val="none"/>
              </w:rPr>
            </w:pPr>
          </w:p>
        </w:tc>
        <w:tc>
          <w:tcPr>
            <w:tcW w:w="407" w:type="pct"/>
            <w:tcBorders>
              <w:top w:val="single" w:sz="4" w:space="0" w:color="auto"/>
              <w:left w:val="nil"/>
              <w:bottom w:val="single" w:sz="8" w:space="0" w:color="auto"/>
            </w:tcBorders>
            <w:vAlign w:val="center"/>
          </w:tcPr>
          <w:p w14:paraId="4D54B853" w14:textId="77777777" w:rsidR="001172A1" w:rsidRPr="00D479B3" w:rsidRDefault="001172A1">
            <w:pPr>
              <w:spacing w:after="0" w:line="240" w:lineRule="auto"/>
              <w:jc w:val="center"/>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ADULTS</w:t>
            </w:r>
          </w:p>
        </w:tc>
        <w:tc>
          <w:tcPr>
            <w:tcW w:w="458" w:type="pct"/>
            <w:tcBorders>
              <w:top w:val="single" w:sz="4" w:space="0" w:color="auto"/>
              <w:bottom w:val="single" w:sz="8" w:space="0" w:color="auto"/>
            </w:tcBorders>
            <w:vAlign w:val="center"/>
          </w:tcPr>
          <w:p w14:paraId="46301B2C" w14:textId="77777777" w:rsidR="001172A1" w:rsidRPr="00D479B3" w:rsidRDefault="001172A1">
            <w:pPr>
              <w:spacing w:after="0" w:line="240" w:lineRule="auto"/>
              <w:jc w:val="center"/>
              <w:rPr>
                <w:rFonts w:ascii="Calibri" w:eastAsia="Times New Roman" w:hAnsi="Calibri" w:cs="Calibri"/>
                <w:b/>
                <w:bCs/>
                <w:color w:val="000000"/>
                <w:kern w:val="0"/>
                <w:sz w:val="18"/>
                <w:szCs w:val="18"/>
                <w:lang w:eastAsia="en-AU"/>
                <w14:ligatures w14:val="none"/>
              </w:rPr>
            </w:pPr>
          </w:p>
        </w:tc>
        <w:tc>
          <w:tcPr>
            <w:tcW w:w="459" w:type="pct"/>
            <w:tcBorders>
              <w:top w:val="single" w:sz="4" w:space="0" w:color="auto"/>
              <w:bottom w:val="single" w:sz="8" w:space="0" w:color="auto"/>
            </w:tcBorders>
            <w:vAlign w:val="center"/>
          </w:tcPr>
          <w:p w14:paraId="3E8F4AB7" w14:textId="77777777" w:rsidR="001172A1" w:rsidRPr="00D479B3" w:rsidRDefault="001172A1">
            <w:pPr>
              <w:spacing w:after="0" w:line="240" w:lineRule="auto"/>
              <w:jc w:val="center"/>
              <w:rPr>
                <w:rFonts w:ascii="Calibri" w:eastAsia="Times New Roman" w:hAnsi="Calibri" w:cs="Calibri"/>
                <w:b/>
                <w:bCs/>
                <w:color w:val="000000"/>
                <w:kern w:val="0"/>
                <w:sz w:val="18"/>
                <w:szCs w:val="18"/>
                <w:lang w:eastAsia="en-AU"/>
                <w14:ligatures w14:val="none"/>
              </w:rPr>
            </w:pPr>
          </w:p>
        </w:tc>
        <w:tc>
          <w:tcPr>
            <w:tcW w:w="369" w:type="pct"/>
            <w:tcBorders>
              <w:top w:val="single" w:sz="4" w:space="0" w:color="auto"/>
              <w:bottom w:val="single" w:sz="8" w:space="0" w:color="auto"/>
              <w:right w:val="single" w:sz="8" w:space="0" w:color="000000"/>
            </w:tcBorders>
            <w:vAlign w:val="center"/>
          </w:tcPr>
          <w:p w14:paraId="0EFADA09" w14:textId="61C7E979" w:rsidR="001172A1" w:rsidRPr="00D479B3" w:rsidRDefault="001172A1">
            <w:pPr>
              <w:spacing w:after="0" w:line="240" w:lineRule="auto"/>
              <w:jc w:val="center"/>
              <w:rPr>
                <w:rFonts w:ascii="Calibri" w:eastAsia="Times New Roman" w:hAnsi="Calibri" w:cs="Calibri"/>
                <w:b/>
                <w:bCs/>
                <w:color w:val="000000"/>
                <w:kern w:val="0"/>
                <w:sz w:val="18"/>
                <w:szCs w:val="18"/>
                <w:lang w:eastAsia="en-AU"/>
                <w14:ligatures w14:val="none"/>
              </w:rPr>
            </w:pPr>
          </w:p>
        </w:tc>
      </w:tr>
      <w:tr w:rsidR="0013075A" w:rsidRPr="00D479B3" w14:paraId="4A7A9069" w14:textId="77777777" w:rsidTr="0013075A">
        <w:trPr>
          <w:trHeight w:val="288"/>
        </w:trPr>
        <w:tc>
          <w:tcPr>
            <w:tcW w:w="1066" w:type="pct"/>
            <w:tcBorders>
              <w:top w:val="nil"/>
              <w:left w:val="single" w:sz="8" w:space="0" w:color="auto"/>
              <w:bottom w:val="dotted" w:sz="4" w:space="0" w:color="auto"/>
              <w:right w:val="single" w:sz="8" w:space="0" w:color="auto"/>
            </w:tcBorders>
            <w:shd w:val="clear" w:color="auto" w:fill="F6C5AC" w:themeFill="accent2" w:themeFillTint="66"/>
            <w:vAlign w:val="center"/>
            <w:hideMark/>
          </w:tcPr>
          <w:p w14:paraId="66BA0F7B" w14:textId="77777777" w:rsidR="00B64107" w:rsidRPr="00D479B3" w:rsidRDefault="00B64107">
            <w:pPr>
              <w:spacing w:after="0" w:line="240" w:lineRule="auto"/>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 xml:space="preserve">Australia </w:t>
            </w:r>
          </w:p>
          <w:p w14:paraId="23AD77A2" w14:textId="2B1ACD6B" w:rsidR="00B64107" w:rsidRPr="00D479B3" w:rsidRDefault="00B64107">
            <w:pPr>
              <w:spacing w:after="0" w:line="240" w:lineRule="auto"/>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i/>
                <w:iCs/>
                <w:color w:val="000000"/>
                <w:kern w:val="0"/>
                <w:sz w:val="16"/>
                <w:szCs w:val="16"/>
                <w:lang w:eastAsia="en-AU"/>
                <w14:ligatures w14:val="none"/>
              </w:rPr>
              <w:t>(food and supplements)</w:t>
            </w:r>
          </w:p>
        </w:tc>
        <w:tc>
          <w:tcPr>
            <w:tcW w:w="510" w:type="pct"/>
            <w:tcBorders>
              <w:top w:val="nil"/>
              <w:left w:val="nil"/>
              <w:right w:val="dotted" w:sz="4" w:space="0" w:color="auto"/>
            </w:tcBorders>
            <w:shd w:val="clear" w:color="auto" w:fill="F6C5AC" w:themeFill="accent2" w:themeFillTint="66"/>
            <w:vAlign w:val="center"/>
            <w:hideMark/>
          </w:tcPr>
          <w:p w14:paraId="50D35745" w14:textId="77777777" w:rsidR="00B64107" w:rsidRPr="00D479B3" w:rsidRDefault="00B64107">
            <w:pPr>
              <w:spacing w:after="0" w:line="240" w:lineRule="auto"/>
              <w:jc w:val="center"/>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2-3yrs</w:t>
            </w:r>
          </w:p>
        </w:tc>
        <w:tc>
          <w:tcPr>
            <w:tcW w:w="458" w:type="pct"/>
            <w:tcBorders>
              <w:top w:val="single" w:sz="8" w:space="0" w:color="auto"/>
              <w:left w:val="nil"/>
              <w:bottom w:val="dotted" w:sz="4" w:space="0" w:color="auto"/>
            </w:tcBorders>
            <w:shd w:val="clear" w:color="auto" w:fill="F6C5AC" w:themeFill="accent2" w:themeFillTint="66"/>
            <w:vAlign w:val="center"/>
            <w:hideMark/>
          </w:tcPr>
          <w:p w14:paraId="249BACEC" w14:textId="6BFC4956" w:rsidR="00B64107" w:rsidRPr="00D479B3" w:rsidRDefault="00B64107" w:rsidP="00B64107">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4-8yrs</w:t>
            </w:r>
          </w:p>
        </w:tc>
        <w:tc>
          <w:tcPr>
            <w:tcW w:w="458" w:type="pct"/>
            <w:tcBorders>
              <w:top w:val="single" w:sz="8" w:space="0" w:color="auto"/>
              <w:bottom w:val="dotted" w:sz="4" w:space="0" w:color="auto"/>
              <w:right w:val="single" w:sz="8" w:space="0" w:color="000000"/>
            </w:tcBorders>
            <w:shd w:val="clear" w:color="auto" w:fill="F6C5AC" w:themeFill="accent2" w:themeFillTint="66"/>
            <w:vAlign w:val="center"/>
          </w:tcPr>
          <w:p w14:paraId="56C7CE9A" w14:textId="3C665EF1" w:rsidR="00B64107" w:rsidRPr="00D479B3" w:rsidRDefault="00B64107" w:rsidP="00813EE6">
            <w:pPr>
              <w:spacing w:after="0" w:line="240" w:lineRule="auto"/>
              <w:jc w:val="center"/>
              <w:rPr>
                <w:rFonts w:ascii="Calibri" w:eastAsia="Times New Roman" w:hAnsi="Calibri" w:cs="Calibri"/>
                <w:b/>
                <w:bCs/>
                <w:color w:val="000000"/>
                <w:kern w:val="0"/>
                <w:sz w:val="18"/>
                <w:szCs w:val="18"/>
                <w:lang w:eastAsia="en-AU"/>
                <w14:ligatures w14:val="none"/>
              </w:rPr>
            </w:pPr>
          </w:p>
        </w:tc>
        <w:tc>
          <w:tcPr>
            <w:tcW w:w="407" w:type="pct"/>
            <w:tcBorders>
              <w:top w:val="nil"/>
              <w:left w:val="nil"/>
              <w:bottom w:val="dotted" w:sz="4" w:space="0" w:color="auto"/>
              <w:right w:val="dotted" w:sz="4" w:space="0" w:color="auto"/>
            </w:tcBorders>
            <w:shd w:val="clear" w:color="auto" w:fill="F6C5AC" w:themeFill="accent2" w:themeFillTint="66"/>
            <w:vAlign w:val="center"/>
            <w:hideMark/>
          </w:tcPr>
          <w:p w14:paraId="4A4DD04C" w14:textId="77777777" w:rsidR="00B64107" w:rsidRPr="00D479B3" w:rsidRDefault="00B64107">
            <w:pPr>
              <w:spacing w:after="0" w:line="240" w:lineRule="auto"/>
              <w:jc w:val="center"/>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9-13yrs</w:t>
            </w:r>
          </w:p>
        </w:tc>
        <w:tc>
          <w:tcPr>
            <w:tcW w:w="408" w:type="pct"/>
            <w:tcBorders>
              <w:top w:val="nil"/>
              <w:left w:val="nil"/>
              <w:right w:val="single" w:sz="8" w:space="0" w:color="auto"/>
            </w:tcBorders>
            <w:shd w:val="clear" w:color="auto" w:fill="F6C5AC" w:themeFill="accent2" w:themeFillTint="66"/>
            <w:vAlign w:val="center"/>
            <w:hideMark/>
          </w:tcPr>
          <w:p w14:paraId="263CD219" w14:textId="77777777" w:rsidR="00B64107" w:rsidRPr="00D479B3" w:rsidRDefault="00B64107">
            <w:pPr>
              <w:spacing w:after="0" w:line="240" w:lineRule="auto"/>
              <w:jc w:val="center"/>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14-18yrs</w:t>
            </w:r>
          </w:p>
        </w:tc>
        <w:tc>
          <w:tcPr>
            <w:tcW w:w="407" w:type="pct"/>
            <w:tcBorders>
              <w:top w:val="nil"/>
              <w:left w:val="nil"/>
              <w:right w:val="dotted" w:sz="4" w:space="0" w:color="auto"/>
            </w:tcBorders>
            <w:shd w:val="clear" w:color="auto" w:fill="F6C5AC" w:themeFill="accent2" w:themeFillTint="66"/>
            <w:vAlign w:val="center"/>
            <w:hideMark/>
          </w:tcPr>
          <w:p w14:paraId="0654BE6F" w14:textId="77777777" w:rsidR="00B64107" w:rsidRPr="00D479B3" w:rsidRDefault="00B64107">
            <w:pPr>
              <w:spacing w:after="0" w:line="240" w:lineRule="auto"/>
              <w:jc w:val="center"/>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19-30yrs</w:t>
            </w:r>
          </w:p>
        </w:tc>
        <w:tc>
          <w:tcPr>
            <w:tcW w:w="458" w:type="pct"/>
            <w:tcBorders>
              <w:top w:val="nil"/>
              <w:left w:val="nil"/>
              <w:right w:val="dotted" w:sz="4" w:space="0" w:color="auto"/>
            </w:tcBorders>
            <w:shd w:val="clear" w:color="auto" w:fill="F6C5AC" w:themeFill="accent2" w:themeFillTint="66"/>
            <w:vAlign w:val="center"/>
            <w:hideMark/>
          </w:tcPr>
          <w:p w14:paraId="7C1A6862" w14:textId="77777777" w:rsidR="00B64107" w:rsidRPr="00D479B3" w:rsidRDefault="00B64107">
            <w:pPr>
              <w:spacing w:after="0" w:line="240" w:lineRule="auto"/>
              <w:jc w:val="center"/>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31-50yrs</w:t>
            </w:r>
          </w:p>
        </w:tc>
        <w:tc>
          <w:tcPr>
            <w:tcW w:w="459" w:type="pct"/>
            <w:tcBorders>
              <w:top w:val="nil"/>
              <w:left w:val="nil"/>
              <w:right w:val="dotted" w:sz="4" w:space="0" w:color="auto"/>
            </w:tcBorders>
            <w:shd w:val="clear" w:color="auto" w:fill="F6C5AC" w:themeFill="accent2" w:themeFillTint="66"/>
            <w:vAlign w:val="center"/>
            <w:hideMark/>
          </w:tcPr>
          <w:p w14:paraId="1C23836C" w14:textId="77777777" w:rsidR="00B64107" w:rsidRPr="00D479B3" w:rsidRDefault="00B64107">
            <w:pPr>
              <w:spacing w:after="0" w:line="240" w:lineRule="auto"/>
              <w:jc w:val="center"/>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51-70yrs</w:t>
            </w:r>
          </w:p>
        </w:tc>
        <w:tc>
          <w:tcPr>
            <w:tcW w:w="369" w:type="pct"/>
            <w:tcBorders>
              <w:top w:val="nil"/>
              <w:left w:val="nil"/>
              <w:right w:val="single" w:sz="8" w:space="0" w:color="auto"/>
            </w:tcBorders>
            <w:shd w:val="clear" w:color="auto" w:fill="F6C5AC" w:themeFill="accent2" w:themeFillTint="66"/>
            <w:vAlign w:val="center"/>
            <w:hideMark/>
          </w:tcPr>
          <w:p w14:paraId="1975779D" w14:textId="77777777" w:rsidR="00B64107" w:rsidRPr="00D479B3" w:rsidRDefault="00B64107">
            <w:pPr>
              <w:spacing w:after="0" w:line="240" w:lineRule="auto"/>
              <w:jc w:val="center"/>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71+yrs</w:t>
            </w:r>
          </w:p>
        </w:tc>
      </w:tr>
      <w:tr w:rsidR="0013075A" w:rsidRPr="00D479B3" w14:paraId="1E72EB91" w14:textId="77777777" w:rsidTr="0013075A">
        <w:trPr>
          <w:trHeight w:val="300"/>
        </w:trPr>
        <w:tc>
          <w:tcPr>
            <w:tcW w:w="1066" w:type="pct"/>
            <w:tcBorders>
              <w:top w:val="nil"/>
              <w:left w:val="single" w:sz="8" w:space="0" w:color="auto"/>
              <w:bottom w:val="nil"/>
              <w:right w:val="single" w:sz="8" w:space="0" w:color="auto"/>
            </w:tcBorders>
            <w:shd w:val="clear" w:color="auto" w:fill="F6C5AC" w:themeFill="accent2" w:themeFillTint="66"/>
            <w:vAlign w:val="center"/>
            <w:hideMark/>
          </w:tcPr>
          <w:p w14:paraId="141B86CD" w14:textId="77777777" w:rsidR="00B64107" w:rsidRPr="00D479B3" w:rsidRDefault="00B64107">
            <w:pPr>
              <w:spacing w:after="0" w:line="240" w:lineRule="auto"/>
              <w:jc w:val="right"/>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TOTAL</w:t>
            </w:r>
          </w:p>
        </w:tc>
        <w:tc>
          <w:tcPr>
            <w:tcW w:w="510" w:type="pct"/>
            <w:tcBorders>
              <w:top w:val="dotted" w:sz="4" w:space="0" w:color="auto"/>
              <w:left w:val="nil"/>
              <w:bottom w:val="dotted" w:sz="4" w:space="0" w:color="auto"/>
              <w:right w:val="dotted" w:sz="4" w:space="0" w:color="auto"/>
            </w:tcBorders>
            <w:vAlign w:val="center"/>
          </w:tcPr>
          <w:p w14:paraId="6794AD4B" w14:textId="09E14636" w:rsidR="00B64107" w:rsidRPr="00D479B3" w:rsidRDefault="00B64107">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49,</w:t>
            </w:r>
            <w:r w:rsidRPr="00D479B3">
              <w:rPr>
                <w:rFonts w:ascii="Calibri" w:eastAsia="Times New Roman" w:hAnsi="Calibri" w:cs="Calibri"/>
                <w:color w:val="A02B93" w:themeColor="accent5"/>
                <w:kern w:val="0"/>
                <w:sz w:val="18"/>
                <w:szCs w:val="18"/>
                <w:lang w:eastAsia="en-AU"/>
                <w14:ligatures w14:val="none"/>
              </w:rPr>
              <w:t xml:space="preserve"> 45 </w:t>
            </w:r>
            <w:r w:rsidRPr="00D479B3">
              <w:rPr>
                <w:rFonts w:ascii="Calibri" w:eastAsia="Times New Roman" w:hAnsi="Calibri" w:cs="Calibri"/>
                <w:kern w:val="0"/>
                <w:sz w:val="18"/>
                <w:szCs w:val="18"/>
                <w:lang w:eastAsia="en-AU"/>
                <w14:ligatures w14:val="none"/>
              </w:rPr>
              <w:t>(</w:t>
            </w:r>
            <w:r w:rsidRPr="00D479B3">
              <w:rPr>
                <w:rFonts w:ascii="Calibri" w:eastAsia="Times New Roman" w:hAnsi="Calibri" w:cs="Calibri"/>
                <w:i/>
                <w:iCs/>
                <w:color w:val="000000"/>
                <w:kern w:val="0"/>
                <w:sz w:val="18"/>
                <w:szCs w:val="18"/>
                <w:lang w:eastAsia="en-AU"/>
                <w14:ligatures w14:val="none"/>
              </w:rPr>
              <w:t>47)</w:t>
            </w:r>
          </w:p>
        </w:tc>
        <w:tc>
          <w:tcPr>
            <w:tcW w:w="458" w:type="pct"/>
            <w:tcBorders>
              <w:top w:val="dotted" w:sz="4" w:space="0" w:color="auto"/>
              <w:left w:val="nil"/>
              <w:bottom w:val="dotted" w:sz="4" w:space="0" w:color="auto"/>
            </w:tcBorders>
            <w:shd w:val="clear" w:color="auto" w:fill="FFFFFF" w:themeFill="background1"/>
            <w:vAlign w:val="center"/>
          </w:tcPr>
          <w:p w14:paraId="578B1737" w14:textId="4F8A5901" w:rsidR="00B64107" w:rsidRPr="00D479B3" w:rsidRDefault="00B64107" w:rsidP="00115687">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 xml:space="preserve">61, </w:t>
            </w:r>
            <w:r w:rsidRPr="00D479B3">
              <w:rPr>
                <w:rFonts w:ascii="Calibri" w:eastAsia="Times New Roman" w:hAnsi="Calibri" w:cs="Calibri"/>
                <w:color w:val="A02B93" w:themeColor="accent5"/>
                <w:kern w:val="0"/>
                <w:sz w:val="18"/>
                <w:szCs w:val="18"/>
                <w:lang w:eastAsia="en-AU"/>
                <w14:ligatures w14:val="none"/>
              </w:rPr>
              <w:t>55</w:t>
            </w:r>
            <w:r w:rsidRPr="00D479B3">
              <w:rPr>
                <w:rFonts w:ascii="Calibri" w:eastAsia="Times New Roman" w:hAnsi="Calibri" w:cs="Calibri"/>
                <w:i/>
                <w:iCs/>
                <w:color w:val="000000"/>
                <w:kern w:val="0"/>
                <w:sz w:val="18"/>
                <w:szCs w:val="18"/>
                <w:lang w:eastAsia="en-AU"/>
                <w14:ligatures w14:val="none"/>
              </w:rPr>
              <w:t xml:space="preserve"> (58)</w:t>
            </w:r>
          </w:p>
        </w:tc>
        <w:tc>
          <w:tcPr>
            <w:tcW w:w="458" w:type="pct"/>
            <w:tcBorders>
              <w:top w:val="dotted" w:sz="4" w:space="0" w:color="auto"/>
              <w:bottom w:val="dotted" w:sz="4" w:space="0" w:color="auto"/>
              <w:right w:val="single" w:sz="8" w:space="0" w:color="000000"/>
            </w:tcBorders>
            <w:shd w:val="clear" w:color="auto" w:fill="FFFFFF" w:themeFill="background1"/>
            <w:vAlign w:val="center"/>
          </w:tcPr>
          <w:p w14:paraId="518E9EAD" w14:textId="317102F4" w:rsidR="00B64107" w:rsidRPr="00D479B3" w:rsidRDefault="00B64107" w:rsidP="00813EE6">
            <w:pPr>
              <w:spacing w:after="0" w:line="240" w:lineRule="auto"/>
              <w:jc w:val="center"/>
              <w:rPr>
                <w:rFonts w:ascii="Calibri" w:eastAsia="Times New Roman" w:hAnsi="Calibri" w:cs="Calibri"/>
                <w:i/>
                <w:iCs/>
                <w:color w:val="000000"/>
                <w:kern w:val="0"/>
                <w:sz w:val="18"/>
                <w:szCs w:val="18"/>
                <w:lang w:eastAsia="en-AU"/>
                <w14:ligatures w14:val="none"/>
              </w:rPr>
            </w:pPr>
          </w:p>
        </w:tc>
        <w:tc>
          <w:tcPr>
            <w:tcW w:w="407" w:type="pct"/>
            <w:tcBorders>
              <w:top w:val="nil"/>
              <w:left w:val="nil"/>
              <w:bottom w:val="dotted" w:sz="4" w:space="0" w:color="auto"/>
              <w:right w:val="dotted" w:sz="4" w:space="0" w:color="auto"/>
            </w:tcBorders>
            <w:vAlign w:val="center"/>
          </w:tcPr>
          <w:p w14:paraId="4DDABA99" w14:textId="53BC340C" w:rsidR="00B64107" w:rsidRPr="00D479B3" w:rsidRDefault="00B64107">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80,</w:t>
            </w:r>
            <w:r w:rsidRPr="00D479B3">
              <w:rPr>
                <w:rFonts w:ascii="Calibri" w:eastAsia="Times New Roman" w:hAnsi="Calibri" w:cs="Calibri"/>
                <w:color w:val="A02B93" w:themeColor="accent5"/>
                <w:kern w:val="0"/>
                <w:sz w:val="18"/>
                <w:szCs w:val="18"/>
                <w:lang w:eastAsia="en-AU"/>
                <w14:ligatures w14:val="none"/>
              </w:rPr>
              <w:t xml:space="preserve"> 69 </w:t>
            </w:r>
            <w:r w:rsidRPr="00D479B3">
              <w:rPr>
                <w:rFonts w:ascii="Calibri" w:eastAsia="Times New Roman" w:hAnsi="Calibri" w:cs="Calibri"/>
                <w:i/>
                <w:iCs/>
                <w:color w:val="000000"/>
                <w:kern w:val="0"/>
                <w:sz w:val="18"/>
                <w:szCs w:val="18"/>
                <w:lang w:eastAsia="en-AU"/>
                <w14:ligatures w14:val="none"/>
              </w:rPr>
              <w:t>(75)</w:t>
            </w:r>
          </w:p>
        </w:tc>
        <w:tc>
          <w:tcPr>
            <w:tcW w:w="408" w:type="pct"/>
            <w:tcBorders>
              <w:top w:val="dotted" w:sz="4" w:space="0" w:color="auto"/>
              <w:left w:val="nil"/>
              <w:bottom w:val="dotted" w:sz="4" w:space="0" w:color="auto"/>
              <w:right w:val="single" w:sz="8" w:space="0" w:color="auto"/>
            </w:tcBorders>
            <w:vAlign w:val="center"/>
          </w:tcPr>
          <w:p w14:paraId="4EE8C92B" w14:textId="6F1E9BBF" w:rsidR="00B64107" w:rsidRPr="00D479B3" w:rsidRDefault="00B64107">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96,</w:t>
            </w:r>
            <w:r w:rsidRPr="00D479B3">
              <w:rPr>
                <w:rFonts w:ascii="Calibri" w:eastAsia="Times New Roman" w:hAnsi="Calibri" w:cs="Calibri"/>
                <w:color w:val="A02B93" w:themeColor="accent5"/>
                <w:kern w:val="0"/>
                <w:sz w:val="18"/>
                <w:szCs w:val="18"/>
                <w:lang w:eastAsia="en-AU"/>
                <w14:ligatures w14:val="none"/>
              </w:rPr>
              <w:t xml:space="preserve"> 73</w:t>
            </w:r>
            <w:r w:rsidRPr="00D479B3">
              <w:rPr>
                <w:rFonts w:ascii="Calibri" w:eastAsia="Times New Roman" w:hAnsi="Calibri" w:cs="Calibri"/>
                <w:i/>
                <w:iCs/>
                <w:color w:val="000000"/>
                <w:kern w:val="0"/>
                <w:sz w:val="18"/>
                <w:szCs w:val="18"/>
                <w:lang w:eastAsia="en-AU"/>
                <w14:ligatures w14:val="none"/>
              </w:rPr>
              <w:t xml:space="preserve"> (85)</w:t>
            </w:r>
          </w:p>
        </w:tc>
        <w:tc>
          <w:tcPr>
            <w:tcW w:w="407" w:type="pct"/>
            <w:tcBorders>
              <w:top w:val="dotted" w:sz="4" w:space="0" w:color="auto"/>
              <w:left w:val="nil"/>
              <w:bottom w:val="dotted" w:sz="4" w:space="0" w:color="auto"/>
              <w:right w:val="dotted" w:sz="4" w:space="0" w:color="auto"/>
            </w:tcBorders>
            <w:vAlign w:val="center"/>
          </w:tcPr>
          <w:p w14:paraId="0879F6F9" w14:textId="1352D5AA" w:rsidR="00B64107" w:rsidRPr="00D479B3" w:rsidRDefault="00B64107">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 xml:space="preserve">110, </w:t>
            </w:r>
            <w:r w:rsidRPr="00D479B3">
              <w:rPr>
                <w:rFonts w:ascii="Calibri" w:eastAsia="Times New Roman" w:hAnsi="Calibri" w:cs="Calibri"/>
                <w:color w:val="A02B93" w:themeColor="accent5"/>
                <w:kern w:val="0"/>
                <w:sz w:val="18"/>
                <w:szCs w:val="18"/>
                <w:lang w:eastAsia="en-AU"/>
                <w14:ligatures w14:val="none"/>
              </w:rPr>
              <w:t>77</w:t>
            </w:r>
            <w:r w:rsidRPr="00D479B3">
              <w:rPr>
                <w:rFonts w:ascii="Calibri" w:eastAsia="Times New Roman" w:hAnsi="Calibri" w:cs="Calibri"/>
                <w:i/>
                <w:iCs/>
                <w:color w:val="000000"/>
                <w:kern w:val="0"/>
                <w:sz w:val="18"/>
                <w:szCs w:val="18"/>
                <w:lang w:eastAsia="en-AU"/>
                <w14:ligatures w14:val="none"/>
              </w:rPr>
              <w:t xml:space="preserve"> (94)</w:t>
            </w:r>
          </w:p>
        </w:tc>
        <w:tc>
          <w:tcPr>
            <w:tcW w:w="458" w:type="pct"/>
            <w:tcBorders>
              <w:top w:val="dotted" w:sz="4" w:space="0" w:color="auto"/>
              <w:left w:val="dotted" w:sz="4" w:space="0" w:color="auto"/>
              <w:bottom w:val="dotted" w:sz="4" w:space="0" w:color="auto"/>
              <w:right w:val="dotted" w:sz="4" w:space="0" w:color="auto"/>
            </w:tcBorders>
            <w:vAlign w:val="center"/>
          </w:tcPr>
          <w:p w14:paraId="55C0F4C1" w14:textId="0BFB5CB2" w:rsidR="00B64107" w:rsidRPr="00D479B3" w:rsidRDefault="00B64107">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 xml:space="preserve">105, </w:t>
            </w:r>
            <w:r w:rsidRPr="00D479B3">
              <w:rPr>
                <w:rFonts w:ascii="Calibri" w:eastAsia="Times New Roman" w:hAnsi="Calibri" w:cs="Calibri"/>
                <w:color w:val="A02B93" w:themeColor="accent5"/>
                <w:kern w:val="0"/>
                <w:sz w:val="18"/>
                <w:szCs w:val="18"/>
                <w:lang w:eastAsia="en-AU"/>
                <w14:ligatures w14:val="none"/>
              </w:rPr>
              <w:t>79</w:t>
            </w:r>
            <w:r w:rsidRPr="00D479B3">
              <w:rPr>
                <w:rFonts w:ascii="Calibri" w:eastAsia="Times New Roman" w:hAnsi="Calibri" w:cs="Calibri"/>
                <w:i/>
                <w:iCs/>
                <w:color w:val="000000"/>
                <w:kern w:val="0"/>
                <w:sz w:val="18"/>
                <w:szCs w:val="18"/>
                <w:lang w:eastAsia="en-AU"/>
                <w14:ligatures w14:val="none"/>
              </w:rPr>
              <w:t xml:space="preserve"> (92)</w:t>
            </w:r>
          </w:p>
        </w:tc>
        <w:tc>
          <w:tcPr>
            <w:tcW w:w="459" w:type="pct"/>
            <w:tcBorders>
              <w:top w:val="dotted" w:sz="4" w:space="0" w:color="auto"/>
              <w:left w:val="dotted" w:sz="4" w:space="0" w:color="auto"/>
              <w:bottom w:val="dotted" w:sz="4" w:space="0" w:color="auto"/>
              <w:right w:val="dotted" w:sz="4" w:space="0" w:color="auto"/>
            </w:tcBorders>
            <w:vAlign w:val="center"/>
          </w:tcPr>
          <w:p w14:paraId="303E8581" w14:textId="1B4C4057" w:rsidR="00B64107" w:rsidRPr="00D479B3" w:rsidRDefault="00B64107">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97,</w:t>
            </w:r>
            <w:r w:rsidRPr="00D479B3">
              <w:rPr>
                <w:rFonts w:ascii="Calibri" w:eastAsia="Times New Roman" w:hAnsi="Calibri" w:cs="Calibri"/>
                <w:color w:val="A02B93" w:themeColor="accent5"/>
                <w:kern w:val="0"/>
                <w:sz w:val="18"/>
                <w:szCs w:val="18"/>
                <w:lang w:eastAsia="en-AU"/>
                <w14:ligatures w14:val="none"/>
              </w:rPr>
              <w:t xml:space="preserve"> 80</w:t>
            </w:r>
            <w:r w:rsidRPr="00D479B3">
              <w:rPr>
                <w:rFonts w:ascii="Calibri" w:eastAsia="Times New Roman" w:hAnsi="Calibri" w:cs="Calibri"/>
                <w:i/>
                <w:iCs/>
                <w:color w:val="000000"/>
                <w:kern w:val="0"/>
                <w:sz w:val="18"/>
                <w:szCs w:val="18"/>
                <w:lang w:eastAsia="en-AU"/>
                <w14:ligatures w14:val="none"/>
              </w:rPr>
              <w:t xml:space="preserve"> (89)</w:t>
            </w:r>
          </w:p>
        </w:tc>
        <w:tc>
          <w:tcPr>
            <w:tcW w:w="369" w:type="pct"/>
            <w:tcBorders>
              <w:top w:val="dotted" w:sz="4" w:space="0" w:color="auto"/>
              <w:left w:val="dotted" w:sz="4" w:space="0" w:color="auto"/>
              <w:bottom w:val="dotted" w:sz="4" w:space="0" w:color="auto"/>
              <w:right w:val="single" w:sz="8" w:space="0" w:color="auto"/>
            </w:tcBorders>
            <w:vAlign w:val="center"/>
          </w:tcPr>
          <w:p w14:paraId="5A237CAD" w14:textId="33DAB524" w:rsidR="00B64107" w:rsidRPr="00D479B3" w:rsidRDefault="00B64107">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85,</w:t>
            </w:r>
            <w:r w:rsidRPr="00D479B3">
              <w:rPr>
                <w:rFonts w:ascii="Calibri" w:eastAsia="Times New Roman" w:hAnsi="Calibri" w:cs="Calibri"/>
                <w:color w:val="A02B93" w:themeColor="accent5"/>
                <w:kern w:val="0"/>
                <w:sz w:val="18"/>
                <w:szCs w:val="18"/>
                <w:lang w:eastAsia="en-AU"/>
                <w14:ligatures w14:val="none"/>
              </w:rPr>
              <w:t xml:space="preserve"> 72</w:t>
            </w:r>
            <w:r w:rsidRPr="00D479B3">
              <w:rPr>
                <w:rFonts w:ascii="Calibri" w:eastAsia="Times New Roman" w:hAnsi="Calibri" w:cs="Calibri"/>
                <w:i/>
                <w:iCs/>
                <w:color w:val="000000"/>
                <w:kern w:val="0"/>
                <w:sz w:val="18"/>
                <w:szCs w:val="18"/>
                <w:lang w:eastAsia="en-AU"/>
                <w14:ligatures w14:val="none"/>
              </w:rPr>
              <w:t xml:space="preserve"> (79)</w:t>
            </w:r>
          </w:p>
        </w:tc>
      </w:tr>
      <w:tr w:rsidR="0013075A" w:rsidRPr="00D479B3" w14:paraId="4E70A973" w14:textId="77777777" w:rsidTr="0013075A">
        <w:trPr>
          <w:trHeight w:val="330"/>
        </w:trPr>
        <w:tc>
          <w:tcPr>
            <w:tcW w:w="1066" w:type="pct"/>
            <w:tcBorders>
              <w:top w:val="nil"/>
              <w:left w:val="single" w:sz="8" w:space="0" w:color="auto"/>
              <w:bottom w:val="nil"/>
              <w:right w:val="single" w:sz="8" w:space="0" w:color="auto"/>
            </w:tcBorders>
            <w:shd w:val="clear" w:color="auto" w:fill="F6C5AC" w:themeFill="accent2" w:themeFillTint="66"/>
            <w:vAlign w:val="center"/>
            <w:hideMark/>
          </w:tcPr>
          <w:p w14:paraId="39C3D0AD" w14:textId="77777777" w:rsidR="00B64107" w:rsidRPr="00D479B3" w:rsidRDefault="00B64107">
            <w:pPr>
              <w:spacing w:after="0" w:line="240" w:lineRule="auto"/>
              <w:jc w:val="right"/>
              <w:rPr>
                <w:rFonts w:ascii="Calibri" w:eastAsia="Times New Roman" w:hAnsi="Calibri" w:cs="Calibri"/>
                <w:color w:val="000000"/>
                <w:kern w:val="0"/>
                <w:sz w:val="18"/>
                <w:szCs w:val="18"/>
                <w:lang w:eastAsia="en-AU"/>
                <w14:ligatures w14:val="none"/>
              </w:rPr>
            </w:pPr>
            <w:r w:rsidRPr="00D479B3">
              <w:rPr>
                <w:rFonts w:ascii="Calibri" w:hAnsi="Calibri" w:cs="Calibri"/>
                <w:sz w:val="18"/>
                <w:szCs w:val="18"/>
              </w:rPr>
              <w:t>Aboriginal and Torres Strait Islander</w:t>
            </w:r>
          </w:p>
        </w:tc>
        <w:tc>
          <w:tcPr>
            <w:tcW w:w="510" w:type="pct"/>
            <w:tcBorders>
              <w:top w:val="dotted" w:sz="4" w:space="0" w:color="auto"/>
              <w:left w:val="nil"/>
              <w:bottom w:val="dotted" w:sz="4" w:space="0" w:color="auto"/>
              <w:right w:val="dotted" w:sz="4" w:space="0" w:color="auto"/>
            </w:tcBorders>
            <w:vAlign w:val="center"/>
          </w:tcPr>
          <w:p w14:paraId="756E6EE4" w14:textId="417B4D27" w:rsidR="00B64107" w:rsidRPr="00D479B3" w:rsidRDefault="00B64107">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51,</w:t>
            </w:r>
            <w:r w:rsidRPr="00D479B3">
              <w:rPr>
                <w:rFonts w:ascii="Calibri" w:eastAsia="Times New Roman" w:hAnsi="Calibri" w:cs="Calibri"/>
                <w:i/>
                <w:iCs/>
                <w:color w:val="000000"/>
                <w:kern w:val="0"/>
                <w:sz w:val="18"/>
                <w:szCs w:val="18"/>
                <w:lang w:eastAsia="en-AU"/>
                <w14:ligatures w14:val="none"/>
              </w:rPr>
              <w:t xml:space="preserve"> </w:t>
            </w:r>
            <w:r w:rsidRPr="00D479B3">
              <w:rPr>
                <w:rFonts w:ascii="Calibri" w:eastAsia="Times New Roman" w:hAnsi="Calibri" w:cs="Calibri"/>
                <w:color w:val="A02B93" w:themeColor="accent5"/>
                <w:kern w:val="0"/>
                <w:sz w:val="18"/>
                <w:szCs w:val="18"/>
                <w:lang w:eastAsia="en-AU"/>
                <w14:ligatures w14:val="none"/>
              </w:rPr>
              <w:t>48</w:t>
            </w:r>
            <w:r w:rsidRPr="00D479B3">
              <w:rPr>
                <w:rFonts w:ascii="Calibri" w:eastAsia="Times New Roman" w:hAnsi="Calibri" w:cs="Calibri"/>
                <w:i/>
                <w:iCs/>
                <w:color w:val="000000"/>
                <w:kern w:val="0"/>
                <w:sz w:val="18"/>
                <w:szCs w:val="18"/>
                <w:lang w:eastAsia="en-AU"/>
                <w14:ligatures w14:val="none"/>
              </w:rPr>
              <w:t xml:space="preserve"> (50)</w:t>
            </w:r>
          </w:p>
        </w:tc>
        <w:tc>
          <w:tcPr>
            <w:tcW w:w="458" w:type="pct"/>
            <w:tcBorders>
              <w:top w:val="dotted" w:sz="4" w:space="0" w:color="auto"/>
              <w:left w:val="nil"/>
              <w:bottom w:val="dotted" w:sz="4" w:space="0" w:color="auto"/>
            </w:tcBorders>
            <w:shd w:val="clear" w:color="auto" w:fill="FFFFFF" w:themeFill="background1"/>
            <w:vAlign w:val="center"/>
          </w:tcPr>
          <w:p w14:paraId="58FCF4CC" w14:textId="0A9548ED" w:rsidR="00B64107" w:rsidRPr="00D479B3" w:rsidRDefault="00B64107" w:rsidP="00B64107">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66,</w:t>
            </w:r>
            <w:r w:rsidRPr="00D479B3">
              <w:rPr>
                <w:rFonts w:ascii="Calibri" w:eastAsia="Times New Roman" w:hAnsi="Calibri" w:cs="Calibri"/>
                <w:i/>
                <w:iCs/>
                <w:color w:val="000000"/>
                <w:kern w:val="0"/>
                <w:sz w:val="18"/>
                <w:szCs w:val="18"/>
                <w:lang w:eastAsia="en-AU"/>
                <w14:ligatures w14:val="none"/>
              </w:rPr>
              <w:t xml:space="preserve"> </w:t>
            </w:r>
            <w:r w:rsidRPr="00D479B3">
              <w:rPr>
                <w:rFonts w:ascii="Calibri" w:eastAsia="Times New Roman" w:hAnsi="Calibri" w:cs="Calibri"/>
                <w:color w:val="A02B93" w:themeColor="accent5"/>
                <w:kern w:val="0"/>
                <w:sz w:val="18"/>
                <w:szCs w:val="18"/>
                <w:lang w:eastAsia="en-AU"/>
                <w14:ligatures w14:val="none"/>
              </w:rPr>
              <w:t>60</w:t>
            </w:r>
            <w:r w:rsidRPr="00D479B3">
              <w:rPr>
                <w:rFonts w:ascii="Calibri" w:eastAsia="Times New Roman" w:hAnsi="Calibri" w:cs="Calibri"/>
                <w:i/>
                <w:iCs/>
                <w:color w:val="000000"/>
                <w:kern w:val="0"/>
                <w:sz w:val="18"/>
                <w:szCs w:val="18"/>
                <w:lang w:eastAsia="en-AU"/>
                <w14:ligatures w14:val="none"/>
              </w:rPr>
              <w:t xml:space="preserve"> (63)</w:t>
            </w:r>
          </w:p>
        </w:tc>
        <w:tc>
          <w:tcPr>
            <w:tcW w:w="458" w:type="pct"/>
            <w:tcBorders>
              <w:top w:val="dotted" w:sz="4" w:space="0" w:color="auto"/>
              <w:bottom w:val="dotted" w:sz="4" w:space="0" w:color="auto"/>
              <w:right w:val="single" w:sz="8" w:space="0" w:color="000000"/>
            </w:tcBorders>
            <w:shd w:val="clear" w:color="auto" w:fill="FFFFFF" w:themeFill="background1"/>
            <w:vAlign w:val="center"/>
          </w:tcPr>
          <w:p w14:paraId="28B9C80F" w14:textId="1D4E1EB6" w:rsidR="00B64107" w:rsidRPr="00D479B3" w:rsidRDefault="00B64107" w:rsidP="00813EE6">
            <w:pPr>
              <w:spacing w:after="0" w:line="240" w:lineRule="auto"/>
              <w:jc w:val="center"/>
              <w:rPr>
                <w:rFonts w:ascii="Calibri" w:eastAsia="Times New Roman" w:hAnsi="Calibri" w:cs="Calibri"/>
                <w:i/>
                <w:iCs/>
                <w:color w:val="000000"/>
                <w:kern w:val="0"/>
                <w:sz w:val="18"/>
                <w:szCs w:val="18"/>
                <w:lang w:eastAsia="en-AU"/>
                <w14:ligatures w14:val="none"/>
              </w:rPr>
            </w:pPr>
          </w:p>
        </w:tc>
        <w:tc>
          <w:tcPr>
            <w:tcW w:w="407" w:type="pct"/>
            <w:tcBorders>
              <w:top w:val="nil"/>
              <w:left w:val="nil"/>
              <w:bottom w:val="dotted" w:sz="4" w:space="0" w:color="auto"/>
              <w:right w:val="dotted" w:sz="4" w:space="0" w:color="auto"/>
            </w:tcBorders>
            <w:vAlign w:val="center"/>
          </w:tcPr>
          <w:p w14:paraId="2411E1CE" w14:textId="4BEF188B" w:rsidR="00B64107" w:rsidRPr="00D479B3" w:rsidRDefault="00B64107">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83,</w:t>
            </w:r>
            <w:r w:rsidRPr="00D479B3">
              <w:rPr>
                <w:rFonts w:ascii="Calibri" w:eastAsia="Times New Roman" w:hAnsi="Calibri" w:cs="Calibri"/>
                <w:i/>
                <w:iCs/>
                <w:color w:val="000000"/>
                <w:kern w:val="0"/>
                <w:sz w:val="18"/>
                <w:szCs w:val="18"/>
                <w:lang w:eastAsia="en-AU"/>
                <w14:ligatures w14:val="none"/>
              </w:rPr>
              <w:t xml:space="preserve"> </w:t>
            </w:r>
            <w:r w:rsidRPr="00D479B3">
              <w:rPr>
                <w:rFonts w:ascii="Calibri" w:eastAsia="Times New Roman" w:hAnsi="Calibri" w:cs="Calibri"/>
                <w:color w:val="A02B93" w:themeColor="accent5"/>
                <w:kern w:val="0"/>
                <w:sz w:val="18"/>
                <w:szCs w:val="18"/>
                <w:lang w:eastAsia="en-AU"/>
                <w14:ligatures w14:val="none"/>
              </w:rPr>
              <w:t>72</w:t>
            </w:r>
            <w:r w:rsidRPr="00D479B3">
              <w:rPr>
                <w:rFonts w:ascii="Calibri" w:eastAsia="Times New Roman" w:hAnsi="Calibri" w:cs="Calibri"/>
                <w:i/>
                <w:iCs/>
                <w:color w:val="000000"/>
                <w:kern w:val="0"/>
                <w:sz w:val="18"/>
                <w:szCs w:val="18"/>
                <w:lang w:eastAsia="en-AU"/>
                <w14:ligatures w14:val="none"/>
              </w:rPr>
              <w:t xml:space="preserve"> (78)</w:t>
            </w:r>
          </w:p>
        </w:tc>
        <w:tc>
          <w:tcPr>
            <w:tcW w:w="408" w:type="pct"/>
            <w:tcBorders>
              <w:top w:val="dotted" w:sz="4" w:space="0" w:color="auto"/>
              <w:left w:val="nil"/>
              <w:bottom w:val="dotted" w:sz="4" w:space="0" w:color="auto"/>
              <w:right w:val="single" w:sz="8" w:space="0" w:color="auto"/>
            </w:tcBorders>
            <w:vAlign w:val="center"/>
          </w:tcPr>
          <w:p w14:paraId="45F3D528" w14:textId="310FF16D" w:rsidR="00B64107" w:rsidRPr="00D479B3" w:rsidRDefault="00B64107">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93,</w:t>
            </w:r>
            <w:r w:rsidRPr="00D479B3">
              <w:rPr>
                <w:rFonts w:ascii="Calibri" w:eastAsia="Times New Roman" w:hAnsi="Calibri" w:cs="Calibri"/>
                <w:i/>
                <w:iCs/>
                <w:color w:val="000000"/>
                <w:kern w:val="0"/>
                <w:sz w:val="18"/>
                <w:szCs w:val="18"/>
                <w:lang w:eastAsia="en-AU"/>
                <w14:ligatures w14:val="none"/>
              </w:rPr>
              <w:t xml:space="preserve"> </w:t>
            </w:r>
            <w:r w:rsidRPr="00D479B3">
              <w:rPr>
                <w:rFonts w:ascii="Calibri" w:eastAsia="Times New Roman" w:hAnsi="Calibri" w:cs="Calibri"/>
                <w:color w:val="A02B93" w:themeColor="accent5"/>
                <w:kern w:val="0"/>
                <w:sz w:val="18"/>
                <w:szCs w:val="18"/>
                <w:lang w:eastAsia="en-AU"/>
                <w14:ligatures w14:val="none"/>
              </w:rPr>
              <w:t>72</w:t>
            </w:r>
            <w:r w:rsidRPr="00D479B3">
              <w:rPr>
                <w:rFonts w:ascii="Calibri" w:eastAsia="Times New Roman" w:hAnsi="Calibri" w:cs="Calibri"/>
                <w:i/>
                <w:iCs/>
                <w:color w:val="000000"/>
                <w:kern w:val="0"/>
                <w:sz w:val="18"/>
                <w:szCs w:val="18"/>
                <w:lang w:eastAsia="en-AU"/>
                <w14:ligatures w14:val="none"/>
              </w:rPr>
              <w:t xml:space="preserve"> (83)</w:t>
            </w:r>
          </w:p>
        </w:tc>
        <w:tc>
          <w:tcPr>
            <w:tcW w:w="407" w:type="pct"/>
            <w:tcBorders>
              <w:top w:val="dotted" w:sz="4" w:space="0" w:color="auto"/>
              <w:left w:val="nil"/>
              <w:bottom w:val="dotted" w:sz="4" w:space="0" w:color="auto"/>
              <w:right w:val="dotted" w:sz="4" w:space="0" w:color="auto"/>
            </w:tcBorders>
            <w:vAlign w:val="center"/>
          </w:tcPr>
          <w:p w14:paraId="10F18E14" w14:textId="659D6EEC" w:rsidR="00B64107" w:rsidRPr="00D479B3" w:rsidRDefault="00B64107">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111,</w:t>
            </w:r>
            <w:r w:rsidRPr="00D479B3">
              <w:rPr>
                <w:rFonts w:ascii="Calibri" w:eastAsia="Times New Roman" w:hAnsi="Calibri" w:cs="Calibri"/>
                <w:i/>
                <w:iCs/>
                <w:color w:val="000000"/>
                <w:kern w:val="0"/>
                <w:sz w:val="18"/>
                <w:szCs w:val="18"/>
                <w:lang w:eastAsia="en-AU"/>
                <w14:ligatures w14:val="none"/>
              </w:rPr>
              <w:t xml:space="preserve"> </w:t>
            </w:r>
            <w:r w:rsidRPr="00D479B3">
              <w:rPr>
                <w:rFonts w:ascii="Calibri" w:eastAsia="Times New Roman" w:hAnsi="Calibri" w:cs="Calibri"/>
                <w:color w:val="A02B93" w:themeColor="accent5"/>
                <w:kern w:val="0"/>
                <w:sz w:val="18"/>
                <w:szCs w:val="18"/>
                <w:lang w:eastAsia="en-AU"/>
                <w14:ligatures w14:val="none"/>
              </w:rPr>
              <w:t>75</w:t>
            </w:r>
            <w:r w:rsidRPr="00D479B3">
              <w:rPr>
                <w:rFonts w:ascii="Calibri" w:eastAsia="Times New Roman" w:hAnsi="Calibri" w:cs="Calibri"/>
                <w:i/>
                <w:iCs/>
                <w:color w:val="000000"/>
                <w:kern w:val="0"/>
                <w:sz w:val="18"/>
                <w:szCs w:val="18"/>
                <w:lang w:eastAsia="en-AU"/>
                <w14:ligatures w14:val="none"/>
              </w:rPr>
              <w:t xml:space="preserve"> (93)</w:t>
            </w:r>
          </w:p>
        </w:tc>
        <w:tc>
          <w:tcPr>
            <w:tcW w:w="458" w:type="pct"/>
            <w:tcBorders>
              <w:top w:val="dotted" w:sz="4" w:space="0" w:color="auto"/>
              <w:left w:val="dotted" w:sz="4" w:space="0" w:color="auto"/>
              <w:bottom w:val="dotted" w:sz="4" w:space="0" w:color="auto"/>
              <w:right w:val="dotted" w:sz="4" w:space="0" w:color="auto"/>
            </w:tcBorders>
            <w:vAlign w:val="center"/>
          </w:tcPr>
          <w:p w14:paraId="5387F00D" w14:textId="3B945170" w:rsidR="00B64107" w:rsidRPr="00D479B3" w:rsidRDefault="00B64107">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105,</w:t>
            </w:r>
            <w:r w:rsidRPr="00D479B3">
              <w:rPr>
                <w:rFonts w:ascii="Calibri" w:eastAsia="Times New Roman" w:hAnsi="Calibri" w:cs="Calibri"/>
                <w:i/>
                <w:iCs/>
                <w:color w:val="000000"/>
                <w:kern w:val="0"/>
                <w:sz w:val="18"/>
                <w:szCs w:val="18"/>
                <w:lang w:eastAsia="en-AU"/>
                <w14:ligatures w14:val="none"/>
              </w:rPr>
              <w:t xml:space="preserve"> </w:t>
            </w:r>
            <w:r w:rsidRPr="00D479B3">
              <w:rPr>
                <w:rFonts w:ascii="Calibri" w:eastAsia="Times New Roman" w:hAnsi="Calibri" w:cs="Calibri"/>
                <w:color w:val="A02B93" w:themeColor="accent5"/>
                <w:kern w:val="0"/>
                <w:sz w:val="18"/>
                <w:szCs w:val="18"/>
                <w:lang w:eastAsia="en-AU"/>
                <w14:ligatures w14:val="none"/>
              </w:rPr>
              <w:t>75</w:t>
            </w:r>
            <w:r w:rsidRPr="00D479B3">
              <w:rPr>
                <w:rFonts w:ascii="Calibri" w:eastAsia="Times New Roman" w:hAnsi="Calibri" w:cs="Calibri"/>
                <w:i/>
                <w:iCs/>
                <w:color w:val="000000"/>
                <w:kern w:val="0"/>
                <w:sz w:val="18"/>
                <w:szCs w:val="18"/>
                <w:lang w:eastAsia="en-AU"/>
                <w14:ligatures w14:val="none"/>
              </w:rPr>
              <w:t xml:space="preserve"> (89)</w:t>
            </w:r>
          </w:p>
        </w:tc>
        <w:tc>
          <w:tcPr>
            <w:tcW w:w="459" w:type="pct"/>
            <w:tcBorders>
              <w:top w:val="dotted" w:sz="4" w:space="0" w:color="auto"/>
              <w:left w:val="dotted" w:sz="4" w:space="0" w:color="auto"/>
              <w:bottom w:val="dotted" w:sz="4" w:space="0" w:color="auto"/>
              <w:right w:val="dotted" w:sz="4" w:space="0" w:color="auto"/>
            </w:tcBorders>
            <w:vAlign w:val="center"/>
          </w:tcPr>
          <w:p w14:paraId="5E42D4E7" w14:textId="64BED77E" w:rsidR="00B64107" w:rsidRPr="00D479B3" w:rsidRDefault="00B64107">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86,</w:t>
            </w:r>
            <w:r w:rsidRPr="00D479B3">
              <w:rPr>
                <w:rFonts w:ascii="Calibri" w:eastAsia="Times New Roman" w:hAnsi="Calibri" w:cs="Calibri"/>
                <w:i/>
                <w:iCs/>
                <w:color w:val="000000"/>
                <w:kern w:val="0"/>
                <w:sz w:val="18"/>
                <w:szCs w:val="18"/>
                <w:lang w:eastAsia="en-AU"/>
                <w14:ligatures w14:val="none"/>
              </w:rPr>
              <w:t xml:space="preserve"> </w:t>
            </w:r>
            <w:r w:rsidRPr="00D479B3">
              <w:rPr>
                <w:rFonts w:ascii="Calibri" w:eastAsia="Times New Roman" w:hAnsi="Calibri" w:cs="Calibri"/>
                <w:color w:val="A02B93" w:themeColor="accent5"/>
                <w:kern w:val="0"/>
                <w:sz w:val="18"/>
                <w:szCs w:val="18"/>
                <w:lang w:eastAsia="en-AU"/>
                <w14:ligatures w14:val="none"/>
              </w:rPr>
              <w:t>70</w:t>
            </w:r>
            <w:r w:rsidRPr="00D479B3">
              <w:rPr>
                <w:rFonts w:ascii="Calibri" w:eastAsia="Times New Roman" w:hAnsi="Calibri" w:cs="Calibri"/>
                <w:i/>
                <w:iCs/>
                <w:color w:val="000000"/>
                <w:kern w:val="0"/>
                <w:sz w:val="18"/>
                <w:szCs w:val="18"/>
                <w:lang w:eastAsia="en-AU"/>
                <w14:ligatures w14:val="none"/>
              </w:rPr>
              <w:t xml:space="preserve"> (77)</w:t>
            </w:r>
          </w:p>
        </w:tc>
        <w:tc>
          <w:tcPr>
            <w:tcW w:w="369" w:type="pct"/>
            <w:tcBorders>
              <w:top w:val="dotted" w:sz="4" w:space="0" w:color="auto"/>
              <w:left w:val="dotted" w:sz="4" w:space="0" w:color="auto"/>
              <w:bottom w:val="dotted" w:sz="4" w:space="0" w:color="auto"/>
              <w:right w:val="single" w:sz="8" w:space="0" w:color="auto"/>
            </w:tcBorders>
            <w:vAlign w:val="center"/>
          </w:tcPr>
          <w:p w14:paraId="240AD3EB" w14:textId="77777777" w:rsidR="00B64107" w:rsidRPr="00D479B3" w:rsidRDefault="00B64107">
            <w:pPr>
              <w:spacing w:after="0" w:line="240" w:lineRule="auto"/>
              <w:jc w:val="center"/>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w:t>
            </w:r>
          </w:p>
        </w:tc>
      </w:tr>
      <w:tr w:rsidR="0013075A" w:rsidRPr="00D479B3" w14:paraId="076156FE" w14:textId="77777777" w:rsidTr="0013075A">
        <w:trPr>
          <w:trHeight w:val="300"/>
        </w:trPr>
        <w:tc>
          <w:tcPr>
            <w:tcW w:w="1066" w:type="pct"/>
            <w:tcBorders>
              <w:top w:val="nil"/>
              <w:left w:val="single" w:sz="8" w:space="0" w:color="auto"/>
              <w:bottom w:val="single" w:sz="8" w:space="0" w:color="auto"/>
              <w:right w:val="single" w:sz="8" w:space="0" w:color="auto"/>
            </w:tcBorders>
            <w:shd w:val="clear" w:color="auto" w:fill="F6C5AC" w:themeFill="accent2" w:themeFillTint="66"/>
            <w:vAlign w:val="center"/>
            <w:hideMark/>
          </w:tcPr>
          <w:p w14:paraId="53217AC4" w14:textId="575F518E" w:rsidR="00B64107" w:rsidRPr="00D479B3" w:rsidRDefault="00213B72">
            <w:pPr>
              <w:spacing w:after="0" w:line="240" w:lineRule="auto"/>
              <w:jc w:val="right"/>
              <w:rPr>
                <w:rFonts w:ascii="Calibri" w:eastAsia="Times New Roman" w:hAnsi="Calibri" w:cs="Calibri"/>
                <w:color w:val="000000"/>
                <w:kern w:val="0"/>
                <w:sz w:val="18"/>
                <w:szCs w:val="18"/>
                <w:lang w:eastAsia="en-AU"/>
                <w14:ligatures w14:val="none"/>
              </w:rPr>
            </w:pPr>
            <w:r w:rsidRPr="00D479B3">
              <w:rPr>
                <w:rFonts w:ascii="Calibri" w:eastAsia="Times New Roman" w:hAnsi="Calibri" w:cs="Calibri"/>
                <w:color w:val="000000"/>
                <w:kern w:val="0"/>
                <w:sz w:val="18"/>
                <w:szCs w:val="18"/>
                <w:lang w:eastAsia="en-AU"/>
                <w14:ligatures w14:val="none"/>
              </w:rPr>
              <w:t>non</w:t>
            </w:r>
            <w:r w:rsidRPr="00D479B3">
              <w:rPr>
                <w:rFonts w:ascii="Calibri" w:hAnsi="Calibri" w:cs="Calibri"/>
                <w:sz w:val="18"/>
                <w:szCs w:val="18"/>
              </w:rPr>
              <w:t>-Indigenous</w:t>
            </w:r>
          </w:p>
        </w:tc>
        <w:tc>
          <w:tcPr>
            <w:tcW w:w="510" w:type="pct"/>
            <w:tcBorders>
              <w:top w:val="dotted" w:sz="4" w:space="0" w:color="auto"/>
              <w:left w:val="nil"/>
              <w:bottom w:val="single" w:sz="4" w:space="0" w:color="auto"/>
              <w:right w:val="dotted" w:sz="4" w:space="0" w:color="auto"/>
            </w:tcBorders>
            <w:noWrap/>
            <w:vAlign w:val="center"/>
          </w:tcPr>
          <w:p w14:paraId="1C72B118" w14:textId="4EC3CF3B" w:rsidR="00B64107" w:rsidRPr="00D479B3" w:rsidRDefault="00B64107">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 xml:space="preserve">47, </w:t>
            </w:r>
            <w:r w:rsidRPr="00D479B3">
              <w:rPr>
                <w:rFonts w:ascii="Calibri" w:eastAsia="Times New Roman" w:hAnsi="Calibri" w:cs="Calibri"/>
                <w:color w:val="A02B93" w:themeColor="accent5"/>
                <w:kern w:val="0"/>
                <w:sz w:val="18"/>
                <w:szCs w:val="18"/>
                <w:lang w:eastAsia="en-AU"/>
                <w14:ligatures w14:val="none"/>
              </w:rPr>
              <w:t>45</w:t>
            </w:r>
            <w:r w:rsidRPr="00D479B3">
              <w:rPr>
                <w:rFonts w:ascii="Calibri" w:eastAsia="Times New Roman" w:hAnsi="Calibri" w:cs="Calibri"/>
                <w:i/>
                <w:iCs/>
                <w:color w:val="000000"/>
                <w:kern w:val="0"/>
                <w:sz w:val="18"/>
                <w:szCs w:val="18"/>
                <w:lang w:eastAsia="en-AU"/>
                <w14:ligatures w14:val="none"/>
              </w:rPr>
              <w:t xml:space="preserve"> (46)</w:t>
            </w:r>
          </w:p>
        </w:tc>
        <w:tc>
          <w:tcPr>
            <w:tcW w:w="458" w:type="pct"/>
            <w:tcBorders>
              <w:top w:val="dotted" w:sz="4" w:space="0" w:color="auto"/>
              <w:left w:val="dotted" w:sz="4" w:space="0" w:color="auto"/>
              <w:bottom w:val="single" w:sz="4" w:space="0" w:color="auto"/>
            </w:tcBorders>
            <w:shd w:val="clear" w:color="auto" w:fill="FFFFFF" w:themeFill="background1"/>
            <w:vAlign w:val="center"/>
          </w:tcPr>
          <w:p w14:paraId="3230092A" w14:textId="3E5510CE" w:rsidR="00B64107" w:rsidRPr="00D479B3" w:rsidRDefault="00B64107">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 xml:space="preserve">63, </w:t>
            </w:r>
            <w:r w:rsidRPr="00D479B3">
              <w:rPr>
                <w:rFonts w:ascii="Calibri" w:eastAsia="Times New Roman" w:hAnsi="Calibri" w:cs="Calibri"/>
                <w:color w:val="A02B93" w:themeColor="accent5"/>
                <w:kern w:val="0"/>
                <w:sz w:val="18"/>
                <w:szCs w:val="18"/>
                <w:lang w:eastAsia="en-AU"/>
                <w14:ligatures w14:val="none"/>
              </w:rPr>
              <w:t>55</w:t>
            </w:r>
            <w:r w:rsidRPr="00D479B3">
              <w:rPr>
                <w:rFonts w:ascii="Calibri" w:eastAsia="Times New Roman" w:hAnsi="Calibri" w:cs="Calibri"/>
                <w:i/>
                <w:iCs/>
                <w:color w:val="000000"/>
                <w:kern w:val="0"/>
                <w:sz w:val="18"/>
                <w:szCs w:val="18"/>
                <w:lang w:eastAsia="en-AU"/>
                <w14:ligatures w14:val="none"/>
              </w:rPr>
              <w:t xml:space="preserve"> (59)</w:t>
            </w:r>
          </w:p>
        </w:tc>
        <w:tc>
          <w:tcPr>
            <w:tcW w:w="458" w:type="pct"/>
            <w:tcBorders>
              <w:top w:val="dotted" w:sz="4" w:space="0" w:color="auto"/>
              <w:bottom w:val="single" w:sz="4" w:space="0" w:color="auto"/>
              <w:right w:val="single" w:sz="8" w:space="0" w:color="000000"/>
            </w:tcBorders>
            <w:shd w:val="clear" w:color="auto" w:fill="FFFFFF" w:themeFill="background1"/>
            <w:vAlign w:val="center"/>
          </w:tcPr>
          <w:p w14:paraId="0FF7E1FD" w14:textId="43947A99" w:rsidR="00B64107" w:rsidRPr="00D479B3" w:rsidRDefault="00B64107" w:rsidP="00813EE6">
            <w:pPr>
              <w:spacing w:after="0" w:line="240" w:lineRule="auto"/>
              <w:jc w:val="center"/>
              <w:rPr>
                <w:rFonts w:ascii="Calibri" w:eastAsia="Times New Roman" w:hAnsi="Calibri" w:cs="Calibri"/>
                <w:i/>
                <w:iCs/>
                <w:color w:val="000000"/>
                <w:kern w:val="0"/>
                <w:sz w:val="18"/>
                <w:szCs w:val="18"/>
                <w:lang w:eastAsia="en-AU"/>
                <w14:ligatures w14:val="none"/>
              </w:rPr>
            </w:pPr>
          </w:p>
        </w:tc>
        <w:tc>
          <w:tcPr>
            <w:tcW w:w="407" w:type="pct"/>
            <w:tcBorders>
              <w:top w:val="dotted" w:sz="4" w:space="0" w:color="auto"/>
              <w:left w:val="nil"/>
              <w:bottom w:val="single" w:sz="4" w:space="0" w:color="auto"/>
              <w:right w:val="dotted" w:sz="4" w:space="0" w:color="auto"/>
            </w:tcBorders>
            <w:vAlign w:val="center"/>
          </w:tcPr>
          <w:p w14:paraId="458D06AA" w14:textId="71EFAFAA" w:rsidR="00B64107" w:rsidRPr="00D479B3" w:rsidRDefault="00B64107">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 xml:space="preserve">78, </w:t>
            </w:r>
            <w:r w:rsidRPr="00D479B3">
              <w:rPr>
                <w:rFonts w:ascii="Calibri" w:eastAsia="Times New Roman" w:hAnsi="Calibri" w:cs="Calibri"/>
                <w:color w:val="A02B93" w:themeColor="accent5"/>
                <w:kern w:val="0"/>
                <w:sz w:val="18"/>
                <w:szCs w:val="18"/>
                <w:lang w:eastAsia="en-AU"/>
                <w14:ligatures w14:val="none"/>
              </w:rPr>
              <w:t>66</w:t>
            </w:r>
            <w:r w:rsidRPr="00D479B3">
              <w:rPr>
                <w:rFonts w:ascii="Calibri" w:eastAsia="Times New Roman" w:hAnsi="Calibri" w:cs="Calibri"/>
                <w:i/>
                <w:iCs/>
                <w:color w:val="000000"/>
                <w:kern w:val="0"/>
                <w:sz w:val="18"/>
                <w:szCs w:val="18"/>
                <w:lang w:eastAsia="en-AU"/>
                <w14:ligatures w14:val="none"/>
              </w:rPr>
              <w:t xml:space="preserve"> (72)</w:t>
            </w:r>
          </w:p>
        </w:tc>
        <w:tc>
          <w:tcPr>
            <w:tcW w:w="408" w:type="pct"/>
            <w:tcBorders>
              <w:top w:val="dotted" w:sz="4" w:space="0" w:color="auto"/>
              <w:left w:val="nil"/>
              <w:bottom w:val="single" w:sz="4" w:space="0" w:color="auto"/>
              <w:right w:val="single" w:sz="8" w:space="0" w:color="auto"/>
            </w:tcBorders>
            <w:vAlign w:val="center"/>
          </w:tcPr>
          <w:p w14:paraId="42EC0547" w14:textId="62A1D01D" w:rsidR="00B64107" w:rsidRPr="00D479B3" w:rsidRDefault="00B64107">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 xml:space="preserve">93, </w:t>
            </w:r>
            <w:r w:rsidRPr="00D479B3">
              <w:rPr>
                <w:rFonts w:ascii="Calibri" w:eastAsia="Times New Roman" w:hAnsi="Calibri" w:cs="Calibri"/>
                <w:color w:val="A02B93" w:themeColor="accent5"/>
                <w:kern w:val="0"/>
                <w:sz w:val="18"/>
                <w:szCs w:val="18"/>
                <w:lang w:eastAsia="en-AU"/>
                <w14:ligatures w14:val="none"/>
              </w:rPr>
              <w:t>70</w:t>
            </w:r>
            <w:r w:rsidRPr="00D479B3">
              <w:rPr>
                <w:rFonts w:ascii="Calibri" w:eastAsia="Times New Roman" w:hAnsi="Calibri" w:cs="Calibri"/>
                <w:color w:val="0F9ED5" w:themeColor="accent4"/>
                <w:kern w:val="0"/>
                <w:sz w:val="18"/>
                <w:szCs w:val="18"/>
                <w:lang w:eastAsia="en-AU"/>
                <w14:ligatures w14:val="none"/>
              </w:rPr>
              <w:t xml:space="preserve"> </w:t>
            </w:r>
            <w:r w:rsidRPr="00D479B3">
              <w:rPr>
                <w:rFonts w:ascii="Calibri" w:eastAsia="Times New Roman" w:hAnsi="Calibri" w:cs="Calibri"/>
                <w:i/>
                <w:iCs/>
                <w:color w:val="000000"/>
                <w:kern w:val="0"/>
                <w:sz w:val="18"/>
                <w:szCs w:val="18"/>
                <w:lang w:eastAsia="en-AU"/>
                <w14:ligatures w14:val="none"/>
              </w:rPr>
              <w:t>(82)</w:t>
            </w:r>
          </w:p>
        </w:tc>
        <w:tc>
          <w:tcPr>
            <w:tcW w:w="407" w:type="pct"/>
            <w:tcBorders>
              <w:top w:val="dotted" w:sz="4" w:space="0" w:color="auto"/>
              <w:left w:val="nil"/>
              <w:bottom w:val="single" w:sz="4" w:space="0" w:color="auto"/>
              <w:right w:val="dotted" w:sz="4" w:space="0" w:color="auto"/>
            </w:tcBorders>
            <w:vAlign w:val="center"/>
          </w:tcPr>
          <w:p w14:paraId="2C8E0259" w14:textId="261A1A79" w:rsidR="00B64107" w:rsidRPr="00D479B3" w:rsidRDefault="00B64107">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A02B93" w:themeColor="accent5"/>
                <w:kern w:val="0"/>
                <w:sz w:val="18"/>
                <w:szCs w:val="18"/>
                <w:lang w:eastAsia="en-AU"/>
                <w14:ligatures w14:val="none"/>
              </w:rPr>
              <w:t>119</w:t>
            </w:r>
            <w:r w:rsidRPr="00D479B3">
              <w:rPr>
                <w:rFonts w:ascii="Calibri" w:eastAsia="Times New Roman" w:hAnsi="Calibri" w:cs="Calibri"/>
                <w:color w:val="0B769F" w:themeColor="accent4" w:themeShade="BF"/>
                <w:kern w:val="0"/>
                <w:sz w:val="18"/>
                <w:szCs w:val="18"/>
                <w:lang w:eastAsia="en-AU"/>
                <w14:ligatures w14:val="none"/>
              </w:rPr>
              <w:t>,</w:t>
            </w:r>
            <w:r w:rsidRPr="00D479B3">
              <w:rPr>
                <w:rFonts w:ascii="Calibri" w:eastAsia="Times New Roman" w:hAnsi="Calibri" w:cs="Calibri"/>
                <w:i/>
                <w:iCs/>
                <w:kern w:val="0"/>
                <w:sz w:val="18"/>
                <w:szCs w:val="18"/>
                <w:lang w:eastAsia="en-AU"/>
                <w14:ligatures w14:val="none"/>
              </w:rPr>
              <w:t xml:space="preserve"> 77 (98)</w:t>
            </w:r>
          </w:p>
        </w:tc>
        <w:tc>
          <w:tcPr>
            <w:tcW w:w="458" w:type="pct"/>
            <w:tcBorders>
              <w:top w:val="dotted" w:sz="4" w:space="0" w:color="auto"/>
              <w:left w:val="dotted" w:sz="4" w:space="0" w:color="auto"/>
              <w:bottom w:val="single" w:sz="4" w:space="0" w:color="auto"/>
              <w:right w:val="dotted" w:sz="4" w:space="0" w:color="auto"/>
            </w:tcBorders>
            <w:vAlign w:val="center"/>
          </w:tcPr>
          <w:p w14:paraId="775091AA" w14:textId="271E0A84" w:rsidR="00B64107" w:rsidRPr="00D479B3" w:rsidRDefault="00B64107">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105,</w:t>
            </w:r>
            <w:r w:rsidRPr="00D479B3">
              <w:rPr>
                <w:rFonts w:ascii="Calibri" w:eastAsia="Times New Roman" w:hAnsi="Calibri" w:cs="Calibri"/>
                <w:i/>
                <w:iCs/>
                <w:color w:val="000000"/>
                <w:kern w:val="0"/>
                <w:sz w:val="18"/>
                <w:szCs w:val="18"/>
                <w:lang w:eastAsia="en-AU"/>
                <w14:ligatures w14:val="none"/>
              </w:rPr>
              <w:t xml:space="preserve"> </w:t>
            </w:r>
            <w:r w:rsidRPr="00D479B3">
              <w:rPr>
                <w:rFonts w:ascii="Calibri" w:eastAsia="Times New Roman" w:hAnsi="Calibri" w:cs="Calibri"/>
                <w:color w:val="A02B93" w:themeColor="accent5"/>
                <w:kern w:val="0"/>
                <w:sz w:val="18"/>
                <w:szCs w:val="18"/>
                <w:lang w:eastAsia="en-AU"/>
                <w14:ligatures w14:val="none"/>
              </w:rPr>
              <w:t>81</w:t>
            </w:r>
            <w:r w:rsidRPr="00D479B3">
              <w:rPr>
                <w:rFonts w:ascii="Calibri" w:eastAsia="Times New Roman" w:hAnsi="Calibri" w:cs="Calibri"/>
                <w:i/>
                <w:iCs/>
                <w:color w:val="000000"/>
                <w:kern w:val="0"/>
                <w:sz w:val="18"/>
                <w:szCs w:val="18"/>
                <w:lang w:eastAsia="en-AU"/>
                <w14:ligatures w14:val="none"/>
              </w:rPr>
              <w:t xml:space="preserve"> (93)</w:t>
            </w:r>
          </w:p>
        </w:tc>
        <w:tc>
          <w:tcPr>
            <w:tcW w:w="459" w:type="pct"/>
            <w:tcBorders>
              <w:top w:val="dotted" w:sz="4" w:space="0" w:color="auto"/>
              <w:left w:val="dotted" w:sz="4" w:space="0" w:color="auto"/>
              <w:bottom w:val="single" w:sz="4" w:space="0" w:color="auto"/>
              <w:right w:val="dotted" w:sz="4" w:space="0" w:color="auto"/>
            </w:tcBorders>
            <w:vAlign w:val="center"/>
          </w:tcPr>
          <w:p w14:paraId="32A3CA38" w14:textId="0B9BE1DA" w:rsidR="00B64107" w:rsidRPr="00D479B3" w:rsidRDefault="00B64107">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93,</w:t>
            </w:r>
            <w:r w:rsidRPr="00D479B3">
              <w:rPr>
                <w:rFonts w:ascii="Calibri" w:eastAsia="Times New Roman" w:hAnsi="Calibri" w:cs="Calibri"/>
                <w:i/>
                <w:iCs/>
                <w:color w:val="000000"/>
                <w:kern w:val="0"/>
                <w:sz w:val="18"/>
                <w:szCs w:val="18"/>
                <w:lang w:eastAsia="en-AU"/>
                <w14:ligatures w14:val="none"/>
              </w:rPr>
              <w:t xml:space="preserve"> </w:t>
            </w:r>
            <w:r w:rsidRPr="00D479B3">
              <w:rPr>
                <w:rFonts w:ascii="Calibri" w:eastAsia="Times New Roman" w:hAnsi="Calibri" w:cs="Calibri"/>
                <w:color w:val="A02B93" w:themeColor="accent5"/>
                <w:kern w:val="0"/>
                <w:sz w:val="18"/>
                <w:szCs w:val="18"/>
                <w:lang w:eastAsia="en-AU"/>
                <w14:ligatures w14:val="none"/>
              </w:rPr>
              <w:t>79</w:t>
            </w:r>
            <w:r w:rsidRPr="00D479B3">
              <w:rPr>
                <w:rFonts w:ascii="Calibri" w:eastAsia="Times New Roman" w:hAnsi="Calibri" w:cs="Calibri"/>
                <w:i/>
                <w:iCs/>
                <w:color w:val="000000"/>
                <w:kern w:val="0"/>
                <w:sz w:val="18"/>
                <w:szCs w:val="18"/>
                <w:lang w:eastAsia="en-AU"/>
                <w14:ligatures w14:val="none"/>
              </w:rPr>
              <w:t xml:space="preserve"> (86)</w:t>
            </w:r>
          </w:p>
        </w:tc>
        <w:tc>
          <w:tcPr>
            <w:tcW w:w="369" w:type="pct"/>
            <w:tcBorders>
              <w:top w:val="dotted" w:sz="4" w:space="0" w:color="auto"/>
              <w:left w:val="dotted" w:sz="4" w:space="0" w:color="auto"/>
              <w:bottom w:val="single" w:sz="4" w:space="0" w:color="auto"/>
              <w:right w:val="single" w:sz="8" w:space="0" w:color="auto"/>
            </w:tcBorders>
            <w:vAlign w:val="center"/>
          </w:tcPr>
          <w:p w14:paraId="2556A0BE" w14:textId="77777777" w:rsidR="00B64107" w:rsidRPr="00D479B3" w:rsidRDefault="00B64107">
            <w:pPr>
              <w:spacing w:after="0" w:line="240" w:lineRule="auto"/>
              <w:jc w:val="center"/>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w:t>
            </w:r>
          </w:p>
        </w:tc>
      </w:tr>
      <w:tr w:rsidR="0013075A" w:rsidRPr="00D479B3" w14:paraId="636B4546" w14:textId="77777777" w:rsidTr="0013075A">
        <w:trPr>
          <w:trHeight w:val="377"/>
        </w:trPr>
        <w:tc>
          <w:tcPr>
            <w:tcW w:w="1066" w:type="pct"/>
            <w:tcBorders>
              <w:top w:val="nil"/>
              <w:left w:val="single" w:sz="8" w:space="0" w:color="auto"/>
              <w:bottom w:val="dotted" w:sz="4" w:space="0" w:color="auto"/>
              <w:right w:val="single" w:sz="8" w:space="0" w:color="auto"/>
            </w:tcBorders>
            <w:shd w:val="clear" w:color="auto" w:fill="C1F0C7" w:themeFill="accent3" w:themeFillTint="33"/>
            <w:vAlign w:val="center"/>
            <w:hideMark/>
          </w:tcPr>
          <w:p w14:paraId="7C864A50" w14:textId="77777777" w:rsidR="003F2E8A" w:rsidRPr="00D479B3" w:rsidRDefault="003F2E8A">
            <w:pPr>
              <w:spacing w:after="0" w:line="240" w:lineRule="auto"/>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 xml:space="preserve">New Zealand </w:t>
            </w:r>
          </w:p>
          <w:p w14:paraId="3C530A11" w14:textId="632B8F22" w:rsidR="003F2E8A" w:rsidRPr="00D479B3" w:rsidRDefault="00440676">
            <w:pPr>
              <w:spacing w:after="0" w:line="240" w:lineRule="auto"/>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i/>
                <w:iCs/>
                <w:color w:val="000000"/>
                <w:kern w:val="0"/>
                <w:sz w:val="16"/>
                <w:szCs w:val="16"/>
                <w:lang w:eastAsia="en-AU"/>
                <w14:ligatures w14:val="none"/>
              </w:rPr>
              <w:t>(</w:t>
            </w:r>
            <w:r w:rsidR="00FF63C1" w:rsidRPr="00D479B3">
              <w:rPr>
                <w:rFonts w:ascii="Calibri" w:eastAsia="Times New Roman" w:hAnsi="Calibri" w:cs="Calibri"/>
                <w:i/>
                <w:iCs/>
                <w:color w:val="000000"/>
                <w:kern w:val="0"/>
                <w:sz w:val="16"/>
                <w:szCs w:val="16"/>
                <w:lang w:eastAsia="en-AU"/>
                <w14:ligatures w14:val="none"/>
              </w:rPr>
              <w:t>food only</w:t>
            </w:r>
            <w:r w:rsidRPr="00D479B3">
              <w:rPr>
                <w:rFonts w:ascii="Calibri" w:eastAsia="Times New Roman" w:hAnsi="Calibri" w:cs="Calibri"/>
                <w:i/>
                <w:iCs/>
                <w:color w:val="000000"/>
                <w:kern w:val="0"/>
                <w:sz w:val="16"/>
                <w:szCs w:val="16"/>
                <w:lang w:eastAsia="en-AU"/>
                <w14:ligatures w14:val="none"/>
              </w:rPr>
              <w:t>)</w:t>
            </w:r>
          </w:p>
        </w:tc>
        <w:tc>
          <w:tcPr>
            <w:tcW w:w="510" w:type="pct"/>
            <w:tcBorders>
              <w:top w:val="single" w:sz="4" w:space="0" w:color="auto"/>
              <w:left w:val="nil"/>
              <w:bottom w:val="dotted" w:sz="4" w:space="0" w:color="auto"/>
              <w:right w:val="dotted" w:sz="4" w:space="0" w:color="auto"/>
            </w:tcBorders>
            <w:shd w:val="clear" w:color="auto" w:fill="C1F0C7" w:themeFill="accent3" w:themeFillTint="33"/>
            <w:vAlign w:val="center"/>
            <w:hideMark/>
          </w:tcPr>
          <w:p w14:paraId="58B60611" w14:textId="77777777" w:rsidR="003F2E8A" w:rsidRPr="00D479B3" w:rsidRDefault="003F2E8A">
            <w:pPr>
              <w:spacing w:after="0" w:line="240" w:lineRule="auto"/>
              <w:jc w:val="center"/>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&lt;5</w:t>
            </w:r>
          </w:p>
        </w:tc>
        <w:tc>
          <w:tcPr>
            <w:tcW w:w="458" w:type="pct"/>
            <w:tcBorders>
              <w:top w:val="single" w:sz="4" w:space="0" w:color="auto"/>
              <w:left w:val="nil"/>
              <w:bottom w:val="dotted" w:sz="4" w:space="0" w:color="auto"/>
              <w:right w:val="dotted" w:sz="4" w:space="0" w:color="auto"/>
            </w:tcBorders>
            <w:shd w:val="clear" w:color="auto" w:fill="C1F0C7" w:themeFill="accent3" w:themeFillTint="33"/>
            <w:vAlign w:val="center"/>
            <w:hideMark/>
          </w:tcPr>
          <w:p w14:paraId="5A13967C" w14:textId="77777777" w:rsidR="003F2E8A" w:rsidRPr="00D479B3" w:rsidRDefault="003F2E8A">
            <w:pPr>
              <w:spacing w:after="0" w:line="240" w:lineRule="auto"/>
              <w:jc w:val="center"/>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5-6yrs</w:t>
            </w:r>
          </w:p>
        </w:tc>
        <w:tc>
          <w:tcPr>
            <w:tcW w:w="458" w:type="pct"/>
            <w:tcBorders>
              <w:top w:val="single" w:sz="4" w:space="0" w:color="auto"/>
              <w:left w:val="nil"/>
              <w:bottom w:val="dotted" w:sz="4" w:space="0" w:color="auto"/>
              <w:right w:val="single" w:sz="8" w:space="0" w:color="auto"/>
            </w:tcBorders>
            <w:shd w:val="clear" w:color="auto" w:fill="C1F0C7" w:themeFill="accent3" w:themeFillTint="33"/>
            <w:vAlign w:val="center"/>
            <w:hideMark/>
          </w:tcPr>
          <w:p w14:paraId="3C810ADC" w14:textId="77777777" w:rsidR="003F2E8A" w:rsidRPr="00D479B3" w:rsidRDefault="003F2E8A">
            <w:pPr>
              <w:spacing w:after="0" w:line="240" w:lineRule="auto"/>
              <w:jc w:val="center"/>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7-10yrs</w:t>
            </w:r>
          </w:p>
        </w:tc>
        <w:tc>
          <w:tcPr>
            <w:tcW w:w="407" w:type="pct"/>
            <w:tcBorders>
              <w:top w:val="single" w:sz="4" w:space="0" w:color="auto"/>
              <w:left w:val="nil"/>
              <w:bottom w:val="dotted" w:sz="4" w:space="0" w:color="auto"/>
              <w:right w:val="dotted" w:sz="4" w:space="0" w:color="auto"/>
            </w:tcBorders>
            <w:shd w:val="clear" w:color="auto" w:fill="C1F0C7" w:themeFill="accent3" w:themeFillTint="33"/>
            <w:vAlign w:val="center"/>
            <w:hideMark/>
          </w:tcPr>
          <w:p w14:paraId="3D8A5E68" w14:textId="77777777" w:rsidR="003F2E8A" w:rsidRPr="00D479B3" w:rsidRDefault="003F2E8A">
            <w:pPr>
              <w:spacing w:after="0" w:line="240" w:lineRule="auto"/>
              <w:jc w:val="center"/>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11-14yrs</w:t>
            </w:r>
          </w:p>
        </w:tc>
        <w:tc>
          <w:tcPr>
            <w:tcW w:w="408" w:type="pct"/>
            <w:tcBorders>
              <w:top w:val="single" w:sz="4" w:space="0" w:color="auto"/>
              <w:left w:val="nil"/>
              <w:bottom w:val="dotted" w:sz="4" w:space="0" w:color="auto"/>
              <w:right w:val="single" w:sz="8" w:space="0" w:color="auto"/>
            </w:tcBorders>
            <w:shd w:val="clear" w:color="auto" w:fill="C1F0C7" w:themeFill="accent3" w:themeFillTint="33"/>
            <w:vAlign w:val="center"/>
            <w:hideMark/>
          </w:tcPr>
          <w:p w14:paraId="00549660" w14:textId="77777777" w:rsidR="003F2E8A" w:rsidRPr="00D479B3" w:rsidRDefault="003F2E8A">
            <w:pPr>
              <w:spacing w:after="0" w:line="240" w:lineRule="auto"/>
              <w:jc w:val="center"/>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15-18yrs</w:t>
            </w:r>
          </w:p>
        </w:tc>
        <w:tc>
          <w:tcPr>
            <w:tcW w:w="407" w:type="pct"/>
            <w:tcBorders>
              <w:top w:val="single" w:sz="4" w:space="0" w:color="auto"/>
              <w:left w:val="nil"/>
              <w:bottom w:val="dotted" w:sz="4" w:space="0" w:color="auto"/>
              <w:right w:val="dotted" w:sz="4" w:space="0" w:color="auto"/>
            </w:tcBorders>
            <w:shd w:val="clear" w:color="auto" w:fill="C1F0C7" w:themeFill="accent3" w:themeFillTint="33"/>
            <w:vAlign w:val="center"/>
            <w:hideMark/>
          </w:tcPr>
          <w:p w14:paraId="48198524" w14:textId="77777777" w:rsidR="003F2E8A" w:rsidRPr="00D479B3" w:rsidRDefault="003F2E8A">
            <w:pPr>
              <w:spacing w:after="0" w:line="240" w:lineRule="auto"/>
              <w:jc w:val="center"/>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19-30yrs</w:t>
            </w:r>
          </w:p>
        </w:tc>
        <w:tc>
          <w:tcPr>
            <w:tcW w:w="458" w:type="pct"/>
            <w:tcBorders>
              <w:top w:val="single" w:sz="4" w:space="0" w:color="auto"/>
              <w:left w:val="nil"/>
              <w:bottom w:val="dotted" w:sz="4" w:space="0" w:color="auto"/>
              <w:right w:val="dotted" w:sz="4" w:space="0" w:color="auto"/>
            </w:tcBorders>
            <w:shd w:val="clear" w:color="auto" w:fill="C1F0C7" w:themeFill="accent3" w:themeFillTint="33"/>
            <w:vAlign w:val="center"/>
            <w:hideMark/>
          </w:tcPr>
          <w:p w14:paraId="16158CA0" w14:textId="77777777" w:rsidR="003F2E8A" w:rsidRPr="00D479B3" w:rsidRDefault="003F2E8A">
            <w:pPr>
              <w:spacing w:after="0" w:line="240" w:lineRule="auto"/>
              <w:jc w:val="center"/>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31-50yrs</w:t>
            </w:r>
          </w:p>
        </w:tc>
        <w:tc>
          <w:tcPr>
            <w:tcW w:w="459" w:type="pct"/>
            <w:tcBorders>
              <w:top w:val="single" w:sz="4" w:space="0" w:color="auto"/>
              <w:left w:val="nil"/>
              <w:bottom w:val="dotted" w:sz="4" w:space="0" w:color="auto"/>
              <w:right w:val="dotted" w:sz="4" w:space="0" w:color="auto"/>
            </w:tcBorders>
            <w:shd w:val="clear" w:color="auto" w:fill="C1F0C7" w:themeFill="accent3" w:themeFillTint="33"/>
            <w:vAlign w:val="center"/>
            <w:hideMark/>
          </w:tcPr>
          <w:p w14:paraId="53C0901E" w14:textId="77777777" w:rsidR="003F2E8A" w:rsidRPr="00D479B3" w:rsidRDefault="003F2E8A">
            <w:pPr>
              <w:spacing w:after="0" w:line="240" w:lineRule="auto"/>
              <w:jc w:val="center"/>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51-70yrs</w:t>
            </w:r>
          </w:p>
        </w:tc>
        <w:tc>
          <w:tcPr>
            <w:tcW w:w="369" w:type="pct"/>
            <w:tcBorders>
              <w:top w:val="single" w:sz="4" w:space="0" w:color="auto"/>
              <w:left w:val="nil"/>
              <w:bottom w:val="dotted" w:sz="4" w:space="0" w:color="auto"/>
              <w:right w:val="single" w:sz="8" w:space="0" w:color="auto"/>
            </w:tcBorders>
            <w:shd w:val="clear" w:color="auto" w:fill="C1F0C7" w:themeFill="accent3" w:themeFillTint="33"/>
            <w:vAlign w:val="center"/>
            <w:hideMark/>
          </w:tcPr>
          <w:p w14:paraId="1D65BF5E" w14:textId="2522ADE3" w:rsidR="003F2E8A" w:rsidRPr="00D479B3" w:rsidRDefault="00B6288E">
            <w:pPr>
              <w:spacing w:after="0" w:line="240" w:lineRule="auto"/>
              <w:jc w:val="center"/>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7</w:t>
            </w:r>
            <w:r w:rsidR="00A1739E" w:rsidRPr="00D479B3">
              <w:rPr>
                <w:rFonts w:ascii="Calibri" w:eastAsia="Times New Roman" w:hAnsi="Calibri" w:cs="Calibri"/>
                <w:b/>
                <w:bCs/>
                <w:color w:val="000000"/>
                <w:kern w:val="0"/>
                <w:sz w:val="18"/>
                <w:szCs w:val="18"/>
                <w:lang w:eastAsia="en-AU"/>
                <w14:ligatures w14:val="none"/>
              </w:rPr>
              <w:t>1</w:t>
            </w:r>
            <w:r w:rsidRPr="00D479B3">
              <w:rPr>
                <w:rFonts w:ascii="Calibri" w:eastAsia="Times New Roman" w:hAnsi="Calibri" w:cs="Calibri"/>
                <w:b/>
                <w:bCs/>
                <w:color w:val="000000"/>
                <w:kern w:val="0"/>
                <w:sz w:val="18"/>
                <w:szCs w:val="18"/>
                <w:lang w:eastAsia="en-AU"/>
                <w14:ligatures w14:val="none"/>
              </w:rPr>
              <w:t>+yrs</w:t>
            </w:r>
          </w:p>
        </w:tc>
      </w:tr>
      <w:tr w:rsidR="0013075A" w:rsidRPr="00D479B3" w14:paraId="3F7DE802" w14:textId="77777777" w:rsidTr="0013075A">
        <w:trPr>
          <w:trHeight w:val="288"/>
        </w:trPr>
        <w:tc>
          <w:tcPr>
            <w:tcW w:w="1066" w:type="pct"/>
            <w:tcBorders>
              <w:top w:val="nil"/>
              <w:left w:val="single" w:sz="8" w:space="0" w:color="auto"/>
              <w:bottom w:val="nil"/>
              <w:right w:val="single" w:sz="8" w:space="0" w:color="auto"/>
            </w:tcBorders>
            <w:shd w:val="clear" w:color="auto" w:fill="C1F0C7" w:themeFill="accent3" w:themeFillTint="33"/>
            <w:vAlign w:val="center"/>
            <w:hideMark/>
          </w:tcPr>
          <w:p w14:paraId="254D7D40" w14:textId="77777777" w:rsidR="003F2E8A" w:rsidRPr="00D479B3" w:rsidRDefault="003F2E8A">
            <w:pPr>
              <w:spacing w:after="0" w:line="240" w:lineRule="auto"/>
              <w:jc w:val="right"/>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TOTAL</w:t>
            </w:r>
          </w:p>
        </w:tc>
        <w:tc>
          <w:tcPr>
            <w:tcW w:w="510" w:type="pct"/>
            <w:tcBorders>
              <w:top w:val="nil"/>
              <w:left w:val="nil"/>
              <w:bottom w:val="dotted" w:sz="4" w:space="0" w:color="auto"/>
              <w:right w:val="dotted" w:sz="4" w:space="0" w:color="auto"/>
            </w:tcBorders>
            <w:vAlign w:val="center"/>
            <w:hideMark/>
          </w:tcPr>
          <w:p w14:paraId="28CACC87" w14:textId="77777777" w:rsidR="003F2E8A" w:rsidRPr="00D479B3" w:rsidRDefault="003F2E8A">
            <w:pPr>
              <w:spacing w:after="0" w:line="240" w:lineRule="auto"/>
              <w:jc w:val="center"/>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w:t>
            </w:r>
          </w:p>
        </w:tc>
        <w:tc>
          <w:tcPr>
            <w:tcW w:w="458" w:type="pct"/>
            <w:tcBorders>
              <w:top w:val="nil"/>
              <w:left w:val="nil"/>
              <w:bottom w:val="dotted" w:sz="4" w:space="0" w:color="auto"/>
              <w:right w:val="dotted" w:sz="4" w:space="0" w:color="auto"/>
            </w:tcBorders>
            <w:vAlign w:val="center"/>
            <w:hideMark/>
          </w:tcPr>
          <w:p w14:paraId="07152D70" w14:textId="55673D83" w:rsidR="003F2E8A" w:rsidRPr="00D479B3" w:rsidRDefault="0067041A">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 xml:space="preserve">31, </w:t>
            </w:r>
            <w:r w:rsidR="009700CF" w:rsidRPr="00D479B3">
              <w:rPr>
                <w:rFonts w:ascii="Calibri" w:eastAsia="Times New Roman" w:hAnsi="Calibri" w:cs="Calibri"/>
                <w:color w:val="A02B93" w:themeColor="accent5"/>
                <w:kern w:val="0"/>
                <w:sz w:val="18"/>
                <w:szCs w:val="18"/>
                <w:lang w:eastAsia="en-AU"/>
                <w14:ligatures w14:val="none"/>
              </w:rPr>
              <w:t>26</w:t>
            </w:r>
            <w:r w:rsidR="00F31BDD" w:rsidRPr="00D479B3">
              <w:rPr>
                <w:rFonts w:ascii="Calibri" w:eastAsia="Times New Roman" w:hAnsi="Calibri" w:cs="Calibri"/>
                <w:i/>
                <w:iCs/>
                <w:color w:val="000000"/>
                <w:kern w:val="0"/>
                <w:sz w:val="18"/>
                <w:szCs w:val="18"/>
                <w:lang w:eastAsia="en-AU"/>
                <w14:ligatures w14:val="none"/>
              </w:rPr>
              <w:t xml:space="preserve"> </w:t>
            </w:r>
            <w:r w:rsidR="001C4EF8" w:rsidRPr="00D479B3">
              <w:rPr>
                <w:rFonts w:ascii="Calibri" w:eastAsia="Times New Roman" w:hAnsi="Calibri" w:cs="Calibri"/>
                <w:i/>
                <w:iCs/>
                <w:color w:val="000000"/>
                <w:kern w:val="0"/>
                <w:sz w:val="18"/>
                <w:szCs w:val="18"/>
                <w:lang w:eastAsia="en-AU"/>
                <w14:ligatures w14:val="none"/>
              </w:rPr>
              <w:t>(</w:t>
            </w:r>
            <w:r w:rsidR="003F2E8A" w:rsidRPr="00D479B3">
              <w:rPr>
                <w:rFonts w:ascii="Calibri" w:eastAsia="Times New Roman" w:hAnsi="Calibri" w:cs="Calibri"/>
                <w:i/>
                <w:iCs/>
                <w:color w:val="000000"/>
                <w:kern w:val="0"/>
                <w:sz w:val="18"/>
                <w:szCs w:val="18"/>
                <w:lang w:eastAsia="en-AU"/>
                <w14:ligatures w14:val="none"/>
              </w:rPr>
              <w:t>28</w:t>
            </w:r>
            <w:r w:rsidR="001C4EF8" w:rsidRPr="00D479B3">
              <w:rPr>
                <w:rFonts w:ascii="Calibri" w:eastAsia="Times New Roman" w:hAnsi="Calibri" w:cs="Calibri"/>
                <w:i/>
                <w:iCs/>
                <w:color w:val="000000"/>
                <w:kern w:val="0"/>
                <w:sz w:val="18"/>
                <w:szCs w:val="18"/>
                <w:lang w:eastAsia="en-AU"/>
                <w14:ligatures w14:val="none"/>
              </w:rPr>
              <w:t>)</w:t>
            </w:r>
          </w:p>
        </w:tc>
        <w:tc>
          <w:tcPr>
            <w:tcW w:w="458" w:type="pct"/>
            <w:tcBorders>
              <w:top w:val="nil"/>
              <w:left w:val="nil"/>
              <w:bottom w:val="dotted" w:sz="4" w:space="0" w:color="auto"/>
              <w:right w:val="single" w:sz="8" w:space="0" w:color="auto"/>
            </w:tcBorders>
            <w:vAlign w:val="center"/>
            <w:hideMark/>
          </w:tcPr>
          <w:p w14:paraId="527CE5B9" w14:textId="2A71B1FB" w:rsidR="003F2E8A" w:rsidRPr="00D479B3" w:rsidRDefault="002B287A">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3</w:t>
            </w:r>
            <w:r w:rsidR="00EE591D" w:rsidRPr="00D479B3">
              <w:rPr>
                <w:rFonts w:ascii="Calibri" w:eastAsia="Times New Roman" w:hAnsi="Calibri" w:cs="Calibri"/>
                <w:color w:val="0B769F" w:themeColor="accent4" w:themeShade="BF"/>
                <w:kern w:val="0"/>
                <w:sz w:val="18"/>
                <w:szCs w:val="18"/>
                <w:lang w:eastAsia="en-AU"/>
                <w14:ligatures w14:val="none"/>
              </w:rPr>
              <w:t>7</w:t>
            </w:r>
            <w:r w:rsidRPr="00D479B3">
              <w:rPr>
                <w:rFonts w:ascii="Calibri" w:eastAsia="Times New Roman" w:hAnsi="Calibri" w:cs="Calibri"/>
                <w:color w:val="0B769F" w:themeColor="accent4" w:themeShade="BF"/>
                <w:kern w:val="0"/>
                <w:sz w:val="18"/>
                <w:szCs w:val="18"/>
                <w:lang w:eastAsia="en-AU"/>
                <w14:ligatures w14:val="none"/>
              </w:rPr>
              <w:t>,</w:t>
            </w:r>
            <w:r w:rsidRPr="00D479B3">
              <w:rPr>
                <w:rFonts w:ascii="Calibri" w:eastAsia="Times New Roman" w:hAnsi="Calibri" w:cs="Calibri"/>
                <w:color w:val="A02B93" w:themeColor="accent5"/>
                <w:kern w:val="0"/>
                <w:sz w:val="18"/>
                <w:szCs w:val="18"/>
                <w:lang w:eastAsia="en-AU"/>
                <w14:ligatures w14:val="none"/>
              </w:rPr>
              <w:t xml:space="preserve"> </w:t>
            </w:r>
            <w:r w:rsidR="00D57EE2" w:rsidRPr="00D479B3">
              <w:rPr>
                <w:rFonts w:ascii="Calibri" w:eastAsia="Times New Roman" w:hAnsi="Calibri" w:cs="Calibri"/>
                <w:color w:val="A02B93" w:themeColor="accent5"/>
                <w:kern w:val="0"/>
                <w:sz w:val="18"/>
                <w:szCs w:val="18"/>
                <w:lang w:eastAsia="en-AU"/>
                <w14:ligatures w14:val="none"/>
              </w:rPr>
              <w:t xml:space="preserve">33 </w:t>
            </w:r>
            <w:r w:rsidR="001C4EF8" w:rsidRPr="00D479B3">
              <w:rPr>
                <w:rFonts w:ascii="Calibri" w:eastAsia="Times New Roman" w:hAnsi="Calibri" w:cs="Calibri"/>
                <w:i/>
                <w:iCs/>
                <w:color w:val="000000"/>
                <w:kern w:val="0"/>
                <w:sz w:val="18"/>
                <w:szCs w:val="18"/>
                <w:lang w:eastAsia="en-AU"/>
                <w14:ligatures w14:val="none"/>
              </w:rPr>
              <w:t>(</w:t>
            </w:r>
            <w:r w:rsidR="003F2E8A" w:rsidRPr="00D479B3">
              <w:rPr>
                <w:rFonts w:ascii="Calibri" w:eastAsia="Times New Roman" w:hAnsi="Calibri" w:cs="Calibri"/>
                <w:i/>
                <w:iCs/>
                <w:color w:val="000000"/>
                <w:kern w:val="0"/>
                <w:sz w:val="18"/>
                <w:szCs w:val="18"/>
                <w:lang w:eastAsia="en-AU"/>
                <w14:ligatures w14:val="none"/>
              </w:rPr>
              <w:t>35</w:t>
            </w:r>
            <w:r w:rsidR="00601B3E" w:rsidRPr="00D479B3">
              <w:rPr>
                <w:rFonts w:ascii="Calibri" w:eastAsia="Times New Roman" w:hAnsi="Calibri" w:cs="Calibri"/>
                <w:i/>
                <w:iCs/>
                <w:color w:val="000000"/>
                <w:kern w:val="0"/>
                <w:sz w:val="18"/>
                <w:szCs w:val="18"/>
                <w:lang w:eastAsia="en-AU"/>
                <w14:ligatures w14:val="none"/>
              </w:rPr>
              <w:t>)</w:t>
            </w:r>
          </w:p>
        </w:tc>
        <w:tc>
          <w:tcPr>
            <w:tcW w:w="407" w:type="pct"/>
            <w:tcBorders>
              <w:top w:val="nil"/>
              <w:left w:val="nil"/>
              <w:bottom w:val="dotted" w:sz="4" w:space="0" w:color="auto"/>
              <w:right w:val="dotted" w:sz="4" w:space="0" w:color="auto"/>
            </w:tcBorders>
            <w:vAlign w:val="center"/>
            <w:hideMark/>
          </w:tcPr>
          <w:p w14:paraId="1C85C15A" w14:textId="6A0B613C" w:rsidR="003F2E8A" w:rsidRPr="00D479B3" w:rsidRDefault="0057556E">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 xml:space="preserve">49, </w:t>
            </w:r>
            <w:r w:rsidR="00AE5F2F" w:rsidRPr="00D479B3">
              <w:rPr>
                <w:rFonts w:ascii="Calibri" w:eastAsia="Times New Roman" w:hAnsi="Calibri" w:cs="Calibri"/>
                <w:color w:val="A02B93" w:themeColor="accent5"/>
                <w:kern w:val="0"/>
                <w:sz w:val="18"/>
                <w:szCs w:val="18"/>
                <w:lang w:eastAsia="en-AU"/>
                <w14:ligatures w14:val="none"/>
              </w:rPr>
              <w:t>36</w:t>
            </w:r>
            <w:r w:rsidR="00AE5F2F" w:rsidRPr="00D479B3">
              <w:rPr>
                <w:rFonts w:ascii="Calibri" w:eastAsia="Times New Roman" w:hAnsi="Calibri" w:cs="Calibri"/>
                <w:i/>
                <w:iCs/>
                <w:color w:val="000000"/>
                <w:kern w:val="0"/>
                <w:sz w:val="18"/>
                <w:szCs w:val="18"/>
                <w:lang w:eastAsia="en-AU"/>
                <w14:ligatures w14:val="none"/>
              </w:rPr>
              <w:t xml:space="preserve"> </w:t>
            </w:r>
            <w:r w:rsidR="00601B3E" w:rsidRPr="00D479B3">
              <w:rPr>
                <w:rFonts w:ascii="Calibri" w:eastAsia="Times New Roman" w:hAnsi="Calibri" w:cs="Calibri"/>
                <w:i/>
                <w:iCs/>
                <w:color w:val="000000"/>
                <w:kern w:val="0"/>
                <w:sz w:val="18"/>
                <w:szCs w:val="18"/>
                <w:lang w:eastAsia="en-AU"/>
                <w14:ligatures w14:val="none"/>
              </w:rPr>
              <w:t>(</w:t>
            </w:r>
            <w:r w:rsidR="003F2E8A" w:rsidRPr="00D479B3">
              <w:rPr>
                <w:rFonts w:ascii="Calibri" w:eastAsia="Times New Roman" w:hAnsi="Calibri" w:cs="Calibri"/>
                <w:i/>
                <w:iCs/>
                <w:color w:val="000000"/>
                <w:kern w:val="0"/>
                <w:sz w:val="18"/>
                <w:szCs w:val="18"/>
                <w:lang w:eastAsia="en-AU"/>
                <w14:ligatures w14:val="none"/>
              </w:rPr>
              <w:t>43</w:t>
            </w:r>
            <w:r w:rsidR="00601B3E" w:rsidRPr="00D479B3">
              <w:rPr>
                <w:rFonts w:ascii="Calibri" w:eastAsia="Times New Roman" w:hAnsi="Calibri" w:cs="Calibri"/>
                <w:i/>
                <w:iCs/>
                <w:color w:val="000000"/>
                <w:kern w:val="0"/>
                <w:sz w:val="18"/>
                <w:szCs w:val="18"/>
                <w:lang w:eastAsia="en-AU"/>
                <w14:ligatures w14:val="none"/>
              </w:rPr>
              <w:t>)</w:t>
            </w:r>
          </w:p>
        </w:tc>
        <w:tc>
          <w:tcPr>
            <w:tcW w:w="408" w:type="pct"/>
            <w:tcBorders>
              <w:top w:val="nil"/>
              <w:left w:val="nil"/>
              <w:bottom w:val="dotted" w:sz="4" w:space="0" w:color="auto"/>
              <w:right w:val="single" w:sz="8" w:space="0" w:color="auto"/>
            </w:tcBorders>
            <w:vAlign w:val="center"/>
            <w:hideMark/>
          </w:tcPr>
          <w:p w14:paraId="525756B0" w14:textId="745FD73F" w:rsidR="003F2E8A" w:rsidRPr="00D479B3" w:rsidRDefault="009A33F3">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67,</w:t>
            </w:r>
            <w:r w:rsidRPr="00D479B3">
              <w:rPr>
                <w:rFonts w:ascii="Calibri" w:eastAsia="Times New Roman" w:hAnsi="Calibri" w:cs="Calibri"/>
                <w:color w:val="A02B93" w:themeColor="accent5"/>
                <w:kern w:val="0"/>
                <w:sz w:val="18"/>
                <w:szCs w:val="18"/>
                <w:lang w:eastAsia="en-AU"/>
                <w14:ligatures w14:val="none"/>
              </w:rPr>
              <w:t xml:space="preserve"> </w:t>
            </w:r>
            <w:r w:rsidR="00030E3D" w:rsidRPr="00D479B3">
              <w:rPr>
                <w:rFonts w:ascii="Calibri" w:eastAsia="Times New Roman" w:hAnsi="Calibri" w:cs="Calibri"/>
                <w:color w:val="A02B93" w:themeColor="accent5"/>
                <w:kern w:val="0"/>
                <w:sz w:val="18"/>
                <w:szCs w:val="18"/>
                <w:lang w:eastAsia="en-AU"/>
                <w14:ligatures w14:val="none"/>
              </w:rPr>
              <w:t>41</w:t>
            </w:r>
            <w:r w:rsidR="00030E3D" w:rsidRPr="00D479B3">
              <w:rPr>
                <w:rFonts w:ascii="Calibri" w:eastAsia="Times New Roman" w:hAnsi="Calibri" w:cs="Calibri"/>
                <w:i/>
                <w:iCs/>
                <w:color w:val="000000"/>
                <w:kern w:val="0"/>
                <w:sz w:val="18"/>
                <w:szCs w:val="18"/>
                <w:lang w:eastAsia="en-AU"/>
                <w14:ligatures w14:val="none"/>
              </w:rPr>
              <w:t xml:space="preserve"> </w:t>
            </w:r>
            <w:r w:rsidR="00601B3E" w:rsidRPr="00D479B3">
              <w:rPr>
                <w:rFonts w:ascii="Calibri" w:eastAsia="Times New Roman" w:hAnsi="Calibri" w:cs="Calibri"/>
                <w:i/>
                <w:iCs/>
                <w:color w:val="000000"/>
                <w:kern w:val="0"/>
                <w:sz w:val="18"/>
                <w:szCs w:val="18"/>
                <w:lang w:eastAsia="en-AU"/>
                <w14:ligatures w14:val="none"/>
              </w:rPr>
              <w:t>(</w:t>
            </w:r>
            <w:r w:rsidR="003F2E8A" w:rsidRPr="00D479B3">
              <w:rPr>
                <w:rFonts w:ascii="Calibri" w:eastAsia="Times New Roman" w:hAnsi="Calibri" w:cs="Calibri"/>
                <w:i/>
                <w:iCs/>
                <w:color w:val="000000"/>
                <w:kern w:val="0"/>
                <w:sz w:val="18"/>
                <w:szCs w:val="18"/>
                <w:lang w:eastAsia="en-AU"/>
                <w14:ligatures w14:val="none"/>
              </w:rPr>
              <w:t>54</w:t>
            </w:r>
            <w:r w:rsidR="00601B3E" w:rsidRPr="00D479B3">
              <w:rPr>
                <w:rFonts w:ascii="Calibri" w:eastAsia="Times New Roman" w:hAnsi="Calibri" w:cs="Calibri"/>
                <w:i/>
                <w:iCs/>
                <w:color w:val="000000"/>
                <w:kern w:val="0"/>
                <w:sz w:val="18"/>
                <w:szCs w:val="18"/>
                <w:lang w:eastAsia="en-AU"/>
                <w14:ligatures w14:val="none"/>
              </w:rPr>
              <w:t>)</w:t>
            </w:r>
          </w:p>
        </w:tc>
        <w:tc>
          <w:tcPr>
            <w:tcW w:w="407" w:type="pct"/>
            <w:tcBorders>
              <w:top w:val="nil"/>
              <w:left w:val="nil"/>
              <w:bottom w:val="dotted" w:sz="4" w:space="0" w:color="auto"/>
              <w:right w:val="dotted" w:sz="4" w:space="0" w:color="auto"/>
            </w:tcBorders>
            <w:vAlign w:val="center"/>
            <w:hideMark/>
          </w:tcPr>
          <w:p w14:paraId="7BA5723A" w14:textId="60BDBFC7" w:rsidR="003F2E8A" w:rsidRPr="00D479B3" w:rsidRDefault="00887CC4">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 xml:space="preserve">68, </w:t>
            </w:r>
            <w:r w:rsidR="00371096" w:rsidRPr="00D479B3">
              <w:rPr>
                <w:rFonts w:ascii="Calibri" w:eastAsia="Times New Roman" w:hAnsi="Calibri" w:cs="Calibri"/>
                <w:color w:val="A02B93" w:themeColor="accent5"/>
                <w:kern w:val="0"/>
                <w:sz w:val="18"/>
                <w:szCs w:val="18"/>
                <w:lang w:eastAsia="en-AU"/>
                <w14:ligatures w14:val="none"/>
              </w:rPr>
              <w:t>47</w:t>
            </w:r>
            <w:r w:rsidR="00371096" w:rsidRPr="00D479B3">
              <w:rPr>
                <w:rFonts w:ascii="Calibri" w:eastAsia="Times New Roman" w:hAnsi="Calibri" w:cs="Calibri"/>
                <w:i/>
                <w:iCs/>
                <w:color w:val="000000"/>
                <w:kern w:val="0"/>
                <w:sz w:val="18"/>
                <w:szCs w:val="18"/>
                <w:lang w:eastAsia="en-AU"/>
                <w14:ligatures w14:val="none"/>
              </w:rPr>
              <w:t xml:space="preserve"> </w:t>
            </w:r>
            <w:r w:rsidR="00601B3E" w:rsidRPr="00D479B3">
              <w:rPr>
                <w:rFonts w:ascii="Calibri" w:eastAsia="Times New Roman" w:hAnsi="Calibri" w:cs="Calibri"/>
                <w:i/>
                <w:iCs/>
                <w:color w:val="000000"/>
                <w:kern w:val="0"/>
                <w:sz w:val="18"/>
                <w:szCs w:val="18"/>
                <w:lang w:eastAsia="en-AU"/>
                <w14:ligatures w14:val="none"/>
              </w:rPr>
              <w:t>(</w:t>
            </w:r>
            <w:r w:rsidR="003F2E8A" w:rsidRPr="00D479B3">
              <w:rPr>
                <w:rFonts w:ascii="Calibri" w:eastAsia="Times New Roman" w:hAnsi="Calibri" w:cs="Calibri"/>
                <w:i/>
                <w:iCs/>
                <w:color w:val="000000"/>
                <w:kern w:val="0"/>
                <w:sz w:val="18"/>
                <w:szCs w:val="18"/>
                <w:lang w:eastAsia="en-AU"/>
                <w14:ligatures w14:val="none"/>
              </w:rPr>
              <w:t>57</w:t>
            </w:r>
            <w:r w:rsidR="00601B3E" w:rsidRPr="00D479B3">
              <w:rPr>
                <w:rFonts w:ascii="Calibri" w:eastAsia="Times New Roman" w:hAnsi="Calibri" w:cs="Calibri"/>
                <w:i/>
                <w:iCs/>
                <w:color w:val="000000"/>
                <w:kern w:val="0"/>
                <w:sz w:val="18"/>
                <w:szCs w:val="18"/>
                <w:lang w:eastAsia="en-AU"/>
                <w14:ligatures w14:val="none"/>
              </w:rPr>
              <w:t>)</w:t>
            </w:r>
          </w:p>
        </w:tc>
        <w:tc>
          <w:tcPr>
            <w:tcW w:w="458" w:type="pct"/>
            <w:tcBorders>
              <w:top w:val="nil"/>
              <w:left w:val="nil"/>
              <w:bottom w:val="dotted" w:sz="4" w:space="0" w:color="auto"/>
              <w:right w:val="dotted" w:sz="4" w:space="0" w:color="auto"/>
            </w:tcBorders>
            <w:vAlign w:val="center"/>
            <w:hideMark/>
          </w:tcPr>
          <w:p w14:paraId="151C288A" w14:textId="0870B031" w:rsidR="003F2E8A" w:rsidRPr="00D479B3" w:rsidRDefault="006562C3">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 xml:space="preserve">79, </w:t>
            </w:r>
            <w:r w:rsidR="00563B20" w:rsidRPr="00D479B3">
              <w:rPr>
                <w:rFonts w:ascii="Calibri" w:eastAsia="Times New Roman" w:hAnsi="Calibri" w:cs="Calibri"/>
                <w:color w:val="A02B93" w:themeColor="accent5"/>
                <w:kern w:val="0"/>
                <w:sz w:val="18"/>
                <w:szCs w:val="18"/>
                <w:lang w:eastAsia="en-AU"/>
                <w14:ligatures w14:val="none"/>
              </w:rPr>
              <w:t>54</w:t>
            </w:r>
            <w:r w:rsidR="00563B20" w:rsidRPr="00D479B3">
              <w:rPr>
                <w:rFonts w:ascii="Calibri" w:eastAsia="Times New Roman" w:hAnsi="Calibri" w:cs="Calibri"/>
                <w:i/>
                <w:iCs/>
                <w:color w:val="000000"/>
                <w:kern w:val="0"/>
                <w:sz w:val="18"/>
                <w:szCs w:val="18"/>
                <w:lang w:eastAsia="en-AU"/>
                <w14:ligatures w14:val="none"/>
              </w:rPr>
              <w:t xml:space="preserve"> </w:t>
            </w:r>
            <w:r w:rsidR="00601B3E" w:rsidRPr="00D479B3">
              <w:rPr>
                <w:rFonts w:ascii="Calibri" w:eastAsia="Times New Roman" w:hAnsi="Calibri" w:cs="Calibri"/>
                <w:i/>
                <w:iCs/>
                <w:color w:val="000000"/>
                <w:kern w:val="0"/>
                <w:sz w:val="18"/>
                <w:szCs w:val="18"/>
                <w:lang w:eastAsia="en-AU"/>
                <w14:ligatures w14:val="none"/>
              </w:rPr>
              <w:t>(</w:t>
            </w:r>
            <w:r w:rsidR="003F2E8A" w:rsidRPr="00D479B3">
              <w:rPr>
                <w:rFonts w:ascii="Calibri" w:eastAsia="Times New Roman" w:hAnsi="Calibri" w:cs="Calibri"/>
                <w:i/>
                <w:iCs/>
                <w:color w:val="000000"/>
                <w:kern w:val="0"/>
                <w:sz w:val="18"/>
                <w:szCs w:val="18"/>
                <w:lang w:eastAsia="en-AU"/>
                <w14:ligatures w14:val="none"/>
              </w:rPr>
              <w:t>67</w:t>
            </w:r>
            <w:r w:rsidR="00601B3E" w:rsidRPr="00D479B3">
              <w:rPr>
                <w:rFonts w:ascii="Calibri" w:eastAsia="Times New Roman" w:hAnsi="Calibri" w:cs="Calibri"/>
                <w:i/>
                <w:iCs/>
                <w:color w:val="000000"/>
                <w:kern w:val="0"/>
                <w:sz w:val="18"/>
                <w:szCs w:val="18"/>
                <w:lang w:eastAsia="en-AU"/>
                <w14:ligatures w14:val="none"/>
              </w:rPr>
              <w:t>)</w:t>
            </w:r>
          </w:p>
        </w:tc>
        <w:tc>
          <w:tcPr>
            <w:tcW w:w="459" w:type="pct"/>
            <w:tcBorders>
              <w:top w:val="nil"/>
              <w:left w:val="nil"/>
              <w:bottom w:val="dotted" w:sz="4" w:space="0" w:color="auto"/>
              <w:right w:val="dotted" w:sz="4" w:space="0" w:color="auto"/>
            </w:tcBorders>
            <w:vAlign w:val="center"/>
            <w:hideMark/>
          </w:tcPr>
          <w:p w14:paraId="744BE735" w14:textId="79B36EC7" w:rsidR="003F2E8A" w:rsidRPr="00D479B3" w:rsidRDefault="00DD43C5">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64,</w:t>
            </w:r>
            <w:r w:rsidRPr="00D479B3">
              <w:rPr>
                <w:rFonts w:ascii="Calibri" w:eastAsia="Times New Roman" w:hAnsi="Calibri" w:cs="Calibri"/>
                <w:color w:val="A02B93" w:themeColor="accent5"/>
                <w:kern w:val="0"/>
                <w:sz w:val="18"/>
                <w:szCs w:val="18"/>
                <w:lang w:eastAsia="en-AU"/>
                <w14:ligatures w14:val="none"/>
              </w:rPr>
              <w:t xml:space="preserve"> </w:t>
            </w:r>
            <w:r w:rsidR="00574051" w:rsidRPr="00D479B3">
              <w:rPr>
                <w:rFonts w:ascii="Calibri" w:eastAsia="Times New Roman" w:hAnsi="Calibri" w:cs="Calibri"/>
                <w:color w:val="A02B93" w:themeColor="accent5"/>
                <w:kern w:val="0"/>
                <w:sz w:val="18"/>
                <w:szCs w:val="18"/>
                <w:lang w:eastAsia="en-AU"/>
                <w14:ligatures w14:val="none"/>
              </w:rPr>
              <w:t xml:space="preserve">52 </w:t>
            </w:r>
            <w:r w:rsidR="00601B3E" w:rsidRPr="00D479B3">
              <w:rPr>
                <w:rFonts w:ascii="Calibri" w:eastAsia="Times New Roman" w:hAnsi="Calibri" w:cs="Calibri"/>
                <w:i/>
                <w:iCs/>
                <w:color w:val="000000"/>
                <w:kern w:val="0"/>
                <w:sz w:val="18"/>
                <w:szCs w:val="18"/>
                <w:lang w:eastAsia="en-AU"/>
                <w14:ligatures w14:val="none"/>
              </w:rPr>
              <w:t>(</w:t>
            </w:r>
            <w:r w:rsidR="003F2E8A" w:rsidRPr="00D479B3">
              <w:rPr>
                <w:rFonts w:ascii="Calibri" w:eastAsia="Times New Roman" w:hAnsi="Calibri" w:cs="Calibri"/>
                <w:i/>
                <w:iCs/>
                <w:color w:val="000000"/>
                <w:kern w:val="0"/>
                <w:sz w:val="18"/>
                <w:szCs w:val="18"/>
                <w:lang w:eastAsia="en-AU"/>
                <w14:ligatures w14:val="none"/>
              </w:rPr>
              <w:t>58</w:t>
            </w:r>
            <w:r w:rsidR="00601B3E" w:rsidRPr="00D479B3">
              <w:rPr>
                <w:rFonts w:ascii="Calibri" w:eastAsia="Times New Roman" w:hAnsi="Calibri" w:cs="Calibri"/>
                <w:i/>
                <w:iCs/>
                <w:color w:val="000000"/>
                <w:kern w:val="0"/>
                <w:sz w:val="18"/>
                <w:szCs w:val="18"/>
                <w:lang w:eastAsia="en-AU"/>
                <w14:ligatures w14:val="none"/>
              </w:rPr>
              <w:t>)</w:t>
            </w:r>
          </w:p>
        </w:tc>
        <w:tc>
          <w:tcPr>
            <w:tcW w:w="369" w:type="pct"/>
            <w:tcBorders>
              <w:top w:val="nil"/>
              <w:left w:val="nil"/>
              <w:bottom w:val="dotted" w:sz="4" w:space="0" w:color="auto"/>
              <w:right w:val="single" w:sz="8" w:space="0" w:color="auto"/>
            </w:tcBorders>
            <w:vAlign w:val="center"/>
            <w:hideMark/>
          </w:tcPr>
          <w:p w14:paraId="1EF1DB7C" w14:textId="2553444F" w:rsidR="003F2E8A" w:rsidRPr="00D479B3" w:rsidRDefault="00BE3854">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57,</w:t>
            </w:r>
            <w:r w:rsidRPr="00D479B3">
              <w:rPr>
                <w:rFonts w:ascii="Calibri" w:eastAsia="Times New Roman" w:hAnsi="Calibri" w:cs="Calibri"/>
                <w:color w:val="A02B93" w:themeColor="accent5"/>
                <w:kern w:val="0"/>
                <w:sz w:val="18"/>
                <w:szCs w:val="18"/>
                <w:lang w:eastAsia="en-AU"/>
                <w14:ligatures w14:val="none"/>
              </w:rPr>
              <w:t xml:space="preserve"> </w:t>
            </w:r>
            <w:r w:rsidR="00A6242D" w:rsidRPr="00D479B3">
              <w:rPr>
                <w:rFonts w:ascii="Calibri" w:eastAsia="Times New Roman" w:hAnsi="Calibri" w:cs="Calibri"/>
                <w:color w:val="A02B93" w:themeColor="accent5"/>
                <w:kern w:val="0"/>
                <w:sz w:val="18"/>
                <w:szCs w:val="18"/>
                <w:lang w:eastAsia="en-AU"/>
                <w14:ligatures w14:val="none"/>
              </w:rPr>
              <w:t>42</w:t>
            </w:r>
            <w:r w:rsidR="00A6242D" w:rsidRPr="00D479B3">
              <w:rPr>
                <w:rFonts w:ascii="Calibri" w:eastAsia="Times New Roman" w:hAnsi="Calibri" w:cs="Calibri"/>
                <w:i/>
                <w:iCs/>
                <w:color w:val="000000"/>
                <w:kern w:val="0"/>
                <w:sz w:val="18"/>
                <w:szCs w:val="18"/>
                <w:lang w:eastAsia="en-AU"/>
                <w14:ligatures w14:val="none"/>
              </w:rPr>
              <w:t xml:space="preserve"> </w:t>
            </w:r>
            <w:r w:rsidR="00601B3E" w:rsidRPr="00D479B3">
              <w:rPr>
                <w:rFonts w:ascii="Calibri" w:eastAsia="Times New Roman" w:hAnsi="Calibri" w:cs="Calibri"/>
                <w:i/>
                <w:iCs/>
                <w:color w:val="000000"/>
                <w:kern w:val="0"/>
                <w:sz w:val="18"/>
                <w:szCs w:val="18"/>
                <w:lang w:eastAsia="en-AU"/>
                <w14:ligatures w14:val="none"/>
              </w:rPr>
              <w:t>(</w:t>
            </w:r>
            <w:r w:rsidR="003F2E8A" w:rsidRPr="00D479B3">
              <w:rPr>
                <w:rFonts w:ascii="Calibri" w:eastAsia="Times New Roman" w:hAnsi="Calibri" w:cs="Calibri"/>
                <w:i/>
                <w:iCs/>
                <w:color w:val="000000"/>
                <w:kern w:val="0"/>
                <w:sz w:val="18"/>
                <w:szCs w:val="18"/>
                <w:lang w:eastAsia="en-AU"/>
                <w14:ligatures w14:val="none"/>
              </w:rPr>
              <w:t>49</w:t>
            </w:r>
            <w:r w:rsidR="008A79DA" w:rsidRPr="00D479B3">
              <w:rPr>
                <w:rFonts w:ascii="Calibri" w:eastAsia="Times New Roman" w:hAnsi="Calibri" w:cs="Calibri"/>
                <w:i/>
                <w:iCs/>
                <w:color w:val="000000"/>
                <w:kern w:val="0"/>
                <w:sz w:val="18"/>
                <w:szCs w:val="18"/>
                <w:lang w:eastAsia="en-AU"/>
                <w14:ligatures w14:val="none"/>
              </w:rPr>
              <w:t>)</w:t>
            </w:r>
          </w:p>
        </w:tc>
      </w:tr>
      <w:tr w:rsidR="0013075A" w:rsidRPr="00D479B3" w14:paraId="33C66D98" w14:textId="77777777" w:rsidTr="0013075A">
        <w:trPr>
          <w:trHeight w:val="420"/>
        </w:trPr>
        <w:tc>
          <w:tcPr>
            <w:tcW w:w="1066" w:type="pct"/>
            <w:tcBorders>
              <w:top w:val="nil"/>
              <w:left w:val="single" w:sz="8" w:space="0" w:color="auto"/>
              <w:bottom w:val="nil"/>
              <w:right w:val="single" w:sz="8" w:space="0" w:color="auto"/>
            </w:tcBorders>
            <w:shd w:val="clear" w:color="auto" w:fill="C1F0C7" w:themeFill="accent3" w:themeFillTint="33"/>
            <w:vAlign w:val="center"/>
            <w:hideMark/>
          </w:tcPr>
          <w:p w14:paraId="5C3A64E6" w14:textId="77777777" w:rsidR="003F2E8A" w:rsidRPr="00D479B3" w:rsidRDefault="003F2E8A">
            <w:pPr>
              <w:spacing w:after="0" w:line="240" w:lineRule="auto"/>
              <w:jc w:val="right"/>
              <w:rPr>
                <w:rFonts w:ascii="Calibri" w:eastAsia="Times New Roman" w:hAnsi="Calibri" w:cs="Calibri"/>
                <w:color w:val="000000"/>
                <w:kern w:val="0"/>
                <w:sz w:val="18"/>
                <w:szCs w:val="18"/>
                <w:lang w:eastAsia="en-AU"/>
                <w14:ligatures w14:val="none"/>
              </w:rPr>
            </w:pPr>
            <w:r w:rsidRPr="00D479B3">
              <w:rPr>
                <w:rFonts w:ascii="Calibri" w:eastAsia="Times New Roman" w:hAnsi="Calibri" w:cs="Calibri"/>
                <w:color w:val="000000"/>
                <w:kern w:val="0"/>
                <w:sz w:val="18"/>
                <w:szCs w:val="18"/>
                <w:lang w:eastAsia="en-AU"/>
                <w14:ligatures w14:val="none"/>
              </w:rPr>
              <w:t>Māori</w:t>
            </w:r>
          </w:p>
        </w:tc>
        <w:tc>
          <w:tcPr>
            <w:tcW w:w="510" w:type="pct"/>
            <w:tcBorders>
              <w:top w:val="nil"/>
              <w:left w:val="nil"/>
              <w:bottom w:val="dotted" w:sz="4" w:space="0" w:color="auto"/>
              <w:right w:val="dotted" w:sz="4" w:space="0" w:color="auto"/>
            </w:tcBorders>
            <w:vAlign w:val="center"/>
            <w:hideMark/>
          </w:tcPr>
          <w:p w14:paraId="473DB308" w14:textId="77777777" w:rsidR="003F2E8A" w:rsidRPr="00D479B3" w:rsidRDefault="003F2E8A">
            <w:pPr>
              <w:spacing w:after="0" w:line="240" w:lineRule="auto"/>
              <w:jc w:val="center"/>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w:t>
            </w:r>
          </w:p>
        </w:tc>
        <w:tc>
          <w:tcPr>
            <w:tcW w:w="458" w:type="pct"/>
            <w:tcBorders>
              <w:top w:val="nil"/>
              <w:left w:val="nil"/>
              <w:bottom w:val="dotted" w:sz="4" w:space="0" w:color="auto"/>
              <w:right w:val="dotted" w:sz="4" w:space="0" w:color="auto"/>
            </w:tcBorders>
            <w:vAlign w:val="center"/>
            <w:hideMark/>
          </w:tcPr>
          <w:p w14:paraId="250A0DD4" w14:textId="07F4A324" w:rsidR="003F2E8A" w:rsidRPr="00D479B3" w:rsidRDefault="00995B3B">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35</w:t>
            </w:r>
            <w:r w:rsidRPr="00D479B3">
              <w:rPr>
                <w:rFonts w:ascii="Calibri" w:eastAsia="Times New Roman" w:hAnsi="Calibri" w:cs="Calibri"/>
                <w:color w:val="A02B93" w:themeColor="accent5"/>
                <w:kern w:val="0"/>
                <w:sz w:val="18"/>
                <w:szCs w:val="18"/>
                <w:lang w:eastAsia="en-AU"/>
                <w14:ligatures w14:val="none"/>
              </w:rPr>
              <w:t xml:space="preserve">, </w:t>
            </w:r>
            <w:r w:rsidR="00370276" w:rsidRPr="00D479B3">
              <w:rPr>
                <w:rFonts w:ascii="Calibri" w:eastAsia="Times New Roman" w:hAnsi="Calibri" w:cs="Calibri"/>
                <w:color w:val="A02B93" w:themeColor="accent5"/>
                <w:kern w:val="0"/>
                <w:sz w:val="18"/>
                <w:szCs w:val="18"/>
                <w:lang w:eastAsia="en-AU"/>
                <w14:ligatures w14:val="none"/>
              </w:rPr>
              <w:t xml:space="preserve">32 </w:t>
            </w:r>
            <w:r w:rsidR="001C4EF8" w:rsidRPr="00D479B3">
              <w:rPr>
                <w:rFonts w:ascii="Calibri" w:eastAsia="Times New Roman" w:hAnsi="Calibri" w:cs="Calibri"/>
                <w:i/>
                <w:iCs/>
                <w:color w:val="000000"/>
                <w:kern w:val="0"/>
                <w:sz w:val="18"/>
                <w:szCs w:val="18"/>
                <w:lang w:eastAsia="en-AU"/>
                <w14:ligatures w14:val="none"/>
              </w:rPr>
              <w:t>(</w:t>
            </w:r>
            <w:r w:rsidR="003F2E8A" w:rsidRPr="00D479B3">
              <w:rPr>
                <w:rFonts w:ascii="Calibri" w:eastAsia="Times New Roman" w:hAnsi="Calibri" w:cs="Calibri"/>
                <w:i/>
                <w:iCs/>
                <w:color w:val="000000"/>
                <w:kern w:val="0"/>
                <w:sz w:val="18"/>
                <w:szCs w:val="18"/>
                <w:lang w:eastAsia="en-AU"/>
                <w14:ligatures w14:val="none"/>
              </w:rPr>
              <w:t>34</w:t>
            </w:r>
            <w:r w:rsidR="001C4EF8" w:rsidRPr="00D479B3">
              <w:rPr>
                <w:rFonts w:ascii="Calibri" w:eastAsia="Times New Roman" w:hAnsi="Calibri" w:cs="Calibri"/>
                <w:i/>
                <w:iCs/>
                <w:color w:val="000000"/>
                <w:kern w:val="0"/>
                <w:sz w:val="18"/>
                <w:szCs w:val="18"/>
                <w:lang w:eastAsia="en-AU"/>
                <w14:ligatures w14:val="none"/>
              </w:rPr>
              <w:t>)</w:t>
            </w:r>
          </w:p>
        </w:tc>
        <w:tc>
          <w:tcPr>
            <w:tcW w:w="458" w:type="pct"/>
            <w:tcBorders>
              <w:top w:val="nil"/>
              <w:left w:val="nil"/>
              <w:bottom w:val="dotted" w:sz="4" w:space="0" w:color="auto"/>
              <w:right w:val="single" w:sz="8" w:space="0" w:color="auto"/>
            </w:tcBorders>
            <w:vAlign w:val="center"/>
            <w:hideMark/>
          </w:tcPr>
          <w:p w14:paraId="0DC14247" w14:textId="59870FB5" w:rsidR="003F2E8A" w:rsidRPr="00D479B3" w:rsidRDefault="00FA1285">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38,</w:t>
            </w:r>
            <w:r w:rsidRPr="00D479B3">
              <w:rPr>
                <w:rFonts w:ascii="Calibri" w:eastAsia="Times New Roman" w:hAnsi="Calibri" w:cs="Calibri"/>
                <w:color w:val="A02B93" w:themeColor="accent5"/>
                <w:kern w:val="0"/>
                <w:sz w:val="18"/>
                <w:szCs w:val="18"/>
                <w:lang w:eastAsia="en-AU"/>
                <w14:ligatures w14:val="none"/>
              </w:rPr>
              <w:t xml:space="preserve"> </w:t>
            </w:r>
            <w:r w:rsidR="00E06A5C" w:rsidRPr="00D479B3">
              <w:rPr>
                <w:rFonts w:ascii="Calibri" w:eastAsia="Times New Roman" w:hAnsi="Calibri" w:cs="Calibri"/>
                <w:color w:val="A02B93" w:themeColor="accent5"/>
                <w:kern w:val="0"/>
                <w:sz w:val="18"/>
                <w:szCs w:val="18"/>
                <w:lang w:eastAsia="en-AU"/>
                <w14:ligatures w14:val="none"/>
              </w:rPr>
              <w:t xml:space="preserve">35 </w:t>
            </w:r>
            <w:r w:rsidR="00601B3E" w:rsidRPr="00D479B3">
              <w:rPr>
                <w:rFonts w:ascii="Calibri" w:eastAsia="Times New Roman" w:hAnsi="Calibri" w:cs="Calibri"/>
                <w:i/>
                <w:iCs/>
                <w:color w:val="000000"/>
                <w:kern w:val="0"/>
                <w:sz w:val="18"/>
                <w:szCs w:val="18"/>
                <w:lang w:eastAsia="en-AU"/>
                <w14:ligatures w14:val="none"/>
              </w:rPr>
              <w:t>(</w:t>
            </w:r>
            <w:r w:rsidR="003F2E8A" w:rsidRPr="00D479B3">
              <w:rPr>
                <w:rFonts w:ascii="Calibri" w:eastAsia="Times New Roman" w:hAnsi="Calibri" w:cs="Calibri"/>
                <w:i/>
                <w:iCs/>
                <w:color w:val="000000"/>
                <w:kern w:val="0"/>
                <w:sz w:val="18"/>
                <w:szCs w:val="18"/>
                <w:lang w:eastAsia="en-AU"/>
                <w14:ligatures w14:val="none"/>
              </w:rPr>
              <w:t>37</w:t>
            </w:r>
            <w:r w:rsidR="00601B3E" w:rsidRPr="00D479B3">
              <w:rPr>
                <w:rFonts w:ascii="Calibri" w:eastAsia="Times New Roman" w:hAnsi="Calibri" w:cs="Calibri"/>
                <w:i/>
                <w:iCs/>
                <w:color w:val="000000"/>
                <w:kern w:val="0"/>
                <w:sz w:val="18"/>
                <w:szCs w:val="18"/>
                <w:lang w:eastAsia="en-AU"/>
                <w14:ligatures w14:val="none"/>
              </w:rPr>
              <w:t>)</w:t>
            </w:r>
          </w:p>
        </w:tc>
        <w:tc>
          <w:tcPr>
            <w:tcW w:w="407" w:type="pct"/>
            <w:tcBorders>
              <w:top w:val="nil"/>
              <w:left w:val="nil"/>
              <w:bottom w:val="dotted" w:sz="4" w:space="0" w:color="auto"/>
              <w:right w:val="dotted" w:sz="4" w:space="0" w:color="auto"/>
            </w:tcBorders>
            <w:vAlign w:val="center"/>
            <w:hideMark/>
          </w:tcPr>
          <w:p w14:paraId="4A18637A" w14:textId="7F5E1030" w:rsidR="003F2E8A" w:rsidRPr="00D479B3" w:rsidRDefault="009A33F3">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52,</w:t>
            </w:r>
            <w:r w:rsidRPr="00D479B3">
              <w:rPr>
                <w:rFonts w:ascii="Calibri" w:eastAsia="Times New Roman" w:hAnsi="Calibri" w:cs="Calibri"/>
                <w:color w:val="A02B93" w:themeColor="accent5"/>
                <w:kern w:val="0"/>
                <w:sz w:val="18"/>
                <w:szCs w:val="18"/>
                <w:lang w:eastAsia="en-AU"/>
                <w14:ligatures w14:val="none"/>
              </w:rPr>
              <w:t xml:space="preserve"> </w:t>
            </w:r>
            <w:r w:rsidR="00AE5F2F" w:rsidRPr="00D479B3">
              <w:rPr>
                <w:rFonts w:ascii="Calibri" w:eastAsia="Times New Roman" w:hAnsi="Calibri" w:cs="Calibri"/>
                <w:color w:val="A02B93" w:themeColor="accent5"/>
                <w:kern w:val="0"/>
                <w:sz w:val="18"/>
                <w:szCs w:val="18"/>
                <w:lang w:eastAsia="en-AU"/>
                <w14:ligatures w14:val="none"/>
              </w:rPr>
              <w:t>39</w:t>
            </w:r>
            <w:r w:rsidR="00AE5F2F" w:rsidRPr="00D479B3">
              <w:rPr>
                <w:rFonts w:ascii="Calibri" w:eastAsia="Times New Roman" w:hAnsi="Calibri" w:cs="Calibri"/>
                <w:i/>
                <w:iCs/>
                <w:color w:val="000000"/>
                <w:kern w:val="0"/>
                <w:sz w:val="18"/>
                <w:szCs w:val="18"/>
                <w:lang w:eastAsia="en-AU"/>
                <w14:ligatures w14:val="none"/>
              </w:rPr>
              <w:t xml:space="preserve"> </w:t>
            </w:r>
            <w:r w:rsidR="00601B3E" w:rsidRPr="00D479B3">
              <w:rPr>
                <w:rFonts w:ascii="Calibri" w:eastAsia="Times New Roman" w:hAnsi="Calibri" w:cs="Calibri"/>
                <w:i/>
                <w:iCs/>
                <w:color w:val="000000"/>
                <w:kern w:val="0"/>
                <w:sz w:val="18"/>
                <w:szCs w:val="18"/>
                <w:lang w:eastAsia="en-AU"/>
                <w14:ligatures w14:val="none"/>
              </w:rPr>
              <w:t>(</w:t>
            </w:r>
            <w:r w:rsidR="003F2E8A" w:rsidRPr="00D479B3">
              <w:rPr>
                <w:rFonts w:ascii="Calibri" w:eastAsia="Times New Roman" w:hAnsi="Calibri" w:cs="Calibri"/>
                <w:i/>
                <w:iCs/>
                <w:color w:val="000000"/>
                <w:kern w:val="0"/>
                <w:sz w:val="18"/>
                <w:szCs w:val="18"/>
                <w:lang w:eastAsia="en-AU"/>
                <w14:ligatures w14:val="none"/>
              </w:rPr>
              <w:t>46</w:t>
            </w:r>
            <w:r w:rsidR="00601B3E" w:rsidRPr="00D479B3">
              <w:rPr>
                <w:rFonts w:ascii="Calibri" w:eastAsia="Times New Roman" w:hAnsi="Calibri" w:cs="Calibri"/>
                <w:i/>
                <w:iCs/>
                <w:color w:val="000000"/>
                <w:kern w:val="0"/>
                <w:sz w:val="18"/>
                <w:szCs w:val="18"/>
                <w:lang w:eastAsia="en-AU"/>
                <w14:ligatures w14:val="none"/>
              </w:rPr>
              <w:t>)</w:t>
            </w:r>
          </w:p>
        </w:tc>
        <w:tc>
          <w:tcPr>
            <w:tcW w:w="408" w:type="pct"/>
            <w:tcBorders>
              <w:top w:val="nil"/>
              <w:left w:val="nil"/>
              <w:bottom w:val="dotted" w:sz="4" w:space="0" w:color="auto"/>
              <w:right w:val="single" w:sz="8" w:space="0" w:color="auto"/>
            </w:tcBorders>
            <w:vAlign w:val="center"/>
            <w:hideMark/>
          </w:tcPr>
          <w:p w14:paraId="24AD1650" w14:textId="36B7A725" w:rsidR="003F2E8A" w:rsidRPr="00D479B3" w:rsidRDefault="009A33F3">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66,</w:t>
            </w:r>
            <w:r w:rsidRPr="00D479B3">
              <w:rPr>
                <w:rFonts w:ascii="Calibri" w:eastAsia="Times New Roman" w:hAnsi="Calibri" w:cs="Calibri"/>
                <w:color w:val="A02B93" w:themeColor="accent5"/>
                <w:kern w:val="0"/>
                <w:sz w:val="18"/>
                <w:szCs w:val="18"/>
                <w:lang w:eastAsia="en-AU"/>
                <w14:ligatures w14:val="none"/>
              </w:rPr>
              <w:t xml:space="preserve"> </w:t>
            </w:r>
            <w:r w:rsidR="00030E3D" w:rsidRPr="00D479B3">
              <w:rPr>
                <w:rFonts w:ascii="Calibri" w:eastAsia="Times New Roman" w:hAnsi="Calibri" w:cs="Calibri"/>
                <w:color w:val="A02B93" w:themeColor="accent5"/>
                <w:kern w:val="0"/>
                <w:sz w:val="18"/>
                <w:szCs w:val="18"/>
                <w:lang w:eastAsia="en-AU"/>
                <w14:ligatures w14:val="none"/>
              </w:rPr>
              <w:t>42</w:t>
            </w:r>
            <w:r w:rsidR="00030E3D" w:rsidRPr="00D479B3">
              <w:rPr>
                <w:rFonts w:ascii="Calibri" w:eastAsia="Times New Roman" w:hAnsi="Calibri" w:cs="Calibri"/>
                <w:i/>
                <w:iCs/>
                <w:color w:val="000000"/>
                <w:kern w:val="0"/>
                <w:sz w:val="18"/>
                <w:szCs w:val="18"/>
                <w:lang w:eastAsia="en-AU"/>
                <w14:ligatures w14:val="none"/>
              </w:rPr>
              <w:t xml:space="preserve"> </w:t>
            </w:r>
            <w:r w:rsidR="00601B3E" w:rsidRPr="00D479B3">
              <w:rPr>
                <w:rFonts w:ascii="Calibri" w:eastAsia="Times New Roman" w:hAnsi="Calibri" w:cs="Calibri"/>
                <w:i/>
                <w:iCs/>
                <w:color w:val="000000"/>
                <w:kern w:val="0"/>
                <w:sz w:val="18"/>
                <w:szCs w:val="18"/>
                <w:lang w:eastAsia="en-AU"/>
                <w14:ligatures w14:val="none"/>
              </w:rPr>
              <w:t>(</w:t>
            </w:r>
            <w:r w:rsidR="003F2E8A" w:rsidRPr="00D479B3">
              <w:rPr>
                <w:rFonts w:ascii="Calibri" w:eastAsia="Times New Roman" w:hAnsi="Calibri" w:cs="Calibri"/>
                <w:i/>
                <w:iCs/>
                <w:color w:val="000000"/>
                <w:kern w:val="0"/>
                <w:sz w:val="18"/>
                <w:szCs w:val="18"/>
                <w:lang w:eastAsia="en-AU"/>
                <w14:ligatures w14:val="none"/>
              </w:rPr>
              <w:t>54</w:t>
            </w:r>
            <w:r w:rsidR="00601B3E" w:rsidRPr="00D479B3">
              <w:rPr>
                <w:rFonts w:ascii="Calibri" w:eastAsia="Times New Roman" w:hAnsi="Calibri" w:cs="Calibri"/>
                <w:i/>
                <w:iCs/>
                <w:color w:val="000000"/>
                <w:kern w:val="0"/>
                <w:sz w:val="18"/>
                <w:szCs w:val="18"/>
                <w:lang w:eastAsia="en-AU"/>
                <w14:ligatures w14:val="none"/>
              </w:rPr>
              <w:t>)</w:t>
            </w:r>
          </w:p>
        </w:tc>
        <w:tc>
          <w:tcPr>
            <w:tcW w:w="407" w:type="pct"/>
            <w:tcBorders>
              <w:top w:val="nil"/>
              <w:left w:val="nil"/>
              <w:bottom w:val="dotted" w:sz="4" w:space="0" w:color="auto"/>
              <w:right w:val="dotted" w:sz="4" w:space="0" w:color="auto"/>
            </w:tcBorders>
            <w:vAlign w:val="center"/>
            <w:hideMark/>
          </w:tcPr>
          <w:p w14:paraId="1F3DD07C" w14:textId="2CD3D2BC" w:rsidR="003F2E8A" w:rsidRPr="00D479B3" w:rsidRDefault="00887CC4">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 xml:space="preserve">80, </w:t>
            </w:r>
            <w:r w:rsidR="00371096" w:rsidRPr="00D479B3">
              <w:rPr>
                <w:rFonts w:ascii="Calibri" w:eastAsia="Times New Roman" w:hAnsi="Calibri" w:cs="Calibri"/>
                <w:color w:val="A02B93" w:themeColor="accent5"/>
                <w:kern w:val="0"/>
                <w:sz w:val="18"/>
                <w:szCs w:val="18"/>
                <w:lang w:eastAsia="en-AU"/>
                <w14:ligatures w14:val="none"/>
              </w:rPr>
              <w:t>58</w:t>
            </w:r>
            <w:r w:rsidR="00371096" w:rsidRPr="00D479B3">
              <w:rPr>
                <w:rFonts w:ascii="Calibri" w:eastAsia="Times New Roman" w:hAnsi="Calibri" w:cs="Calibri"/>
                <w:i/>
                <w:iCs/>
                <w:color w:val="000000"/>
                <w:kern w:val="0"/>
                <w:sz w:val="18"/>
                <w:szCs w:val="18"/>
                <w:lang w:eastAsia="en-AU"/>
                <w14:ligatures w14:val="none"/>
              </w:rPr>
              <w:t xml:space="preserve"> </w:t>
            </w:r>
            <w:r w:rsidR="00601B3E" w:rsidRPr="00D479B3">
              <w:rPr>
                <w:rFonts w:ascii="Calibri" w:eastAsia="Times New Roman" w:hAnsi="Calibri" w:cs="Calibri"/>
                <w:i/>
                <w:iCs/>
                <w:color w:val="000000"/>
                <w:kern w:val="0"/>
                <w:sz w:val="18"/>
                <w:szCs w:val="18"/>
                <w:lang w:eastAsia="en-AU"/>
                <w14:ligatures w14:val="none"/>
              </w:rPr>
              <w:t>(</w:t>
            </w:r>
            <w:r w:rsidR="003F2E8A" w:rsidRPr="00D479B3">
              <w:rPr>
                <w:rFonts w:ascii="Calibri" w:eastAsia="Times New Roman" w:hAnsi="Calibri" w:cs="Calibri"/>
                <w:i/>
                <w:iCs/>
                <w:color w:val="000000"/>
                <w:kern w:val="0"/>
                <w:sz w:val="18"/>
                <w:szCs w:val="18"/>
                <w:lang w:eastAsia="en-AU"/>
                <w14:ligatures w14:val="none"/>
              </w:rPr>
              <w:t>69</w:t>
            </w:r>
            <w:r w:rsidR="00601B3E" w:rsidRPr="00D479B3">
              <w:rPr>
                <w:rFonts w:ascii="Calibri" w:eastAsia="Times New Roman" w:hAnsi="Calibri" w:cs="Calibri"/>
                <w:i/>
                <w:iCs/>
                <w:color w:val="000000"/>
                <w:kern w:val="0"/>
                <w:sz w:val="18"/>
                <w:szCs w:val="18"/>
                <w:lang w:eastAsia="en-AU"/>
                <w14:ligatures w14:val="none"/>
              </w:rPr>
              <w:t>)</w:t>
            </w:r>
          </w:p>
        </w:tc>
        <w:tc>
          <w:tcPr>
            <w:tcW w:w="458" w:type="pct"/>
            <w:tcBorders>
              <w:top w:val="nil"/>
              <w:left w:val="nil"/>
              <w:bottom w:val="dotted" w:sz="4" w:space="0" w:color="auto"/>
              <w:right w:val="dotted" w:sz="4" w:space="0" w:color="auto"/>
            </w:tcBorders>
            <w:vAlign w:val="center"/>
            <w:hideMark/>
          </w:tcPr>
          <w:p w14:paraId="2173DB39" w14:textId="0734BC43" w:rsidR="003F2E8A" w:rsidRPr="00D479B3" w:rsidRDefault="006562C3">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87,</w:t>
            </w:r>
            <w:r w:rsidRPr="00D479B3">
              <w:rPr>
                <w:rFonts w:ascii="Calibri" w:eastAsia="Times New Roman" w:hAnsi="Calibri" w:cs="Calibri"/>
                <w:color w:val="A02B93" w:themeColor="accent5"/>
                <w:kern w:val="0"/>
                <w:sz w:val="18"/>
                <w:szCs w:val="18"/>
                <w:lang w:eastAsia="en-AU"/>
                <w14:ligatures w14:val="none"/>
              </w:rPr>
              <w:t xml:space="preserve"> </w:t>
            </w:r>
            <w:r w:rsidR="00563B20" w:rsidRPr="00D479B3">
              <w:rPr>
                <w:rFonts w:ascii="Calibri" w:eastAsia="Times New Roman" w:hAnsi="Calibri" w:cs="Calibri"/>
                <w:color w:val="A02B93" w:themeColor="accent5"/>
                <w:kern w:val="0"/>
                <w:sz w:val="18"/>
                <w:szCs w:val="18"/>
                <w:lang w:eastAsia="en-AU"/>
                <w14:ligatures w14:val="none"/>
              </w:rPr>
              <w:t>50</w:t>
            </w:r>
            <w:r w:rsidR="00563B20" w:rsidRPr="00D479B3">
              <w:rPr>
                <w:rFonts w:ascii="Calibri" w:eastAsia="Times New Roman" w:hAnsi="Calibri" w:cs="Calibri"/>
                <w:i/>
                <w:iCs/>
                <w:color w:val="000000"/>
                <w:kern w:val="0"/>
                <w:sz w:val="18"/>
                <w:szCs w:val="18"/>
                <w:lang w:eastAsia="en-AU"/>
                <w14:ligatures w14:val="none"/>
              </w:rPr>
              <w:t xml:space="preserve"> </w:t>
            </w:r>
            <w:r w:rsidR="00601B3E" w:rsidRPr="00D479B3">
              <w:rPr>
                <w:rFonts w:ascii="Calibri" w:eastAsia="Times New Roman" w:hAnsi="Calibri" w:cs="Calibri"/>
                <w:i/>
                <w:iCs/>
                <w:color w:val="000000"/>
                <w:kern w:val="0"/>
                <w:sz w:val="18"/>
                <w:szCs w:val="18"/>
                <w:lang w:eastAsia="en-AU"/>
                <w14:ligatures w14:val="none"/>
              </w:rPr>
              <w:t>(</w:t>
            </w:r>
            <w:r w:rsidR="003F2E8A" w:rsidRPr="00D479B3">
              <w:rPr>
                <w:rFonts w:ascii="Calibri" w:eastAsia="Times New Roman" w:hAnsi="Calibri" w:cs="Calibri"/>
                <w:i/>
                <w:iCs/>
                <w:color w:val="000000"/>
                <w:kern w:val="0"/>
                <w:sz w:val="18"/>
                <w:szCs w:val="18"/>
                <w:lang w:eastAsia="en-AU"/>
                <w14:ligatures w14:val="none"/>
              </w:rPr>
              <w:t>68</w:t>
            </w:r>
            <w:r w:rsidR="00601B3E" w:rsidRPr="00D479B3">
              <w:rPr>
                <w:rFonts w:ascii="Calibri" w:eastAsia="Times New Roman" w:hAnsi="Calibri" w:cs="Calibri"/>
                <w:i/>
                <w:iCs/>
                <w:color w:val="000000"/>
                <w:kern w:val="0"/>
                <w:sz w:val="18"/>
                <w:szCs w:val="18"/>
                <w:lang w:eastAsia="en-AU"/>
                <w14:ligatures w14:val="none"/>
              </w:rPr>
              <w:t>)</w:t>
            </w:r>
          </w:p>
        </w:tc>
        <w:tc>
          <w:tcPr>
            <w:tcW w:w="459" w:type="pct"/>
            <w:tcBorders>
              <w:top w:val="nil"/>
              <w:left w:val="nil"/>
              <w:bottom w:val="dotted" w:sz="4" w:space="0" w:color="auto"/>
              <w:right w:val="dotted" w:sz="4" w:space="0" w:color="auto"/>
            </w:tcBorders>
            <w:vAlign w:val="center"/>
            <w:hideMark/>
          </w:tcPr>
          <w:p w14:paraId="74ADD9B1" w14:textId="2ABDF7E0" w:rsidR="003F2E8A" w:rsidRPr="00D479B3" w:rsidRDefault="00DD43C5">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81,</w:t>
            </w:r>
            <w:r w:rsidRPr="00D479B3">
              <w:rPr>
                <w:rFonts w:ascii="Calibri" w:eastAsia="Times New Roman" w:hAnsi="Calibri" w:cs="Calibri"/>
                <w:color w:val="A02B93" w:themeColor="accent5"/>
                <w:kern w:val="0"/>
                <w:sz w:val="18"/>
                <w:szCs w:val="18"/>
                <w:lang w:eastAsia="en-AU"/>
                <w14:ligatures w14:val="none"/>
              </w:rPr>
              <w:t xml:space="preserve"> </w:t>
            </w:r>
            <w:r w:rsidR="00933B15" w:rsidRPr="00D479B3">
              <w:rPr>
                <w:rFonts w:ascii="Calibri" w:eastAsia="Times New Roman" w:hAnsi="Calibri" w:cs="Calibri"/>
                <w:color w:val="A02B93" w:themeColor="accent5"/>
                <w:kern w:val="0"/>
                <w:sz w:val="18"/>
                <w:szCs w:val="18"/>
                <w:lang w:eastAsia="en-AU"/>
                <w14:ligatures w14:val="none"/>
              </w:rPr>
              <w:t>55</w:t>
            </w:r>
            <w:r w:rsidR="00933B15" w:rsidRPr="00D479B3">
              <w:rPr>
                <w:rFonts w:ascii="Calibri" w:eastAsia="Times New Roman" w:hAnsi="Calibri" w:cs="Calibri"/>
                <w:i/>
                <w:iCs/>
                <w:color w:val="000000"/>
                <w:kern w:val="0"/>
                <w:sz w:val="18"/>
                <w:szCs w:val="18"/>
                <w:lang w:eastAsia="en-AU"/>
                <w14:ligatures w14:val="none"/>
              </w:rPr>
              <w:t xml:space="preserve"> </w:t>
            </w:r>
            <w:r w:rsidR="00601B3E" w:rsidRPr="00D479B3">
              <w:rPr>
                <w:rFonts w:ascii="Calibri" w:eastAsia="Times New Roman" w:hAnsi="Calibri" w:cs="Calibri"/>
                <w:i/>
                <w:iCs/>
                <w:color w:val="000000"/>
                <w:kern w:val="0"/>
                <w:sz w:val="18"/>
                <w:szCs w:val="18"/>
                <w:lang w:eastAsia="en-AU"/>
                <w14:ligatures w14:val="none"/>
              </w:rPr>
              <w:t>(</w:t>
            </w:r>
            <w:r w:rsidR="003F2E8A" w:rsidRPr="00D479B3">
              <w:rPr>
                <w:rFonts w:ascii="Calibri" w:eastAsia="Times New Roman" w:hAnsi="Calibri" w:cs="Calibri"/>
                <w:i/>
                <w:iCs/>
                <w:color w:val="000000"/>
                <w:kern w:val="0"/>
                <w:sz w:val="18"/>
                <w:szCs w:val="18"/>
                <w:lang w:eastAsia="en-AU"/>
                <w14:ligatures w14:val="none"/>
              </w:rPr>
              <w:t>68</w:t>
            </w:r>
            <w:r w:rsidR="00601B3E" w:rsidRPr="00D479B3">
              <w:rPr>
                <w:rFonts w:ascii="Calibri" w:eastAsia="Times New Roman" w:hAnsi="Calibri" w:cs="Calibri"/>
                <w:i/>
                <w:iCs/>
                <w:color w:val="000000"/>
                <w:kern w:val="0"/>
                <w:sz w:val="18"/>
                <w:szCs w:val="18"/>
                <w:lang w:eastAsia="en-AU"/>
                <w14:ligatures w14:val="none"/>
              </w:rPr>
              <w:t>)</w:t>
            </w:r>
          </w:p>
        </w:tc>
        <w:tc>
          <w:tcPr>
            <w:tcW w:w="369" w:type="pct"/>
            <w:tcBorders>
              <w:top w:val="nil"/>
              <w:left w:val="nil"/>
              <w:bottom w:val="dotted" w:sz="4" w:space="0" w:color="auto"/>
              <w:right w:val="single" w:sz="8" w:space="0" w:color="auto"/>
            </w:tcBorders>
            <w:vAlign w:val="center"/>
            <w:hideMark/>
          </w:tcPr>
          <w:p w14:paraId="4C856026" w14:textId="77777777" w:rsidR="003F2E8A" w:rsidRPr="00D479B3" w:rsidRDefault="003F2E8A">
            <w:pPr>
              <w:spacing w:after="0" w:line="240" w:lineRule="auto"/>
              <w:jc w:val="center"/>
              <w:rPr>
                <w:rFonts w:ascii="Calibri" w:eastAsia="Times New Roman" w:hAnsi="Calibri" w:cs="Calibri"/>
                <w:b/>
                <w:bCs/>
                <w:i/>
                <w:iCs/>
                <w:color w:val="000000"/>
                <w:kern w:val="0"/>
                <w:sz w:val="18"/>
                <w:szCs w:val="18"/>
                <w:lang w:eastAsia="en-AU"/>
                <w14:ligatures w14:val="none"/>
              </w:rPr>
            </w:pPr>
            <w:r w:rsidRPr="00D479B3">
              <w:rPr>
                <w:rFonts w:ascii="Calibri" w:eastAsia="Times New Roman" w:hAnsi="Calibri" w:cs="Calibri"/>
                <w:b/>
                <w:bCs/>
                <w:i/>
                <w:iCs/>
                <w:color w:val="000000"/>
                <w:kern w:val="0"/>
                <w:sz w:val="18"/>
                <w:szCs w:val="18"/>
                <w:lang w:eastAsia="en-AU"/>
                <w14:ligatures w14:val="none"/>
              </w:rPr>
              <w:t>-</w:t>
            </w:r>
          </w:p>
        </w:tc>
      </w:tr>
      <w:tr w:rsidR="0013075A" w:rsidRPr="00D479B3" w14:paraId="5A46EAD1" w14:textId="77777777" w:rsidTr="0013075A">
        <w:trPr>
          <w:trHeight w:val="288"/>
        </w:trPr>
        <w:tc>
          <w:tcPr>
            <w:tcW w:w="1066" w:type="pct"/>
            <w:tcBorders>
              <w:top w:val="nil"/>
              <w:left w:val="single" w:sz="8" w:space="0" w:color="auto"/>
              <w:bottom w:val="nil"/>
              <w:right w:val="single" w:sz="8" w:space="0" w:color="auto"/>
            </w:tcBorders>
            <w:shd w:val="clear" w:color="auto" w:fill="C1F0C7" w:themeFill="accent3" w:themeFillTint="33"/>
            <w:vAlign w:val="center"/>
            <w:hideMark/>
          </w:tcPr>
          <w:p w14:paraId="5E672740" w14:textId="77777777" w:rsidR="003F2E8A" w:rsidRPr="00D479B3" w:rsidRDefault="003F2E8A">
            <w:pPr>
              <w:spacing w:after="0" w:line="240" w:lineRule="auto"/>
              <w:jc w:val="right"/>
              <w:rPr>
                <w:rFonts w:ascii="Calibri" w:eastAsia="Times New Roman" w:hAnsi="Calibri" w:cs="Calibri"/>
                <w:color w:val="000000"/>
                <w:kern w:val="0"/>
                <w:sz w:val="18"/>
                <w:szCs w:val="18"/>
                <w:lang w:eastAsia="en-AU"/>
                <w14:ligatures w14:val="none"/>
              </w:rPr>
            </w:pPr>
            <w:r w:rsidRPr="00D479B3">
              <w:rPr>
                <w:rFonts w:ascii="Calibri" w:eastAsia="Times New Roman" w:hAnsi="Calibri" w:cs="Calibri"/>
                <w:color w:val="000000"/>
                <w:kern w:val="0"/>
                <w:sz w:val="18"/>
                <w:szCs w:val="18"/>
                <w:lang w:eastAsia="en-AU"/>
                <w14:ligatures w14:val="none"/>
              </w:rPr>
              <w:t>Pacific</w:t>
            </w:r>
          </w:p>
        </w:tc>
        <w:tc>
          <w:tcPr>
            <w:tcW w:w="510" w:type="pct"/>
            <w:tcBorders>
              <w:top w:val="nil"/>
              <w:left w:val="nil"/>
              <w:bottom w:val="dotted" w:sz="4" w:space="0" w:color="auto"/>
              <w:right w:val="dotted" w:sz="4" w:space="0" w:color="auto"/>
            </w:tcBorders>
            <w:vAlign w:val="center"/>
            <w:hideMark/>
          </w:tcPr>
          <w:p w14:paraId="3659A395" w14:textId="77777777" w:rsidR="003F2E8A" w:rsidRPr="00D479B3" w:rsidRDefault="003F2E8A">
            <w:pPr>
              <w:spacing w:after="0" w:line="240" w:lineRule="auto"/>
              <w:jc w:val="center"/>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w:t>
            </w:r>
          </w:p>
        </w:tc>
        <w:tc>
          <w:tcPr>
            <w:tcW w:w="458" w:type="pct"/>
            <w:tcBorders>
              <w:top w:val="nil"/>
              <w:left w:val="nil"/>
              <w:bottom w:val="dotted" w:sz="4" w:space="0" w:color="auto"/>
              <w:right w:val="dotted" w:sz="4" w:space="0" w:color="auto"/>
            </w:tcBorders>
            <w:vAlign w:val="center"/>
            <w:hideMark/>
          </w:tcPr>
          <w:p w14:paraId="27E56319" w14:textId="13549DE1" w:rsidR="003F2E8A" w:rsidRPr="00D479B3" w:rsidRDefault="00995B3B">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34,</w:t>
            </w:r>
            <w:r w:rsidRPr="00D479B3">
              <w:rPr>
                <w:rFonts w:ascii="Calibri" w:eastAsia="Times New Roman" w:hAnsi="Calibri" w:cs="Calibri"/>
                <w:color w:val="A02B93" w:themeColor="accent5"/>
                <w:kern w:val="0"/>
                <w:sz w:val="18"/>
                <w:szCs w:val="18"/>
                <w:lang w:eastAsia="en-AU"/>
                <w14:ligatures w14:val="none"/>
              </w:rPr>
              <w:t xml:space="preserve"> </w:t>
            </w:r>
            <w:r w:rsidR="00864749" w:rsidRPr="00D479B3">
              <w:rPr>
                <w:rFonts w:ascii="Calibri" w:eastAsia="Times New Roman" w:hAnsi="Calibri" w:cs="Calibri"/>
                <w:color w:val="A02B93" w:themeColor="accent5"/>
                <w:kern w:val="0"/>
                <w:sz w:val="18"/>
                <w:szCs w:val="18"/>
                <w:lang w:eastAsia="en-AU"/>
                <w14:ligatures w14:val="none"/>
              </w:rPr>
              <w:t xml:space="preserve">30 </w:t>
            </w:r>
            <w:r w:rsidR="001C4EF8" w:rsidRPr="00D479B3">
              <w:rPr>
                <w:rFonts w:ascii="Calibri" w:eastAsia="Times New Roman" w:hAnsi="Calibri" w:cs="Calibri"/>
                <w:i/>
                <w:iCs/>
                <w:color w:val="000000"/>
                <w:kern w:val="0"/>
                <w:sz w:val="18"/>
                <w:szCs w:val="18"/>
                <w:lang w:eastAsia="en-AU"/>
                <w14:ligatures w14:val="none"/>
              </w:rPr>
              <w:t>(</w:t>
            </w:r>
            <w:r w:rsidR="003F2E8A" w:rsidRPr="00D479B3">
              <w:rPr>
                <w:rFonts w:ascii="Calibri" w:eastAsia="Times New Roman" w:hAnsi="Calibri" w:cs="Calibri"/>
                <w:i/>
                <w:iCs/>
                <w:color w:val="000000"/>
                <w:kern w:val="0"/>
                <w:sz w:val="18"/>
                <w:szCs w:val="18"/>
                <w:lang w:eastAsia="en-AU"/>
                <w14:ligatures w14:val="none"/>
              </w:rPr>
              <w:t>32</w:t>
            </w:r>
            <w:r w:rsidR="001C4EF8" w:rsidRPr="00D479B3">
              <w:rPr>
                <w:rFonts w:ascii="Calibri" w:eastAsia="Times New Roman" w:hAnsi="Calibri" w:cs="Calibri"/>
                <w:i/>
                <w:iCs/>
                <w:color w:val="000000"/>
                <w:kern w:val="0"/>
                <w:sz w:val="18"/>
                <w:szCs w:val="18"/>
                <w:lang w:eastAsia="en-AU"/>
                <w14:ligatures w14:val="none"/>
              </w:rPr>
              <w:t>)</w:t>
            </w:r>
          </w:p>
        </w:tc>
        <w:tc>
          <w:tcPr>
            <w:tcW w:w="458" w:type="pct"/>
            <w:tcBorders>
              <w:top w:val="nil"/>
              <w:left w:val="nil"/>
              <w:bottom w:val="dotted" w:sz="4" w:space="0" w:color="auto"/>
              <w:right w:val="single" w:sz="8" w:space="0" w:color="auto"/>
            </w:tcBorders>
            <w:vAlign w:val="center"/>
            <w:hideMark/>
          </w:tcPr>
          <w:p w14:paraId="26177300" w14:textId="57F53B22" w:rsidR="003F2E8A" w:rsidRPr="00D479B3" w:rsidRDefault="00FA1285">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45,</w:t>
            </w:r>
            <w:r w:rsidRPr="00D479B3">
              <w:rPr>
                <w:rFonts w:ascii="Calibri" w:eastAsia="Times New Roman" w:hAnsi="Calibri" w:cs="Calibri"/>
                <w:color w:val="A02B93" w:themeColor="accent5"/>
                <w:kern w:val="0"/>
                <w:sz w:val="18"/>
                <w:szCs w:val="18"/>
                <w:lang w:eastAsia="en-AU"/>
                <w14:ligatures w14:val="none"/>
              </w:rPr>
              <w:t xml:space="preserve"> </w:t>
            </w:r>
            <w:r w:rsidR="00564C16" w:rsidRPr="00D479B3">
              <w:rPr>
                <w:rFonts w:ascii="Calibri" w:eastAsia="Times New Roman" w:hAnsi="Calibri" w:cs="Calibri"/>
                <w:color w:val="A02B93" w:themeColor="accent5"/>
                <w:kern w:val="0"/>
                <w:sz w:val="18"/>
                <w:szCs w:val="18"/>
                <w:lang w:eastAsia="en-AU"/>
                <w14:ligatures w14:val="none"/>
              </w:rPr>
              <w:t xml:space="preserve">36 </w:t>
            </w:r>
            <w:r w:rsidR="00601B3E" w:rsidRPr="00D479B3">
              <w:rPr>
                <w:rFonts w:ascii="Calibri" w:eastAsia="Times New Roman" w:hAnsi="Calibri" w:cs="Calibri"/>
                <w:i/>
                <w:iCs/>
                <w:color w:val="000000"/>
                <w:kern w:val="0"/>
                <w:sz w:val="18"/>
                <w:szCs w:val="18"/>
                <w:lang w:eastAsia="en-AU"/>
                <w14:ligatures w14:val="none"/>
              </w:rPr>
              <w:t>(</w:t>
            </w:r>
            <w:r w:rsidR="003F2E8A" w:rsidRPr="00D479B3">
              <w:rPr>
                <w:rFonts w:ascii="Calibri" w:eastAsia="Times New Roman" w:hAnsi="Calibri" w:cs="Calibri"/>
                <w:i/>
                <w:iCs/>
                <w:color w:val="000000"/>
                <w:kern w:val="0"/>
                <w:sz w:val="18"/>
                <w:szCs w:val="18"/>
                <w:lang w:eastAsia="en-AU"/>
                <w14:ligatures w14:val="none"/>
              </w:rPr>
              <w:t>41</w:t>
            </w:r>
            <w:r w:rsidR="00601B3E" w:rsidRPr="00D479B3">
              <w:rPr>
                <w:rFonts w:ascii="Calibri" w:eastAsia="Times New Roman" w:hAnsi="Calibri" w:cs="Calibri"/>
                <w:i/>
                <w:iCs/>
                <w:color w:val="000000"/>
                <w:kern w:val="0"/>
                <w:sz w:val="18"/>
                <w:szCs w:val="18"/>
                <w:lang w:eastAsia="en-AU"/>
                <w14:ligatures w14:val="none"/>
              </w:rPr>
              <w:t>)</w:t>
            </w:r>
          </w:p>
        </w:tc>
        <w:tc>
          <w:tcPr>
            <w:tcW w:w="407" w:type="pct"/>
            <w:tcBorders>
              <w:top w:val="nil"/>
              <w:left w:val="nil"/>
              <w:bottom w:val="dotted" w:sz="4" w:space="0" w:color="auto"/>
              <w:right w:val="dotted" w:sz="4" w:space="0" w:color="auto"/>
            </w:tcBorders>
            <w:vAlign w:val="center"/>
            <w:hideMark/>
          </w:tcPr>
          <w:p w14:paraId="6CA39453" w14:textId="3049E268" w:rsidR="003F2E8A" w:rsidRPr="00D479B3" w:rsidRDefault="009A33F3">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56,</w:t>
            </w:r>
            <w:r w:rsidRPr="00D479B3">
              <w:rPr>
                <w:rFonts w:ascii="Calibri" w:eastAsia="Times New Roman" w:hAnsi="Calibri" w:cs="Calibri"/>
                <w:color w:val="A02B93" w:themeColor="accent5"/>
                <w:kern w:val="0"/>
                <w:sz w:val="18"/>
                <w:szCs w:val="18"/>
                <w:lang w:eastAsia="en-AU"/>
                <w14:ligatures w14:val="none"/>
              </w:rPr>
              <w:t xml:space="preserve"> </w:t>
            </w:r>
            <w:r w:rsidR="00AE5F2F" w:rsidRPr="00D479B3">
              <w:rPr>
                <w:rFonts w:ascii="Calibri" w:eastAsia="Times New Roman" w:hAnsi="Calibri" w:cs="Calibri"/>
                <w:color w:val="A02B93" w:themeColor="accent5"/>
                <w:kern w:val="0"/>
                <w:sz w:val="18"/>
                <w:szCs w:val="18"/>
                <w:lang w:eastAsia="en-AU"/>
                <w14:ligatures w14:val="none"/>
              </w:rPr>
              <w:t>40</w:t>
            </w:r>
            <w:r w:rsidR="00AE5F2F" w:rsidRPr="00D479B3">
              <w:rPr>
                <w:rFonts w:ascii="Calibri" w:eastAsia="Times New Roman" w:hAnsi="Calibri" w:cs="Calibri"/>
                <w:i/>
                <w:iCs/>
                <w:color w:val="000000"/>
                <w:kern w:val="0"/>
                <w:sz w:val="18"/>
                <w:szCs w:val="18"/>
                <w:lang w:eastAsia="en-AU"/>
                <w14:ligatures w14:val="none"/>
              </w:rPr>
              <w:t xml:space="preserve"> </w:t>
            </w:r>
            <w:r w:rsidR="00601B3E" w:rsidRPr="00D479B3">
              <w:rPr>
                <w:rFonts w:ascii="Calibri" w:eastAsia="Times New Roman" w:hAnsi="Calibri" w:cs="Calibri"/>
                <w:i/>
                <w:iCs/>
                <w:color w:val="000000"/>
                <w:kern w:val="0"/>
                <w:sz w:val="18"/>
                <w:szCs w:val="18"/>
                <w:lang w:eastAsia="en-AU"/>
                <w14:ligatures w14:val="none"/>
              </w:rPr>
              <w:t>(</w:t>
            </w:r>
            <w:r w:rsidR="003F2E8A" w:rsidRPr="00D479B3">
              <w:rPr>
                <w:rFonts w:ascii="Calibri" w:eastAsia="Times New Roman" w:hAnsi="Calibri" w:cs="Calibri"/>
                <w:i/>
                <w:iCs/>
                <w:color w:val="000000"/>
                <w:kern w:val="0"/>
                <w:sz w:val="18"/>
                <w:szCs w:val="18"/>
                <w:lang w:eastAsia="en-AU"/>
                <w14:ligatures w14:val="none"/>
              </w:rPr>
              <w:t>48</w:t>
            </w:r>
            <w:r w:rsidR="00601B3E" w:rsidRPr="00D479B3">
              <w:rPr>
                <w:rFonts w:ascii="Calibri" w:eastAsia="Times New Roman" w:hAnsi="Calibri" w:cs="Calibri"/>
                <w:i/>
                <w:iCs/>
                <w:color w:val="000000"/>
                <w:kern w:val="0"/>
                <w:sz w:val="18"/>
                <w:szCs w:val="18"/>
                <w:lang w:eastAsia="en-AU"/>
                <w14:ligatures w14:val="none"/>
              </w:rPr>
              <w:t>)</w:t>
            </w:r>
          </w:p>
        </w:tc>
        <w:tc>
          <w:tcPr>
            <w:tcW w:w="408" w:type="pct"/>
            <w:tcBorders>
              <w:top w:val="nil"/>
              <w:left w:val="nil"/>
              <w:bottom w:val="dotted" w:sz="4" w:space="0" w:color="auto"/>
              <w:right w:val="single" w:sz="8" w:space="0" w:color="auto"/>
            </w:tcBorders>
            <w:vAlign w:val="center"/>
            <w:hideMark/>
          </w:tcPr>
          <w:p w14:paraId="5A7E1F60" w14:textId="5245E998" w:rsidR="003F2E8A" w:rsidRPr="00D479B3" w:rsidRDefault="003715C4">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66,</w:t>
            </w:r>
            <w:r w:rsidRPr="00D479B3">
              <w:rPr>
                <w:rFonts w:ascii="Calibri" w:eastAsia="Times New Roman" w:hAnsi="Calibri" w:cs="Calibri"/>
                <w:color w:val="A02B93" w:themeColor="accent5"/>
                <w:kern w:val="0"/>
                <w:sz w:val="18"/>
                <w:szCs w:val="18"/>
                <w:lang w:eastAsia="en-AU"/>
                <w14:ligatures w14:val="none"/>
              </w:rPr>
              <w:t xml:space="preserve"> </w:t>
            </w:r>
            <w:r w:rsidR="00030E3D" w:rsidRPr="00D479B3">
              <w:rPr>
                <w:rFonts w:ascii="Calibri" w:eastAsia="Times New Roman" w:hAnsi="Calibri" w:cs="Calibri"/>
                <w:color w:val="A02B93" w:themeColor="accent5"/>
                <w:kern w:val="0"/>
                <w:sz w:val="18"/>
                <w:szCs w:val="18"/>
                <w:lang w:eastAsia="en-AU"/>
                <w14:ligatures w14:val="none"/>
              </w:rPr>
              <w:t>38</w:t>
            </w:r>
            <w:r w:rsidR="00030E3D" w:rsidRPr="00D479B3">
              <w:rPr>
                <w:rFonts w:ascii="Calibri" w:eastAsia="Times New Roman" w:hAnsi="Calibri" w:cs="Calibri"/>
                <w:i/>
                <w:iCs/>
                <w:color w:val="000000"/>
                <w:kern w:val="0"/>
                <w:sz w:val="18"/>
                <w:szCs w:val="18"/>
                <w:lang w:eastAsia="en-AU"/>
                <w14:ligatures w14:val="none"/>
              </w:rPr>
              <w:t xml:space="preserve"> </w:t>
            </w:r>
            <w:r w:rsidR="00601B3E" w:rsidRPr="00D479B3">
              <w:rPr>
                <w:rFonts w:ascii="Calibri" w:eastAsia="Times New Roman" w:hAnsi="Calibri" w:cs="Calibri"/>
                <w:i/>
                <w:iCs/>
                <w:color w:val="000000"/>
                <w:kern w:val="0"/>
                <w:sz w:val="18"/>
                <w:szCs w:val="18"/>
                <w:lang w:eastAsia="en-AU"/>
                <w14:ligatures w14:val="none"/>
              </w:rPr>
              <w:t>(</w:t>
            </w:r>
            <w:r w:rsidR="003F2E8A" w:rsidRPr="00D479B3">
              <w:rPr>
                <w:rFonts w:ascii="Calibri" w:eastAsia="Times New Roman" w:hAnsi="Calibri" w:cs="Calibri"/>
                <w:i/>
                <w:iCs/>
                <w:color w:val="000000"/>
                <w:kern w:val="0"/>
                <w:sz w:val="18"/>
                <w:szCs w:val="18"/>
                <w:lang w:eastAsia="en-AU"/>
                <w14:ligatures w14:val="none"/>
              </w:rPr>
              <w:t>52</w:t>
            </w:r>
            <w:r w:rsidR="00601B3E" w:rsidRPr="00D479B3">
              <w:rPr>
                <w:rFonts w:ascii="Calibri" w:eastAsia="Times New Roman" w:hAnsi="Calibri" w:cs="Calibri"/>
                <w:i/>
                <w:iCs/>
                <w:color w:val="000000"/>
                <w:kern w:val="0"/>
                <w:sz w:val="18"/>
                <w:szCs w:val="18"/>
                <w:lang w:eastAsia="en-AU"/>
                <w14:ligatures w14:val="none"/>
              </w:rPr>
              <w:t>)</w:t>
            </w:r>
          </w:p>
        </w:tc>
        <w:tc>
          <w:tcPr>
            <w:tcW w:w="407" w:type="pct"/>
            <w:tcBorders>
              <w:top w:val="nil"/>
              <w:left w:val="nil"/>
              <w:bottom w:val="dotted" w:sz="4" w:space="0" w:color="auto"/>
              <w:right w:val="dotted" w:sz="4" w:space="0" w:color="auto"/>
            </w:tcBorders>
            <w:vAlign w:val="center"/>
            <w:hideMark/>
          </w:tcPr>
          <w:p w14:paraId="33867D05" w14:textId="68625E1E" w:rsidR="003F2E8A" w:rsidRPr="00D479B3" w:rsidRDefault="00887CC4">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83,</w:t>
            </w:r>
            <w:r w:rsidRPr="00D479B3">
              <w:rPr>
                <w:rFonts w:ascii="Calibri" w:eastAsia="Times New Roman" w:hAnsi="Calibri" w:cs="Calibri"/>
                <w:color w:val="A02B93" w:themeColor="accent5"/>
                <w:kern w:val="0"/>
                <w:sz w:val="18"/>
                <w:szCs w:val="18"/>
                <w:lang w:eastAsia="en-AU"/>
                <w14:ligatures w14:val="none"/>
              </w:rPr>
              <w:t xml:space="preserve"> </w:t>
            </w:r>
            <w:r w:rsidR="00371096" w:rsidRPr="00D479B3">
              <w:rPr>
                <w:rFonts w:ascii="Calibri" w:eastAsia="Times New Roman" w:hAnsi="Calibri" w:cs="Calibri"/>
                <w:color w:val="A02B93" w:themeColor="accent5"/>
                <w:kern w:val="0"/>
                <w:sz w:val="18"/>
                <w:szCs w:val="18"/>
                <w:lang w:eastAsia="en-AU"/>
                <w14:ligatures w14:val="none"/>
              </w:rPr>
              <w:t>53</w:t>
            </w:r>
            <w:r w:rsidR="00371096" w:rsidRPr="00D479B3">
              <w:rPr>
                <w:rFonts w:ascii="Calibri" w:eastAsia="Times New Roman" w:hAnsi="Calibri" w:cs="Calibri"/>
                <w:i/>
                <w:iCs/>
                <w:color w:val="000000"/>
                <w:kern w:val="0"/>
                <w:sz w:val="18"/>
                <w:szCs w:val="18"/>
                <w:lang w:eastAsia="en-AU"/>
                <w14:ligatures w14:val="none"/>
              </w:rPr>
              <w:t xml:space="preserve"> </w:t>
            </w:r>
            <w:r w:rsidR="00601B3E" w:rsidRPr="00D479B3">
              <w:rPr>
                <w:rFonts w:ascii="Calibri" w:eastAsia="Times New Roman" w:hAnsi="Calibri" w:cs="Calibri"/>
                <w:i/>
                <w:iCs/>
                <w:color w:val="000000"/>
                <w:kern w:val="0"/>
                <w:sz w:val="18"/>
                <w:szCs w:val="18"/>
                <w:lang w:eastAsia="en-AU"/>
                <w14:ligatures w14:val="none"/>
              </w:rPr>
              <w:t>(</w:t>
            </w:r>
            <w:r w:rsidR="003F2E8A" w:rsidRPr="00D479B3">
              <w:rPr>
                <w:rFonts w:ascii="Calibri" w:eastAsia="Times New Roman" w:hAnsi="Calibri" w:cs="Calibri"/>
                <w:i/>
                <w:iCs/>
                <w:color w:val="000000"/>
                <w:kern w:val="0"/>
                <w:sz w:val="18"/>
                <w:szCs w:val="18"/>
                <w:lang w:eastAsia="en-AU"/>
                <w14:ligatures w14:val="none"/>
              </w:rPr>
              <w:t>68</w:t>
            </w:r>
            <w:r w:rsidR="00601B3E" w:rsidRPr="00D479B3">
              <w:rPr>
                <w:rFonts w:ascii="Calibri" w:eastAsia="Times New Roman" w:hAnsi="Calibri" w:cs="Calibri"/>
                <w:i/>
                <w:iCs/>
                <w:color w:val="000000"/>
                <w:kern w:val="0"/>
                <w:sz w:val="18"/>
                <w:szCs w:val="18"/>
                <w:lang w:eastAsia="en-AU"/>
                <w14:ligatures w14:val="none"/>
              </w:rPr>
              <w:t>)</w:t>
            </w:r>
          </w:p>
        </w:tc>
        <w:tc>
          <w:tcPr>
            <w:tcW w:w="458" w:type="pct"/>
            <w:tcBorders>
              <w:top w:val="nil"/>
              <w:left w:val="nil"/>
              <w:bottom w:val="dotted" w:sz="4" w:space="0" w:color="auto"/>
              <w:right w:val="dotted" w:sz="4" w:space="0" w:color="auto"/>
            </w:tcBorders>
            <w:vAlign w:val="center"/>
            <w:hideMark/>
          </w:tcPr>
          <w:p w14:paraId="4976E5CF" w14:textId="4D14776D" w:rsidR="003F2E8A" w:rsidRPr="00D479B3" w:rsidRDefault="006562C3">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 xml:space="preserve">104, </w:t>
            </w:r>
            <w:r w:rsidR="00563B20" w:rsidRPr="00D479B3">
              <w:rPr>
                <w:rFonts w:ascii="Calibri" w:eastAsia="Times New Roman" w:hAnsi="Calibri" w:cs="Calibri"/>
                <w:color w:val="A02B93" w:themeColor="accent5"/>
                <w:kern w:val="0"/>
                <w:sz w:val="18"/>
                <w:szCs w:val="18"/>
                <w:lang w:eastAsia="en-AU"/>
                <w14:ligatures w14:val="none"/>
              </w:rPr>
              <w:t>65</w:t>
            </w:r>
            <w:r w:rsidR="00563B20" w:rsidRPr="00D479B3">
              <w:rPr>
                <w:rFonts w:ascii="Calibri" w:eastAsia="Times New Roman" w:hAnsi="Calibri" w:cs="Calibri"/>
                <w:i/>
                <w:iCs/>
                <w:color w:val="000000"/>
                <w:kern w:val="0"/>
                <w:sz w:val="18"/>
                <w:szCs w:val="18"/>
                <w:lang w:eastAsia="en-AU"/>
                <w14:ligatures w14:val="none"/>
              </w:rPr>
              <w:t xml:space="preserve"> </w:t>
            </w:r>
            <w:r w:rsidR="00601B3E" w:rsidRPr="00D479B3">
              <w:rPr>
                <w:rFonts w:ascii="Calibri" w:eastAsia="Times New Roman" w:hAnsi="Calibri" w:cs="Calibri"/>
                <w:i/>
                <w:iCs/>
                <w:color w:val="000000"/>
                <w:kern w:val="0"/>
                <w:sz w:val="18"/>
                <w:szCs w:val="18"/>
                <w:lang w:eastAsia="en-AU"/>
                <w14:ligatures w14:val="none"/>
              </w:rPr>
              <w:t>(</w:t>
            </w:r>
            <w:r w:rsidR="003F2E8A" w:rsidRPr="00D479B3">
              <w:rPr>
                <w:rFonts w:ascii="Calibri" w:eastAsia="Times New Roman" w:hAnsi="Calibri" w:cs="Calibri"/>
                <w:i/>
                <w:iCs/>
                <w:color w:val="000000"/>
                <w:kern w:val="0"/>
                <w:sz w:val="18"/>
                <w:szCs w:val="18"/>
                <w:lang w:eastAsia="en-AU"/>
                <w14:ligatures w14:val="none"/>
              </w:rPr>
              <w:t>85</w:t>
            </w:r>
            <w:r w:rsidR="00601B3E" w:rsidRPr="00D479B3">
              <w:rPr>
                <w:rFonts w:ascii="Calibri" w:eastAsia="Times New Roman" w:hAnsi="Calibri" w:cs="Calibri"/>
                <w:i/>
                <w:iCs/>
                <w:color w:val="000000"/>
                <w:kern w:val="0"/>
                <w:sz w:val="18"/>
                <w:szCs w:val="18"/>
                <w:lang w:eastAsia="en-AU"/>
                <w14:ligatures w14:val="none"/>
              </w:rPr>
              <w:t>)</w:t>
            </w:r>
          </w:p>
        </w:tc>
        <w:tc>
          <w:tcPr>
            <w:tcW w:w="459" w:type="pct"/>
            <w:tcBorders>
              <w:top w:val="nil"/>
              <w:left w:val="nil"/>
              <w:bottom w:val="dotted" w:sz="4" w:space="0" w:color="auto"/>
              <w:right w:val="dotted" w:sz="4" w:space="0" w:color="auto"/>
            </w:tcBorders>
            <w:vAlign w:val="center"/>
            <w:hideMark/>
          </w:tcPr>
          <w:p w14:paraId="715B0A7E" w14:textId="1F67CBEA" w:rsidR="003F2E8A" w:rsidRPr="00D479B3" w:rsidRDefault="00DD43C5">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79,</w:t>
            </w:r>
            <w:r w:rsidRPr="00D479B3">
              <w:rPr>
                <w:rFonts w:ascii="Calibri" w:eastAsia="Times New Roman" w:hAnsi="Calibri" w:cs="Calibri"/>
                <w:color w:val="A02B93" w:themeColor="accent5"/>
                <w:kern w:val="0"/>
                <w:sz w:val="18"/>
                <w:szCs w:val="18"/>
                <w:lang w:eastAsia="en-AU"/>
                <w14:ligatures w14:val="none"/>
              </w:rPr>
              <w:t xml:space="preserve"> </w:t>
            </w:r>
            <w:r w:rsidR="00933B15" w:rsidRPr="00D479B3">
              <w:rPr>
                <w:rFonts w:ascii="Calibri" w:eastAsia="Times New Roman" w:hAnsi="Calibri" w:cs="Calibri"/>
                <w:color w:val="A02B93" w:themeColor="accent5"/>
                <w:kern w:val="0"/>
                <w:sz w:val="18"/>
                <w:szCs w:val="18"/>
                <w:lang w:eastAsia="en-AU"/>
                <w14:ligatures w14:val="none"/>
              </w:rPr>
              <w:t>57</w:t>
            </w:r>
            <w:r w:rsidR="00933B15" w:rsidRPr="00D479B3">
              <w:rPr>
                <w:rFonts w:ascii="Calibri" w:eastAsia="Times New Roman" w:hAnsi="Calibri" w:cs="Calibri"/>
                <w:i/>
                <w:iCs/>
                <w:color w:val="000000"/>
                <w:kern w:val="0"/>
                <w:sz w:val="18"/>
                <w:szCs w:val="18"/>
                <w:lang w:eastAsia="en-AU"/>
                <w14:ligatures w14:val="none"/>
              </w:rPr>
              <w:t xml:space="preserve"> </w:t>
            </w:r>
            <w:r w:rsidR="00601B3E" w:rsidRPr="00D479B3">
              <w:rPr>
                <w:rFonts w:ascii="Calibri" w:eastAsia="Times New Roman" w:hAnsi="Calibri" w:cs="Calibri"/>
                <w:i/>
                <w:iCs/>
                <w:color w:val="000000"/>
                <w:kern w:val="0"/>
                <w:sz w:val="18"/>
                <w:szCs w:val="18"/>
                <w:lang w:eastAsia="en-AU"/>
                <w14:ligatures w14:val="none"/>
              </w:rPr>
              <w:t>(</w:t>
            </w:r>
            <w:r w:rsidR="003F2E8A" w:rsidRPr="00D479B3">
              <w:rPr>
                <w:rFonts w:ascii="Calibri" w:eastAsia="Times New Roman" w:hAnsi="Calibri" w:cs="Calibri"/>
                <w:i/>
                <w:iCs/>
                <w:color w:val="000000"/>
                <w:kern w:val="0"/>
                <w:sz w:val="18"/>
                <w:szCs w:val="18"/>
                <w:lang w:eastAsia="en-AU"/>
                <w14:ligatures w14:val="none"/>
              </w:rPr>
              <w:t>68</w:t>
            </w:r>
            <w:r w:rsidR="00601B3E" w:rsidRPr="00D479B3">
              <w:rPr>
                <w:rFonts w:ascii="Calibri" w:eastAsia="Times New Roman" w:hAnsi="Calibri" w:cs="Calibri"/>
                <w:i/>
                <w:iCs/>
                <w:color w:val="000000"/>
                <w:kern w:val="0"/>
                <w:sz w:val="18"/>
                <w:szCs w:val="18"/>
                <w:lang w:eastAsia="en-AU"/>
                <w14:ligatures w14:val="none"/>
              </w:rPr>
              <w:t>)</w:t>
            </w:r>
          </w:p>
        </w:tc>
        <w:tc>
          <w:tcPr>
            <w:tcW w:w="369" w:type="pct"/>
            <w:tcBorders>
              <w:top w:val="nil"/>
              <w:left w:val="nil"/>
              <w:bottom w:val="dotted" w:sz="4" w:space="0" w:color="auto"/>
              <w:right w:val="single" w:sz="8" w:space="0" w:color="auto"/>
            </w:tcBorders>
            <w:vAlign w:val="center"/>
            <w:hideMark/>
          </w:tcPr>
          <w:p w14:paraId="4CAE6AE0" w14:textId="77777777" w:rsidR="003F2E8A" w:rsidRPr="00D479B3" w:rsidRDefault="003F2E8A">
            <w:pPr>
              <w:spacing w:after="0" w:line="240" w:lineRule="auto"/>
              <w:jc w:val="center"/>
              <w:rPr>
                <w:rFonts w:ascii="Calibri" w:eastAsia="Times New Roman" w:hAnsi="Calibri" w:cs="Calibri"/>
                <w:b/>
                <w:bCs/>
                <w:i/>
                <w:iCs/>
                <w:color w:val="000000"/>
                <w:kern w:val="0"/>
                <w:sz w:val="18"/>
                <w:szCs w:val="18"/>
                <w:lang w:eastAsia="en-AU"/>
                <w14:ligatures w14:val="none"/>
              </w:rPr>
            </w:pPr>
            <w:r w:rsidRPr="00D479B3">
              <w:rPr>
                <w:rFonts w:ascii="Calibri" w:eastAsia="Times New Roman" w:hAnsi="Calibri" w:cs="Calibri"/>
                <w:b/>
                <w:bCs/>
                <w:i/>
                <w:iCs/>
                <w:color w:val="000000"/>
                <w:kern w:val="0"/>
                <w:sz w:val="18"/>
                <w:szCs w:val="18"/>
                <w:lang w:eastAsia="en-AU"/>
                <w14:ligatures w14:val="none"/>
              </w:rPr>
              <w:t>-</w:t>
            </w:r>
          </w:p>
        </w:tc>
      </w:tr>
      <w:tr w:rsidR="0013075A" w:rsidRPr="00D479B3" w14:paraId="7FD1BFD9" w14:textId="77777777" w:rsidTr="0013075A">
        <w:trPr>
          <w:trHeight w:val="300"/>
        </w:trPr>
        <w:tc>
          <w:tcPr>
            <w:tcW w:w="1066" w:type="pct"/>
            <w:tcBorders>
              <w:top w:val="nil"/>
              <w:left w:val="single" w:sz="8" w:space="0" w:color="auto"/>
              <w:bottom w:val="single" w:sz="8" w:space="0" w:color="auto"/>
              <w:right w:val="single" w:sz="8" w:space="0" w:color="auto"/>
            </w:tcBorders>
            <w:shd w:val="clear" w:color="auto" w:fill="C1F0C7" w:themeFill="accent3" w:themeFillTint="33"/>
            <w:vAlign w:val="center"/>
            <w:hideMark/>
          </w:tcPr>
          <w:p w14:paraId="6DAB2CCA" w14:textId="77777777" w:rsidR="003F2E8A" w:rsidRPr="00D479B3" w:rsidRDefault="003F2E8A">
            <w:pPr>
              <w:spacing w:after="0" w:line="240" w:lineRule="auto"/>
              <w:jc w:val="right"/>
              <w:rPr>
                <w:rFonts w:ascii="Calibri" w:eastAsia="Times New Roman" w:hAnsi="Calibri" w:cs="Calibri"/>
                <w:color w:val="000000"/>
                <w:kern w:val="0"/>
                <w:sz w:val="18"/>
                <w:szCs w:val="18"/>
                <w:lang w:eastAsia="en-AU"/>
                <w14:ligatures w14:val="none"/>
              </w:rPr>
            </w:pPr>
            <w:r w:rsidRPr="00D479B3">
              <w:rPr>
                <w:rFonts w:ascii="Calibri" w:eastAsia="Times New Roman" w:hAnsi="Calibri" w:cs="Calibri"/>
                <w:color w:val="000000"/>
                <w:kern w:val="0"/>
                <w:sz w:val="18"/>
                <w:szCs w:val="18"/>
                <w:lang w:eastAsia="en-AU"/>
                <w14:ligatures w14:val="none"/>
              </w:rPr>
              <w:t>NZEO</w:t>
            </w:r>
          </w:p>
        </w:tc>
        <w:tc>
          <w:tcPr>
            <w:tcW w:w="510" w:type="pct"/>
            <w:tcBorders>
              <w:top w:val="dotted" w:sz="4" w:space="0" w:color="auto"/>
              <w:left w:val="nil"/>
              <w:bottom w:val="single" w:sz="4" w:space="0" w:color="auto"/>
              <w:right w:val="dotted" w:sz="4" w:space="0" w:color="auto"/>
            </w:tcBorders>
            <w:vAlign w:val="center"/>
            <w:hideMark/>
          </w:tcPr>
          <w:p w14:paraId="5AE22B8E" w14:textId="77777777" w:rsidR="003F2E8A" w:rsidRPr="00D479B3" w:rsidRDefault="003F2E8A">
            <w:pPr>
              <w:spacing w:after="0" w:line="240" w:lineRule="auto"/>
              <w:jc w:val="center"/>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w:t>
            </w:r>
          </w:p>
        </w:tc>
        <w:tc>
          <w:tcPr>
            <w:tcW w:w="458" w:type="pct"/>
            <w:tcBorders>
              <w:top w:val="dotted" w:sz="4" w:space="0" w:color="auto"/>
              <w:left w:val="nil"/>
              <w:bottom w:val="single" w:sz="4" w:space="0" w:color="auto"/>
              <w:right w:val="dotted" w:sz="4" w:space="0" w:color="auto"/>
            </w:tcBorders>
            <w:vAlign w:val="center"/>
            <w:hideMark/>
          </w:tcPr>
          <w:p w14:paraId="31ADCF43" w14:textId="73D54943" w:rsidR="003F2E8A" w:rsidRPr="00D479B3" w:rsidRDefault="00A115D5">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28,</w:t>
            </w:r>
            <w:r w:rsidRPr="00D479B3">
              <w:rPr>
                <w:rFonts w:ascii="Calibri" w:eastAsia="Times New Roman" w:hAnsi="Calibri" w:cs="Calibri"/>
                <w:i/>
                <w:iCs/>
                <w:color w:val="000000"/>
                <w:kern w:val="0"/>
                <w:sz w:val="18"/>
                <w:szCs w:val="18"/>
                <w:lang w:eastAsia="en-AU"/>
                <w14:ligatures w14:val="none"/>
              </w:rPr>
              <w:t xml:space="preserve"> </w:t>
            </w:r>
            <w:r w:rsidR="00036609" w:rsidRPr="00D479B3">
              <w:rPr>
                <w:rFonts w:ascii="Calibri" w:eastAsia="Times New Roman" w:hAnsi="Calibri" w:cs="Calibri"/>
                <w:color w:val="A02B93" w:themeColor="accent5"/>
                <w:kern w:val="0"/>
                <w:sz w:val="18"/>
                <w:szCs w:val="18"/>
                <w:lang w:eastAsia="en-AU"/>
                <w14:ligatures w14:val="none"/>
              </w:rPr>
              <w:t>23</w:t>
            </w:r>
            <w:r w:rsidR="00036609" w:rsidRPr="00D479B3">
              <w:rPr>
                <w:rFonts w:ascii="Calibri" w:eastAsia="Times New Roman" w:hAnsi="Calibri" w:cs="Calibri"/>
                <w:i/>
                <w:iCs/>
                <w:color w:val="000000"/>
                <w:kern w:val="0"/>
                <w:sz w:val="18"/>
                <w:szCs w:val="18"/>
                <w:lang w:eastAsia="en-AU"/>
                <w14:ligatures w14:val="none"/>
              </w:rPr>
              <w:t xml:space="preserve"> </w:t>
            </w:r>
            <w:r w:rsidR="001C4EF8" w:rsidRPr="00D479B3">
              <w:rPr>
                <w:rFonts w:ascii="Calibri" w:eastAsia="Times New Roman" w:hAnsi="Calibri" w:cs="Calibri"/>
                <w:i/>
                <w:iCs/>
                <w:color w:val="000000"/>
                <w:kern w:val="0"/>
                <w:sz w:val="18"/>
                <w:szCs w:val="18"/>
                <w:lang w:eastAsia="en-AU"/>
                <w14:ligatures w14:val="none"/>
              </w:rPr>
              <w:t>(</w:t>
            </w:r>
            <w:r w:rsidR="003F2E8A" w:rsidRPr="00D479B3">
              <w:rPr>
                <w:rFonts w:ascii="Calibri" w:eastAsia="Times New Roman" w:hAnsi="Calibri" w:cs="Calibri"/>
                <w:i/>
                <w:iCs/>
                <w:color w:val="000000"/>
                <w:kern w:val="0"/>
                <w:sz w:val="18"/>
                <w:szCs w:val="18"/>
                <w:lang w:eastAsia="en-AU"/>
                <w14:ligatures w14:val="none"/>
              </w:rPr>
              <w:t>26</w:t>
            </w:r>
            <w:r w:rsidR="00995B3B" w:rsidRPr="00D479B3">
              <w:rPr>
                <w:rFonts w:ascii="Calibri" w:eastAsia="Times New Roman" w:hAnsi="Calibri" w:cs="Calibri"/>
                <w:i/>
                <w:iCs/>
                <w:color w:val="000000"/>
                <w:kern w:val="0"/>
                <w:sz w:val="18"/>
                <w:szCs w:val="18"/>
                <w:lang w:eastAsia="en-AU"/>
                <w14:ligatures w14:val="none"/>
              </w:rPr>
              <w:t>)</w:t>
            </w:r>
          </w:p>
        </w:tc>
        <w:tc>
          <w:tcPr>
            <w:tcW w:w="458" w:type="pct"/>
            <w:tcBorders>
              <w:top w:val="dotted" w:sz="4" w:space="0" w:color="auto"/>
              <w:left w:val="nil"/>
              <w:bottom w:val="single" w:sz="4" w:space="0" w:color="auto"/>
              <w:right w:val="single" w:sz="8" w:space="0" w:color="auto"/>
            </w:tcBorders>
            <w:vAlign w:val="center"/>
            <w:hideMark/>
          </w:tcPr>
          <w:p w14:paraId="73F50DA9" w14:textId="68B1B032" w:rsidR="003F2E8A" w:rsidRPr="00D479B3" w:rsidRDefault="00F867B3">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36,</w:t>
            </w:r>
            <w:r w:rsidRPr="00D479B3">
              <w:rPr>
                <w:rFonts w:ascii="Calibri" w:eastAsia="Times New Roman" w:hAnsi="Calibri" w:cs="Calibri"/>
                <w:i/>
                <w:iCs/>
                <w:color w:val="000000"/>
                <w:kern w:val="0"/>
                <w:sz w:val="18"/>
                <w:szCs w:val="18"/>
                <w:lang w:eastAsia="en-AU"/>
                <w14:ligatures w14:val="none"/>
              </w:rPr>
              <w:t xml:space="preserve"> </w:t>
            </w:r>
            <w:r w:rsidR="00DB12A0" w:rsidRPr="00D479B3">
              <w:rPr>
                <w:rFonts w:ascii="Calibri" w:eastAsia="Times New Roman" w:hAnsi="Calibri" w:cs="Calibri"/>
                <w:color w:val="A02B93" w:themeColor="accent5"/>
                <w:kern w:val="0"/>
                <w:sz w:val="18"/>
                <w:szCs w:val="18"/>
                <w:lang w:eastAsia="en-AU"/>
                <w14:ligatures w14:val="none"/>
              </w:rPr>
              <w:t>32</w:t>
            </w:r>
            <w:r w:rsidR="00DB12A0" w:rsidRPr="00D479B3">
              <w:rPr>
                <w:rFonts w:ascii="Calibri" w:eastAsia="Times New Roman" w:hAnsi="Calibri" w:cs="Calibri"/>
                <w:i/>
                <w:iCs/>
                <w:color w:val="000000"/>
                <w:kern w:val="0"/>
                <w:sz w:val="18"/>
                <w:szCs w:val="18"/>
                <w:lang w:eastAsia="en-AU"/>
                <w14:ligatures w14:val="none"/>
              </w:rPr>
              <w:t xml:space="preserve"> </w:t>
            </w:r>
            <w:r w:rsidR="00601B3E" w:rsidRPr="00D479B3">
              <w:rPr>
                <w:rFonts w:ascii="Calibri" w:eastAsia="Times New Roman" w:hAnsi="Calibri" w:cs="Calibri"/>
                <w:i/>
                <w:iCs/>
                <w:color w:val="000000"/>
                <w:kern w:val="0"/>
                <w:sz w:val="18"/>
                <w:szCs w:val="18"/>
                <w:lang w:eastAsia="en-AU"/>
                <w14:ligatures w14:val="none"/>
              </w:rPr>
              <w:t>(</w:t>
            </w:r>
            <w:r w:rsidR="003F2E8A" w:rsidRPr="00D479B3">
              <w:rPr>
                <w:rFonts w:ascii="Calibri" w:eastAsia="Times New Roman" w:hAnsi="Calibri" w:cs="Calibri"/>
                <w:i/>
                <w:iCs/>
                <w:color w:val="000000"/>
                <w:kern w:val="0"/>
                <w:sz w:val="18"/>
                <w:szCs w:val="18"/>
                <w:lang w:eastAsia="en-AU"/>
                <w14:ligatures w14:val="none"/>
              </w:rPr>
              <w:t>34</w:t>
            </w:r>
            <w:r w:rsidR="00601B3E" w:rsidRPr="00D479B3">
              <w:rPr>
                <w:rFonts w:ascii="Calibri" w:eastAsia="Times New Roman" w:hAnsi="Calibri" w:cs="Calibri"/>
                <w:i/>
                <w:iCs/>
                <w:color w:val="000000"/>
                <w:kern w:val="0"/>
                <w:sz w:val="18"/>
                <w:szCs w:val="18"/>
                <w:lang w:eastAsia="en-AU"/>
                <w14:ligatures w14:val="none"/>
              </w:rPr>
              <w:t>)</w:t>
            </w:r>
          </w:p>
        </w:tc>
        <w:tc>
          <w:tcPr>
            <w:tcW w:w="407" w:type="pct"/>
            <w:tcBorders>
              <w:top w:val="dotted" w:sz="4" w:space="0" w:color="auto"/>
              <w:left w:val="nil"/>
              <w:bottom w:val="single" w:sz="4" w:space="0" w:color="auto"/>
              <w:right w:val="dotted" w:sz="4" w:space="0" w:color="auto"/>
            </w:tcBorders>
            <w:vAlign w:val="center"/>
            <w:hideMark/>
          </w:tcPr>
          <w:p w14:paraId="1B1A01CF" w14:textId="3906283C" w:rsidR="003F2E8A" w:rsidRPr="00D479B3" w:rsidRDefault="00DB12A0">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48,</w:t>
            </w:r>
            <w:r w:rsidRPr="00D479B3">
              <w:rPr>
                <w:rFonts w:ascii="Calibri" w:eastAsia="Times New Roman" w:hAnsi="Calibri" w:cs="Calibri"/>
                <w:i/>
                <w:iCs/>
                <w:color w:val="000000"/>
                <w:kern w:val="0"/>
                <w:sz w:val="18"/>
                <w:szCs w:val="18"/>
                <w:lang w:eastAsia="en-AU"/>
                <w14:ligatures w14:val="none"/>
              </w:rPr>
              <w:t xml:space="preserve"> </w:t>
            </w:r>
            <w:r w:rsidRPr="00D479B3">
              <w:rPr>
                <w:rFonts w:ascii="Calibri" w:eastAsia="Times New Roman" w:hAnsi="Calibri" w:cs="Calibri"/>
                <w:color w:val="A02B93" w:themeColor="accent5"/>
                <w:kern w:val="0"/>
                <w:sz w:val="18"/>
                <w:szCs w:val="18"/>
                <w:lang w:eastAsia="en-AU"/>
                <w14:ligatures w14:val="none"/>
              </w:rPr>
              <w:t>33</w:t>
            </w:r>
            <w:r w:rsidRPr="00D479B3">
              <w:rPr>
                <w:rFonts w:ascii="Calibri" w:eastAsia="Times New Roman" w:hAnsi="Calibri" w:cs="Calibri"/>
                <w:i/>
                <w:iCs/>
                <w:color w:val="000000"/>
                <w:kern w:val="0"/>
                <w:sz w:val="18"/>
                <w:szCs w:val="18"/>
                <w:lang w:eastAsia="en-AU"/>
                <w14:ligatures w14:val="none"/>
              </w:rPr>
              <w:t xml:space="preserve"> </w:t>
            </w:r>
            <w:r w:rsidR="00601B3E" w:rsidRPr="00D479B3">
              <w:rPr>
                <w:rFonts w:ascii="Calibri" w:eastAsia="Times New Roman" w:hAnsi="Calibri" w:cs="Calibri"/>
                <w:i/>
                <w:iCs/>
                <w:color w:val="000000"/>
                <w:kern w:val="0"/>
                <w:sz w:val="18"/>
                <w:szCs w:val="18"/>
                <w:lang w:eastAsia="en-AU"/>
                <w14:ligatures w14:val="none"/>
              </w:rPr>
              <w:t>(</w:t>
            </w:r>
            <w:r w:rsidR="003F2E8A" w:rsidRPr="00D479B3">
              <w:rPr>
                <w:rFonts w:ascii="Calibri" w:eastAsia="Times New Roman" w:hAnsi="Calibri" w:cs="Calibri"/>
                <w:i/>
                <w:iCs/>
                <w:color w:val="000000"/>
                <w:kern w:val="0"/>
                <w:sz w:val="18"/>
                <w:szCs w:val="18"/>
                <w:lang w:eastAsia="en-AU"/>
                <w14:ligatures w14:val="none"/>
              </w:rPr>
              <w:t>40</w:t>
            </w:r>
            <w:r w:rsidR="00601B3E" w:rsidRPr="00D479B3">
              <w:rPr>
                <w:rFonts w:ascii="Calibri" w:eastAsia="Times New Roman" w:hAnsi="Calibri" w:cs="Calibri"/>
                <w:i/>
                <w:iCs/>
                <w:color w:val="000000"/>
                <w:kern w:val="0"/>
                <w:sz w:val="18"/>
                <w:szCs w:val="18"/>
                <w:lang w:eastAsia="en-AU"/>
                <w14:ligatures w14:val="none"/>
              </w:rPr>
              <w:t>)</w:t>
            </w:r>
          </w:p>
        </w:tc>
        <w:tc>
          <w:tcPr>
            <w:tcW w:w="408" w:type="pct"/>
            <w:tcBorders>
              <w:top w:val="dotted" w:sz="4" w:space="0" w:color="auto"/>
              <w:left w:val="nil"/>
              <w:bottom w:val="single" w:sz="4" w:space="0" w:color="auto"/>
              <w:right w:val="single" w:sz="8" w:space="0" w:color="auto"/>
            </w:tcBorders>
            <w:vAlign w:val="center"/>
            <w:hideMark/>
          </w:tcPr>
          <w:p w14:paraId="4FC42DF3" w14:textId="62D3B842" w:rsidR="003F2E8A" w:rsidRPr="00D479B3" w:rsidRDefault="00034AD9">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b/>
                <w:bCs/>
                <w:i/>
                <w:iCs/>
                <w:color w:val="0B769F" w:themeColor="accent4" w:themeShade="BF"/>
                <w:kern w:val="0"/>
                <w:sz w:val="18"/>
                <w:szCs w:val="18"/>
                <w:lang w:eastAsia="en-AU"/>
                <w14:ligatures w14:val="none"/>
              </w:rPr>
              <w:t>-</w:t>
            </w:r>
            <w:r w:rsidRPr="00D479B3">
              <w:rPr>
                <w:rFonts w:ascii="Calibri" w:eastAsia="Times New Roman" w:hAnsi="Calibri" w:cs="Calibri"/>
                <w:b/>
                <w:bCs/>
                <w:i/>
                <w:iCs/>
                <w:color w:val="000000"/>
                <w:kern w:val="0"/>
                <w:sz w:val="18"/>
                <w:szCs w:val="18"/>
                <w:lang w:eastAsia="en-AU"/>
                <w14:ligatures w14:val="none"/>
              </w:rPr>
              <w:t xml:space="preserve"> </w:t>
            </w:r>
            <w:r w:rsidRPr="00D479B3">
              <w:rPr>
                <w:rFonts w:ascii="Calibri" w:eastAsia="Times New Roman" w:hAnsi="Calibri" w:cs="Calibri"/>
                <w:b/>
                <w:bCs/>
                <w:i/>
                <w:iCs/>
                <w:color w:val="A02B93" w:themeColor="accent5"/>
                <w:kern w:val="0"/>
                <w:sz w:val="18"/>
                <w:szCs w:val="18"/>
                <w:lang w:eastAsia="en-AU"/>
                <w14:ligatures w14:val="none"/>
              </w:rPr>
              <w:t>-</w:t>
            </w:r>
            <w:r w:rsidR="007415BB" w:rsidRPr="00D479B3">
              <w:rPr>
                <w:rFonts w:ascii="Calibri" w:eastAsia="Times New Roman" w:hAnsi="Calibri" w:cs="Calibri"/>
                <w:i/>
                <w:iCs/>
                <w:color w:val="000000"/>
                <w:kern w:val="0"/>
                <w:sz w:val="18"/>
                <w:szCs w:val="18"/>
                <w:lang w:eastAsia="en-AU"/>
                <w14:ligatures w14:val="none"/>
              </w:rPr>
              <w:t xml:space="preserve"> </w:t>
            </w:r>
            <w:r w:rsidR="00601B3E" w:rsidRPr="00D479B3">
              <w:rPr>
                <w:rFonts w:ascii="Calibri" w:eastAsia="Times New Roman" w:hAnsi="Calibri" w:cs="Calibri"/>
                <w:i/>
                <w:iCs/>
                <w:color w:val="000000"/>
                <w:kern w:val="0"/>
                <w:sz w:val="18"/>
                <w:szCs w:val="18"/>
                <w:lang w:eastAsia="en-AU"/>
                <w14:ligatures w14:val="none"/>
              </w:rPr>
              <w:t>(</w:t>
            </w:r>
            <w:r w:rsidR="003F2E8A" w:rsidRPr="00D479B3">
              <w:rPr>
                <w:rFonts w:ascii="Calibri" w:eastAsia="Times New Roman" w:hAnsi="Calibri" w:cs="Calibri"/>
                <w:i/>
                <w:iCs/>
                <w:color w:val="000000"/>
                <w:kern w:val="0"/>
                <w:sz w:val="18"/>
                <w:szCs w:val="18"/>
                <w:lang w:eastAsia="en-AU"/>
                <w14:ligatures w14:val="none"/>
              </w:rPr>
              <w:t>52</w:t>
            </w:r>
            <w:r w:rsidR="00601B3E" w:rsidRPr="00D479B3">
              <w:rPr>
                <w:rFonts w:ascii="Calibri" w:eastAsia="Times New Roman" w:hAnsi="Calibri" w:cs="Calibri"/>
                <w:i/>
                <w:iCs/>
                <w:color w:val="000000"/>
                <w:kern w:val="0"/>
                <w:sz w:val="18"/>
                <w:szCs w:val="18"/>
                <w:lang w:eastAsia="en-AU"/>
                <w14:ligatures w14:val="none"/>
              </w:rPr>
              <w:t>)</w:t>
            </w:r>
          </w:p>
        </w:tc>
        <w:tc>
          <w:tcPr>
            <w:tcW w:w="407" w:type="pct"/>
            <w:tcBorders>
              <w:top w:val="dotted" w:sz="4" w:space="0" w:color="auto"/>
              <w:left w:val="nil"/>
              <w:bottom w:val="single" w:sz="4" w:space="0" w:color="auto"/>
              <w:right w:val="dotted" w:sz="4" w:space="0" w:color="auto"/>
            </w:tcBorders>
            <w:vAlign w:val="center"/>
            <w:hideMark/>
          </w:tcPr>
          <w:p w14:paraId="3423B59E" w14:textId="6F2C2AFE" w:rsidR="003F2E8A" w:rsidRPr="00D479B3" w:rsidRDefault="00034AD9">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b/>
                <w:bCs/>
                <w:i/>
                <w:iCs/>
                <w:color w:val="0B769F" w:themeColor="accent4" w:themeShade="BF"/>
                <w:kern w:val="0"/>
                <w:sz w:val="18"/>
                <w:szCs w:val="18"/>
                <w:lang w:eastAsia="en-AU"/>
                <w14:ligatures w14:val="none"/>
              </w:rPr>
              <w:t>-</w:t>
            </w:r>
            <w:r w:rsidRPr="00D479B3">
              <w:rPr>
                <w:rFonts w:ascii="Calibri" w:eastAsia="Times New Roman" w:hAnsi="Calibri" w:cs="Calibri"/>
                <w:b/>
                <w:bCs/>
                <w:i/>
                <w:iCs/>
                <w:color w:val="000000"/>
                <w:kern w:val="0"/>
                <w:sz w:val="18"/>
                <w:szCs w:val="18"/>
                <w:lang w:eastAsia="en-AU"/>
                <w14:ligatures w14:val="none"/>
              </w:rPr>
              <w:t xml:space="preserve"> </w:t>
            </w:r>
            <w:r w:rsidRPr="00D479B3">
              <w:rPr>
                <w:rFonts w:ascii="Calibri" w:eastAsia="Times New Roman" w:hAnsi="Calibri" w:cs="Calibri"/>
                <w:b/>
                <w:bCs/>
                <w:i/>
                <w:iCs/>
                <w:color w:val="A02B93" w:themeColor="accent5"/>
                <w:kern w:val="0"/>
                <w:sz w:val="18"/>
                <w:szCs w:val="18"/>
                <w:lang w:eastAsia="en-AU"/>
                <w14:ligatures w14:val="none"/>
              </w:rPr>
              <w:t>-</w:t>
            </w:r>
            <w:r w:rsidR="007415BB" w:rsidRPr="00D479B3">
              <w:rPr>
                <w:rFonts w:ascii="Calibri" w:eastAsia="Times New Roman" w:hAnsi="Calibri" w:cs="Calibri"/>
                <w:i/>
                <w:iCs/>
                <w:color w:val="000000"/>
                <w:kern w:val="0"/>
                <w:sz w:val="18"/>
                <w:szCs w:val="18"/>
                <w:lang w:eastAsia="en-AU"/>
                <w14:ligatures w14:val="none"/>
              </w:rPr>
              <w:t xml:space="preserve"> </w:t>
            </w:r>
            <w:r w:rsidR="00601B3E" w:rsidRPr="00D479B3">
              <w:rPr>
                <w:rFonts w:ascii="Calibri" w:eastAsia="Times New Roman" w:hAnsi="Calibri" w:cs="Calibri"/>
                <w:i/>
                <w:iCs/>
                <w:color w:val="000000"/>
                <w:kern w:val="0"/>
                <w:sz w:val="18"/>
                <w:szCs w:val="18"/>
                <w:lang w:eastAsia="en-AU"/>
                <w14:ligatures w14:val="none"/>
              </w:rPr>
              <w:t>(</w:t>
            </w:r>
            <w:r w:rsidR="003F2E8A" w:rsidRPr="00D479B3">
              <w:rPr>
                <w:rFonts w:ascii="Calibri" w:eastAsia="Times New Roman" w:hAnsi="Calibri" w:cs="Calibri"/>
                <w:i/>
                <w:iCs/>
                <w:color w:val="000000"/>
                <w:kern w:val="0"/>
                <w:sz w:val="18"/>
                <w:szCs w:val="18"/>
                <w:lang w:eastAsia="en-AU"/>
                <w14:ligatures w14:val="none"/>
              </w:rPr>
              <w:t>52</w:t>
            </w:r>
            <w:r w:rsidR="00601B3E" w:rsidRPr="00D479B3">
              <w:rPr>
                <w:rFonts w:ascii="Calibri" w:eastAsia="Times New Roman" w:hAnsi="Calibri" w:cs="Calibri"/>
                <w:i/>
                <w:iCs/>
                <w:color w:val="000000"/>
                <w:kern w:val="0"/>
                <w:sz w:val="18"/>
                <w:szCs w:val="18"/>
                <w:lang w:eastAsia="en-AU"/>
                <w14:ligatures w14:val="none"/>
              </w:rPr>
              <w:t>)</w:t>
            </w:r>
          </w:p>
        </w:tc>
        <w:tc>
          <w:tcPr>
            <w:tcW w:w="458" w:type="pct"/>
            <w:tcBorders>
              <w:top w:val="dotted" w:sz="4" w:space="0" w:color="auto"/>
              <w:left w:val="nil"/>
              <w:bottom w:val="single" w:sz="4" w:space="0" w:color="auto"/>
              <w:right w:val="dotted" w:sz="4" w:space="0" w:color="auto"/>
            </w:tcBorders>
            <w:vAlign w:val="center"/>
            <w:hideMark/>
          </w:tcPr>
          <w:p w14:paraId="58FB4F48" w14:textId="02799A1E" w:rsidR="003F2E8A" w:rsidRPr="00D479B3" w:rsidRDefault="00034AD9">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b/>
                <w:bCs/>
                <w:i/>
                <w:iCs/>
                <w:color w:val="0B769F" w:themeColor="accent4" w:themeShade="BF"/>
                <w:kern w:val="0"/>
                <w:sz w:val="18"/>
                <w:szCs w:val="18"/>
                <w:lang w:eastAsia="en-AU"/>
                <w14:ligatures w14:val="none"/>
              </w:rPr>
              <w:t>-</w:t>
            </w:r>
            <w:r w:rsidRPr="00D479B3">
              <w:rPr>
                <w:rFonts w:ascii="Calibri" w:eastAsia="Times New Roman" w:hAnsi="Calibri" w:cs="Calibri"/>
                <w:b/>
                <w:bCs/>
                <w:i/>
                <w:iCs/>
                <w:color w:val="000000"/>
                <w:kern w:val="0"/>
                <w:sz w:val="18"/>
                <w:szCs w:val="18"/>
                <w:lang w:eastAsia="en-AU"/>
                <w14:ligatures w14:val="none"/>
              </w:rPr>
              <w:t xml:space="preserve"> </w:t>
            </w:r>
            <w:r w:rsidRPr="00D479B3">
              <w:rPr>
                <w:rFonts w:ascii="Calibri" w:eastAsia="Times New Roman" w:hAnsi="Calibri" w:cs="Calibri"/>
                <w:b/>
                <w:bCs/>
                <w:i/>
                <w:iCs/>
                <w:color w:val="A02B93" w:themeColor="accent5"/>
                <w:kern w:val="0"/>
                <w:sz w:val="18"/>
                <w:szCs w:val="18"/>
                <w:lang w:eastAsia="en-AU"/>
                <w14:ligatures w14:val="none"/>
              </w:rPr>
              <w:t>-</w:t>
            </w:r>
            <w:r w:rsidR="007415BB" w:rsidRPr="00D479B3">
              <w:rPr>
                <w:rFonts w:ascii="Calibri" w:eastAsia="Times New Roman" w:hAnsi="Calibri" w:cs="Calibri"/>
                <w:i/>
                <w:iCs/>
                <w:color w:val="000000"/>
                <w:kern w:val="0"/>
                <w:sz w:val="18"/>
                <w:szCs w:val="18"/>
                <w:lang w:eastAsia="en-AU"/>
                <w14:ligatures w14:val="none"/>
              </w:rPr>
              <w:t xml:space="preserve"> </w:t>
            </w:r>
            <w:r w:rsidR="00601B3E" w:rsidRPr="00D479B3">
              <w:rPr>
                <w:rFonts w:ascii="Calibri" w:eastAsia="Times New Roman" w:hAnsi="Calibri" w:cs="Calibri"/>
                <w:i/>
                <w:iCs/>
                <w:color w:val="000000"/>
                <w:kern w:val="0"/>
                <w:sz w:val="18"/>
                <w:szCs w:val="18"/>
                <w:lang w:eastAsia="en-AU"/>
                <w14:ligatures w14:val="none"/>
              </w:rPr>
              <w:t>(</w:t>
            </w:r>
            <w:r w:rsidR="003F2E8A" w:rsidRPr="00D479B3">
              <w:rPr>
                <w:rFonts w:ascii="Calibri" w:eastAsia="Times New Roman" w:hAnsi="Calibri" w:cs="Calibri"/>
                <w:i/>
                <w:iCs/>
                <w:color w:val="000000"/>
                <w:kern w:val="0"/>
                <w:sz w:val="18"/>
                <w:szCs w:val="18"/>
                <w:lang w:eastAsia="en-AU"/>
                <w14:ligatures w14:val="none"/>
              </w:rPr>
              <w:t>65</w:t>
            </w:r>
            <w:r w:rsidR="00601B3E" w:rsidRPr="00D479B3">
              <w:rPr>
                <w:rFonts w:ascii="Calibri" w:eastAsia="Times New Roman" w:hAnsi="Calibri" w:cs="Calibri"/>
                <w:i/>
                <w:iCs/>
                <w:color w:val="000000"/>
                <w:kern w:val="0"/>
                <w:sz w:val="18"/>
                <w:szCs w:val="18"/>
                <w:lang w:eastAsia="en-AU"/>
                <w14:ligatures w14:val="none"/>
              </w:rPr>
              <w:t>)</w:t>
            </w:r>
          </w:p>
        </w:tc>
        <w:tc>
          <w:tcPr>
            <w:tcW w:w="459" w:type="pct"/>
            <w:tcBorders>
              <w:top w:val="dotted" w:sz="4" w:space="0" w:color="auto"/>
              <w:left w:val="nil"/>
              <w:bottom w:val="single" w:sz="4" w:space="0" w:color="auto"/>
              <w:right w:val="dotted" w:sz="4" w:space="0" w:color="auto"/>
            </w:tcBorders>
            <w:vAlign w:val="center"/>
            <w:hideMark/>
          </w:tcPr>
          <w:p w14:paraId="3C1D51AD" w14:textId="710C660C" w:rsidR="003F2E8A" w:rsidRPr="00D479B3" w:rsidRDefault="00034AD9">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b/>
                <w:bCs/>
                <w:i/>
                <w:iCs/>
                <w:color w:val="0B769F" w:themeColor="accent4" w:themeShade="BF"/>
                <w:kern w:val="0"/>
                <w:sz w:val="18"/>
                <w:szCs w:val="18"/>
                <w:lang w:eastAsia="en-AU"/>
                <w14:ligatures w14:val="none"/>
              </w:rPr>
              <w:t>-</w:t>
            </w:r>
            <w:r w:rsidRPr="00D479B3">
              <w:rPr>
                <w:rFonts w:ascii="Calibri" w:eastAsia="Times New Roman" w:hAnsi="Calibri" w:cs="Calibri"/>
                <w:b/>
                <w:bCs/>
                <w:i/>
                <w:iCs/>
                <w:color w:val="000000"/>
                <w:kern w:val="0"/>
                <w:sz w:val="18"/>
                <w:szCs w:val="18"/>
                <w:lang w:eastAsia="en-AU"/>
                <w14:ligatures w14:val="none"/>
              </w:rPr>
              <w:t xml:space="preserve"> </w:t>
            </w:r>
            <w:r w:rsidRPr="00D479B3">
              <w:rPr>
                <w:rFonts w:ascii="Calibri" w:eastAsia="Times New Roman" w:hAnsi="Calibri" w:cs="Calibri"/>
                <w:b/>
                <w:bCs/>
                <w:i/>
                <w:iCs/>
                <w:color w:val="A02B93" w:themeColor="accent5"/>
                <w:kern w:val="0"/>
                <w:sz w:val="18"/>
                <w:szCs w:val="18"/>
                <w:lang w:eastAsia="en-AU"/>
                <w14:ligatures w14:val="none"/>
              </w:rPr>
              <w:t>-</w:t>
            </w:r>
            <w:r w:rsidRPr="00D479B3">
              <w:rPr>
                <w:rFonts w:ascii="Calibri" w:eastAsia="Times New Roman" w:hAnsi="Calibri" w:cs="Calibri"/>
                <w:i/>
                <w:iCs/>
                <w:color w:val="000000"/>
                <w:kern w:val="0"/>
                <w:sz w:val="18"/>
                <w:szCs w:val="18"/>
                <w:lang w:eastAsia="en-AU"/>
                <w14:ligatures w14:val="none"/>
              </w:rPr>
              <w:t xml:space="preserve"> </w:t>
            </w:r>
            <w:r w:rsidR="00601B3E" w:rsidRPr="00D479B3">
              <w:rPr>
                <w:rFonts w:ascii="Calibri" w:eastAsia="Times New Roman" w:hAnsi="Calibri" w:cs="Calibri"/>
                <w:i/>
                <w:iCs/>
                <w:color w:val="000000"/>
                <w:kern w:val="0"/>
                <w:sz w:val="18"/>
                <w:szCs w:val="18"/>
                <w:lang w:eastAsia="en-AU"/>
                <w14:ligatures w14:val="none"/>
              </w:rPr>
              <w:t>(</w:t>
            </w:r>
            <w:r w:rsidR="003F2E8A" w:rsidRPr="00D479B3">
              <w:rPr>
                <w:rFonts w:ascii="Calibri" w:eastAsia="Times New Roman" w:hAnsi="Calibri" w:cs="Calibri"/>
                <w:i/>
                <w:iCs/>
                <w:color w:val="000000"/>
                <w:kern w:val="0"/>
                <w:sz w:val="18"/>
                <w:szCs w:val="18"/>
                <w:lang w:eastAsia="en-AU"/>
                <w14:ligatures w14:val="none"/>
              </w:rPr>
              <w:t>54</w:t>
            </w:r>
            <w:r w:rsidR="00601B3E" w:rsidRPr="00D479B3">
              <w:rPr>
                <w:rFonts w:ascii="Calibri" w:eastAsia="Times New Roman" w:hAnsi="Calibri" w:cs="Calibri"/>
                <w:i/>
                <w:iCs/>
                <w:color w:val="000000"/>
                <w:kern w:val="0"/>
                <w:sz w:val="18"/>
                <w:szCs w:val="18"/>
                <w:lang w:eastAsia="en-AU"/>
                <w14:ligatures w14:val="none"/>
              </w:rPr>
              <w:t>)</w:t>
            </w:r>
          </w:p>
        </w:tc>
        <w:tc>
          <w:tcPr>
            <w:tcW w:w="369" w:type="pct"/>
            <w:tcBorders>
              <w:top w:val="dotted" w:sz="4" w:space="0" w:color="auto"/>
              <w:left w:val="nil"/>
              <w:bottom w:val="single" w:sz="4" w:space="0" w:color="auto"/>
              <w:right w:val="single" w:sz="8" w:space="0" w:color="auto"/>
            </w:tcBorders>
            <w:vAlign w:val="center"/>
            <w:hideMark/>
          </w:tcPr>
          <w:p w14:paraId="4BD32F7E" w14:textId="77777777" w:rsidR="003F2E8A" w:rsidRPr="00D479B3" w:rsidRDefault="003F2E8A">
            <w:pPr>
              <w:spacing w:after="0" w:line="240" w:lineRule="auto"/>
              <w:jc w:val="center"/>
              <w:rPr>
                <w:rFonts w:ascii="Calibri" w:eastAsia="Times New Roman" w:hAnsi="Calibri" w:cs="Calibri"/>
                <w:b/>
                <w:bCs/>
                <w:i/>
                <w:iCs/>
                <w:color w:val="000000"/>
                <w:kern w:val="0"/>
                <w:sz w:val="18"/>
                <w:szCs w:val="18"/>
                <w:lang w:eastAsia="en-AU"/>
                <w14:ligatures w14:val="none"/>
              </w:rPr>
            </w:pPr>
            <w:r w:rsidRPr="00D479B3">
              <w:rPr>
                <w:rFonts w:ascii="Calibri" w:eastAsia="Times New Roman" w:hAnsi="Calibri" w:cs="Calibri"/>
                <w:b/>
                <w:bCs/>
                <w:i/>
                <w:iCs/>
                <w:color w:val="000000"/>
                <w:kern w:val="0"/>
                <w:sz w:val="18"/>
                <w:szCs w:val="18"/>
                <w:lang w:eastAsia="en-AU"/>
                <w14:ligatures w14:val="none"/>
              </w:rPr>
              <w:t>-</w:t>
            </w:r>
          </w:p>
        </w:tc>
      </w:tr>
      <w:tr w:rsidR="0013075A" w:rsidRPr="00D479B3" w14:paraId="6A7F1724" w14:textId="77777777" w:rsidTr="0013075A">
        <w:trPr>
          <w:trHeight w:val="249"/>
        </w:trPr>
        <w:tc>
          <w:tcPr>
            <w:tcW w:w="1066" w:type="pct"/>
            <w:tcBorders>
              <w:top w:val="nil"/>
              <w:left w:val="single" w:sz="8" w:space="0" w:color="auto"/>
              <w:bottom w:val="nil"/>
              <w:right w:val="single" w:sz="8" w:space="0" w:color="auto"/>
            </w:tcBorders>
            <w:shd w:val="clear" w:color="auto" w:fill="F2CEED" w:themeFill="accent5" w:themeFillTint="33"/>
            <w:vAlign w:val="center"/>
            <w:hideMark/>
          </w:tcPr>
          <w:p w14:paraId="2A3317CB" w14:textId="77777777" w:rsidR="001172A1" w:rsidRPr="00F66628" w:rsidRDefault="001172A1">
            <w:pPr>
              <w:spacing w:after="0" w:line="240" w:lineRule="auto"/>
              <w:rPr>
                <w:rFonts w:ascii="Calibri" w:eastAsia="Times New Roman" w:hAnsi="Calibri" w:cs="Calibri"/>
                <w:b/>
                <w:bCs/>
                <w:color w:val="000000"/>
                <w:kern w:val="0"/>
                <w:sz w:val="18"/>
                <w:szCs w:val="18"/>
                <w:lang w:eastAsia="en-AU"/>
                <w14:ligatures w14:val="none"/>
              </w:rPr>
            </w:pPr>
            <w:r w:rsidRPr="00F66628">
              <w:rPr>
                <w:rFonts w:ascii="Calibri" w:eastAsia="Times New Roman" w:hAnsi="Calibri" w:cs="Calibri"/>
                <w:b/>
                <w:bCs/>
                <w:color w:val="000000"/>
                <w:kern w:val="0"/>
                <w:sz w:val="18"/>
                <w:szCs w:val="18"/>
                <w:lang w:eastAsia="en-AU"/>
                <w14:ligatures w14:val="none"/>
              </w:rPr>
              <w:t>European Member States</w:t>
            </w:r>
          </w:p>
          <w:p w14:paraId="2CB9E830" w14:textId="164E68CA" w:rsidR="001172A1" w:rsidRPr="00D479B3" w:rsidRDefault="001172A1">
            <w:pPr>
              <w:spacing w:after="0" w:line="240" w:lineRule="auto"/>
              <w:rPr>
                <w:rFonts w:ascii="Calibri" w:eastAsia="Times New Roman" w:hAnsi="Calibri" w:cs="Calibri"/>
                <w:color w:val="000000"/>
                <w:kern w:val="0"/>
                <w:sz w:val="18"/>
                <w:szCs w:val="18"/>
                <w:lang w:eastAsia="en-AU"/>
                <w14:ligatures w14:val="none"/>
              </w:rPr>
            </w:pPr>
            <w:r w:rsidRPr="00D479B3">
              <w:rPr>
                <w:rFonts w:ascii="Calibri" w:eastAsia="Times New Roman" w:hAnsi="Calibri" w:cs="Calibri"/>
                <w:i/>
                <w:iCs/>
                <w:color w:val="000000"/>
                <w:kern w:val="0"/>
                <w:sz w:val="16"/>
                <w:szCs w:val="16"/>
                <w:lang w:eastAsia="en-AU"/>
                <w14:ligatures w14:val="none"/>
              </w:rPr>
              <w:t>(food only)</w:t>
            </w:r>
          </w:p>
        </w:tc>
        <w:tc>
          <w:tcPr>
            <w:tcW w:w="510" w:type="pct"/>
            <w:tcBorders>
              <w:top w:val="single" w:sz="4" w:space="0" w:color="auto"/>
              <w:left w:val="nil"/>
              <w:bottom w:val="dotted" w:sz="4" w:space="0" w:color="auto"/>
              <w:right w:val="dotted" w:sz="4" w:space="0" w:color="auto"/>
            </w:tcBorders>
            <w:shd w:val="clear" w:color="auto" w:fill="F2CEED" w:themeFill="accent5" w:themeFillTint="33"/>
            <w:vAlign w:val="center"/>
            <w:hideMark/>
          </w:tcPr>
          <w:p w14:paraId="730D32C1" w14:textId="77777777" w:rsidR="001172A1" w:rsidRPr="00D479B3" w:rsidRDefault="001172A1">
            <w:pPr>
              <w:spacing w:after="0" w:line="240" w:lineRule="auto"/>
              <w:jc w:val="center"/>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1-3yrs</w:t>
            </w:r>
          </w:p>
        </w:tc>
        <w:tc>
          <w:tcPr>
            <w:tcW w:w="458" w:type="pct"/>
            <w:tcBorders>
              <w:top w:val="single" w:sz="4" w:space="0" w:color="auto"/>
              <w:left w:val="nil"/>
              <w:bottom w:val="dotted" w:sz="4" w:space="0" w:color="auto"/>
            </w:tcBorders>
            <w:shd w:val="clear" w:color="auto" w:fill="F2CEED" w:themeFill="accent5" w:themeFillTint="33"/>
            <w:vAlign w:val="center"/>
            <w:hideMark/>
          </w:tcPr>
          <w:p w14:paraId="3F888323" w14:textId="77777777" w:rsidR="001172A1" w:rsidRPr="00D479B3" w:rsidRDefault="001172A1">
            <w:pPr>
              <w:spacing w:after="0" w:line="240" w:lineRule="auto"/>
              <w:jc w:val="center"/>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3-10yrs</w:t>
            </w:r>
          </w:p>
        </w:tc>
        <w:tc>
          <w:tcPr>
            <w:tcW w:w="458" w:type="pct"/>
            <w:tcBorders>
              <w:top w:val="single" w:sz="4" w:space="0" w:color="auto"/>
              <w:bottom w:val="dotted" w:sz="4" w:space="0" w:color="auto"/>
              <w:right w:val="single" w:sz="8" w:space="0" w:color="000000"/>
            </w:tcBorders>
            <w:shd w:val="clear" w:color="auto" w:fill="F2CEED" w:themeFill="accent5" w:themeFillTint="33"/>
            <w:vAlign w:val="center"/>
          </w:tcPr>
          <w:p w14:paraId="5C611497" w14:textId="43F8EC28" w:rsidR="001172A1" w:rsidRPr="00D479B3" w:rsidRDefault="001172A1">
            <w:pPr>
              <w:spacing w:after="0" w:line="240" w:lineRule="auto"/>
              <w:jc w:val="center"/>
              <w:rPr>
                <w:rFonts w:ascii="Calibri" w:eastAsia="Times New Roman" w:hAnsi="Calibri" w:cs="Calibri"/>
                <w:b/>
                <w:bCs/>
                <w:color w:val="000000"/>
                <w:kern w:val="0"/>
                <w:sz w:val="18"/>
                <w:szCs w:val="18"/>
                <w:lang w:eastAsia="en-AU"/>
                <w14:ligatures w14:val="none"/>
              </w:rPr>
            </w:pPr>
          </w:p>
        </w:tc>
        <w:tc>
          <w:tcPr>
            <w:tcW w:w="407" w:type="pct"/>
            <w:tcBorders>
              <w:top w:val="single" w:sz="4" w:space="0" w:color="auto"/>
              <w:left w:val="nil"/>
              <w:bottom w:val="dotted" w:sz="4" w:space="0" w:color="auto"/>
            </w:tcBorders>
            <w:shd w:val="clear" w:color="auto" w:fill="F2CEED" w:themeFill="accent5" w:themeFillTint="33"/>
            <w:vAlign w:val="center"/>
            <w:hideMark/>
          </w:tcPr>
          <w:p w14:paraId="76B64B38" w14:textId="77777777" w:rsidR="001172A1" w:rsidRPr="00D479B3" w:rsidRDefault="001172A1">
            <w:pPr>
              <w:spacing w:after="0" w:line="240" w:lineRule="auto"/>
              <w:jc w:val="center"/>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10-18yrs</w:t>
            </w:r>
          </w:p>
        </w:tc>
        <w:tc>
          <w:tcPr>
            <w:tcW w:w="408" w:type="pct"/>
            <w:tcBorders>
              <w:top w:val="single" w:sz="4" w:space="0" w:color="auto"/>
              <w:bottom w:val="dotted" w:sz="4" w:space="0" w:color="auto"/>
              <w:right w:val="single" w:sz="8" w:space="0" w:color="000000"/>
            </w:tcBorders>
            <w:shd w:val="clear" w:color="auto" w:fill="F2CEED" w:themeFill="accent5" w:themeFillTint="33"/>
            <w:vAlign w:val="center"/>
          </w:tcPr>
          <w:p w14:paraId="135FD613" w14:textId="31F748F2" w:rsidR="001172A1" w:rsidRPr="00D479B3" w:rsidRDefault="001172A1">
            <w:pPr>
              <w:spacing w:after="0" w:line="240" w:lineRule="auto"/>
              <w:jc w:val="center"/>
              <w:rPr>
                <w:rFonts w:ascii="Calibri" w:eastAsia="Times New Roman" w:hAnsi="Calibri" w:cs="Calibri"/>
                <w:b/>
                <w:bCs/>
                <w:color w:val="000000"/>
                <w:kern w:val="0"/>
                <w:sz w:val="18"/>
                <w:szCs w:val="18"/>
                <w:lang w:eastAsia="en-AU"/>
                <w14:ligatures w14:val="none"/>
              </w:rPr>
            </w:pPr>
          </w:p>
        </w:tc>
        <w:tc>
          <w:tcPr>
            <w:tcW w:w="407" w:type="pct"/>
            <w:tcBorders>
              <w:top w:val="single" w:sz="4" w:space="0" w:color="auto"/>
              <w:left w:val="nil"/>
              <w:bottom w:val="dotted" w:sz="4" w:space="0" w:color="auto"/>
            </w:tcBorders>
            <w:shd w:val="clear" w:color="auto" w:fill="F2CEED" w:themeFill="accent5" w:themeFillTint="33"/>
            <w:vAlign w:val="center"/>
            <w:hideMark/>
          </w:tcPr>
          <w:p w14:paraId="622EA5E1" w14:textId="77777777" w:rsidR="001172A1" w:rsidRPr="00D479B3" w:rsidRDefault="001172A1">
            <w:pPr>
              <w:spacing w:after="0" w:line="240" w:lineRule="auto"/>
              <w:jc w:val="center"/>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18-64yrs</w:t>
            </w:r>
          </w:p>
        </w:tc>
        <w:tc>
          <w:tcPr>
            <w:tcW w:w="458" w:type="pct"/>
            <w:tcBorders>
              <w:top w:val="single" w:sz="4" w:space="0" w:color="auto"/>
              <w:bottom w:val="dotted" w:sz="4" w:space="0" w:color="auto"/>
              <w:right w:val="single" w:sz="8" w:space="0" w:color="000000"/>
            </w:tcBorders>
            <w:shd w:val="clear" w:color="auto" w:fill="F2CEED" w:themeFill="accent5" w:themeFillTint="33"/>
            <w:vAlign w:val="center"/>
          </w:tcPr>
          <w:p w14:paraId="5EA45BFC" w14:textId="0AF488BE" w:rsidR="001172A1" w:rsidRPr="00D479B3" w:rsidRDefault="001172A1">
            <w:pPr>
              <w:spacing w:after="0" w:line="240" w:lineRule="auto"/>
              <w:jc w:val="center"/>
              <w:rPr>
                <w:rFonts w:ascii="Calibri" w:eastAsia="Times New Roman" w:hAnsi="Calibri" w:cs="Calibri"/>
                <w:b/>
                <w:bCs/>
                <w:color w:val="000000"/>
                <w:kern w:val="0"/>
                <w:sz w:val="18"/>
                <w:szCs w:val="18"/>
                <w:lang w:eastAsia="en-AU"/>
                <w14:ligatures w14:val="none"/>
              </w:rPr>
            </w:pPr>
          </w:p>
        </w:tc>
        <w:tc>
          <w:tcPr>
            <w:tcW w:w="459" w:type="pct"/>
            <w:tcBorders>
              <w:top w:val="single" w:sz="4" w:space="0" w:color="auto"/>
              <w:left w:val="nil"/>
              <w:bottom w:val="dotted" w:sz="4" w:space="0" w:color="auto"/>
              <w:right w:val="single" w:sz="8" w:space="0" w:color="auto"/>
            </w:tcBorders>
            <w:shd w:val="clear" w:color="auto" w:fill="F2CEED" w:themeFill="accent5" w:themeFillTint="33"/>
            <w:vAlign w:val="center"/>
            <w:hideMark/>
          </w:tcPr>
          <w:p w14:paraId="6269BE84" w14:textId="77777777" w:rsidR="001172A1" w:rsidRPr="00D479B3" w:rsidRDefault="001172A1">
            <w:pPr>
              <w:spacing w:after="0" w:line="240" w:lineRule="auto"/>
              <w:jc w:val="center"/>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65-74yrs</w:t>
            </w:r>
          </w:p>
        </w:tc>
        <w:tc>
          <w:tcPr>
            <w:tcW w:w="369" w:type="pct"/>
            <w:tcBorders>
              <w:top w:val="single" w:sz="4" w:space="0" w:color="auto"/>
              <w:left w:val="nil"/>
              <w:bottom w:val="dotted" w:sz="4" w:space="0" w:color="auto"/>
              <w:right w:val="single" w:sz="8" w:space="0" w:color="auto"/>
            </w:tcBorders>
            <w:shd w:val="clear" w:color="auto" w:fill="F2CEED" w:themeFill="accent5" w:themeFillTint="33"/>
            <w:vAlign w:val="center"/>
            <w:hideMark/>
          </w:tcPr>
          <w:p w14:paraId="0DBEC458" w14:textId="77777777" w:rsidR="001172A1" w:rsidRPr="00D479B3" w:rsidRDefault="001172A1">
            <w:pPr>
              <w:spacing w:after="0" w:line="240" w:lineRule="auto"/>
              <w:jc w:val="center"/>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75+yrs</w:t>
            </w:r>
          </w:p>
        </w:tc>
      </w:tr>
      <w:tr w:rsidR="0013075A" w:rsidRPr="00D479B3" w14:paraId="137BEFDD" w14:textId="77777777" w:rsidTr="0013075A">
        <w:trPr>
          <w:trHeight w:val="279"/>
        </w:trPr>
        <w:tc>
          <w:tcPr>
            <w:tcW w:w="1066" w:type="pct"/>
            <w:tcBorders>
              <w:top w:val="nil"/>
              <w:left w:val="single" w:sz="8" w:space="0" w:color="auto"/>
              <w:bottom w:val="dotted" w:sz="4" w:space="0" w:color="auto"/>
              <w:right w:val="single" w:sz="8" w:space="0" w:color="auto"/>
            </w:tcBorders>
            <w:shd w:val="clear" w:color="auto" w:fill="F2CEED" w:themeFill="accent5" w:themeFillTint="33"/>
            <w:vAlign w:val="center"/>
            <w:hideMark/>
          </w:tcPr>
          <w:p w14:paraId="28A7C29B" w14:textId="77777777" w:rsidR="001172A1" w:rsidRPr="00213B72" w:rsidRDefault="001172A1">
            <w:pPr>
              <w:spacing w:after="0" w:line="240" w:lineRule="auto"/>
              <w:jc w:val="right"/>
              <w:rPr>
                <w:rFonts w:ascii="Calibri" w:eastAsia="Times New Roman" w:hAnsi="Calibri" w:cs="Calibri"/>
                <w:b/>
                <w:bCs/>
                <w:color w:val="000000"/>
                <w:kern w:val="0"/>
                <w:sz w:val="18"/>
                <w:szCs w:val="18"/>
                <w:lang w:eastAsia="en-AU"/>
                <w14:ligatures w14:val="none"/>
              </w:rPr>
            </w:pPr>
            <w:r w:rsidRPr="00213B72">
              <w:rPr>
                <w:rFonts w:ascii="Calibri" w:eastAsia="Times New Roman" w:hAnsi="Calibri" w:cs="Calibri"/>
                <w:b/>
                <w:bCs/>
                <w:color w:val="000000"/>
                <w:kern w:val="0"/>
                <w:sz w:val="18"/>
                <w:szCs w:val="18"/>
                <w:lang w:eastAsia="en-AU"/>
                <w14:ligatures w14:val="none"/>
              </w:rPr>
              <w:t>(Max mean)</w:t>
            </w:r>
          </w:p>
        </w:tc>
        <w:tc>
          <w:tcPr>
            <w:tcW w:w="510" w:type="pct"/>
            <w:tcBorders>
              <w:top w:val="nil"/>
              <w:left w:val="nil"/>
              <w:bottom w:val="dotted" w:sz="4" w:space="0" w:color="auto"/>
              <w:right w:val="dotted" w:sz="4" w:space="0" w:color="auto"/>
            </w:tcBorders>
            <w:vAlign w:val="center"/>
            <w:hideMark/>
          </w:tcPr>
          <w:p w14:paraId="46E177D2" w14:textId="7E0FE31F" w:rsidR="001172A1" w:rsidRPr="00D479B3" w:rsidRDefault="001172A1">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b/>
                <w:bCs/>
                <w:i/>
                <w:iCs/>
                <w:color w:val="0B769F" w:themeColor="accent4" w:themeShade="BF"/>
                <w:kern w:val="0"/>
                <w:sz w:val="18"/>
                <w:szCs w:val="18"/>
                <w:lang w:eastAsia="en-AU"/>
                <w14:ligatures w14:val="none"/>
              </w:rPr>
              <w:t>-</w:t>
            </w:r>
            <w:r w:rsidRPr="00D479B3">
              <w:rPr>
                <w:rFonts w:ascii="Calibri" w:eastAsia="Times New Roman" w:hAnsi="Calibri" w:cs="Calibri"/>
                <w:b/>
                <w:bCs/>
                <w:i/>
                <w:iCs/>
                <w:color w:val="000000"/>
                <w:kern w:val="0"/>
                <w:sz w:val="18"/>
                <w:szCs w:val="18"/>
                <w:lang w:eastAsia="en-AU"/>
                <w14:ligatures w14:val="none"/>
              </w:rPr>
              <w:t xml:space="preserve"> </w:t>
            </w:r>
            <w:r w:rsidRPr="00D479B3">
              <w:rPr>
                <w:rFonts w:ascii="Calibri" w:eastAsia="Times New Roman" w:hAnsi="Calibri" w:cs="Calibri"/>
                <w:b/>
                <w:bCs/>
                <w:i/>
                <w:iCs/>
                <w:color w:val="A02B93" w:themeColor="accent5"/>
                <w:kern w:val="0"/>
                <w:sz w:val="18"/>
                <w:szCs w:val="18"/>
                <w:lang w:eastAsia="en-AU"/>
                <w14:ligatures w14:val="none"/>
              </w:rPr>
              <w:t>-</w:t>
            </w:r>
            <w:r w:rsidRPr="00D479B3">
              <w:rPr>
                <w:rFonts w:ascii="Calibri" w:eastAsia="Times New Roman" w:hAnsi="Calibri" w:cs="Calibri"/>
                <w:i/>
                <w:iCs/>
                <w:color w:val="000000"/>
                <w:kern w:val="0"/>
                <w:sz w:val="18"/>
                <w:szCs w:val="18"/>
                <w:lang w:eastAsia="en-AU"/>
                <w14:ligatures w14:val="none"/>
              </w:rPr>
              <w:t xml:space="preserve"> (36)</w:t>
            </w:r>
          </w:p>
        </w:tc>
        <w:tc>
          <w:tcPr>
            <w:tcW w:w="458" w:type="pct"/>
            <w:tcBorders>
              <w:top w:val="dotted" w:sz="4" w:space="0" w:color="auto"/>
              <w:left w:val="nil"/>
              <w:bottom w:val="dotted" w:sz="4" w:space="0" w:color="auto"/>
            </w:tcBorders>
            <w:vAlign w:val="center"/>
            <w:hideMark/>
          </w:tcPr>
          <w:p w14:paraId="0E757FF0" w14:textId="77777777" w:rsidR="001172A1" w:rsidRPr="00D479B3" w:rsidRDefault="001172A1">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b/>
                <w:bCs/>
                <w:i/>
                <w:iCs/>
                <w:color w:val="0B769F" w:themeColor="accent4" w:themeShade="BF"/>
                <w:kern w:val="0"/>
                <w:sz w:val="18"/>
                <w:szCs w:val="18"/>
                <w:lang w:eastAsia="en-AU"/>
                <w14:ligatures w14:val="none"/>
              </w:rPr>
              <w:t>-</w:t>
            </w:r>
            <w:r w:rsidRPr="00D479B3">
              <w:rPr>
                <w:rFonts w:ascii="Calibri" w:eastAsia="Times New Roman" w:hAnsi="Calibri" w:cs="Calibri"/>
                <w:b/>
                <w:bCs/>
                <w:i/>
                <w:iCs/>
                <w:color w:val="000000"/>
                <w:kern w:val="0"/>
                <w:sz w:val="18"/>
                <w:szCs w:val="18"/>
                <w:lang w:eastAsia="en-AU"/>
                <w14:ligatures w14:val="none"/>
              </w:rPr>
              <w:t xml:space="preserve"> </w:t>
            </w:r>
            <w:r w:rsidRPr="00D479B3">
              <w:rPr>
                <w:rFonts w:ascii="Calibri" w:eastAsia="Times New Roman" w:hAnsi="Calibri" w:cs="Calibri"/>
                <w:b/>
                <w:bCs/>
                <w:i/>
                <w:iCs/>
                <w:color w:val="A02B93" w:themeColor="accent5"/>
                <w:kern w:val="0"/>
                <w:sz w:val="18"/>
                <w:szCs w:val="18"/>
                <w:lang w:eastAsia="en-AU"/>
                <w14:ligatures w14:val="none"/>
              </w:rPr>
              <w:t>-</w:t>
            </w:r>
            <w:r w:rsidRPr="00D479B3">
              <w:rPr>
                <w:rFonts w:ascii="Calibri" w:eastAsia="Times New Roman" w:hAnsi="Calibri" w:cs="Calibri"/>
                <w:i/>
                <w:iCs/>
                <w:color w:val="000000"/>
                <w:kern w:val="0"/>
                <w:sz w:val="18"/>
                <w:szCs w:val="18"/>
                <w:lang w:eastAsia="en-AU"/>
                <w14:ligatures w14:val="none"/>
              </w:rPr>
              <w:t xml:space="preserve"> (44)</w:t>
            </w:r>
          </w:p>
        </w:tc>
        <w:tc>
          <w:tcPr>
            <w:tcW w:w="458" w:type="pct"/>
            <w:tcBorders>
              <w:top w:val="dotted" w:sz="4" w:space="0" w:color="auto"/>
              <w:bottom w:val="dotted" w:sz="4" w:space="0" w:color="auto"/>
              <w:right w:val="single" w:sz="8" w:space="0" w:color="000000"/>
            </w:tcBorders>
            <w:vAlign w:val="center"/>
          </w:tcPr>
          <w:p w14:paraId="52BE8004" w14:textId="754FB8E8" w:rsidR="001172A1" w:rsidRPr="00D479B3" w:rsidRDefault="001172A1">
            <w:pPr>
              <w:spacing w:after="0" w:line="240" w:lineRule="auto"/>
              <w:jc w:val="center"/>
              <w:rPr>
                <w:rFonts w:ascii="Calibri" w:eastAsia="Times New Roman" w:hAnsi="Calibri" w:cs="Calibri"/>
                <w:i/>
                <w:iCs/>
                <w:color w:val="000000"/>
                <w:kern w:val="0"/>
                <w:sz w:val="18"/>
                <w:szCs w:val="18"/>
                <w:lang w:eastAsia="en-AU"/>
                <w14:ligatures w14:val="none"/>
              </w:rPr>
            </w:pPr>
          </w:p>
        </w:tc>
        <w:tc>
          <w:tcPr>
            <w:tcW w:w="407" w:type="pct"/>
            <w:tcBorders>
              <w:top w:val="dotted" w:sz="4" w:space="0" w:color="auto"/>
              <w:left w:val="nil"/>
              <w:bottom w:val="dotted" w:sz="4" w:space="0" w:color="auto"/>
            </w:tcBorders>
            <w:vAlign w:val="center"/>
            <w:hideMark/>
          </w:tcPr>
          <w:p w14:paraId="6EFE1334" w14:textId="77777777" w:rsidR="001172A1" w:rsidRPr="00D479B3" w:rsidRDefault="001172A1">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b/>
                <w:bCs/>
                <w:i/>
                <w:iCs/>
                <w:color w:val="0B769F" w:themeColor="accent4" w:themeShade="BF"/>
                <w:kern w:val="0"/>
                <w:sz w:val="18"/>
                <w:szCs w:val="18"/>
                <w:lang w:eastAsia="en-AU"/>
                <w14:ligatures w14:val="none"/>
              </w:rPr>
              <w:t>-</w:t>
            </w:r>
            <w:r w:rsidRPr="00D479B3">
              <w:rPr>
                <w:rFonts w:ascii="Calibri" w:eastAsia="Times New Roman" w:hAnsi="Calibri" w:cs="Calibri"/>
                <w:b/>
                <w:bCs/>
                <w:i/>
                <w:iCs/>
                <w:color w:val="000000"/>
                <w:kern w:val="0"/>
                <w:sz w:val="18"/>
                <w:szCs w:val="18"/>
                <w:lang w:eastAsia="en-AU"/>
                <w14:ligatures w14:val="none"/>
              </w:rPr>
              <w:t xml:space="preserve"> </w:t>
            </w:r>
            <w:r w:rsidRPr="00D479B3">
              <w:rPr>
                <w:rFonts w:ascii="Calibri" w:eastAsia="Times New Roman" w:hAnsi="Calibri" w:cs="Calibri"/>
                <w:b/>
                <w:bCs/>
                <w:i/>
                <w:iCs/>
                <w:color w:val="A02B93" w:themeColor="accent5"/>
                <w:kern w:val="0"/>
                <w:sz w:val="18"/>
                <w:szCs w:val="18"/>
                <w:lang w:eastAsia="en-AU"/>
                <w14:ligatures w14:val="none"/>
              </w:rPr>
              <w:t>-</w:t>
            </w:r>
            <w:r w:rsidRPr="00D479B3">
              <w:rPr>
                <w:rFonts w:ascii="Calibri" w:eastAsia="Times New Roman" w:hAnsi="Calibri" w:cs="Calibri"/>
                <w:i/>
                <w:iCs/>
                <w:color w:val="000000"/>
                <w:kern w:val="0"/>
                <w:sz w:val="18"/>
                <w:szCs w:val="18"/>
                <w:lang w:eastAsia="en-AU"/>
                <w14:ligatures w14:val="none"/>
              </w:rPr>
              <w:t xml:space="preserve"> (54)</w:t>
            </w:r>
          </w:p>
        </w:tc>
        <w:tc>
          <w:tcPr>
            <w:tcW w:w="408" w:type="pct"/>
            <w:tcBorders>
              <w:top w:val="dotted" w:sz="4" w:space="0" w:color="auto"/>
              <w:bottom w:val="dotted" w:sz="4" w:space="0" w:color="auto"/>
              <w:right w:val="single" w:sz="8" w:space="0" w:color="000000"/>
            </w:tcBorders>
            <w:vAlign w:val="center"/>
          </w:tcPr>
          <w:p w14:paraId="7141F34A" w14:textId="4FE067E1" w:rsidR="001172A1" w:rsidRPr="00D479B3" w:rsidRDefault="001172A1">
            <w:pPr>
              <w:spacing w:after="0" w:line="240" w:lineRule="auto"/>
              <w:jc w:val="center"/>
              <w:rPr>
                <w:rFonts w:ascii="Calibri" w:eastAsia="Times New Roman" w:hAnsi="Calibri" w:cs="Calibri"/>
                <w:i/>
                <w:iCs/>
                <w:color w:val="000000"/>
                <w:kern w:val="0"/>
                <w:sz w:val="18"/>
                <w:szCs w:val="18"/>
                <w:lang w:eastAsia="en-AU"/>
                <w14:ligatures w14:val="none"/>
              </w:rPr>
            </w:pPr>
          </w:p>
        </w:tc>
        <w:tc>
          <w:tcPr>
            <w:tcW w:w="407" w:type="pct"/>
            <w:tcBorders>
              <w:top w:val="dotted" w:sz="4" w:space="0" w:color="auto"/>
              <w:left w:val="nil"/>
              <w:bottom w:val="dotted" w:sz="4" w:space="0" w:color="auto"/>
            </w:tcBorders>
            <w:vAlign w:val="center"/>
            <w:hideMark/>
          </w:tcPr>
          <w:p w14:paraId="30D256BA" w14:textId="77777777" w:rsidR="001172A1" w:rsidRPr="00D479B3" w:rsidRDefault="001172A1">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b/>
                <w:bCs/>
                <w:i/>
                <w:iCs/>
                <w:color w:val="0B769F" w:themeColor="accent4" w:themeShade="BF"/>
                <w:kern w:val="0"/>
                <w:sz w:val="18"/>
                <w:szCs w:val="18"/>
                <w:lang w:eastAsia="en-AU"/>
                <w14:ligatures w14:val="none"/>
              </w:rPr>
              <w:t>-</w:t>
            </w:r>
            <w:r w:rsidRPr="00D479B3">
              <w:rPr>
                <w:rFonts w:ascii="Calibri" w:eastAsia="Times New Roman" w:hAnsi="Calibri" w:cs="Calibri"/>
                <w:b/>
                <w:bCs/>
                <w:i/>
                <w:iCs/>
                <w:color w:val="000000"/>
                <w:kern w:val="0"/>
                <w:sz w:val="18"/>
                <w:szCs w:val="18"/>
                <w:lang w:eastAsia="en-AU"/>
                <w14:ligatures w14:val="none"/>
              </w:rPr>
              <w:t xml:space="preserve"> </w:t>
            </w:r>
            <w:r w:rsidRPr="00D479B3">
              <w:rPr>
                <w:rFonts w:ascii="Calibri" w:eastAsia="Times New Roman" w:hAnsi="Calibri" w:cs="Calibri"/>
                <w:b/>
                <w:bCs/>
                <w:i/>
                <w:iCs/>
                <w:color w:val="A02B93" w:themeColor="accent5"/>
                <w:kern w:val="0"/>
                <w:sz w:val="18"/>
                <w:szCs w:val="18"/>
                <w:lang w:eastAsia="en-AU"/>
                <w14:ligatures w14:val="none"/>
              </w:rPr>
              <w:t>-</w:t>
            </w:r>
            <w:r w:rsidRPr="00D479B3">
              <w:rPr>
                <w:rFonts w:ascii="Calibri" w:eastAsia="Times New Roman" w:hAnsi="Calibri" w:cs="Calibri"/>
                <w:i/>
                <w:iCs/>
                <w:color w:val="000000"/>
                <w:kern w:val="0"/>
                <w:sz w:val="18"/>
                <w:szCs w:val="18"/>
                <w:lang w:eastAsia="en-AU"/>
                <w14:ligatures w14:val="none"/>
              </w:rPr>
              <w:t xml:space="preserve"> (58)</w:t>
            </w:r>
          </w:p>
        </w:tc>
        <w:tc>
          <w:tcPr>
            <w:tcW w:w="458" w:type="pct"/>
            <w:tcBorders>
              <w:top w:val="dotted" w:sz="4" w:space="0" w:color="auto"/>
              <w:bottom w:val="dotted" w:sz="4" w:space="0" w:color="auto"/>
              <w:right w:val="single" w:sz="8" w:space="0" w:color="000000"/>
            </w:tcBorders>
            <w:vAlign w:val="center"/>
          </w:tcPr>
          <w:p w14:paraId="0A1F55EC" w14:textId="1A43A9B5" w:rsidR="001172A1" w:rsidRPr="00D479B3" w:rsidRDefault="001172A1">
            <w:pPr>
              <w:spacing w:after="0" w:line="240" w:lineRule="auto"/>
              <w:jc w:val="center"/>
              <w:rPr>
                <w:rFonts w:ascii="Calibri" w:eastAsia="Times New Roman" w:hAnsi="Calibri" w:cs="Calibri"/>
                <w:i/>
                <w:iCs/>
                <w:color w:val="000000"/>
                <w:kern w:val="0"/>
                <w:sz w:val="18"/>
                <w:szCs w:val="18"/>
                <w:lang w:eastAsia="en-AU"/>
                <w14:ligatures w14:val="none"/>
              </w:rPr>
            </w:pPr>
          </w:p>
        </w:tc>
        <w:tc>
          <w:tcPr>
            <w:tcW w:w="459" w:type="pct"/>
            <w:tcBorders>
              <w:top w:val="nil"/>
              <w:left w:val="nil"/>
              <w:bottom w:val="dotted" w:sz="4" w:space="0" w:color="auto"/>
              <w:right w:val="single" w:sz="8" w:space="0" w:color="auto"/>
            </w:tcBorders>
            <w:vAlign w:val="center"/>
            <w:hideMark/>
          </w:tcPr>
          <w:p w14:paraId="6F2FF1E8" w14:textId="7776836F" w:rsidR="001172A1" w:rsidRPr="00D479B3" w:rsidRDefault="001172A1">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b/>
                <w:bCs/>
                <w:i/>
                <w:iCs/>
                <w:color w:val="0B769F" w:themeColor="accent4" w:themeShade="BF"/>
                <w:kern w:val="0"/>
                <w:sz w:val="18"/>
                <w:szCs w:val="18"/>
                <w:lang w:eastAsia="en-AU"/>
                <w14:ligatures w14:val="none"/>
              </w:rPr>
              <w:t>-</w:t>
            </w:r>
            <w:r w:rsidRPr="00D479B3">
              <w:rPr>
                <w:rFonts w:ascii="Calibri" w:eastAsia="Times New Roman" w:hAnsi="Calibri" w:cs="Calibri"/>
                <w:b/>
                <w:bCs/>
                <w:i/>
                <w:iCs/>
                <w:color w:val="000000"/>
                <w:kern w:val="0"/>
                <w:sz w:val="18"/>
                <w:szCs w:val="18"/>
                <w:lang w:eastAsia="en-AU"/>
                <w14:ligatures w14:val="none"/>
              </w:rPr>
              <w:t xml:space="preserve"> </w:t>
            </w:r>
            <w:r w:rsidRPr="00D479B3">
              <w:rPr>
                <w:rFonts w:ascii="Calibri" w:eastAsia="Times New Roman" w:hAnsi="Calibri" w:cs="Calibri"/>
                <w:b/>
                <w:bCs/>
                <w:i/>
                <w:iCs/>
                <w:color w:val="A02B93" w:themeColor="accent5"/>
                <w:kern w:val="0"/>
                <w:sz w:val="18"/>
                <w:szCs w:val="18"/>
                <w:lang w:eastAsia="en-AU"/>
                <w14:ligatures w14:val="none"/>
              </w:rPr>
              <w:t>-</w:t>
            </w:r>
            <w:r w:rsidRPr="00D479B3">
              <w:rPr>
                <w:rFonts w:ascii="Calibri" w:eastAsia="Times New Roman" w:hAnsi="Calibri" w:cs="Calibri"/>
                <w:i/>
                <w:iCs/>
                <w:color w:val="000000"/>
                <w:kern w:val="0"/>
                <w:sz w:val="18"/>
                <w:szCs w:val="18"/>
                <w:lang w:eastAsia="en-AU"/>
                <w14:ligatures w14:val="none"/>
              </w:rPr>
              <w:t xml:space="preserve"> (55)</w:t>
            </w:r>
          </w:p>
        </w:tc>
        <w:tc>
          <w:tcPr>
            <w:tcW w:w="369" w:type="pct"/>
            <w:tcBorders>
              <w:top w:val="nil"/>
              <w:left w:val="nil"/>
              <w:bottom w:val="dotted" w:sz="4" w:space="0" w:color="auto"/>
              <w:right w:val="single" w:sz="8" w:space="0" w:color="auto"/>
            </w:tcBorders>
            <w:vAlign w:val="center"/>
            <w:hideMark/>
          </w:tcPr>
          <w:p w14:paraId="1D6053CF" w14:textId="5222799A" w:rsidR="001172A1" w:rsidRPr="00D479B3" w:rsidRDefault="001172A1">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b/>
                <w:bCs/>
                <w:i/>
                <w:iCs/>
                <w:color w:val="0B769F" w:themeColor="accent4" w:themeShade="BF"/>
                <w:kern w:val="0"/>
                <w:sz w:val="18"/>
                <w:szCs w:val="18"/>
                <w:lang w:eastAsia="en-AU"/>
                <w14:ligatures w14:val="none"/>
              </w:rPr>
              <w:t>-</w:t>
            </w:r>
            <w:r w:rsidRPr="00D479B3">
              <w:rPr>
                <w:rFonts w:ascii="Calibri" w:eastAsia="Times New Roman" w:hAnsi="Calibri" w:cs="Calibri"/>
                <w:b/>
                <w:bCs/>
                <w:i/>
                <w:iCs/>
                <w:color w:val="000000"/>
                <w:kern w:val="0"/>
                <w:sz w:val="18"/>
                <w:szCs w:val="18"/>
                <w:lang w:eastAsia="en-AU"/>
                <w14:ligatures w14:val="none"/>
              </w:rPr>
              <w:t xml:space="preserve"> </w:t>
            </w:r>
            <w:r w:rsidRPr="00D479B3">
              <w:rPr>
                <w:rFonts w:ascii="Calibri" w:eastAsia="Times New Roman" w:hAnsi="Calibri" w:cs="Calibri"/>
                <w:b/>
                <w:bCs/>
                <w:i/>
                <w:iCs/>
                <w:color w:val="A02B93" w:themeColor="accent5"/>
                <w:kern w:val="0"/>
                <w:sz w:val="18"/>
                <w:szCs w:val="18"/>
                <w:lang w:eastAsia="en-AU"/>
                <w14:ligatures w14:val="none"/>
              </w:rPr>
              <w:t>-</w:t>
            </w:r>
            <w:r w:rsidRPr="00D479B3">
              <w:rPr>
                <w:rFonts w:ascii="Calibri" w:eastAsia="Times New Roman" w:hAnsi="Calibri" w:cs="Calibri"/>
                <w:i/>
                <w:iCs/>
                <w:color w:val="000000"/>
                <w:kern w:val="0"/>
                <w:sz w:val="18"/>
                <w:szCs w:val="18"/>
                <w:lang w:eastAsia="en-AU"/>
                <w14:ligatures w14:val="none"/>
              </w:rPr>
              <w:t xml:space="preserve"> (56)</w:t>
            </w:r>
          </w:p>
        </w:tc>
      </w:tr>
      <w:tr w:rsidR="0013075A" w:rsidRPr="00D479B3" w14:paraId="54C02056" w14:textId="77777777" w:rsidTr="0013075A">
        <w:trPr>
          <w:trHeight w:val="288"/>
        </w:trPr>
        <w:tc>
          <w:tcPr>
            <w:tcW w:w="1066" w:type="pct"/>
            <w:tcBorders>
              <w:top w:val="nil"/>
              <w:left w:val="single" w:sz="8" w:space="0" w:color="auto"/>
              <w:bottom w:val="single" w:sz="8" w:space="0" w:color="auto"/>
              <w:right w:val="single" w:sz="8" w:space="0" w:color="auto"/>
            </w:tcBorders>
            <w:shd w:val="clear" w:color="auto" w:fill="F2CEED" w:themeFill="accent5" w:themeFillTint="33"/>
            <w:vAlign w:val="center"/>
            <w:hideMark/>
          </w:tcPr>
          <w:p w14:paraId="14ADA597" w14:textId="77777777" w:rsidR="001172A1" w:rsidRPr="00D479B3" w:rsidRDefault="001172A1">
            <w:pPr>
              <w:spacing w:after="0" w:line="240" w:lineRule="auto"/>
              <w:jc w:val="right"/>
              <w:rPr>
                <w:rFonts w:ascii="Calibri" w:eastAsia="Times New Roman" w:hAnsi="Calibri" w:cs="Calibri"/>
                <w:color w:val="000000"/>
                <w:kern w:val="0"/>
                <w:sz w:val="18"/>
                <w:szCs w:val="18"/>
                <w:lang w:eastAsia="en-AU"/>
                <w14:ligatures w14:val="none"/>
              </w:rPr>
            </w:pPr>
            <w:r w:rsidRPr="00D479B3">
              <w:rPr>
                <w:rFonts w:ascii="Calibri" w:eastAsia="Times New Roman" w:hAnsi="Calibri" w:cs="Calibri"/>
                <w:color w:val="000000"/>
                <w:kern w:val="0"/>
                <w:sz w:val="18"/>
                <w:szCs w:val="18"/>
                <w:lang w:eastAsia="en-AU"/>
                <w14:ligatures w14:val="none"/>
              </w:rPr>
              <w:t>(</w:t>
            </w:r>
            <w:r w:rsidRPr="00D479B3">
              <w:rPr>
                <w:rFonts w:ascii="Calibri" w:eastAsia="Times New Roman" w:hAnsi="Calibri" w:cs="Calibri"/>
                <w:b/>
                <w:bCs/>
                <w:color w:val="000000"/>
                <w:kern w:val="0"/>
                <w:sz w:val="18"/>
                <w:szCs w:val="18"/>
                <w:lang w:eastAsia="en-AU"/>
                <w14:ligatures w14:val="none"/>
              </w:rPr>
              <w:t>Min mean</w:t>
            </w:r>
            <w:r w:rsidRPr="00D479B3">
              <w:rPr>
                <w:rFonts w:ascii="Calibri" w:eastAsia="Times New Roman" w:hAnsi="Calibri" w:cs="Calibri"/>
                <w:color w:val="000000"/>
                <w:kern w:val="0"/>
                <w:sz w:val="18"/>
                <w:szCs w:val="18"/>
                <w:lang w:eastAsia="en-AU"/>
                <w14:ligatures w14:val="none"/>
              </w:rPr>
              <w:t>)</w:t>
            </w:r>
          </w:p>
        </w:tc>
        <w:tc>
          <w:tcPr>
            <w:tcW w:w="510" w:type="pct"/>
            <w:tcBorders>
              <w:top w:val="nil"/>
              <w:left w:val="nil"/>
              <w:bottom w:val="single" w:sz="8" w:space="0" w:color="auto"/>
              <w:right w:val="dotted" w:sz="4" w:space="0" w:color="auto"/>
            </w:tcBorders>
            <w:vAlign w:val="center"/>
            <w:hideMark/>
          </w:tcPr>
          <w:p w14:paraId="64B63D16" w14:textId="7EF092A8" w:rsidR="001172A1" w:rsidRPr="00D479B3" w:rsidRDefault="001172A1">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b/>
                <w:bCs/>
                <w:i/>
                <w:iCs/>
                <w:color w:val="0B769F" w:themeColor="accent4" w:themeShade="BF"/>
                <w:kern w:val="0"/>
                <w:sz w:val="18"/>
                <w:szCs w:val="18"/>
                <w:lang w:eastAsia="en-AU"/>
                <w14:ligatures w14:val="none"/>
              </w:rPr>
              <w:t>-</w:t>
            </w:r>
            <w:r w:rsidRPr="00D479B3">
              <w:rPr>
                <w:rFonts w:ascii="Calibri" w:eastAsia="Times New Roman" w:hAnsi="Calibri" w:cs="Calibri"/>
                <w:b/>
                <w:bCs/>
                <w:i/>
                <w:iCs/>
                <w:color w:val="000000"/>
                <w:kern w:val="0"/>
                <w:sz w:val="18"/>
                <w:szCs w:val="18"/>
                <w:lang w:eastAsia="en-AU"/>
                <w14:ligatures w14:val="none"/>
              </w:rPr>
              <w:t xml:space="preserve"> </w:t>
            </w:r>
            <w:r w:rsidRPr="00D479B3">
              <w:rPr>
                <w:rFonts w:ascii="Calibri" w:eastAsia="Times New Roman" w:hAnsi="Calibri" w:cs="Calibri"/>
                <w:b/>
                <w:bCs/>
                <w:i/>
                <w:iCs/>
                <w:color w:val="A02B93" w:themeColor="accent5"/>
                <w:kern w:val="0"/>
                <w:sz w:val="18"/>
                <w:szCs w:val="18"/>
                <w:lang w:eastAsia="en-AU"/>
                <w14:ligatures w14:val="none"/>
              </w:rPr>
              <w:t>-</w:t>
            </w:r>
            <w:r w:rsidRPr="00D479B3">
              <w:rPr>
                <w:rFonts w:ascii="Calibri" w:eastAsia="Times New Roman" w:hAnsi="Calibri" w:cs="Calibri"/>
                <w:i/>
                <w:iCs/>
                <w:color w:val="000000"/>
                <w:kern w:val="0"/>
                <w:sz w:val="18"/>
                <w:szCs w:val="18"/>
                <w:lang w:eastAsia="en-AU"/>
                <w14:ligatures w14:val="none"/>
              </w:rPr>
              <w:t xml:space="preserve"> (18)</w:t>
            </w:r>
          </w:p>
        </w:tc>
        <w:tc>
          <w:tcPr>
            <w:tcW w:w="458" w:type="pct"/>
            <w:tcBorders>
              <w:top w:val="dotted" w:sz="4" w:space="0" w:color="auto"/>
              <w:left w:val="nil"/>
              <w:bottom w:val="single" w:sz="8" w:space="0" w:color="auto"/>
            </w:tcBorders>
            <w:vAlign w:val="center"/>
            <w:hideMark/>
          </w:tcPr>
          <w:p w14:paraId="5552125D" w14:textId="77777777" w:rsidR="001172A1" w:rsidRPr="00D479B3" w:rsidRDefault="001172A1">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b/>
                <w:bCs/>
                <w:i/>
                <w:iCs/>
                <w:color w:val="0B769F" w:themeColor="accent4" w:themeShade="BF"/>
                <w:kern w:val="0"/>
                <w:sz w:val="18"/>
                <w:szCs w:val="18"/>
                <w:lang w:eastAsia="en-AU"/>
                <w14:ligatures w14:val="none"/>
              </w:rPr>
              <w:t>-</w:t>
            </w:r>
            <w:r w:rsidRPr="00D479B3">
              <w:rPr>
                <w:rFonts w:ascii="Calibri" w:eastAsia="Times New Roman" w:hAnsi="Calibri" w:cs="Calibri"/>
                <w:b/>
                <w:bCs/>
                <w:i/>
                <w:iCs/>
                <w:color w:val="000000"/>
                <w:kern w:val="0"/>
                <w:sz w:val="18"/>
                <w:szCs w:val="18"/>
                <w:lang w:eastAsia="en-AU"/>
                <w14:ligatures w14:val="none"/>
              </w:rPr>
              <w:t xml:space="preserve"> </w:t>
            </w:r>
            <w:r w:rsidRPr="00D479B3">
              <w:rPr>
                <w:rFonts w:ascii="Calibri" w:eastAsia="Times New Roman" w:hAnsi="Calibri" w:cs="Calibri"/>
                <w:b/>
                <w:bCs/>
                <w:i/>
                <w:iCs/>
                <w:color w:val="A02B93" w:themeColor="accent5"/>
                <w:kern w:val="0"/>
                <w:sz w:val="18"/>
                <w:szCs w:val="18"/>
                <w:lang w:eastAsia="en-AU"/>
                <w14:ligatures w14:val="none"/>
              </w:rPr>
              <w:t>-</w:t>
            </w:r>
            <w:r w:rsidRPr="00D479B3">
              <w:rPr>
                <w:rFonts w:ascii="Calibri" w:eastAsia="Times New Roman" w:hAnsi="Calibri" w:cs="Calibri"/>
                <w:i/>
                <w:iCs/>
                <w:color w:val="000000"/>
                <w:kern w:val="0"/>
                <w:sz w:val="18"/>
                <w:szCs w:val="18"/>
                <w:lang w:eastAsia="en-AU"/>
                <w14:ligatures w14:val="none"/>
              </w:rPr>
              <w:t xml:space="preserve"> (22)</w:t>
            </w:r>
          </w:p>
        </w:tc>
        <w:tc>
          <w:tcPr>
            <w:tcW w:w="458" w:type="pct"/>
            <w:tcBorders>
              <w:top w:val="dotted" w:sz="4" w:space="0" w:color="auto"/>
              <w:bottom w:val="single" w:sz="8" w:space="0" w:color="auto"/>
              <w:right w:val="single" w:sz="8" w:space="0" w:color="000000"/>
            </w:tcBorders>
            <w:vAlign w:val="center"/>
          </w:tcPr>
          <w:p w14:paraId="3E526DC7" w14:textId="462D5CE8" w:rsidR="001172A1" w:rsidRPr="00D479B3" w:rsidRDefault="001172A1">
            <w:pPr>
              <w:spacing w:after="0" w:line="240" w:lineRule="auto"/>
              <w:jc w:val="center"/>
              <w:rPr>
                <w:rFonts w:ascii="Calibri" w:eastAsia="Times New Roman" w:hAnsi="Calibri" w:cs="Calibri"/>
                <w:i/>
                <w:iCs/>
                <w:color w:val="000000"/>
                <w:kern w:val="0"/>
                <w:sz w:val="18"/>
                <w:szCs w:val="18"/>
                <w:lang w:eastAsia="en-AU"/>
                <w14:ligatures w14:val="none"/>
              </w:rPr>
            </w:pPr>
          </w:p>
        </w:tc>
        <w:tc>
          <w:tcPr>
            <w:tcW w:w="407" w:type="pct"/>
            <w:tcBorders>
              <w:top w:val="dotted" w:sz="4" w:space="0" w:color="auto"/>
              <w:left w:val="nil"/>
              <w:bottom w:val="single" w:sz="8" w:space="0" w:color="auto"/>
            </w:tcBorders>
            <w:vAlign w:val="center"/>
            <w:hideMark/>
          </w:tcPr>
          <w:p w14:paraId="50ECFCA5" w14:textId="77777777" w:rsidR="001172A1" w:rsidRPr="00D479B3" w:rsidRDefault="001172A1">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b/>
                <w:bCs/>
                <w:i/>
                <w:iCs/>
                <w:color w:val="0B769F" w:themeColor="accent4" w:themeShade="BF"/>
                <w:kern w:val="0"/>
                <w:sz w:val="18"/>
                <w:szCs w:val="18"/>
                <w:lang w:eastAsia="en-AU"/>
                <w14:ligatures w14:val="none"/>
              </w:rPr>
              <w:t>-</w:t>
            </w:r>
            <w:r w:rsidRPr="00D479B3">
              <w:rPr>
                <w:rFonts w:ascii="Calibri" w:eastAsia="Times New Roman" w:hAnsi="Calibri" w:cs="Calibri"/>
                <w:b/>
                <w:bCs/>
                <w:i/>
                <w:iCs/>
                <w:color w:val="000000"/>
                <w:kern w:val="0"/>
                <w:sz w:val="18"/>
                <w:szCs w:val="18"/>
                <w:lang w:eastAsia="en-AU"/>
                <w14:ligatures w14:val="none"/>
              </w:rPr>
              <w:t xml:space="preserve"> </w:t>
            </w:r>
            <w:r w:rsidRPr="00D479B3">
              <w:rPr>
                <w:rFonts w:ascii="Calibri" w:eastAsia="Times New Roman" w:hAnsi="Calibri" w:cs="Calibri"/>
                <w:b/>
                <w:bCs/>
                <w:i/>
                <w:iCs/>
                <w:color w:val="A02B93" w:themeColor="accent5"/>
                <w:kern w:val="0"/>
                <w:sz w:val="18"/>
                <w:szCs w:val="18"/>
                <w:lang w:eastAsia="en-AU"/>
                <w14:ligatures w14:val="none"/>
              </w:rPr>
              <w:t>-</w:t>
            </w:r>
            <w:r w:rsidRPr="00D479B3">
              <w:rPr>
                <w:rFonts w:ascii="Calibri" w:eastAsia="Times New Roman" w:hAnsi="Calibri" w:cs="Calibri"/>
                <w:i/>
                <w:iCs/>
                <w:color w:val="000000"/>
                <w:kern w:val="0"/>
                <w:sz w:val="18"/>
                <w:szCs w:val="18"/>
                <w:lang w:eastAsia="en-AU"/>
                <w14:ligatures w14:val="none"/>
              </w:rPr>
              <w:t xml:space="preserve"> (38)</w:t>
            </w:r>
          </w:p>
        </w:tc>
        <w:tc>
          <w:tcPr>
            <w:tcW w:w="408" w:type="pct"/>
            <w:tcBorders>
              <w:top w:val="dotted" w:sz="4" w:space="0" w:color="auto"/>
              <w:bottom w:val="single" w:sz="8" w:space="0" w:color="auto"/>
              <w:right w:val="single" w:sz="8" w:space="0" w:color="000000"/>
            </w:tcBorders>
            <w:vAlign w:val="center"/>
          </w:tcPr>
          <w:p w14:paraId="7B4A3DA3" w14:textId="0209E6EE" w:rsidR="001172A1" w:rsidRPr="00D479B3" w:rsidRDefault="001172A1">
            <w:pPr>
              <w:spacing w:after="0" w:line="240" w:lineRule="auto"/>
              <w:jc w:val="center"/>
              <w:rPr>
                <w:rFonts w:ascii="Calibri" w:eastAsia="Times New Roman" w:hAnsi="Calibri" w:cs="Calibri"/>
                <w:i/>
                <w:iCs/>
                <w:color w:val="000000"/>
                <w:kern w:val="0"/>
                <w:sz w:val="18"/>
                <w:szCs w:val="18"/>
                <w:lang w:eastAsia="en-AU"/>
                <w14:ligatures w14:val="none"/>
              </w:rPr>
            </w:pPr>
          </w:p>
        </w:tc>
        <w:tc>
          <w:tcPr>
            <w:tcW w:w="407" w:type="pct"/>
            <w:tcBorders>
              <w:top w:val="dotted" w:sz="4" w:space="0" w:color="auto"/>
              <w:left w:val="nil"/>
              <w:bottom w:val="single" w:sz="8" w:space="0" w:color="auto"/>
            </w:tcBorders>
            <w:vAlign w:val="center"/>
            <w:hideMark/>
          </w:tcPr>
          <w:p w14:paraId="32B95A19" w14:textId="77777777" w:rsidR="001172A1" w:rsidRPr="00D479B3" w:rsidRDefault="001172A1">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b/>
                <w:bCs/>
                <w:i/>
                <w:iCs/>
                <w:color w:val="0B769F" w:themeColor="accent4" w:themeShade="BF"/>
                <w:kern w:val="0"/>
                <w:sz w:val="18"/>
                <w:szCs w:val="18"/>
                <w:lang w:eastAsia="en-AU"/>
                <w14:ligatures w14:val="none"/>
              </w:rPr>
              <w:t>-</w:t>
            </w:r>
            <w:r w:rsidRPr="00D479B3">
              <w:rPr>
                <w:rFonts w:ascii="Calibri" w:eastAsia="Times New Roman" w:hAnsi="Calibri" w:cs="Calibri"/>
                <w:b/>
                <w:bCs/>
                <w:i/>
                <w:iCs/>
                <w:color w:val="000000"/>
                <w:kern w:val="0"/>
                <w:sz w:val="18"/>
                <w:szCs w:val="18"/>
                <w:lang w:eastAsia="en-AU"/>
                <w14:ligatures w14:val="none"/>
              </w:rPr>
              <w:t xml:space="preserve"> </w:t>
            </w:r>
            <w:r w:rsidRPr="00D479B3">
              <w:rPr>
                <w:rFonts w:ascii="Calibri" w:eastAsia="Times New Roman" w:hAnsi="Calibri" w:cs="Calibri"/>
                <w:b/>
                <w:bCs/>
                <w:i/>
                <w:iCs/>
                <w:color w:val="A02B93" w:themeColor="accent5"/>
                <w:kern w:val="0"/>
                <w:sz w:val="18"/>
                <w:szCs w:val="18"/>
                <w:lang w:eastAsia="en-AU"/>
                <w14:ligatures w14:val="none"/>
              </w:rPr>
              <w:t>-</w:t>
            </w:r>
            <w:r w:rsidRPr="00D479B3">
              <w:rPr>
                <w:rFonts w:ascii="Calibri" w:eastAsia="Times New Roman" w:hAnsi="Calibri" w:cs="Calibri"/>
                <w:i/>
                <w:iCs/>
                <w:color w:val="000000"/>
                <w:kern w:val="0"/>
                <w:sz w:val="18"/>
                <w:szCs w:val="18"/>
                <w:lang w:eastAsia="en-AU"/>
                <w14:ligatures w14:val="none"/>
              </w:rPr>
              <w:t xml:space="preserve"> (39)</w:t>
            </w:r>
          </w:p>
        </w:tc>
        <w:tc>
          <w:tcPr>
            <w:tcW w:w="458" w:type="pct"/>
            <w:tcBorders>
              <w:top w:val="dotted" w:sz="4" w:space="0" w:color="auto"/>
              <w:bottom w:val="single" w:sz="8" w:space="0" w:color="auto"/>
              <w:right w:val="single" w:sz="8" w:space="0" w:color="000000"/>
            </w:tcBorders>
            <w:vAlign w:val="center"/>
          </w:tcPr>
          <w:p w14:paraId="6A2B87F4" w14:textId="43D08CE1" w:rsidR="001172A1" w:rsidRPr="00D479B3" w:rsidRDefault="001172A1">
            <w:pPr>
              <w:spacing w:after="0" w:line="240" w:lineRule="auto"/>
              <w:jc w:val="center"/>
              <w:rPr>
                <w:rFonts w:ascii="Calibri" w:eastAsia="Times New Roman" w:hAnsi="Calibri" w:cs="Calibri"/>
                <w:i/>
                <w:iCs/>
                <w:color w:val="000000"/>
                <w:kern w:val="0"/>
                <w:sz w:val="18"/>
                <w:szCs w:val="18"/>
                <w:lang w:eastAsia="en-AU"/>
                <w14:ligatures w14:val="none"/>
              </w:rPr>
            </w:pPr>
          </w:p>
        </w:tc>
        <w:tc>
          <w:tcPr>
            <w:tcW w:w="459" w:type="pct"/>
            <w:tcBorders>
              <w:top w:val="nil"/>
              <w:left w:val="nil"/>
              <w:bottom w:val="single" w:sz="8" w:space="0" w:color="auto"/>
              <w:right w:val="single" w:sz="8" w:space="0" w:color="auto"/>
            </w:tcBorders>
            <w:vAlign w:val="center"/>
            <w:hideMark/>
          </w:tcPr>
          <w:p w14:paraId="230B91A8" w14:textId="6398F47D" w:rsidR="001172A1" w:rsidRPr="00D479B3" w:rsidRDefault="001172A1">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b/>
                <w:bCs/>
                <w:i/>
                <w:iCs/>
                <w:color w:val="0B769F" w:themeColor="accent4" w:themeShade="BF"/>
                <w:kern w:val="0"/>
                <w:sz w:val="18"/>
                <w:szCs w:val="18"/>
                <w:lang w:eastAsia="en-AU"/>
                <w14:ligatures w14:val="none"/>
              </w:rPr>
              <w:t>-</w:t>
            </w:r>
            <w:r w:rsidRPr="00D479B3">
              <w:rPr>
                <w:rFonts w:ascii="Calibri" w:eastAsia="Times New Roman" w:hAnsi="Calibri" w:cs="Calibri"/>
                <w:b/>
                <w:bCs/>
                <w:i/>
                <w:iCs/>
                <w:color w:val="000000"/>
                <w:kern w:val="0"/>
                <w:sz w:val="18"/>
                <w:szCs w:val="18"/>
                <w:lang w:eastAsia="en-AU"/>
                <w14:ligatures w14:val="none"/>
              </w:rPr>
              <w:t xml:space="preserve"> </w:t>
            </w:r>
            <w:r w:rsidRPr="00D479B3">
              <w:rPr>
                <w:rFonts w:ascii="Calibri" w:eastAsia="Times New Roman" w:hAnsi="Calibri" w:cs="Calibri"/>
                <w:b/>
                <w:bCs/>
                <w:i/>
                <w:iCs/>
                <w:color w:val="A02B93" w:themeColor="accent5"/>
                <w:kern w:val="0"/>
                <w:sz w:val="18"/>
                <w:szCs w:val="18"/>
                <w:lang w:eastAsia="en-AU"/>
                <w14:ligatures w14:val="none"/>
              </w:rPr>
              <w:t>-</w:t>
            </w:r>
            <w:r w:rsidRPr="00D479B3">
              <w:rPr>
                <w:rFonts w:ascii="Calibri" w:eastAsia="Times New Roman" w:hAnsi="Calibri" w:cs="Calibri"/>
                <w:i/>
                <w:iCs/>
                <w:color w:val="000000"/>
                <w:kern w:val="0"/>
                <w:sz w:val="18"/>
                <w:szCs w:val="18"/>
                <w:lang w:eastAsia="en-AU"/>
                <w14:ligatures w14:val="none"/>
              </w:rPr>
              <w:t xml:space="preserve"> (38)</w:t>
            </w:r>
          </w:p>
        </w:tc>
        <w:tc>
          <w:tcPr>
            <w:tcW w:w="369" w:type="pct"/>
            <w:tcBorders>
              <w:top w:val="nil"/>
              <w:left w:val="nil"/>
              <w:bottom w:val="single" w:sz="8" w:space="0" w:color="auto"/>
              <w:right w:val="single" w:sz="8" w:space="0" w:color="auto"/>
            </w:tcBorders>
            <w:vAlign w:val="center"/>
            <w:hideMark/>
          </w:tcPr>
          <w:p w14:paraId="0DDF90BB" w14:textId="41D401F7" w:rsidR="001172A1" w:rsidRPr="00D479B3" w:rsidRDefault="001172A1">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b/>
                <w:bCs/>
                <w:i/>
                <w:iCs/>
                <w:color w:val="0B769F" w:themeColor="accent4" w:themeShade="BF"/>
                <w:kern w:val="0"/>
                <w:sz w:val="18"/>
                <w:szCs w:val="18"/>
                <w:lang w:eastAsia="en-AU"/>
                <w14:ligatures w14:val="none"/>
              </w:rPr>
              <w:t>-</w:t>
            </w:r>
            <w:r w:rsidRPr="00D479B3">
              <w:rPr>
                <w:rFonts w:ascii="Calibri" w:eastAsia="Times New Roman" w:hAnsi="Calibri" w:cs="Calibri"/>
                <w:b/>
                <w:bCs/>
                <w:i/>
                <w:iCs/>
                <w:color w:val="000000"/>
                <w:kern w:val="0"/>
                <w:sz w:val="18"/>
                <w:szCs w:val="18"/>
                <w:lang w:eastAsia="en-AU"/>
                <w14:ligatures w14:val="none"/>
              </w:rPr>
              <w:t xml:space="preserve"> </w:t>
            </w:r>
            <w:r w:rsidRPr="00D479B3">
              <w:rPr>
                <w:rFonts w:ascii="Calibri" w:eastAsia="Times New Roman" w:hAnsi="Calibri" w:cs="Calibri"/>
                <w:b/>
                <w:bCs/>
                <w:i/>
                <w:iCs/>
                <w:color w:val="A02B93" w:themeColor="accent5"/>
                <w:kern w:val="0"/>
                <w:sz w:val="18"/>
                <w:szCs w:val="18"/>
                <w:lang w:eastAsia="en-AU"/>
                <w14:ligatures w14:val="none"/>
              </w:rPr>
              <w:t>-</w:t>
            </w:r>
            <w:r w:rsidRPr="00D479B3">
              <w:rPr>
                <w:rFonts w:ascii="Calibri" w:eastAsia="Times New Roman" w:hAnsi="Calibri" w:cs="Calibri"/>
                <w:i/>
                <w:iCs/>
                <w:color w:val="000000"/>
                <w:kern w:val="0"/>
                <w:sz w:val="18"/>
                <w:szCs w:val="18"/>
                <w:lang w:eastAsia="en-AU"/>
                <w14:ligatures w14:val="none"/>
              </w:rPr>
              <w:t xml:space="preserve"> (35)</w:t>
            </w:r>
          </w:p>
        </w:tc>
      </w:tr>
    </w:tbl>
    <w:p w14:paraId="72A5A331" w14:textId="57728F9A" w:rsidR="0071733B" w:rsidRDefault="0071733B" w:rsidP="00FB01EC">
      <w:pPr>
        <w:pStyle w:val="Footer"/>
        <w:rPr>
          <w:rFonts w:ascii="Calibri" w:hAnsi="Calibri" w:cs="Calibri"/>
          <w:sz w:val="16"/>
          <w:szCs w:val="16"/>
        </w:rPr>
      </w:pPr>
      <w:r w:rsidRPr="00035253">
        <w:rPr>
          <w:rFonts w:ascii="Calibri" w:hAnsi="Calibri" w:cs="Calibri"/>
          <w:b/>
          <w:bCs/>
          <w:sz w:val="16"/>
          <w:szCs w:val="16"/>
        </w:rPr>
        <w:t>Abbreviations:</w:t>
      </w:r>
      <w:r w:rsidRPr="00D633FF">
        <w:rPr>
          <w:rFonts w:ascii="Calibri" w:hAnsi="Calibri" w:cs="Calibri"/>
          <w:sz w:val="16"/>
          <w:szCs w:val="16"/>
        </w:rPr>
        <w:t xml:space="preserve"> Max, maximum; Min, minimum; NZEO, New Zealand European and Other; yrs, years</w:t>
      </w:r>
      <w:r>
        <w:rPr>
          <w:rFonts w:ascii="Calibri" w:hAnsi="Calibri" w:cs="Calibri"/>
          <w:sz w:val="16"/>
          <w:szCs w:val="16"/>
        </w:rPr>
        <w:t>.</w:t>
      </w:r>
      <w:r w:rsidRPr="00D633FF">
        <w:rPr>
          <w:rFonts w:ascii="Calibri" w:hAnsi="Calibri" w:cs="Calibri"/>
          <w:sz w:val="16"/>
          <w:szCs w:val="16"/>
        </w:rPr>
        <w:t xml:space="preserve"> </w:t>
      </w:r>
    </w:p>
    <w:p w14:paraId="7EE587EF" w14:textId="4732604F" w:rsidR="00FB01EC" w:rsidRDefault="00FB01EC" w:rsidP="00FB01EC">
      <w:pPr>
        <w:pStyle w:val="Footer"/>
        <w:rPr>
          <w:rFonts w:ascii="Calibri" w:eastAsia="Times New Roman" w:hAnsi="Calibri" w:cs="Calibri"/>
          <w:i/>
          <w:iCs/>
          <w:color w:val="000000"/>
          <w:kern w:val="0"/>
          <w:sz w:val="16"/>
          <w:szCs w:val="16"/>
          <w:lang w:eastAsia="en-AU"/>
          <w14:ligatures w14:val="none"/>
        </w:rPr>
      </w:pPr>
      <w:r w:rsidRPr="00D633FF">
        <w:rPr>
          <w:rFonts w:ascii="Calibri" w:hAnsi="Calibri" w:cs="Calibri"/>
          <w:sz w:val="16"/>
          <w:szCs w:val="16"/>
        </w:rPr>
        <w:t>- data unavailable</w:t>
      </w:r>
    </w:p>
    <w:p w14:paraId="0C36F4F9" w14:textId="4D5780AB" w:rsidR="00D84A38" w:rsidRPr="0071733B" w:rsidRDefault="00D11410" w:rsidP="00357989">
      <w:pPr>
        <w:pStyle w:val="Footer"/>
        <w:rPr>
          <w:rFonts w:ascii="Calibri" w:eastAsia="Times New Roman" w:hAnsi="Calibri" w:cs="Calibri"/>
          <w:i/>
          <w:iCs/>
          <w:color w:val="000000"/>
          <w:kern w:val="0"/>
          <w:sz w:val="16"/>
          <w:szCs w:val="16"/>
          <w:lang w:eastAsia="en-AU"/>
          <w14:ligatures w14:val="none"/>
        </w:rPr>
        <w:sectPr w:rsidR="00D84A38" w:rsidRPr="0071733B" w:rsidSect="00215CE4">
          <w:footnotePr>
            <w:pos w:val="beneathText"/>
          </w:footnotePr>
          <w:pgSz w:w="16838" w:h="11906" w:orient="landscape"/>
          <w:pgMar w:top="1440" w:right="1440" w:bottom="1440" w:left="1440" w:header="708" w:footer="708" w:gutter="0"/>
          <w:cols w:space="708"/>
          <w:docGrid w:linePitch="360"/>
        </w:sectPr>
      </w:pPr>
      <w:r>
        <w:rPr>
          <w:rFonts w:ascii="Calibri" w:eastAsia="Times New Roman" w:hAnsi="Calibri" w:cs="Calibri"/>
          <w:color w:val="0B769F" w:themeColor="accent4" w:themeShade="BF"/>
          <w:kern w:val="0"/>
          <w:sz w:val="16"/>
          <w:szCs w:val="16"/>
          <w:lang w:eastAsia="en-AU"/>
          <w14:ligatures w14:val="none"/>
        </w:rPr>
        <w:t>m</w:t>
      </w:r>
      <w:r w:rsidRPr="00A81732">
        <w:rPr>
          <w:rFonts w:ascii="Calibri" w:eastAsia="Times New Roman" w:hAnsi="Calibri" w:cs="Calibri"/>
          <w:color w:val="0B769F" w:themeColor="accent4" w:themeShade="BF"/>
          <w:kern w:val="0"/>
          <w:sz w:val="16"/>
          <w:szCs w:val="16"/>
          <w:lang w:eastAsia="en-AU"/>
          <w14:ligatures w14:val="none"/>
        </w:rPr>
        <w:t>ale</w:t>
      </w:r>
      <w:r>
        <w:rPr>
          <w:rFonts w:ascii="Calibri" w:eastAsia="Times New Roman" w:hAnsi="Calibri" w:cs="Calibri"/>
          <w:color w:val="0B769F" w:themeColor="accent4" w:themeShade="BF"/>
          <w:kern w:val="0"/>
          <w:sz w:val="16"/>
          <w:szCs w:val="16"/>
          <w:lang w:eastAsia="en-AU"/>
          <w14:ligatures w14:val="none"/>
        </w:rPr>
        <w:t xml:space="preserve"> value</w:t>
      </w:r>
      <w:r w:rsidRPr="00D633FF">
        <w:rPr>
          <w:rFonts w:ascii="Calibri" w:eastAsia="Times New Roman" w:hAnsi="Calibri" w:cs="Calibri"/>
          <w:color w:val="000000"/>
          <w:kern w:val="0"/>
          <w:sz w:val="16"/>
          <w:szCs w:val="16"/>
          <w:lang w:eastAsia="en-AU"/>
          <w14:ligatures w14:val="none"/>
        </w:rPr>
        <w:t xml:space="preserve">, </w:t>
      </w:r>
      <w:r w:rsidRPr="00D633FF">
        <w:rPr>
          <w:rFonts w:ascii="Calibri" w:eastAsia="Times New Roman" w:hAnsi="Calibri" w:cs="Calibri"/>
          <w:color w:val="A02B93" w:themeColor="accent5"/>
          <w:kern w:val="0"/>
          <w:sz w:val="16"/>
          <w:szCs w:val="16"/>
          <w:lang w:eastAsia="en-AU"/>
          <w14:ligatures w14:val="none"/>
        </w:rPr>
        <w:t>female</w:t>
      </w:r>
      <w:r>
        <w:rPr>
          <w:rFonts w:ascii="Calibri" w:eastAsia="Times New Roman" w:hAnsi="Calibri" w:cs="Calibri"/>
          <w:color w:val="A02B93" w:themeColor="accent5"/>
          <w:kern w:val="0"/>
          <w:sz w:val="16"/>
          <w:szCs w:val="16"/>
          <w:lang w:eastAsia="en-AU"/>
          <w14:ligatures w14:val="none"/>
        </w:rPr>
        <w:t xml:space="preserve"> value</w:t>
      </w:r>
      <w:r w:rsidRPr="00D633FF">
        <w:rPr>
          <w:rFonts w:ascii="Calibri" w:eastAsia="Times New Roman" w:hAnsi="Calibri" w:cs="Calibri"/>
          <w:color w:val="000000"/>
          <w:kern w:val="0"/>
          <w:sz w:val="16"/>
          <w:szCs w:val="16"/>
          <w:lang w:eastAsia="en-AU"/>
          <w14:ligatures w14:val="none"/>
        </w:rPr>
        <w:t xml:space="preserve"> (</w:t>
      </w:r>
      <w:r w:rsidRPr="00D633FF">
        <w:rPr>
          <w:rFonts w:ascii="Calibri" w:eastAsia="Times New Roman" w:hAnsi="Calibri" w:cs="Calibri"/>
          <w:i/>
          <w:iCs/>
          <w:color w:val="000000"/>
          <w:kern w:val="0"/>
          <w:sz w:val="16"/>
          <w:szCs w:val="16"/>
          <w:lang w:eastAsia="en-AU"/>
          <w14:ligatures w14:val="none"/>
        </w:rPr>
        <w:t>mean of male and female values)</w:t>
      </w:r>
      <w:bookmarkStart w:id="36" w:name="_Ref198212548"/>
    </w:p>
    <w:p w14:paraId="0A9B02FF" w14:textId="08831D8B" w:rsidR="00F448A6" w:rsidRPr="00D633FF" w:rsidRDefault="00F448A6" w:rsidP="00926248">
      <w:pPr>
        <w:pStyle w:val="Caption"/>
        <w:keepNext/>
        <w:spacing w:after="120" w:line="276" w:lineRule="auto"/>
        <w:rPr>
          <w:rFonts w:ascii="Calibri" w:hAnsi="Calibri" w:cs="Calibri"/>
          <w:b/>
          <w:bCs/>
        </w:rPr>
      </w:pPr>
      <w:r w:rsidRPr="00D633FF">
        <w:rPr>
          <w:rFonts w:ascii="Calibri" w:hAnsi="Calibri" w:cs="Calibri"/>
          <w:b/>
          <w:bCs/>
        </w:rPr>
        <w:lastRenderedPageBreak/>
        <w:t xml:space="preserve">Table </w:t>
      </w:r>
      <w:r w:rsidRPr="00D633FF">
        <w:rPr>
          <w:rFonts w:ascii="Calibri" w:hAnsi="Calibri" w:cs="Calibri"/>
          <w:b/>
          <w:bCs/>
        </w:rPr>
        <w:fldChar w:fldCharType="begin"/>
      </w:r>
      <w:r w:rsidRPr="00D633FF">
        <w:rPr>
          <w:rFonts w:ascii="Calibri" w:hAnsi="Calibri" w:cs="Calibri"/>
          <w:b/>
          <w:bCs/>
        </w:rPr>
        <w:instrText xml:space="preserve"> SEQ Table \* ARABIC </w:instrText>
      </w:r>
      <w:r w:rsidRPr="00D633FF">
        <w:rPr>
          <w:rFonts w:ascii="Calibri" w:hAnsi="Calibri" w:cs="Calibri"/>
          <w:b/>
          <w:bCs/>
        </w:rPr>
        <w:fldChar w:fldCharType="separate"/>
      </w:r>
      <w:r w:rsidR="00CB6915">
        <w:rPr>
          <w:rFonts w:ascii="Calibri" w:hAnsi="Calibri" w:cs="Calibri"/>
          <w:b/>
          <w:bCs/>
          <w:noProof/>
        </w:rPr>
        <w:t>5</w:t>
      </w:r>
      <w:r w:rsidRPr="00D633FF">
        <w:rPr>
          <w:rFonts w:ascii="Calibri" w:hAnsi="Calibri" w:cs="Calibri"/>
          <w:b/>
          <w:bCs/>
        </w:rPr>
        <w:fldChar w:fldCharType="end"/>
      </w:r>
      <w:bookmarkEnd w:id="36"/>
      <w:r w:rsidRPr="00D633FF">
        <w:rPr>
          <w:rFonts w:ascii="Calibri" w:hAnsi="Calibri" w:cs="Calibri"/>
          <w:b/>
          <w:bCs/>
        </w:rPr>
        <w:t xml:space="preserve">. Selenium intake comparison </w:t>
      </w:r>
      <w:r w:rsidR="00D052B6">
        <w:rPr>
          <w:rFonts w:ascii="Calibri" w:hAnsi="Calibri" w:cs="Calibri"/>
          <w:b/>
          <w:bCs/>
        </w:rPr>
        <w:t xml:space="preserve">— </w:t>
      </w:r>
      <w:r w:rsidRPr="00D633FF">
        <w:rPr>
          <w:rFonts w:ascii="Calibri" w:hAnsi="Calibri" w:cs="Calibri"/>
          <w:b/>
          <w:bCs/>
        </w:rPr>
        <w:t>90th/95th percentile</w:t>
      </w:r>
      <w:r w:rsidR="00F10113">
        <w:rPr>
          <w:rFonts w:ascii="Calibri" w:hAnsi="Calibri" w:cs="Calibri"/>
          <w:b/>
          <w:bCs/>
        </w:rPr>
        <w:t xml:space="preserve"> intake</w:t>
      </w:r>
      <w:r w:rsidR="002244D9">
        <w:rPr>
          <w:rFonts w:ascii="Calibri" w:hAnsi="Calibri" w:cs="Calibri"/>
          <w:b/>
          <w:bCs/>
        </w:rPr>
        <w:t>*</w:t>
      </w:r>
      <w:r w:rsidR="00F10113">
        <w:rPr>
          <w:rFonts w:ascii="Calibri" w:hAnsi="Calibri" w:cs="Calibri"/>
          <w:b/>
          <w:bCs/>
        </w:rPr>
        <w:t xml:space="preserve"> (</w:t>
      </w:r>
      <w:r w:rsidR="00F10113" w:rsidRPr="00E600AD">
        <w:rPr>
          <w:rFonts w:ascii="Calibri" w:hAnsi="Calibri" w:cs="Calibri"/>
          <w:b/>
          <w:bCs/>
        </w:rPr>
        <w:t>µg/day</w:t>
      </w:r>
      <w:r w:rsidRPr="00D633FF">
        <w:rPr>
          <w:rFonts w:ascii="Calibri" w:hAnsi="Calibri" w:cs="Calibri"/>
          <w:b/>
          <w:bCs/>
        </w:rPr>
        <w:t>)</w:t>
      </w:r>
    </w:p>
    <w:tbl>
      <w:tblPr>
        <w:tblW w:w="5000" w:type="pct"/>
        <w:tblLook w:val="04A0" w:firstRow="1" w:lastRow="0" w:firstColumn="1" w:lastColumn="0" w:noHBand="0" w:noVBand="1"/>
      </w:tblPr>
      <w:tblGrid>
        <w:gridCol w:w="1975"/>
        <w:gridCol w:w="1395"/>
        <w:gridCol w:w="1299"/>
        <w:gridCol w:w="1132"/>
        <w:gridCol w:w="1419"/>
        <w:gridCol w:w="1274"/>
        <w:gridCol w:w="1419"/>
        <w:gridCol w:w="1416"/>
        <w:gridCol w:w="1277"/>
        <w:gridCol w:w="1332"/>
      </w:tblGrid>
      <w:tr w:rsidR="00774ED6" w:rsidRPr="00D633FF" w14:paraId="20BCBD94" w14:textId="77777777" w:rsidTr="00023D8D">
        <w:trPr>
          <w:trHeight w:val="312"/>
        </w:trPr>
        <w:tc>
          <w:tcPr>
            <w:tcW w:w="708" w:type="pct"/>
            <w:tcBorders>
              <w:top w:val="single" w:sz="8" w:space="0" w:color="auto"/>
              <w:left w:val="single" w:sz="8" w:space="0" w:color="auto"/>
              <w:right w:val="single" w:sz="8" w:space="0" w:color="auto"/>
            </w:tcBorders>
            <w:vAlign w:val="center"/>
            <w:hideMark/>
          </w:tcPr>
          <w:p w14:paraId="076DD6E9" w14:textId="5040AEF7" w:rsidR="005C3D5C" w:rsidRPr="00D479B3" w:rsidRDefault="005C3D5C" w:rsidP="00835F2E">
            <w:pPr>
              <w:spacing w:after="0" w:line="240" w:lineRule="auto"/>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 xml:space="preserve">Population </w:t>
            </w:r>
          </w:p>
        </w:tc>
        <w:tc>
          <w:tcPr>
            <w:tcW w:w="500" w:type="pct"/>
            <w:tcBorders>
              <w:top w:val="single" w:sz="8" w:space="0" w:color="auto"/>
              <w:left w:val="nil"/>
              <w:bottom w:val="single" w:sz="4" w:space="0" w:color="auto"/>
            </w:tcBorders>
            <w:vAlign w:val="center"/>
            <w:hideMark/>
          </w:tcPr>
          <w:p w14:paraId="17DFA371" w14:textId="5960B1B0" w:rsidR="005C3D5C" w:rsidRPr="00D479B3" w:rsidRDefault="005C3D5C" w:rsidP="00835F2E">
            <w:pPr>
              <w:spacing w:after="0" w:line="240" w:lineRule="auto"/>
              <w:jc w:val="center"/>
              <w:rPr>
                <w:rFonts w:ascii="Calibri" w:eastAsia="Times New Roman" w:hAnsi="Calibri" w:cs="Calibri"/>
                <w:b/>
                <w:bCs/>
                <w:color w:val="000000"/>
                <w:kern w:val="0"/>
                <w:sz w:val="18"/>
                <w:szCs w:val="18"/>
                <w:lang w:eastAsia="en-AU"/>
                <w14:ligatures w14:val="none"/>
              </w:rPr>
            </w:pPr>
          </w:p>
        </w:tc>
        <w:tc>
          <w:tcPr>
            <w:tcW w:w="466" w:type="pct"/>
            <w:tcBorders>
              <w:top w:val="single" w:sz="8" w:space="0" w:color="auto"/>
              <w:bottom w:val="single" w:sz="4" w:space="0" w:color="auto"/>
            </w:tcBorders>
            <w:vAlign w:val="center"/>
          </w:tcPr>
          <w:p w14:paraId="798DF373" w14:textId="71181F5E" w:rsidR="005C3D5C" w:rsidRPr="00D479B3" w:rsidRDefault="005C3D5C" w:rsidP="00835F2E">
            <w:pPr>
              <w:spacing w:after="0" w:line="240" w:lineRule="auto"/>
              <w:jc w:val="center"/>
              <w:rPr>
                <w:rFonts w:ascii="Calibri" w:eastAsia="Times New Roman" w:hAnsi="Calibri" w:cs="Calibri"/>
                <w:b/>
                <w:bCs/>
                <w:color w:val="000000"/>
                <w:kern w:val="0"/>
                <w:sz w:val="18"/>
                <w:szCs w:val="18"/>
                <w:lang w:eastAsia="en-AU"/>
                <w14:ligatures w14:val="none"/>
              </w:rPr>
            </w:pPr>
          </w:p>
        </w:tc>
        <w:tc>
          <w:tcPr>
            <w:tcW w:w="406" w:type="pct"/>
            <w:tcBorders>
              <w:top w:val="single" w:sz="8" w:space="0" w:color="auto"/>
              <w:bottom w:val="single" w:sz="4" w:space="0" w:color="auto"/>
            </w:tcBorders>
            <w:vAlign w:val="center"/>
          </w:tcPr>
          <w:p w14:paraId="55C174F8" w14:textId="77777777" w:rsidR="005C3D5C" w:rsidRPr="00D479B3" w:rsidRDefault="005C3D5C" w:rsidP="00835F2E">
            <w:pPr>
              <w:spacing w:after="0" w:line="240" w:lineRule="auto"/>
              <w:jc w:val="center"/>
              <w:rPr>
                <w:rFonts w:ascii="Calibri" w:eastAsia="Times New Roman" w:hAnsi="Calibri" w:cs="Calibri"/>
                <w:b/>
                <w:bCs/>
                <w:color w:val="000000"/>
                <w:kern w:val="0"/>
                <w:sz w:val="18"/>
                <w:szCs w:val="18"/>
                <w:lang w:eastAsia="en-AU"/>
                <w14:ligatures w14:val="none"/>
              </w:rPr>
            </w:pPr>
          </w:p>
        </w:tc>
        <w:tc>
          <w:tcPr>
            <w:tcW w:w="509" w:type="pct"/>
            <w:tcBorders>
              <w:top w:val="single" w:sz="8" w:space="0" w:color="auto"/>
              <w:bottom w:val="single" w:sz="4" w:space="0" w:color="auto"/>
            </w:tcBorders>
            <w:vAlign w:val="center"/>
          </w:tcPr>
          <w:p w14:paraId="79B12109" w14:textId="77777777" w:rsidR="005C3D5C" w:rsidRPr="00D479B3" w:rsidRDefault="005C3D5C" w:rsidP="00835F2E">
            <w:pPr>
              <w:spacing w:after="0" w:line="240" w:lineRule="auto"/>
              <w:jc w:val="center"/>
              <w:rPr>
                <w:rFonts w:ascii="Calibri" w:eastAsia="Times New Roman" w:hAnsi="Calibri" w:cs="Calibri"/>
                <w:b/>
                <w:bCs/>
                <w:color w:val="000000"/>
                <w:kern w:val="0"/>
                <w:sz w:val="18"/>
                <w:szCs w:val="18"/>
                <w:lang w:eastAsia="en-AU"/>
                <w14:ligatures w14:val="none"/>
              </w:rPr>
            </w:pPr>
          </w:p>
        </w:tc>
        <w:tc>
          <w:tcPr>
            <w:tcW w:w="457" w:type="pct"/>
            <w:tcBorders>
              <w:top w:val="single" w:sz="8" w:space="0" w:color="auto"/>
              <w:bottom w:val="single" w:sz="4" w:space="0" w:color="auto"/>
            </w:tcBorders>
            <w:vAlign w:val="center"/>
          </w:tcPr>
          <w:p w14:paraId="1B4D5966" w14:textId="66B40454" w:rsidR="005C3D5C" w:rsidRPr="00D479B3" w:rsidRDefault="00461183" w:rsidP="00B516E9">
            <w:pPr>
              <w:spacing w:after="0" w:line="240" w:lineRule="auto"/>
              <w:ind w:right="-85"/>
              <w:jc w:val="right"/>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 xml:space="preserve">Age Group </w:t>
            </w:r>
          </w:p>
        </w:tc>
        <w:tc>
          <w:tcPr>
            <w:tcW w:w="509" w:type="pct"/>
            <w:tcBorders>
              <w:top w:val="single" w:sz="8" w:space="0" w:color="auto"/>
              <w:bottom w:val="single" w:sz="4" w:space="0" w:color="auto"/>
            </w:tcBorders>
            <w:vAlign w:val="center"/>
          </w:tcPr>
          <w:p w14:paraId="016B4CBD" w14:textId="2D543958" w:rsidR="005C3D5C" w:rsidRPr="00D479B3" w:rsidRDefault="00B516E9" w:rsidP="00B516E9">
            <w:pPr>
              <w:spacing w:after="0" w:line="240" w:lineRule="auto"/>
              <w:ind w:left="-140"/>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 xml:space="preserve">  </w:t>
            </w:r>
            <w:r w:rsidR="00A03988" w:rsidRPr="00D479B3">
              <w:rPr>
                <w:rFonts w:ascii="Calibri" w:eastAsia="Times New Roman" w:hAnsi="Calibri" w:cs="Calibri"/>
                <w:b/>
                <w:bCs/>
                <w:color w:val="000000"/>
                <w:kern w:val="0"/>
                <w:sz w:val="18"/>
                <w:szCs w:val="18"/>
                <w:lang w:eastAsia="en-AU"/>
                <w14:ligatures w14:val="none"/>
              </w:rPr>
              <w:t>(years)</w:t>
            </w:r>
          </w:p>
        </w:tc>
        <w:tc>
          <w:tcPr>
            <w:tcW w:w="508" w:type="pct"/>
            <w:tcBorders>
              <w:top w:val="single" w:sz="8" w:space="0" w:color="auto"/>
              <w:bottom w:val="single" w:sz="4" w:space="0" w:color="auto"/>
            </w:tcBorders>
            <w:vAlign w:val="center"/>
          </w:tcPr>
          <w:p w14:paraId="0C6BA85C" w14:textId="77777777" w:rsidR="005C3D5C" w:rsidRPr="00D633FF" w:rsidRDefault="005C3D5C" w:rsidP="00835F2E">
            <w:pPr>
              <w:spacing w:after="0" w:line="240" w:lineRule="auto"/>
              <w:jc w:val="center"/>
              <w:rPr>
                <w:rFonts w:ascii="Calibri" w:eastAsia="Times New Roman" w:hAnsi="Calibri" w:cs="Calibri"/>
                <w:b/>
                <w:bCs/>
                <w:color w:val="000000"/>
                <w:kern w:val="0"/>
                <w:sz w:val="16"/>
                <w:szCs w:val="16"/>
                <w:lang w:eastAsia="en-AU"/>
                <w14:ligatures w14:val="none"/>
              </w:rPr>
            </w:pPr>
          </w:p>
        </w:tc>
        <w:tc>
          <w:tcPr>
            <w:tcW w:w="458" w:type="pct"/>
            <w:tcBorders>
              <w:top w:val="single" w:sz="8" w:space="0" w:color="auto"/>
              <w:bottom w:val="single" w:sz="4" w:space="0" w:color="auto"/>
            </w:tcBorders>
            <w:vAlign w:val="center"/>
          </w:tcPr>
          <w:p w14:paraId="19267FA8" w14:textId="77777777" w:rsidR="005C3D5C" w:rsidRPr="00D633FF" w:rsidRDefault="005C3D5C" w:rsidP="00835F2E">
            <w:pPr>
              <w:spacing w:after="0" w:line="240" w:lineRule="auto"/>
              <w:jc w:val="center"/>
              <w:rPr>
                <w:rFonts w:ascii="Calibri" w:eastAsia="Times New Roman" w:hAnsi="Calibri" w:cs="Calibri"/>
                <w:b/>
                <w:bCs/>
                <w:color w:val="000000"/>
                <w:kern w:val="0"/>
                <w:sz w:val="16"/>
                <w:szCs w:val="16"/>
                <w:lang w:eastAsia="en-AU"/>
                <w14:ligatures w14:val="none"/>
              </w:rPr>
            </w:pPr>
          </w:p>
        </w:tc>
        <w:tc>
          <w:tcPr>
            <w:tcW w:w="478" w:type="pct"/>
            <w:tcBorders>
              <w:top w:val="single" w:sz="8" w:space="0" w:color="auto"/>
              <w:bottom w:val="single" w:sz="4" w:space="0" w:color="auto"/>
              <w:right w:val="single" w:sz="8" w:space="0" w:color="000000"/>
            </w:tcBorders>
            <w:vAlign w:val="center"/>
          </w:tcPr>
          <w:p w14:paraId="1BDA4CB0" w14:textId="37C83D2C" w:rsidR="005C3D5C" w:rsidRPr="00D633FF" w:rsidRDefault="005C3D5C" w:rsidP="00835F2E">
            <w:pPr>
              <w:spacing w:after="0" w:line="240" w:lineRule="auto"/>
              <w:jc w:val="center"/>
              <w:rPr>
                <w:rFonts w:ascii="Calibri" w:eastAsia="Times New Roman" w:hAnsi="Calibri" w:cs="Calibri"/>
                <w:b/>
                <w:bCs/>
                <w:color w:val="000000"/>
                <w:kern w:val="0"/>
                <w:sz w:val="16"/>
                <w:szCs w:val="16"/>
                <w:lang w:eastAsia="en-AU"/>
                <w14:ligatures w14:val="none"/>
              </w:rPr>
            </w:pPr>
          </w:p>
        </w:tc>
      </w:tr>
      <w:tr w:rsidR="00774ED6" w:rsidRPr="00D633FF" w14:paraId="343574E2" w14:textId="77777777" w:rsidTr="00023D8D">
        <w:trPr>
          <w:trHeight w:val="300"/>
        </w:trPr>
        <w:tc>
          <w:tcPr>
            <w:tcW w:w="708" w:type="pct"/>
            <w:tcBorders>
              <w:left w:val="single" w:sz="8" w:space="0" w:color="auto"/>
              <w:bottom w:val="single" w:sz="8" w:space="0" w:color="000000"/>
              <w:right w:val="single" w:sz="8" w:space="0" w:color="auto"/>
            </w:tcBorders>
            <w:vAlign w:val="center"/>
          </w:tcPr>
          <w:p w14:paraId="3029F0CA" w14:textId="77777777" w:rsidR="00563DCF" w:rsidRPr="00D479B3" w:rsidRDefault="00563DCF" w:rsidP="00BF5F89">
            <w:pPr>
              <w:spacing w:after="0" w:line="240" w:lineRule="auto"/>
              <w:rPr>
                <w:rFonts w:ascii="Calibri" w:eastAsia="Times New Roman" w:hAnsi="Calibri" w:cs="Calibri"/>
                <w:color w:val="000000"/>
                <w:kern w:val="0"/>
                <w:sz w:val="18"/>
                <w:szCs w:val="18"/>
                <w:lang w:eastAsia="en-AU"/>
                <w14:ligatures w14:val="none"/>
              </w:rPr>
            </w:pPr>
          </w:p>
        </w:tc>
        <w:tc>
          <w:tcPr>
            <w:tcW w:w="500" w:type="pct"/>
            <w:tcBorders>
              <w:top w:val="single" w:sz="4" w:space="0" w:color="auto"/>
              <w:left w:val="nil"/>
              <w:bottom w:val="single" w:sz="8" w:space="0" w:color="auto"/>
            </w:tcBorders>
            <w:vAlign w:val="center"/>
          </w:tcPr>
          <w:p w14:paraId="69605536" w14:textId="4EC28929" w:rsidR="00563DCF" w:rsidRPr="00D479B3" w:rsidRDefault="000C52AF" w:rsidP="005C3D5C">
            <w:pPr>
              <w:spacing w:after="0" w:line="240" w:lineRule="auto"/>
              <w:jc w:val="right"/>
              <w:rPr>
                <w:rFonts w:ascii="Calibri" w:eastAsia="Times New Roman" w:hAnsi="Calibri" w:cs="Calibri"/>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CHILDREN AND</w:t>
            </w:r>
          </w:p>
        </w:tc>
        <w:tc>
          <w:tcPr>
            <w:tcW w:w="466" w:type="pct"/>
            <w:tcBorders>
              <w:top w:val="single" w:sz="4" w:space="0" w:color="auto"/>
              <w:bottom w:val="single" w:sz="8" w:space="0" w:color="auto"/>
            </w:tcBorders>
            <w:vAlign w:val="center"/>
          </w:tcPr>
          <w:p w14:paraId="2FB1E7E3" w14:textId="573D2F2D" w:rsidR="00563DCF" w:rsidRPr="00D479B3" w:rsidRDefault="00B516E9" w:rsidP="005C3D5C">
            <w:pPr>
              <w:spacing w:after="0" w:line="240" w:lineRule="auto"/>
              <w:ind w:left="-144"/>
              <w:rPr>
                <w:rFonts w:ascii="Calibri" w:eastAsia="Times New Roman" w:hAnsi="Calibri" w:cs="Calibri"/>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 xml:space="preserve"> </w:t>
            </w:r>
            <w:r w:rsidR="005768C2" w:rsidRPr="00D479B3">
              <w:rPr>
                <w:rFonts w:ascii="Calibri" w:eastAsia="Times New Roman" w:hAnsi="Calibri" w:cs="Calibri"/>
                <w:b/>
                <w:bCs/>
                <w:color w:val="000000"/>
                <w:kern w:val="0"/>
                <w:sz w:val="18"/>
                <w:szCs w:val="18"/>
                <w:lang w:eastAsia="en-AU"/>
                <w14:ligatures w14:val="none"/>
              </w:rPr>
              <w:t>ADOLESCENTS</w:t>
            </w:r>
          </w:p>
        </w:tc>
        <w:tc>
          <w:tcPr>
            <w:tcW w:w="406" w:type="pct"/>
            <w:tcBorders>
              <w:top w:val="single" w:sz="4" w:space="0" w:color="auto"/>
              <w:bottom w:val="single" w:sz="8" w:space="0" w:color="auto"/>
            </w:tcBorders>
            <w:vAlign w:val="center"/>
          </w:tcPr>
          <w:p w14:paraId="5719BF30" w14:textId="77777777" w:rsidR="00563DCF" w:rsidRPr="00D479B3" w:rsidRDefault="00563DCF" w:rsidP="00BF5F89">
            <w:pPr>
              <w:spacing w:after="0" w:line="240" w:lineRule="auto"/>
              <w:jc w:val="center"/>
              <w:rPr>
                <w:rFonts w:ascii="Calibri" w:eastAsia="Times New Roman" w:hAnsi="Calibri" w:cs="Calibri"/>
                <w:color w:val="000000"/>
                <w:kern w:val="0"/>
                <w:sz w:val="18"/>
                <w:szCs w:val="18"/>
                <w:lang w:eastAsia="en-AU"/>
                <w14:ligatures w14:val="none"/>
              </w:rPr>
            </w:pPr>
          </w:p>
        </w:tc>
        <w:tc>
          <w:tcPr>
            <w:tcW w:w="509" w:type="pct"/>
            <w:tcBorders>
              <w:top w:val="single" w:sz="4" w:space="0" w:color="auto"/>
              <w:bottom w:val="single" w:sz="8" w:space="0" w:color="auto"/>
            </w:tcBorders>
            <w:vAlign w:val="center"/>
          </w:tcPr>
          <w:p w14:paraId="11C87878" w14:textId="77777777" w:rsidR="00563DCF" w:rsidRPr="00D479B3" w:rsidRDefault="00563DCF" w:rsidP="00BF5F89">
            <w:pPr>
              <w:spacing w:after="0" w:line="240" w:lineRule="auto"/>
              <w:jc w:val="center"/>
              <w:rPr>
                <w:rFonts w:ascii="Calibri" w:eastAsia="Times New Roman" w:hAnsi="Calibri" w:cs="Calibri"/>
                <w:color w:val="000000"/>
                <w:kern w:val="0"/>
                <w:sz w:val="18"/>
                <w:szCs w:val="18"/>
                <w:lang w:eastAsia="en-AU"/>
                <w14:ligatures w14:val="none"/>
              </w:rPr>
            </w:pPr>
          </w:p>
        </w:tc>
        <w:tc>
          <w:tcPr>
            <w:tcW w:w="457" w:type="pct"/>
            <w:tcBorders>
              <w:top w:val="single" w:sz="4" w:space="0" w:color="auto"/>
              <w:bottom w:val="single" w:sz="8" w:space="0" w:color="auto"/>
              <w:right w:val="single" w:sz="8" w:space="0" w:color="000000"/>
            </w:tcBorders>
            <w:vAlign w:val="center"/>
          </w:tcPr>
          <w:p w14:paraId="38116A92" w14:textId="049BD5A9" w:rsidR="00563DCF" w:rsidRPr="00D479B3" w:rsidRDefault="00563DCF" w:rsidP="00BF5F89">
            <w:pPr>
              <w:spacing w:after="0" w:line="240" w:lineRule="auto"/>
              <w:jc w:val="center"/>
              <w:rPr>
                <w:rFonts w:ascii="Calibri" w:eastAsia="Times New Roman" w:hAnsi="Calibri" w:cs="Calibri"/>
                <w:color w:val="000000"/>
                <w:kern w:val="0"/>
                <w:sz w:val="18"/>
                <w:szCs w:val="18"/>
                <w:lang w:eastAsia="en-AU"/>
                <w14:ligatures w14:val="none"/>
              </w:rPr>
            </w:pPr>
          </w:p>
        </w:tc>
        <w:tc>
          <w:tcPr>
            <w:tcW w:w="509" w:type="pct"/>
            <w:tcBorders>
              <w:top w:val="single" w:sz="4" w:space="0" w:color="auto"/>
              <w:left w:val="nil"/>
              <w:bottom w:val="single" w:sz="8" w:space="0" w:color="auto"/>
            </w:tcBorders>
            <w:vAlign w:val="center"/>
          </w:tcPr>
          <w:p w14:paraId="288C0C92" w14:textId="77777777" w:rsidR="00563DCF" w:rsidRPr="00D479B3" w:rsidRDefault="00563DCF" w:rsidP="00BF5F89">
            <w:pPr>
              <w:spacing w:after="0" w:line="240" w:lineRule="auto"/>
              <w:jc w:val="center"/>
              <w:rPr>
                <w:rFonts w:ascii="Calibri" w:eastAsia="Times New Roman" w:hAnsi="Calibri" w:cs="Calibri"/>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ADULTS</w:t>
            </w:r>
          </w:p>
        </w:tc>
        <w:tc>
          <w:tcPr>
            <w:tcW w:w="508" w:type="pct"/>
            <w:tcBorders>
              <w:top w:val="single" w:sz="4" w:space="0" w:color="auto"/>
              <w:bottom w:val="single" w:sz="8" w:space="0" w:color="auto"/>
            </w:tcBorders>
            <w:vAlign w:val="center"/>
          </w:tcPr>
          <w:p w14:paraId="1FCAFFE1" w14:textId="77777777" w:rsidR="00563DCF" w:rsidRPr="00D633FF" w:rsidRDefault="00563DCF" w:rsidP="00BF5F89">
            <w:pPr>
              <w:spacing w:after="0" w:line="240" w:lineRule="auto"/>
              <w:jc w:val="center"/>
              <w:rPr>
                <w:rFonts w:ascii="Calibri" w:eastAsia="Times New Roman" w:hAnsi="Calibri" w:cs="Calibri"/>
                <w:color w:val="000000"/>
                <w:kern w:val="0"/>
                <w:sz w:val="16"/>
                <w:szCs w:val="16"/>
                <w:lang w:eastAsia="en-AU"/>
                <w14:ligatures w14:val="none"/>
              </w:rPr>
            </w:pPr>
          </w:p>
        </w:tc>
        <w:tc>
          <w:tcPr>
            <w:tcW w:w="458" w:type="pct"/>
            <w:tcBorders>
              <w:top w:val="single" w:sz="4" w:space="0" w:color="auto"/>
              <w:bottom w:val="single" w:sz="8" w:space="0" w:color="auto"/>
            </w:tcBorders>
            <w:vAlign w:val="center"/>
          </w:tcPr>
          <w:p w14:paraId="49C70F1D" w14:textId="77777777" w:rsidR="00563DCF" w:rsidRPr="00D633FF" w:rsidRDefault="00563DCF" w:rsidP="00BF5F89">
            <w:pPr>
              <w:spacing w:after="0" w:line="240" w:lineRule="auto"/>
              <w:jc w:val="center"/>
              <w:rPr>
                <w:rFonts w:ascii="Calibri" w:eastAsia="Times New Roman" w:hAnsi="Calibri" w:cs="Calibri"/>
                <w:color w:val="000000"/>
                <w:kern w:val="0"/>
                <w:sz w:val="16"/>
                <w:szCs w:val="16"/>
                <w:lang w:eastAsia="en-AU"/>
                <w14:ligatures w14:val="none"/>
              </w:rPr>
            </w:pPr>
          </w:p>
        </w:tc>
        <w:tc>
          <w:tcPr>
            <w:tcW w:w="478" w:type="pct"/>
            <w:tcBorders>
              <w:top w:val="single" w:sz="4" w:space="0" w:color="auto"/>
              <w:bottom w:val="single" w:sz="8" w:space="0" w:color="auto"/>
              <w:right w:val="single" w:sz="8" w:space="0" w:color="000000"/>
            </w:tcBorders>
            <w:vAlign w:val="center"/>
          </w:tcPr>
          <w:p w14:paraId="5407397E" w14:textId="3E71A321" w:rsidR="00563DCF" w:rsidRPr="00D633FF" w:rsidRDefault="00563DCF" w:rsidP="00BF5F89">
            <w:pPr>
              <w:spacing w:after="0" w:line="240" w:lineRule="auto"/>
              <w:jc w:val="center"/>
              <w:rPr>
                <w:rFonts w:ascii="Calibri" w:eastAsia="Times New Roman" w:hAnsi="Calibri" w:cs="Calibri"/>
                <w:color w:val="000000"/>
                <w:kern w:val="0"/>
                <w:sz w:val="16"/>
                <w:szCs w:val="16"/>
                <w:lang w:eastAsia="en-AU"/>
                <w14:ligatures w14:val="none"/>
              </w:rPr>
            </w:pPr>
          </w:p>
        </w:tc>
      </w:tr>
      <w:tr w:rsidR="00774ED6" w:rsidRPr="00D633FF" w14:paraId="71E70BC5" w14:textId="77777777" w:rsidTr="00023D8D">
        <w:trPr>
          <w:trHeight w:val="300"/>
        </w:trPr>
        <w:tc>
          <w:tcPr>
            <w:tcW w:w="708" w:type="pct"/>
            <w:tcBorders>
              <w:top w:val="nil"/>
              <w:left w:val="single" w:sz="8" w:space="0" w:color="auto"/>
              <w:bottom w:val="dotted" w:sz="4" w:space="0" w:color="auto"/>
              <w:right w:val="single" w:sz="8" w:space="0" w:color="auto"/>
            </w:tcBorders>
            <w:shd w:val="clear" w:color="auto" w:fill="F6C5AC" w:themeFill="accent2" w:themeFillTint="66"/>
            <w:vAlign w:val="center"/>
            <w:hideMark/>
          </w:tcPr>
          <w:p w14:paraId="322D06A9" w14:textId="77777777" w:rsidR="00243A2F" w:rsidRPr="00CD0829" w:rsidRDefault="00243A2F" w:rsidP="00835F2E">
            <w:pPr>
              <w:spacing w:after="0" w:line="240" w:lineRule="auto"/>
              <w:rPr>
                <w:rFonts w:ascii="Calibri" w:eastAsia="Times New Roman" w:hAnsi="Calibri" w:cs="Calibri"/>
                <w:b/>
                <w:bCs/>
                <w:color w:val="000000"/>
                <w:kern w:val="0"/>
                <w:sz w:val="18"/>
                <w:szCs w:val="18"/>
                <w:lang w:eastAsia="en-AU"/>
                <w14:ligatures w14:val="none"/>
              </w:rPr>
            </w:pPr>
            <w:r w:rsidRPr="00CD0829">
              <w:rPr>
                <w:rFonts w:ascii="Calibri" w:eastAsia="Times New Roman" w:hAnsi="Calibri" w:cs="Calibri"/>
                <w:b/>
                <w:bCs/>
                <w:color w:val="000000"/>
                <w:kern w:val="0"/>
                <w:sz w:val="18"/>
                <w:szCs w:val="18"/>
                <w:lang w:eastAsia="en-AU"/>
                <w14:ligatures w14:val="none"/>
              </w:rPr>
              <w:t>Australia</w:t>
            </w:r>
            <w:r w:rsidRPr="00CD0829">
              <w:rPr>
                <w:rFonts w:ascii="Calibri" w:eastAsia="Times New Roman" w:hAnsi="Calibri" w:cs="Calibri"/>
                <w:color w:val="000000"/>
                <w:kern w:val="0"/>
                <w:sz w:val="18"/>
                <w:szCs w:val="18"/>
                <w:lang w:eastAsia="en-AU"/>
                <w14:ligatures w14:val="none"/>
              </w:rPr>
              <w:t xml:space="preserve"> </w:t>
            </w:r>
            <w:r w:rsidRPr="00CD0829">
              <w:rPr>
                <w:rFonts w:ascii="Calibri" w:eastAsia="Times New Roman" w:hAnsi="Calibri" w:cs="Calibri"/>
                <w:b/>
                <w:bCs/>
                <w:color w:val="000000"/>
                <w:kern w:val="0"/>
                <w:sz w:val="18"/>
                <w:szCs w:val="18"/>
                <w:lang w:eastAsia="en-AU"/>
                <w14:ligatures w14:val="none"/>
              </w:rPr>
              <w:t>(P95)</w:t>
            </w:r>
          </w:p>
          <w:p w14:paraId="3BF22AFA" w14:textId="6590D510" w:rsidR="00243A2F" w:rsidRPr="00CD0829" w:rsidRDefault="00243A2F" w:rsidP="00835F2E">
            <w:pPr>
              <w:spacing w:after="0" w:line="240" w:lineRule="auto"/>
              <w:rPr>
                <w:rFonts w:ascii="Calibri" w:eastAsia="Times New Roman" w:hAnsi="Calibri" w:cs="Calibri"/>
                <w:i/>
                <w:color w:val="000000"/>
                <w:kern w:val="0"/>
                <w:sz w:val="18"/>
                <w:szCs w:val="18"/>
                <w:lang w:eastAsia="en-AU"/>
                <w14:ligatures w14:val="none"/>
              </w:rPr>
            </w:pPr>
            <w:r w:rsidRPr="00CD0829">
              <w:rPr>
                <w:rFonts w:ascii="Calibri" w:eastAsia="Times New Roman" w:hAnsi="Calibri" w:cs="Calibri"/>
                <w:i/>
                <w:iCs/>
                <w:color w:val="000000"/>
                <w:kern w:val="0"/>
                <w:sz w:val="16"/>
                <w:szCs w:val="16"/>
                <w:lang w:eastAsia="en-AU"/>
                <w14:ligatures w14:val="none"/>
              </w:rPr>
              <w:t>(food and supplements)</w:t>
            </w:r>
          </w:p>
        </w:tc>
        <w:tc>
          <w:tcPr>
            <w:tcW w:w="500" w:type="pct"/>
            <w:tcBorders>
              <w:top w:val="nil"/>
              <w:left w:val="nil"/>
              <w:bottom w:val="dotted" w:sz="4" w:space="0" w:color="auto"/>
              <w:right w:val="dotted" w:sz="4" w:space="0" w:color="auto"/>
            </w:tcBorders>
            <w:shd w:val="clear" w:color="auto" w:fill="F6C5AC" w:themeFill="accent2" w:themeFillTint="66"/>
            <w:vAlign w:val="center"/>
            <w:hideMark/>
          </w:tcPr>
          <w:p w14:paraId="54679774" w14:textId="6DE62837" w:rsidR="00243A2F" w:rsidRPr="00D479B3" w:rsidRDefault="00243A2F" w:rsidP="00835F2E">
            <w:pPr>
              <w:spacing w:after="0" w:line="240" w:lineRule="auto"/>
              <w:jc w:val="center"/>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2-3yrs</w:t>
            </w:r>
          </w:p>
        </w:tc>
        <w:tc>
          <w:tcPr>
            <w:tcW w:w="466" w:type="pct"/>
            <w:tcBorders>
              <w:top w:val="single" w:sz="8" w:space="0" w:color="auto"/>
              <w:left w:val="nil"/>
              <w:bottom w:val="dotted" w:sz="4" w:space="0" w:color="auto"/>
            </w:tcBorders>
            <w:shd w:val="clear" w:color="auto" w:fill="F6C5AC" w:themeFill="accent2" w:themeFillTint="66"/>
            <w:vAlign w:val="center"/>
            <w:hideMark/>
          </w:tcPr>
          <w:p w14:paraId="3D5E7BCE" w14:textId="77777777" w:rsidR="00243A2F" w:rsidRPr="00D479B3" w:rsidRDefault="00243A2F" w:rsidP="00835F2E">
            <w:pPr>
              <w:spacing w:after="0" w:line="240" w:lineRule="auto"/>
              <w:jc w:val="center"/>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4-8yrs</w:t>
            </w:r>
          </w:p>
        </w:tc>
        <w:tc>
          <w:tcPr>
            <w:tcW w:w="406" w:type="pct"/>
            <w:tcBorders>
              <w:top w:val="single" w:sz="8" w:space="0" w:color="auto"/>
              <w:bottom w:val="dotted" w:sz="4" w:space="0" w:color="auto"/>
              <w:right w:val="single" w:sz="8" w:space="0" w:color="000000"/>
            </w:tcBorders>
            <w:shd w:val="clear" w:color="auto" w:fill="F6C5AC" w:themeFill="accent2" w:themeFillTint="66"/>
            <w:vAlign w:val="center"/>
          </w:tcPr>
          <w:p w14:paraId="252A26CB" w14:textId="6B83E113" w:rsidR="00243A2F" w:rsidRPr="00D479B3" w:rsidRDefault="00243A2F" w:rsidP="00835F2E">
            <w:pPr>
              <w:spacing w:after="0" w:line="240" w:lineRule="auto"/>
              <w:jc w:val="center"/>
              <w:rPr>
                <w:rFonts w:ascii="Calibri" w:eastAsia="Times New Roman" w:hAnsi="Calibri" w:cs="Calibri"/>
                <w:b/>
                <w:bCs/>
                <w:color w:val="000000"/>
                <w:kern w:val="0"/>
                <w:sz w:val="18"/>
                <w:szCs w:val="18"/>
                <w:lang w:eastAsia="en-AU"/>
                <w14:ligatures w14:val="none"/>
              </w:rPr>
            </w:pPr>
          </w:p>
        </w:tc>
        <w:tc>
          <w:tcPr>
            <w:tcW w:w="509" w:type="pct"/>
            <w:tcBorders>
              <w:top w:val="nil"/>
              <w:left w:val="nil"/>
              <w:bottom w:val="dotted" w:sz="4" w:space="0" w:color="auto"/>
              <w:right w:val="dotted" w:sz="4" w:space="0" w:color="auto"/>
            </w:tcBorders>
            <w:shd w:val="clear" w:color="auto" w:fill="F6C5AC" w:themeFill="accent2" w:themeFillTint="66"/>
            <w:vAlign w:val="center"/>
            <w:hideMark/>
          </w:tcPr>
          <w:p w14:paraId="5D1EF191" w14:textId="08B23AC1" w:rsidR="00243A2F" w:rsidRPr="00D479B3" w:rsidRDefault="00243A2F" w:rsidP="00835F2E">
            <w:pPr>
              <w:spacing w:after="0" w:line="240" w:lineRule="auto"/>
              <w:jc w:val="center"/>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9-13yrs</w:t>
            </w:r>
          </w:p>
        </w:tc>
        <w:tc>
          <w:tcPr>
            <w:tcW w:w="457" w:type="pct"/>
            <w:tcBorders>
              <w:top w:val="nil"/>
              <w:left w:val="nil"/>
              <w:bottom w:val="dotted" w:sz="4" w:space="0" w:color="auto"/>
              <w:right w:val="single" w:sz="8" w:space="0" w:color="auto"/>
            </w:tcBorders>
            <w:shd w:val="clear" w:color="auto" w:fill="F6C5AC" w:themeFill="accent2" w:themeFillTint="66"/>
            <w:vAlign w:val="center"/>
            <w:hideMark/>
          </w:tcPr>
          <w:p w14:paraId="07262DE2" w14:textId="54EE676A" w:rsidR="00243A2F" w:rsidRPr="00D479B3" w:rsidRDefault="00243A2F" w:rsidP="00835F2E">
            <w:pPr>
              <w:spacing w:after="0" w:line="240" w:lineRule="auto"/>
              <w:jc w:val="center"/>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14-18yrs</w:t>
            </w:r>
          </w:p>
        </w:tc>
        <w:tc>
          <w:tcPr>
            <w:tcW w:w="509" w:type="pct"/>
            <w:tcBorders>
              <w:top w:val="nil"/>
              <w:left w:val="nil"/>
              <w:bottom w:val="dotted" w:sz="4" w:space="0" w:color="auto"/>
              <w:right w:val="dotted" w:sz="4" w:space="0" w:color="auto"/>
            </w:tcBorders>
            <w:shd w:val="clear" w:color="auto" w:fill="F6C5AC" w:themeFill="accent2" w:themeFillTint="66"/>
            <w:vAlign w:val="center"/>
            <w:hideMark/>
          </w:tcPr>
          <w:p w14:paraId="5EBAE149" w14:textId="45C88F2E" w:rsidR="00243A2F" w:rsidRPr="00D479B3" w:rsidRDefault="00243A2F" w:rsidP="00835F2E">
            <w:pPr>
              <w:spacing w:after="0" w:line="240" w:lineRule="auto"/>
              <w:jc w:val="center"/>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19-30yrs</w:t>
            </w:r>
          </w:p>
        </w:tc>
        <w:tc>
          <w:tcPr>
            <w:tcW w:w="508" w:type="pct"/>
            <w:tcBorders>
              <w:top w:val="nil"/>
              <w:left w:val="nil"/>
              <w:bottom w:val="dotted" w:sz="4" w:space="0" w:color="auto"/>
              <w:right w:val="dotted" w:sz="4" w:space="0" w:color="auto"/>
            </w:tcBorders>
            <w:shd w:val="clear" w:color="auto" w:fill="F6C5AC" w:themeFill="accent2" w:themeFillTint="66"/>
            <w:vAlign w:val="center"/>
            <w:hideMark/>
          </w:tcPr>
          <w:p w14:paraId="42619179" w14:textId="6DE35081" w:rsidR="00243A2F" w:rsidRPr="00D479B3" w:rsidRDefault="00243A2F" w:rsidP="00835F2E">
            <w:pPr>
              <w:spacing w:after="0" w:line="240" w:lineRule="auto"/>
              <w:jc w:val="center"/>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31-50yrs</w:t>
            </w:r>
          </w:p>
        </w:tc>
        <w:tc>
          <w:tcPr>
            <w:tcW w:w="458" w:type="pct"/>
            <w:tcBorders>
              <w:top w:val="nil"/>
              <w:left w:val="nil"/>
              <w:bottom w:val="dotted" w:sz="4" w:space="0" w:color="auto"/>
              <w:right w:val="dotted" w:sz="4" w:space="0" w:color="auto"/>
            </w:tcBorders>
            <w:shd w:val="clear" w:color="auto" w:fill="F6C5AC" w:themeFill="accent2" w:themeFillTint="66"/>
            <w:vAlign w:val="center"/>
            <w:hideMark/>
          </w:tcPr>
          <w:p w14:paraId="3416B4A3" w14:textId="0764237D" w:rsidR="00243A2F" w:rsidRPr="00D479B3" w:rsidRDefault="00243A2F" w:rsidP="00835F2E">
            <w:pPr>
              <w:spacing w:after="0" w:line="240" w:lineRule="auto"/>
              <w:jc w:val="center"/>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51-70yrs</w:t>
            </w:r>
          </w:p>
        </w:tc>
        <w:tc>
          <w:tcPr>
            <w:tcW w:w="478" w:type="pct"/>
            <w:tcBorders>
              <w:top w:val="nil"/>
              <w:left w:val="nil"/>
              <w:bottom w:val="dotted" w:sz="4" w:space="0" w:color="auto"/>
              <w:right w:val="single" w:sz="8" w:space="0" w:color="auto"/>
            </w:tcBorders>
            <w:shd w:val="clear" w:color="auto" w:fill="F6C5AC" w:themeFill="accent2" w:themeFillTint="66"/>
            <w:vAlign w:val="center"/>
            <w:hideMark/>
          </w:tcPr>
          <w:p w14:paraId="661C9759" w14:textId="76B7FA67" w:rsidR="00243A2F" w:rsidRPr="00D479B3" w:rsidRDefault="00243A2F" w:rsidP="00835F2E">
            <w:pPr>
              <w:spacing w:after="0" w:line="240" w:lineRule="auto"/>
              <w:jc w:val="center"/>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71+yrs</w:t>
            </w:r>
          </w:p>
        </w:tc>
      </w:tr>
      <w:tr w:rsidR="00774ED6" w:rsidRPr="00D633FF" w14:paraId="2305FABF" w14:textId="77777777" w:rsidTr="00023D8D">
        <w:trPr>
          <w:trHeight w:val="300"/>
        </w:trPr>
        <w:tc>
          <w:tcPr>
            <w:tcW w:w="708" w:type="pct"/>
            <w:tcBorders>
              <w:top w:val="nil"/>
              <w:left w:val="single" w:sz="8" w:space="0" w:color="auto"/>
              <w:bottom w:val="nil"/>
              <w:right w:val="single" w:sz="8" w:space="0" w:color="auto"/>
            </w:tcBorders>
            <w:shd w:val="clear" w:color="auto" w:fill="F6C5AC" w:themeFill="accent2" w:themeFillTint="66"/>
            <w:vAlign w:val="center"/>
            <w:hideMark/>
          </w:tcPr>
          <w:p w14:paraId="47BB679F" w14:textId="5046380A" w:rsidR="00243A2F" w:rsidRPr="00CD0829" w:rsidRDefault="00243A2F" w:rsidP="007A0490">
            <w:pPr>
              <w:spacing w:after="0" w:line="240" w:lineRule="auto"/>
              <w:jc w:val="right"/>
              <w:rPr>
                <w:rFonts w:ascii="Calibri" w:eastAsia="Times New Roman" w:hAnsi="Calibri" w:cs="Calibri"/>
                <w:b/>
                <w:bCs/>
                <w:color w:val="000000"/>
                <w:kern w:val="0"/>
                <w:sz w:val="18"/>
                <w:szCs w:val="18"/>
                <w:lang w:eastAsia="en-AU"/>
                <w14:ligatures w14:val="none"/>
              </w:rPr>
            </w:pPr>
            <w:r w:rsidRPr="00CD0829">
              <w:rPr>
                <w:rFonts w:ascii="Calibri" w:eastAsia="Times New Roman" w:hAnsi="Calibri" w:cs="Calibri"/>
                <w:b/>
                <w:bCs/>
                <w:color w:val="000000"/>
                <w:kern w:val="0"/>
                <w:sz w:val="18"/>
                <w:szCs w:val="18"/>
                <w:lang w:eastAsia="en-AU"/>
                <w14:ligatures w14:val="none"/>
              </w:rPr>
              <w:t>TOTAL</w:t>
            </w:r>
          </w:p>
        </w:tc>
        <w:tc>
          <w:tcPr>
            <w:tcW w:w="500" w:type="pct"/>
            <w:tcBorders>
              <w:top w:val="dotted" w:sz="4" w:space="0" w:color="auto"/>
              <w:left w:val="nil"/>
              <w:bottom w:val="single" w:sz="4" w:space="0" w:color="auto"/>
              <w:right w:val="dotted" w:sz="4" w:space="0" w:color="auto"/>
            </w:tcBorders>
            <w:vAlign w:val="center"/>
            <w:hideMark/>
          </w:tcPr>
          <w:p w14:paraId="7B831DB1" w14:textId="78CF72DC" w:rsidR="00243A2F" w:rsidRPr="00D479B3" w:rsidRDefault="00243A2F" w:rsidP="00835F2E">
            <w:pPr>
              <w:spacing w:after="0" w:line="240" w:lineRule="auto"/>
              <w:jc w:val="center"/>
              <w:rPr>
                <w:rFonts w:ascii="Calibri" w:eastAsia="Times New Roman" w:hAnsi="Calibri" w:cs="Calibri"/>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65</w:t>
            </w:r>
            <w:r w:rsidRPr="00D479B3">
              <w:rPr>
                <w:rFonts w:ascii="Calibri" w:eastAsia="Times New Roman" w:hAnsi="Calibri" w:cs="Calibri"/>
                <w:color w:val="000000"/>
                <w:kern w:val="0"/>
                <w:sz w:val="18"/>
                <w:szCs w:val="18"/>
                <w:lang w:eastAsia="en-AU"/>
                <w14:ligatures w14:val="none"/>
              </w:rPr>
              <w:t xml:space="preserve">, </w:t>
            </w:r>
            <w:r w:rsidRPr="00D479B3">
              <w:rPr>
                <w:rFonts w:ascii="Calibri" w:eastAsia="Times New Roman" w:hAnsi="Calibri" w:cs="Calibri"/>
                <w:color w:val="A02B93" w:themeColor="accent5"/>
                <w:kern w:val="0"/>
                <w:sz w:val="18"/>
                <w:szCs w:val="18"/>
                <w:lang w:eastAsia="en-AU"/>
                <w14:ligatures w14:val="none"/>
              </w:rPr>
              <w:t xml:space="preserve">59 </w:t>
            </w:r>
            <w:r w:rsidRPr="00D479B3">
              <w:rPr>
                <w:rFonts w:ascii="Calibri" w:eastAsia="Times New Roman" w:hAnsi="Calibri" w:cs="Calibri"/>
                <w:i/>
                <w:iCs/>
                <w:color w:val="000000"/>
                <w:kern w:val="0"/>
                <w:sz w:val="18"/>
                <w:szCs w:val="18"/>
                <w:lang w:eastAsia="en-AU"/>
                <w14:ligatures w14:val="none"/>
              </w:rPr>
              <w:t>(62)</w:t>
            </w:r>
          </w:p>
        </w:tc>
        <w:tc>
          <w:tcPr>
            <w:tcW w:w="466" w:type="pct"/>
            <w:tcBorders>
              <w:top w:val="dotted" w:sz="4" w:space="0" w:color="auto"/>
              <w:left w:val="nil"/>
              <w:bottom w:val="single" w:sz="4" w:space="0" w:color="auto"/>
            </w:tcBorders>
            <w:vAlign w:val="center"/>
            <w:hideMark/>
          </w:tcPr>
          <w:p w14:paraId="00A1EE47" w14:textId="77777777" w:rsidR="00243A2F" w:rsidRPr="00D479B3" w:rsidRDefault="00243A2F" w:rsidP="00835F2E">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80,</w:t>
            </w:r>
            <w:r w:rsidRPr="00D479B3">
              <w:rPr>
                <w:rFonts w:ascii="Calibri" w:eastAsia="Times New Roman" w:hAnsi="Calibri" w:cs="Calibri"/>
                <w:i/>
                <w:iCs/>
                <w:color w:val="000000"/>
                <w:kern w:val="0"/>
                <w:sz w:val="18"/>
                <w:szCs w:val="18"/>
                <w:lang w:eastAsia="en-AU"/>
                <w14:ligatures w14:val="none"/>
              </w:rPr>
              <w:t xml:space="preserve"> </w:t>
            </w:r>
            <w:r w:rsidRPr="00D479B3">
              <w:rPr>
                <w:rFonts w:ascii="Calibri" w:eastAsia="Times New Roman" w:hAnsi="Calibri" w:cs="Calibri"/>
                <w:color w:val="A02B93" w:themeColor="accent5"/>
                <w:kern w:val="0"/>
                <w:sz w:val="18"/>
                <w:szCs w:val="18"/>
                <w:lang w:eastAsia="en-AU"/>
                <w14:ligatures w14:val="none"/>
              </w:rPr>
              <w:t xml:space="preserve">72 </w:t>
            </w:r>
            <w:r w:rsidRPr="00D479B3">
              <w:rPr>
                <w:rFonts w:ascii="Calibri" w:eastAsia="Times New Roman" w:hAnsi="Calibri" w:cs="Calibri"/>
                <w:i/>
                <w:iCs/>
                <w:color w:val="000000"/>
                <w:kern w:val="0"/>
                <w:sz w:val="18"/>
                <w:szCs w:val="18"/>
                <w:lang w:eastAsia="en-AU"/>
                <w14:ligatures w14:val="none"/>
              </w:rPr>
              <w:t>(76)</w:t>
            </w:r>
          </w:p>
        </w:tc>
        <w:tc>
          <w:tcPr>
            <w:tcW w:w="406" w:type="pct"/>
            <w:tcBorders>
              <w:top w:val="dotted" w:sz="4" w:space="0" w:color="auto"/>
              <w:bottom w:val="single" w:sz="4" w:space="0" w:color="auto"/>
              <w:right w:val="single" w:sz="8" w:space="0" w:color="000000"/>
            </w:tcBorders>
            <w:vAlign w:val="center"/>
          </w:tcPr>
          <w:p w14:paraId="701714D2" w14:textId="77A1435B" w:rsidR="00243A2F" w:rsidRPr="00D479B3" w:rsidRDefault="00243A2F" w:rsidP="00835F2E">
            <w:pPr>
              <w:spacing w:after="0" w:line="240" w:lineRule="auto"/>
              <w:jc w:val="center"/>
              <w:rPr>
                <w:rFonts w:ascii="Calibri" w:eastAsia="Times New Roman" w:hAnsi="Calibri" w:cs="Calibri"/>
                <w:i/>
                <w:iCs/>
                <w:color w:val="000000"/>
                <w:kern w:val="0"/>
                <w:sz w:val="18"/>
                <w:szCs w:val="18"/>
                <w:lang w:eastAsia="en-AU"/>
                <w14:ligatures w14:val="none"/>
              </w:rPr>
            </w:pPr>
          </w:p>
        </w:tc>
        <w:tc>
          <w:tcPr>
            <w:tcW w:w="509" w:type="pct"/>
            <w:tcBorders>
              <w:top w:val="dotted" w:sz="4" w:space="0" w:color="auto"/>
              <w:left w:val="nil"/>
              <w:bottom w:val="single" w:sz="4" w:space="0" w:color="auto"/>
              <w:right w:val="dotted" w:sz="4" w:space="0" w:color="auto"/>
            </w:tcBorders>
            <w:vAlign w:val="center"/>
            <w:hideMark/>
          </w:tcPr>
          <w:p w14:paraId="4086B081" w14:textId="609557D3" w:rsidR="00243A2F" w:rsidRPr="00D479B3" w:rsidRDefault="00243A2F" w:rsidP="00835F2E">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118,</w:t>
            </w:r>
            <w:r w:rsidRPr="00D479B3">
              <w:rPr>
                <w:rFonts w:ascii="Calibri" w:eastAsia="Times New Roman" w:hAnsi="Calibri" w:cs="Calibri"/>
                <w:color w:val="A02B93" w:themeColor="accent5"/>
                <w:kern w:val="0"/>
                <w:sz w:val="18"/>
                <w:szCs w:val="18"/>
                <w:lang w:eastAsia="en-AU"/>
                <w14:ligatures w14:val="none"/>
              </w:rPr>
              <w:t xml:space="preserve"> 103</w:t>
            </w:r>
            <w:r w:rsidRPr="00D479B3">
              <w:rPr>
                <w:rFonts w:ascii="Calibri" w:eastAsia="Times New Roman" w:hAnsi="Calibri" w:cs="Calibri"/>
                <w:i/>
                <w:iCs/>
                <w:color w:val="000000"/>
                <w:kern w:val="0"/>
                <w:sz w:val="18"/>
                <w:szCs w:val="18"/>
                <w:lang w:eastAsia="en-AU"/>
                <w14:ligatures w14:val="none"/>
              </w:rPr>
              <w:t xml:space="preserve"> (111)</w:t>
            </w:r>
          </w:p>
        </w:tc>
        <w:tc>
          <w:tcPr>
            <w:tcW w:w="457" w:type="pct"/>
            <w:tcBorders>
              <w:top w:val="dotted" w:sz="4" w:space="0" w:color="auto"/>
              <w:left w:val="nil"/>
              <w:bottom w:val="single" w:sz="4" w:space="0" w:color="auto"/>
              <w:right w:val="single" w:sz="8" w:space="0" w:color="auto"/>
            </w:tcBorders>
            <w:vAlign w:val="center"/>
            <w:hideMark/>
          </w:tcPr>
          <w:p w14:paraId="0A2E1437" w14:textId="627EF8B7" w:rsidR="00243A2F" w:rsidRPr="00D479B3" w:rsidRDefault="00243A2F" w:rsidP="00835F2E">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140,</w:t>
            </w:r>
            <w:r w:rsidRPr="00D479B3">
              <w:rPr>
                <w:rFonts w:ascii="Calibri" w:eastAsia="Times New Roman" w:hAnsi="Calibri" w:cs="Calibri"/>
                <w:color w:val="A02B93" w:themeColor="accent5"/>
                <w:kern w:val="0"/>
                <w:sz w:val="18"/>
                <w:szCs w:val="18"/>
                <w:lang w:eastAsia="en-AU"/>
                <w14:ligatures w14:val="none"/>
              </w:rPr>
              <w:t xml:space="preserve"> 109</w:t>
            </w:r>
            <w:r w:rsidRPr="00D479B3">
              <w:rPr>
                <w:rFonts w:ascii="Calibri" w:eastAsia="Times New Roman" w:hAnsi="Calibri" w:cs="Calibri"/>
                <w:i/>
                <w:iCs/>
                <w:color w:val="000000"/>
                <w:kern w:val="0"/>
                <w:sz w:val="18"/>
                <w:szCs w:val="18"/>
                <w:lang w:eastAsia="en-AU"/>
                <w14:ligatures w14:val="none"/>
              </w:rPr>
              <w:t xml:space="preserve"> (125)</w:t>
            </w:r>
          </w:p>
        </w:tc>
        <w:tc>
          <w:tcPr>
            <w:tcW w:w="509" w:type="pct"/>
            <w:tcBorders>
              <w:top w:val="dotted" w:sz="4" w:space="0" w:color="auto"/>
              <w:left w:val="nil"/>
              <w:bottom w:val="single" w:sz="4" w:space="0" w:color="auto"/>
              <w:right w:val="dotted" w:sz="4" w:space="0" w:color="auto"/>
            </w:tcBorders>
            <w:vAlign w:val="center"/>
            <w:hideMark/>
          </w:tcPr>
          <w:p w14:paraId="24CA432C" w14:textId="739F3F6D" w:rsidR="00243A2F" w:rsidRPr="00D479B3" w:rsidRDefault="00243A2F" w:rsidP="00835F2E">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160,</w:t>
            </w:r>
            <w:r w:rsidRPr="00D479B3">
              <w:rPr>
                <w:rFonts w:ascii="Calibri" w:eastAsia="Times New Roman" w:hAnsi="Calibri" w:cs="Calibri"/>
                <w:color w:val="A02B93" w:themeColor="accent5"/>
                <w:kern w:val="0"/>
                <w:sz w:val="18"/>
                <w:szCs w:val="18"/>
                <w:lang w:eastAsia="en-AU"/>
                <w14:ligatures w14:val="none"/>
              </w:rPr>
              <w:t xml:space="preserve"> 114 </w:t>
            </w:r>
            <w:r w:rsidRPr="00D479B3">
              <w:rPr>
                <w:rFonts w:ascii="Calibri" w:eastAsia="Times New Roman" w:hAnsi="Calibri" w:cs="Calibri"/>
                <w:i/>
                <w:iCs/>
                <w:color w:val="000000"/>
                <w:kern w:val="0"/>
                <w:sz w:val="18"/>
                <w:szCs w:val="18"/>
                <w:lang w:eastAsia="en-AU"/>
                <w14:ligatures w14:val="none"/>
              </w:rPr>
              <w:t>(137)</w:t>
            </w:r>
          </w:p>
        </w:tc>
        <w:tc>
          <w:tcPr>
            <w:tcW w:w="508" w:type="pct"/>
            <w:tcBorders>
              <w:top w:val="dotted" w:sz="4" w:space="0" w:color="auto"/>
              <w:left w:val="nil"/>
              <w:bottom w:val="single" w:sz="4" w:space="0" w:color="auto"/>
              <w:right w:val="dotted" w:sz="4" w:space="0" w:color="auto"/>
            </w:tcBorders>
            <w:vAlign w:val="center"/>
            <w:hideMark/>
          </w:tcPr>
          <w:p w14:paraId="7E7FA381" w14:textId="6DD14FBF" w:rsidR="00243A2F" w:rsidRPr="00D479B3" w:rsidRDefault="00243A2F" w:rsidP="00835F2E">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153,</w:t>
            </w:r>
            <w:r w:rsidRPr="00D479B3">
              <w:rPr>
                <w:rFonts w:ascii="Calibri" w:eastAsia="Times New Roman" w:hAnsi="Calibri" w:cs="Calibri"/>
                <w:color w:val="A02B93" w:themeColor="accent5"/>
                <w:kern w:val="0"/>
                <w:sz w:val="18"/>
                <w:szCs w:val="18"/>
                <w:lang w:eastAsia="en-AU"/>
                <w14:ligatures w14:val="none"/>
              </w:rPr>
              <w:t xml:space="preserve"> 117</w:t>
            </w:r>
            <w:r w:rsidRPr="00D479B3">
              <w:rPr>
                <w:rFonts w:ascii="Calibri" w:eastAsia="Times New Roman" w:hAnsi="Calibri" w:cs="Calibri"/>
                <w:i/>
                <w:iCs/>
                <w:color w:val="000000"/>
                <w:kern w:val="0"/>
                <w:sz w:val="18"/>
                <w:szCs w:val="18"/>
                <w:lang w:eastAsia="en-AU"/>
                <w14:ligatures w14:val="none"/>
              </w:rPr>
              <w:t xml:space="preserve"> (135)</w:t>
            </w:r>
          </w:p>
        </w:tc>
        <w:tc>
          <w:tcPr>
            <w:tcW w:w="458" w:type="pct"/>
            <w:tcBorders>
              <w:top w:val="dotted" w:sz="4" w:space="0" w:color="auto"/>
              <w:left w:val="nil"/>
              <w:bottom w:val="single" w:sz="4" w:space="0" w:color="auto"/>
              <w:right w:val="dotted" w:sz="4" w:space="0" w:color="auto"/>
            </w:tcBorders>
            <w:vAlign w:val="center"/>
            <w:hideMark/>
          </w:tcPr>
          <w:p w14:paraId="01B098BC" w14:textId="780EF36C" w:rsidR="00243A2F" w:rsidRPr="00D479B3" w:rsidRDefault="00243A2F" w:rsidP="00835F2E">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143,</w:t>
            </w:r>
            <w:r w:rsidRPr="00D479B3">
              <w:rPr>
                <w:rFonts w:ascii="Calibri" w:eastAsia="Times New Roman" w:hAnsi="Calibri" w:cs="Calibri"/>
                <w:color w:val="A02B93" w:themeColor="accent5"/>
                <w:kern w:val="0"/>
                <w:sz w:val="18"/>
                <w:szCs w:val="18"/>
                <w:lang w:eastAsia="en-AU"/>
                <w14:ligatures w14:val="none"/>
              </w:rPr>
              <w:t xml:space="preserve"> 118</w:t>
            </w:r>
            <w:r w:rsidRPr="00D479B3">
              <w:rPr>
                <w:rFonts w:ascii="Calibri" w:eastAsia="Times New Roman" w:hAnsi="Calibri" w:cs="Calibri"/>
                <w:i/>
                <w:iCs/>
                <w:color w:val="000000"/>
                <w:kern w:val="0"/>
                <w:sz w:val="18"/>
                <w:szCs w:val="18"/>
                <w:lang w:eastAsia="en-AU"/>
                <w14:ligatures w14:val="none"/>
              </w:rPr>
              <w:t xml:space="preserve"> (131)</w:t>
            </w:r>
          </w:p>
        </w:tc>
        <w:tc>
          <w:tcPr>
            <w:tcW w:w="478" w:type="pct"/>
            <w:tcBorders>
              <w:top w:val="dotted" w:sz="4" w:space="0" w:color="auto"/>
              <w:left w:val="nil"/>
              <w:bottom w:val="single" w:sz="4" w:space="0" w:color="auto"/>
              <w:right w:val="single" w:sz="8" w:space="0" w:color="auto"/>
            </w:tcBorders>
            <w:vAlign w:val="center"/>
            <w:hideMark/>
          </w:tcPr>
          <w:p w14:paraId="6EE003FD" w14:textId="1C825488" w:rsidR="00243A2F" w:rsidRPr="00D479B3" w:rsidRDefault="00243A2F" w:rsidP="00835F2E">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125,</w:t>
            </w:r>
            <w:r w:rsidRPr="00D479B3">
              <w:rPr>
                <w:rFonts w:ascii="Calibri" w:eastAsia="Times New Roman" w:hAnsi="Calibri" w:cs="Calibri"/>
                <w:color w:val="A02B93" w:themeColor="accent5"/>
                <w:kern w:val="0"/>
                <w:sz w:val="18"/>
                <w:szCs w:val="18"/>
                <w:lang w:eastAsia="en-AU"/>
                <w14:ligatures w14:val="none"/>
              </w:rPr>
              <w:t xml:space="preserve"> 107</w:t>
            </w:r>
            <w:r w:rsidRPr="00D479B3">
              <w:rPr>
                <w:rFonts w:ascii="Calibri" w:eastAsia="Times New Roman" w:hAnsi="Calibri" w:cs="Calibri"/>
                <w:i/>
                <w:iCs/>
                <w:color w:val="000000"/>
                <w:kern w:val="0"/>
                <w:sz w:val="18"/>
                <w:szCs w:val="18"/>
                <w:lang w:eastAsia="en-AU"/>
                <w14:ligatures w14:val="none"/>
              </w:rPr>
              <w:t xml:space="preserve"> (116)</w:t>
            </w:r>
          </w:p>
        </w:tc>
      </w:tr>
      <w:tr w:rsidR="00774ED6" w:rsidRPr="00D633FF" w14:paraId="2648FD40" w14:textId="77777777" w:rsidTr="00023D8D">
        <w:trPr>
          <w:trHeight w:val="330"/>
        </w:trPr>
        <w:tc>
          <w:tcPr>
            <w:tcW w:w="708" w:type="pct"/>
            <w:tcBorders>
              <w:top w:val="single" w:sz="8" w:space="0" w:color="auto"/>
              <w:left w:val="single" w:sz="8" w:space="0" w:color="auto"/>
              <w:bottom w:val="dotted" w:sz="4" w:space="0" w:color="auto"/>
              <w:right w:val="single" w:sz="8" w:space="0" w:color="auto"/>
            </w:tcBorders>
            <w:shd w:val="clear" w:color="auto" w:fill="C1F0C7" w:themeFill="accent3" w:themeFillTint="33"/>
            <w:vAlign w:val="center"/>
            <w:hideMark/>
          </w:tcPr>
          <w:p w14:paraId="50F71435" w14:textId="77777777" w:rsidR="00835F2E" w:rsidRPr="00F66628" w:rsidRDefault="00835F2E" w:rsidP="00835F2E">
            <w:pPr>
              <w:spacing w:after="0" w:line="240" w:lineRule="auto"/>
              <w:rPr>
                <w:rFonts w:ascii="Calibri" w:eastAsia="Times New Roman" w:hAnsi="Calibri" w:cs="Calibri"/>
                <w:b/>
                <w:bCs/>
                <w:color w:val="000000"/>
                <w:kern w:val="0"/>
                <w:sz w:val="18"/>
                <w:szCs w:val="18"/>
                <w:lang w:eastAsia="en-AU"/>
                <w14:ligatures w14:val="none"/>
              </w:rPr>
            </w:pPr>
            <w:r w:rsidRPr="00F66628">
              <w:rPr>
                <w:rFonts w:ascii="Calibri" w:eastAsia="Times New Roman" w:hAnsi="Calibri" w:cs="Calibri"/>
                <w:b/>
                <w:bCs/>
                <w:color w:val="000000"/>
                <w:kern w:val="0"/>
                <w:sz w:val="18"/>
                <w:szCs w:val="18"/>
                <w:lang w:eastAsia="en-AU"/>
                <w14:ligatures w14:val="none"/>
              </w:rPr>
              <w:t>New Zealand (P</w:t>
            </w:r>
            <w:proofErr w:type="gramStart"/>
            <w:r w:rsidRPr="00F66628">
              <w:rPr>
                <w:rFonts w:ascii="Calibri" w:eastAsia="Times New Roman" w:hAnsi="Calibri" w:cs="Calibri"/>
                <w:b/>
                <w:bCs/>
                <w:color w:val="000000"/>
                <w:kern w:val="0"/>
                <w:sz w:val="18"/>
                <w:szCs w:val="18"/>
                <w:lang w:eastAsia="en-AU"/>
                <w14:ligatures w14:val="none"/>
              </w:rPr>
              <w:t>90)</w:t>
            </w:r>
            <w:r w:rsidR="000F1FB3" w:rsidRPr="00F66628">
              <w:rPr>
                <w:rFonts w:ascii="Calibri" w:eastAsia="Times New Roman" w:hAnsi="Calibri" w:cs="Calibri"/>
                <w:b/>
                <w:bCs/>
                <w:color w:val="000000"/>
                <w:kern w:val="0"/>
                <w:sz w:val="18"/>
                <w:szCs w:val="18"/>
                <w:lang w:eastAsia="en-AU"/>
                <w14:ligatures w14:val="none"/>
              </w:rPr>
              <w:t>*</w:t>
            </w:r>
            <w:proofErr w:type="gramEnd"/>
          </w:p>
          <w:p w14:paraId="37714947" w14:textId="30963484" w:rsidR="00835F2E" w:rsidRPr="00D479B3" w:rsidRDefault="00A25303" w:rsidP="00835F2E">
            <w:pPr>
              <w:spacing w:after="0" w:line="240" w:lineRule="auto"/>
              <w:rPr>
                <w:rFonts w:ascii="Calibri" w:eastAsia="Times New Roman" w:hAnsi="Calibri" w:cs="Calibri"/>
                <w:i/>
                <w:color w:val="000000"/>
                <w:kern w:val="0"/>
                <w:sz w:val="18"/>
                <w:szCs w:val="18"/>
                <w:lang w:eastAsia="en-AU"/>
                <w14:ligatures w14:val="none"/>
              </w:rPr>
            </w:pPr>
            <w:r w:rsidRPr="00F66628">
              <w:rPr>
                <w:rFonts w:ascii="Calibri" w:eastAsia="Times New Roman" w:hAnsi="Calibri" w:cs="Calibri"/>
                <w:i/>
                <w:iCs/>
                <w:color w:val="000000"/>
                <w:kern w:val="0"/>
                <w:sz w:val="16"/>
                <w:szCs w:val="16"/>
                <w:lang w:eastAsia="en-AU"/>
                <w14:ligatures w14:val="none"/>
              </w:rPr>
              <w:t>(</w:t>
            </w:r>
            <w:r w:rsidR="00C732F4" w:rsidRPr="00F66628">
              <w:rPr>
                <w:rFonts w:ascii="Calibri" w:eastAsia="Times New Roman" w:hAnsi="Calibri" w:cs="Calibri"/>
                <w:i/>
                <w:iCs/>
                <w:color w:val="000000"/>
                <w:kern w:val="0"/>
                <w:sz w:val="16"/>
                <w:szCs w:val="16"/>
                <w:lang w:eastAsia="en-AU"/>
                <w14:ligatures w14:val="none"/>
              </w:rPr>
              <w:t>food only</w:t>
            </w:r>
            <w:r w:rsidRPr="00F66628">
              <w:rPr>
                <w:rFonts w:ascii="Calibri" w:eastAsia="Times New Roman" w:hAnsi="Calibri" w:cs="Calibri"/>
                <w:i/>
                <w:iCs/>
                <w:color w:val="000000"/>
                <w:kern w:val="0"/>
                <w:sz w:val="16"/>
                <w:szCs w:val="16"/>
                <w:lang w:eastAsia="en-AU"/>
                <w14:ligatures w14:val="none"/>
              </w:rPr>
              <w:t>)</w:t>
            </w:r>
          </w:p>
        </w:tc>
        <w:tc>
          <w:tcPr>
            <w:tcW w:w="500" w:type="pct"/>
            <w:tcBorders>
              <w:top w:val="single" w:sz="4" w:space="0" w:color="auto"/>
              <w:left w:val="nil"/>
              <w:bottom w:val="dotted" w:sz="4" w:space="0" w:color="auto"/>
              <w:right w:val="dotted" w:sz="4" w:space="0" w:color="auto"/>
            </w:tcBorders>
            <w:shd w:val="clear" w:color="auto" w:fill="C1F0C7" w:themeFill="accent3" w:themeFillTint="33"/>
            <w:vAlign w:val="center"/>
            <w:hideMark/>
          </w:tcPr>
          <w:p w14:paraId="1015051C" w14:textId="29E1D7B9" w:rsidR="00835F2E" w:rsidRPr="00D479B3" w:rsidRDefault="00835F2E" w:rsidP="00835F2E">
            <w:pPr>
              <w:spacing w:after="0" w:line="240" w:lineRule="auto"/>
              <w:jc w:val="center"/>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&lt;5</w:t>
            </w:r>
          </w:p>
        </w:tc>
        <w:tc>
          <w:tcPr>
            <w:tcW w:w="466" w:type="pct"/>
            <w:tcBorders>
              <w:top w:val="single" w:sz="4" w:space="0" w:color="auto"/>
              <w:left w:val="nil"/>
              <w:bottom w:val="dotted" w:sz="4" w:space="0" w:color="auto"/>
              <w:right w:val="dotted" w:sz="4" w:space="0" w:color="auto"/>
            </w:tcBorders>
            <w:shd w:val="clear" w:color="auto" w:fill="C1F0C7" w:themeFill="accent3" w:themeFillTint="33"/>
            <w:vAlign w:val="center"/>
            <w:hideMark/>
          </w:tcPr>
          <w:p w14:paraId="1171AE42" w14:textId="018343E3" w:rsidR="00835F2E" w:rsidRPr="00D479B3" w:rsidRDefault="00835F2E" w:rsidP="00835F2E">
            <w:pPr>
              <w:spacing w:after="0" w:line="240" w:lineRule="auto"/>
              <w:jc w:val="center"/>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5-6yrs</w:t>
            </w:r>
          </w:p>
        </w:tc>
        <w:tc>
          <w:tcPr>
            <w:tcW w:w="406" w:type="pct"/>
            <w:tcBorders>
              <w:top w:val="single" w:sz="4" w:space="0" w:color="auto"/>
              <w:left w:val="nil"/>
              <w:bottom w:val="dotted" w:sz="4" w:space="0" w:color="auto"/>
              <w:right w:val="single" w:sz="8" w:space="0" w:color="auto"/>
            </w:tcBorders>
            <w:shd w:val="clear" w:color="auto" w:fill="C1F0C7" w:themeFill="accent3" w:themeFillTint="33"/>
            <w:vAlign w:val="center"/>
            <w:hideMark/>
          </w:tcPr>
          <w:p w14:paraId="5136DE76" w14:textId="7E5316CF" w:rsidR="00835F2E" w:rsidRPr="00D479B3" w:rsidRDefault="00835F2E" w:rsidP="00835F2E">
            <w:pPr>
              <w:spacing w:after="0" w:line="240" w:lineRule="auto"/>
              <w:jc w:val="center"/>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7-10yrs</w:t>
            </w:r>
          </w:p>
        </w:tc>
        <w:tc>
          <w:tcPr>
            <w:tcW w:w="509" w:type="pct"/>
            <w:tcBorders>
              <w:top w:val="single" w:sz="4" w:space="0" w:color="auto"/>
              <w:left w:val="nil"/>
              <w:bottom w:val="dotted" w:sz="4" w:space="0" w:color="auto"/>
              <w:right w:val="dotted" w:sz="4" w:space="0" w:color="auto"/>
            </w:tcBorders>
            <w:shd w:val="clear" w:color="auto" w:fill="C1F0C7" w:themeFill="accent3" w:themeFillTint="33"/>
            <w:vAlign w:val="center"/>
            <w:hideMark/>
          </w:tcPr>
          <w:p w14:paraId="41012F75" w14:textId="72BB6EFD" w:rsidR="00835F2E" w:rsidRPr="00D479B3" w:rsidRDefault="00835F2E" w:rsidP="00835F2E">
            <w:pPr>
              <w:spacing w:after="0" w:line="240" w:lineRule="auto"/>
              <w:jc w:val="center"/>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11-14yrs</w:t>
            </w:r>
          </w:p>
        </w:tc>
        <w:tc>
          <w:tcPr>
            <w:tcW w:w="457" w:type="pct"/>
            <w:tcBorders>
              <w:top w:val="single" w:sz="4" w:space="0" w:color="auto"/>
              <w:left w:val="nil"/>
              <w:bottom w:val="dotted" w:sz="4" w:space="0" w:color="auto"/>
              <w:right w:val="single" w:sz="8" w:space="0" w:color="auto"/>
            </w:tcBorders>
            <w:shd w:val="clear" w:color="auto" w:fill="C1F0C7" w:themeFill="accent3" w:themeFillTint="33"/>
            <w:vAlign w:val="center"/>
            <w:hideMark/>
          </w:tcPr>
          <w:p w14:paraId="65866621" w14:textId="1218F0CE" w:rsidR="00835F2E" w:rsidRPr="00D479B3" w:rsidRDefault="00835F2E" w:rsidP="00835F2E">
            <w:pPr>
              <w:spacing w:after="0" w:line="240" w:lineRule="auto"/>
              <w:jc w:val="center"/>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15-18yrs</w:t>
            </w:r>
          </w:p>
        </w:tc>
        <w:tc>
          <w:tcPr>
            <w:tcW w:w="509" w:type="pct"/>
            <w:tcBorders>
              <w:top w:val="single" w:sz="4" w:space="0" w:color="auto"/>
              <w:left w:val="nil"/>
              <w:bottom w:val="dotted" w:sz="4" w:space="0" w:color="auto"/>
              <w:right w:val="dotted" w:sz="4" w:space="0" w:color="auto"/>
            </w:tcBorders>
            <w:shd w:val="clear" w:color="auto" w:fill="C1F0C7" w:themeFill="accent3" w:themeFillTint="33"/>
            <w:vAlign w:val="center"/>
            <w:hideMark/>
          </w:tcPr>
          <w:p w14:paraId="7008FCE4" w14:textId="230C49D4" w:rsidR="00835F2E" w:rsidRPr="00D479B3" w:rsidRDefault="00835F2E" w:rsidP="00835F2E">
            <w:pPr>
              <w:spacing w:after="0" w:line="240" w:lineRule="auto"/>
              <w:jc w:val="center"/>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19-30yrs</w:t>
            </w:r>
          </w:p>
        </w:tc>
        <w:tc>
          <w:tcPr>
            <w:tcW w:w="508" w:type="pct"/>
            <w:tcBorders>
              <w:top w:val="single" w:sz="4" w:space="0" w:color="auto"/>
              <w:left w:val="nil"/>
              <w:bottom w:val="dotted" w:sz="4" w:space="0" w:color="auto"/>
              <w:right w:val="dotted" w:sz="4" w:space="0" w:color="auto"/>
            </w:tcBorders>
            <w:shd w:val="clear" w:color="auto" w:fill="C1F0C7" w:themeFill="accent3" w:themeFillTint="33"/>
            <w:vAlign w:val="center"/>
            <w:hideMark/>
          </w:tcPr>
          <w:p w14:paraId="23DAAF2A" w14:textId="237067A0" w:rsidR="00835F2E" w:rsidRPr="00D479B3" w:rsidRDefault="00835F2E" w:rsidP="00835F2E">
            <w:pPr>
              <w:spacing w:after="0" w:line="240" w:lineRule="auto"/>
              <w:jc w:val="center"/>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31-50yrs</w:t>
            </w:r>
          </w:p>
        </w:tc>
        <w:tc>
          <w:tcPr>
            <w:tcW w:w="458" w:type="pct"/>
            <w:tcBorders>
              <w:top w:val="single" w:sz="4" w:space="0" w:color="auto"/>
              <w:left w:val="nil"/>
              <w:bottom w:val="dotted" w:sz="4" w:space="0" w:color="auto"/>
              <w:right w:val="dotted" w:sz="4" w:space="0" w:color="auto"/>
            </w:tcBorders>
            <w:shd w:val="clear" w:color="auto" w:fill="C1F0C7" w:themeFill="accent3" w:themeFillTint="33"/>
            <w:vAlign w:val="center"/>
            <w:hideMark/>
          </w:tcPr>
          <w:p w14:paraId="177EAD4F" w14:textId="156D0FB6" w:rsidR="00835F2E" w:rsidRPr="00D479B3" w:rsidRDefault="00835F2E" w:rsidP="00835F2E">
            <w:pPr>
              <w:spacing w:after="0" w:line="240" w:lineRule="auto"/>
              <w:jc w:val="center"/>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51-70yrs</w:t>
            </w:r>
          </w:p>
        </w:tc>
        <w:tc>
          <w:tcPr>
            <w:tcW w:w="478" w:type="pct"/>
            <w:tcBorders>
              <w:top w:val="single" w:sz="4" w:space="0" w:color="auto"/>
              <w:left w:val="nil"/>
              <w:bottom w:val="dotted" w:sz="4" w:space="0" w:color="auto"/>
              <w:right w:val="single" w:sz="8" w:space="0" w:color="auto"/>
            </w:tcBorders>
            <w:shd w:val="clear" w:color="auto" w:fill="C1F0C7" w:themeFill="accent3" w:themeFillTint="33"/>
            <w:vAlign w:val="center"/>
            <w:hideMark/>
          </w:tcPr>
          <w:p w14:paraId="71CB7B60" w14:textId="6E7B3E96" w:rsidR="00835F2E" w:rsidRPr="00D479B3" w:rsidRDefault="00835F2E" w:rsidP="00835F2E">
            <w:pPr>
              <w:spacing w:after="0" w:line="240" w:lineRule="auto"/>
              <w:jc w:val="center"/>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71+yrs</w:t>
            </w:r>
          </w:p>
        </w:tc>
      </w:tr>
      <w:tr w:rsidR="00774ED6" w:rsidRPr="00D633FF" w14:paraId="06CFE40C" w14:textId="77777777" w:rsidTr="00023D8D">
        <w:trPr>
          <w:trHeight w:val="300"/>
        </w:trPr>
        <w:tc>
          <w:tcPr>
            <w:tcW w:w="708" w:type="pct"/>
            <w:tcBorders>
              <w:top w:val="nil"/>
              <w:left w:val="single" w:sz="8" w:space="0" w:color="auto"/>
              <w:bottom w:val="nil"/>
              <w:right w:val="single" w:sz="8" w:space="0" w:color="auto"/>
            </w:tcBorders>
            <w:shd w:val="clear" w:color="auto" w:fill="C1F0C7" w:themeFill="accent3" w:themeFillTint="33"/>
            <w:vAlign w:val="center"/>
            <w:hideMark/>
          </w:tcPr>
          <w:p w14:paraId="59283EF7" w14:textId="4E44C5DC" w:rsidR="00835F2E" w:rsidRPr="00D479B3" w:rsidRDefault="00835F2E" w:rsidP="007A0490">
            <w:pPr>
              <w:spacing w:after="0" w:line="240" w:lineRule="auto"/>
              <w:jc w:val="right"/>
              <w:rPr>
                <w:rFonts w:ascii="Calibri" w:eastAsia="Times New Roman" w:hAnsi="Calibri" w:cs="Calibri"/>
                <w:color w:val="000000"/>
                <w:kern w:val="0"/>
                <w:sz w:val="18"/>
                <w:szCs w:val="18"/>
                <w:lang w:eastAsia="en-AU"/>
                <w14:ligatures w14:val="none"/>
              </w:rPr>
            </w:pPr>
            <w:r w:rsidRPr="00D479B3">
              <w:rPr>
                <w:rFonts w:ascii="Calibri" w:eastAsia="Times New Roman" w:hAnsi="Calibri" w:cs="Calibri"/>
                <w:color w:val="000000"/>
                <w:kern w:val="0"/>
                <w:sz w:val="18"/>
                <w:szCs w:val="18"/>
                <w:lang w:eastAsia="en-AU"/>
                <w14:ligatures w14:val="none"/>
              </w:rPr>
              <w:t>TOTAL</w:t>
            </w:r>
          </w:p>
        </w:tc>
        <w:tc>
          <w:tcPr>
            <w:tcW w:w="500" w:type="pct"/>
            <w:tcBorders>
              <w:top w:val="nil"/>
              <w:left w:val="nil"/>
              <w:bottom w:val="dotted" w:sz="4" w:space="0" w:color="auto"/>
              <w:right w:val="dotted" w:sz="4" w:space="0" w:color="auto"/>
            </w:tcBorders>
            <w:vAlign w:val="center"/>
            <w:hideMark/>
          </w:tcPr>
          <w:p w14:paraId="780464D7" w14:textId="7A9577E8" w:rsidR="00835F2E" w:rsidRPr="00D479B3" w:rsidRDefault="00835F2E" w:rsidP="00835F2E">
            <w:pPr>
              <w:spacing w:after="0" w:line="240" w:lineRule="auto"/>
              <w:jc w:val="center"/>
              <w:rPr>
                <w:rFonts w:ascii="Calibri" w:eastAsia="Times New Roman" w:hAnsi="Calibri" w:cs="Calibri"/>
                <w:b/>
                <w:bCs/>
                <w:i/>
                <w:iCs/>
                <w:color w:val="000000"/>
                <w:kern w:val="0"/>
                <w:sz w:val="18"/>
                <w:szCs w:val="18"/>
                <w:lang w:eastAsia="en-AU"/>
                <w14:ligatures w14:val="none"/>
              </w:rPr>
            </w:pPr>
            <w:r w:rsidRPr="00D479B3">
              <w:rPr>
                <w:rFonts w:ascii="Calibri" w:eastAsia="Times New Roman" w:hAnsi="Calibri" w:cs="Calibri"/>
                <w:b/>
                <w:bCs/>
                <w:i/>
                <w:iCs/>
                <w:color w:val="000000"/>
                <w:kern w:val="0"/>
                <w:sz w:val="18"/>
                <w:szCs w:val="18"/>
                <w:lang w:eastAsia="en-AU"/>
                <w14:ligatures w14:val="none"/>
              </w:rPr>
              <w:t>-</w:t>
            </w:r>
          </w:p>
        </w:tc>
        <w:tc>
          <w:tcPr>
            <w:tcW w:w="466" w:type="pct"/>
            <w:tcBorders>
              <w:top w:val="nil"/>
              <w:left w:val="nil"/>
              <w:bottom w:val="dotted" w:sz="4" w:space="0" w:color="auto"/>
              <w:right w:val="dotted" w:sz="4" w:space="0" w:color="auto"/>
            </w:tcBorders>
            <w:vAlign w:val="center"/>
            <w:hideMark/>
          </w:tcPr>
          <w:p w14:paraId="5B9D8783" w14:textId="56F1D6B7" w:rsidR="00835F2E" w:rsidRPr="00D479B3" w:rsidRDefault="00063379" w:rsidP="00835F2E">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42,</w:t>
            </w:r>
            <w:r w:rsidRPr="00D479B3">
              <w:rPr>
                <w:rFonts w:ascii="Calibri" w:eastAsia="Times New Roman" w:hAnsi="Calibri" w:cs="Calibri"/>
                <w:color w:val="A02B93" w:themeColor="accent5"/>
                <w:kern w:val="0"/>
                <w:sz w:val="18"/>
                <w:szCs w:val="18"/>
                <w:lang w:eastAsia="en-AU"/>
                <w14:ligatures w14:val="none"/>
              </w:rPr>
              <w:t xml:space="preserve"> </w:t>
            </w:r>
            <w:r w:rsidR="00370276" w:rsidRPr="00D479B3">
              <w:rPr>
                <w:rFonts w:ascii="Calibri" w:eastAsia="Times New Roman" w:hAnsi="Calibri" w:cs="Calibri"/>
                <w:color w:val="A02B93" w:themeColor="accent5"/>
                <w:kern w:val="0"/>
                <w:sz w:val="18"/>
                <w:szCs w:val="18"/>
                <w:lang w:eastAsia="en-AU"/>
                <w14:ligatures w14:val="none"/>
              </w:rPr>
              <w:t xml:space="preserve">34 </w:t>
            </w:r>
            <w:r w:rsidR="007C1549" w:rsidRPr="00D479B3">
              <w:rPr>
                <w:rFonts w:ascii="Calibri" w:eastAsia="Times New Roman" w:hAnsi="Calibri" w:cs="Calibri"/>
                <w:i/>
                <w:iCs/>
                <w:color w:val="000000"/>
                <w:kern w:val="0"/>
                <w:sz w:val="18"/>
                <w:szCs w:val="18"/>
                <w:lang w:eastAsia="en-AU"/>
                <w14:ligatures w14:val="none"/>
              </w:rPr>
              <w:t>(</w:t>
            </w:r>
            <w:r w:rsidR="00835F2E" w:rsidRPr="00D479B3">
              <w:rPr>
                <w:rFonts w:ascii="Calibri" w:eastAsia="Times New Roman" w:hAnsi="Calibri" w:cs="Calibri"/>
                <w:i/>
                <w:iCs/>
                <w:color w:val="000000"/>
                <w:kern w:val="0"/>
                <w:sz w:val="18"/>
                <w:szCs w:val="18"/>
                <w:lang w:eastAsia="en-AU"/>
                <w14:ligatures w14:val="none"/>
              </w:rPr>
              <w:t>3</w:t>
            </w:r>
            <w:r w:rsidR="004D2DA9" w:rsidRPr="00D479B3">
              <w:rPr>
                <w:rFonts w:ascii="Calibri" w:eastAsia="Times New Roman" w:hAnsi="Calibri" w:cs="Calibri"/>
                <w:i/>
                <w:iCs/>
                <w:color w:val="000000"/>
                <w:kern w:val="0"/>
                <w:sz w:val="18"/>
                <w:szCs w:val="18"/>
                <w:lang w:eastAsia="en-AU"/>
                <w14:ligatures w14:val="none"/>
              </w:rPr>
              <w:t>8</w:t>
            </w:r>
            <w:r w:rsidR="007C1549" w:rsidRPr="00D479B3">
              <w:rPr>
                <w:rFonts w:ascii="Calibri" w:eastAsia="Times New Roman" w:hAnsi="Calibri" w:cs="Calibri"/>
                <w:i/>
                <w:iCs/>
                <w:color w:val="000000"/>
                <w:kern w:val="0"/>
                <w:sz w:val="18"/>
                <w:szCs w:val="18"/>
                <w:lang w:eastAsia="en-AU"/>
                <w14:ligatures w14:val="none"/>
              </w:rPr>
              <w:t>)</w:t>
            </w:r>
          </w:p>
        </w:tc>
        <w:tc>
          <w:tcPr>
            <w:tcW w:w="406" w:type="pct"/>
            <w:tcBorders>
              <w:top w:val="nil"/>
              <w:left w:val="nil"/>
              <w:bottom w:val="dotted" w:sz="4" w:space="0" w:color="auto"/>
              <w:right w:val="single" w:sz="8" w:space="0" w:color="auto"/>
            </w:tcBorders>
            <w:vAlign w:val="center"/>
            <w:hideMark/>
          </w:tcPr>
          <w:p w14:paraId="45648CB9" w14:textId="65073002" w:rsidR="00835F2E" w:rsidRPr="00D479B3" w:rsidRDefault="005D5CB2" w:rsidP="00835F2E">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 xml:space="preserve">54, </w:t>
            </w:r>
            <w:r w:rsidR="00D607EB" w:rsidRPr="00D479B3">
              <w:rPr>
                <w:rFonts w:ascii="Calibri" w:eastAsia="Times New Roman" w:hAnsi="Calibri" w:cs="Calibri"/>
                <w:color w:val="A02B93" w:themeColor="accent5"/>
                <w:kern w:val="0"/>
                <w:sz w:val="18"/>
                <w:szCs w:val="18"/>
                <w:lang w:eastAsia="en-AU"/>
                <w14:ligatures w14:val="none"/>
              </w:rPr>
              <w:t>51</w:t>
            </w:r>
            <w:r w:rsidR="00D607EB" w:rsidRPr="00D479B3">
              <w:rPr>
                <w:rFonts w:ascii="Calibri" w:eastAsia="Times New Roman" w:hAnsi="Calibri" w:cs="Calibri"/>
                <w:i/>
                <w:iCs/>
                <w:color w:val="A02B93" w:themeColor="accent5"/>
                <w:kern w:val="0"/>
                <w:sz w:val="18"/>
                <w:szCs w:val="18"/>
                <w:lang w:eastAsia="en-AU"/>
                <w14:ligatures w14:val="none"/>
              </w:rPr>
              <w:t xml:space="preserve"> </w:t>
            </w:r>
            <w:r w:rsidR="007C1549" w:rsidRPr="00D479B3">
              <w:rPr>
                <w:rFonts w:ascii="Calibri" w:eastAsia="Times New Roman" w:hAnsi="Calibri" w:cs="Calibri"/>
                <w:i/>
                <w:iCs/>
                <w:color w:val="000000"/>
                <w:kern w:val="0"/>
                <w:sz w:val="18"/>
                <w:szCs w:val="18"/>
                <w:lang w:eastAsia="en-AU"/>
                <w14:ligatures w14:val="none"/>
              </w:rPr>
              <w:t>(</w:t>
            </w:r>
            <w:r w:rsidR="00835F2E" w:rsidRPr="00D479B3">
              <w:rPr>
                <w:rFonts w:ascii="Calibri" w:eastAsia="Times New Roman" w:hAnsi="Calibri" w:cs="Calibri"/>
                <w:i/>
                <w:iCs/>
                <w:color w:val="000000"/>
                <w:kern w:val="0"/>
                <w:sz w:val="18"/>
                <w:szCs w:val="18"/>
                <w:lang w:eastAsia="en-AU"/>
                <w14:ligatures w14:val="none"/>
              </w:rPr>
              <w:t>5</w:t>
            </w:r>
            <w:r w:rsidR="004D2DA9" w:rsidRPr="00D479B3">
              <w:rPr>
                <w:rFonts w:ascii="Calibri" w:eastAsia="Times New Roman" w:hAnsi="Calibri" w:cs="Calibri"/>
                <w:i/>
                <w:iCs/>
                <w:color w:val="000000"/>
                <w:kern w:val="0"/>
                <w:sz w:val="18"/>
                <w:szCs w:val="18"/>
                <w:lang w:eastAsia="en-AU"/>
                <w14:ligatures w14:val="none"/>
              </w:rPr>
              <w:t>3</w:t>
            </w:r>
            <w:r w:rsidR="007C1549" w:rsidRPr="00D479B3">
              <w:rPr>
                <w:rFonts w:ascii="Calibri" w:eastAsia="Times New Roman" w:hAnsi="Calibri" w:cs="Calibri"/>
                <w:i/>
                <w:iCs/>
                <w:color w:val="000000"/>
                <w:kern w:val="0"/>
                <w:sz w:val="18"/>
                <w:szCs w:val="18"/>
                <w:lang w:eastAsia="en-AU"/>
                <w14:ligatures w14:val="none"/>
              </w:rPr>
              <w:t>)</w:t>
            </w:r>
          </w:p>
        </w:tc>
        <w:tc>
          <w:tcPr>
            <w:tcW w:w="509" w:type="pct"/>
            <w:tcBorders>
              <w:top w:val="nil"/>
              <w:left w:val="nil"/>
              <w:bottom w:val="dotted" w:sz="4" w:space="0" w:color="auto"/>
              <w:right w:val="dotted" w:sz="4" w:space="0" w:color="auto"/>
            </w:tcBorders>
            <w:vAlign w:val="center"/>
            <w:hideMark/>
          </w:tcPr>
          <w:p w14:paraId="3D7770C5" w14:textId="4F369C65" w:rsidR="00835F2E" w:rsidRPr="00D479B3" w:rsidRDefault="0059660D" w:rsidP="00835F2E">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81</w:t>
            </w:r>
            <w:r w:rsidR="00471B7F" w:rsidRPr="00D479B3">
              <w:rPr>
                <w:rFonts w:ascii="Calibri" w:eastAsia="Times New Roman" w:hAnsi="Calibri" w:cs="Calibri"/>
                <w:color w:val="0B769F" w:themeColor="accent4" w:themeShade="BF"/>
                <w:kern w:val="0"/>
                <w:sz w:val="18"/>
                <w:szCs w:val="18"/>
                <w:lang w:eastAsia="en-AU"/>
                <w14:ligatures w14:val="none"/>
              </w:rPr>
              <w:t>,</w:t>
            </w:r>
            <w:r w:rsidRPr="00D479B3">
              <w:rPr>
                <w:rFonts w:ascii="Calibri" w:eastAsia="Times New Roman" w:hAnsi="Calibri" w:cs="Calibri"/>
                <w:color w:val="A02B93" w:themeColor="accent5"/>
                <w:kern w:val="0"/>
                <w:sz w:val="18"/>
                <w:szCs w:val="18"/>
                <w:lang w:eastAsia="en-AU"/>
                <w14:ligatures w14:val="none"/>
              </w:rPr>
              <w:t xml:space="preserve"> </w:t>
            </w:r>
            <w:r w:rsidR="007C2C71" w:rsidRPr="00D479B3">
              <w:rPr>
                <w:rFonts w:ascii="Calibri" w:eastAsia="Times New Roman" w:hAnsi="Calibri" w:cs="Calibri"/>
                <w:color w:val="A02B93" w:themeColor="accent5"/>
                <w:kern w:val="0"/>
                <w:sz w:val="18"/>
                <w:szCs w:val="18"/>
                <w:lang w:eastAsia="en-AU"/>
                <w14:ligatures w14:val="none"/>
              </w:rPr>
              <w:t>46</w:t>
            </w:r>
            <w:r w:rsidR="007C2C71" w:rsidRPr="00D479B3">
              <w:rPr>
                <w:rFonts w:ascii="Calibri" w:eastAsia="Times New Roman" w:hAnsi="Calibri" w:cs="Calibri"/>
                <w:i/>
                <w:iCs/>
                <w:color w:val="000000"/>
                <w:kern w:val="0"/>
                <w:sz w:val="18"/>
                <w:szCs w:val="18"/>
                <w:lang w:eastAsia="en-AU"/>
                <w14:ligatures w14:val="none"/>
              </w:rPr>
              <w:t xml:space="preserve"> </w:t>
            </w:r>
            <w:r w:rsidR="007C1549" w:rsidRPr="00D479B3">
              <w:rPr>
                <w:rFonts w:ascii="Calibri" w:eastAsia="Times New Roman" w:hAnsi="Calibri" w:cs="Calibri"/>
                <w:i/>
                <w:iCs/>
                <w:color w:val="000000"/>
                <w:kern w:val="0"/>
                <w:sz w:val="18"/>
                <w:szCs w:val="18"/>
                <w:lang w:eastAsia="en-AU"/>
                <w14:ligatures w14:val="none"/>
              </w:rPr>
              <w:t>(</w:t>
            </w:r>
            <w:r w:rsidR="00835F2E" w:rsidRPr="00D479B3">
              <w:rPr>
                <w:rFonts w:ascii="Calibri" w:eastAsia="Times New Roman" w:hAnsi="Calibri" w:cs="Calibri"/>
                <w:i/>
                <w:iCs/>
                <w:color w:val="000000"/>
                <w:kern w:val="0"/>
                <w:sz w:val="18"/>
                <w:szCs w:val="18"/>
                <w:lang w:eastAsia="en-AU"/>
                <w14:ligatures w14:val="none"/>
              </w:rPr>
              <w:t>63</w:t>
            </w:r>
            <w:r w:rsidR="007C1549" w:rsidRPr="00D479B3">
              <w:rPr>
                <w:rFonts w:ascii="Calibri" w:eastAsia="Times New Roman" w:hAnsi="Calibri" w:cs="Calibri"/>
                <w:i/>
                <w:iCs/>
                <w:color w:val="000000"/>
                <w:kern w:val="0"/>
                <w:sz w:val="18"/>
                <w:szCs w:val="18"/>
                <w:lang w:eastAsia="en-AU"/>
                <w14:ligatures w14:val="none"/>
              </w:rPr>
              <w:t>)</w:t>
            </w:r>
          </w:p>
        </w:tc>
        <w:tc>
          <w:tcPr>
            <w:tcW w:w="457" w:type="pct"/>
            <w:tcBorders>
              <w:top w:val="nil"/>
              <w:left w:val="nil"/>
              <w:bottom w:val="dotted" w:sz="4" w:space="0" w:color="auto"/>
              <w:right w:val="single" w:sz="8" w:space="0" w:color="auto"/>
            </w:tcBorders>
            <w:vAlign w:val="center"/>
            <w:hideMark/>
          </w:tcPr>
          <w:p w14:paraId="2A2E0E0F" w14:textId="0A145200" w:rsidR="00835F2E" w:rsidRPr="00D479B3" w:rsidRDefault="00471B7F" w:rsidP="00835F2E">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91,</w:t>
            </w:r>
            <w:r w:rsidRPr="00D479B3">
              <w:rPr>
                <w:rFonts w:ascii="Calibri" w:eastAsia="Times New Roman" w:hAnsi="Calibri" w:cs="Calibri"/>
                <w:color w:val="A02B93" w:themeColor="accent5"/>
                <w:kern w:val="0"/>
                <w:sz w:val="18"/>
                <w:szCs w:val="18"/>
                <w:lang w:eastAsia="en-AU"/>
                <w14:ligatures w14:val="none"/>
              </w:rPr>
              <w:t xml:space="preserve"> </w:t>
            </w:r>
            <w:r w:rsidR="00F7098B" w:rsidRPr="00D479B3">
              <w:rPr>
                <w:rFonts w:ascii="Calibri" w:eastAsia="Times New Roman" w:hAnsi="Calibri" w:cs="Calibri"/>
                <w:color w:val="A02B93" w:themeColor="accent5"/>
                <w:kern w:val="0"/>
                <w:sz w:val="18"/>
                <w:szCs w:val="18"/>
                <w:lang w:eastAsia="en-AU"/>
                <w14:ligatures w14:val="none"/>
              </w:rPr>
              <w:t xml:space="preserve">59 </w:t>
            </w:r>
            <w:r w:rsidR="007C1549" w:rsidRPr="00D479B3">
              <w:rPr>
                <w:rFonts w:ascii="Calibri" w:eastAsia="Times New Roman" w:hAnsi="Calibri" w:cs="Calibri"/>
                <w:i/>
                <w:iCs/>
                <w:color w:val="000000"/>
                <w:kern w:val="0"/>
                <w:sz w:val="18"/>
                <w:szCs w:val="18"/>
                <w:lang w:eastAsia="en-AU"/>
                <w14:ligatures w14:val="none"/>
              </w:rPr>
              <w:t>(</w:t>
            </w:r>
            <w:r w:rsidR="00835F2E" w:rsidRPr="00D479B3">
              <w:rPr>
                <w:rFonts w:ascii="Calibri" w:eastAsia="Times New Roman" w:hAnsi="Calibri" w:cs="Calibri"/>
                <w:i/>
                <w:iCs/>
                <w:color w:val="000000"/>
                <w:kern w:val="0"/>
                <w:sz w:val="18"/>
                <w:szCs w:val="18"/>
                <w:lang w:eastAsia="en-AU"/>
                <w14:ligatures w14:val="none"/>
              </w:rPr>
              <w:t>75</w:t>
            </w:r>
            <w:r w:rsidR="007C1549" w:rsidRPr="00D479B3">
              <w:rPr>
                <w:rFonts w:ascii="Calibri" w:eastAsia="Times New Roman" w:hAnsi="Calibri" w:cs="Calibri"/>
                <w:i/>
                <w:iCs/>
                <w:color w:val="000000"/>
                <w:kern w:val="0"/>
                <w:sz w:val="18"/>
                <w:szCs w:val="18"/>
                <w:lang w:eastAsia="en-AU"/>
                <w14:ligatures w14:val="none"/>
              </w:rPr>
              <w:t>)</w:t>
            </w:r>
          </w:p>
        </w:tc>
        <w:tc>
          <w:tcPr>
            <w:tcW w:w="509" w:type="pct"/>
            <w:tcBorders>
              <w:top w:val="nil"/>
              <w:left w:val="nil"/>
              <w:bottom w:val="dotted" w:sz="4" w:space="0" w:color="auto"/>
              <w:right w:val="dotted" w:sz="4" w:space="0" w:color="auto"/>
            </w:tcBorders>
            <w:vAlign w:val="center"/>
            <w:hideMark/>
          </w:tcPr>
          <w:p w14:paraId="43DE1CC8" w14:textId="46029020" w:rsidR="00835F2E" w:rsidRPr="00D479B3" w:rsidRDefault="00123542" w:rsidP="00835F2E">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85,</w:t>
            </w:r>
            <w:r w:rsidRPr="00D479B3">
              <w:rPr>
                <w:rFonts w:ascii="Calibri" w:eastAsia="Times New Roman" w:hAnsi="Calibri" w:cs="Calibri"/>
                <w:color w:val="A02B93" w:themeColor="accent5"/>
                <w:kern w:val="0"/>
                <w:sz w:val="18"/>
                <w:szCs w:val="18"/>
                <w:lang w:eastAsia="en-AU"/>
                <w14:ligatures w14:val="none"/>
              </w:rPr>
              <w:t xml:space="preserve"> </w:t>
            </w:r>
            <w:r w:rsidR="000E05DB" w:rsidRPr="00D479B3">
              <w:rPr>
                <w:rFonts w:ascii="Calibri" w:eastAsia="Times New Roman" w:hAnsi="Calibri" w:cs="Calibri"/>
                <w:color w:val="A02B93" w:themeColor="accent5"/>
                <w:kern w:val="0"/>
                <w:sz w:val="18"/>
                <w:szCs w:val="18"/>
                <w:lang w:eastAsia="en-AU"/>
                <w14:ligatures w14:val="none"/>
              </w:rPr>
              <w:t>58</w:t>
            </w:r>
            <w:r w:rsidR="000E05DB" w:rsidRPr="00D479B3">
              <w:rPr>
                <w:rFonts w:ascii="Calibri" w:eastAsia="Times New Roman" w:hAnsi="Calibri" w:cs="Calibri"/>
                <w:i/>
                <w:iCs/>
                <w:color w:val="000000"/>
                <w:kern w:val="0"/>
                <w:sz w:val="18"/>
                <w:szCs w:val="18"/>
                <w:lang w:eastAsia="en-AU"/>
                <w14:ligatures w14:val="none"/>
              </w:rPr>
              <w:t xml:space="preserve"> </w:t>
            </w:r>
            <w:r w:rsidR="007C1549" w:rsidRPr="00D479B3">
              <w:rPr>
                <w:rFonts w:ascii="Calibri" w:eastAsia="Times New Roman" w:hAnsi="Calibri" w:cs="Calibri"/>
                <w:i/>
                <w:iCs/>
                <w:color w:val="000000"/>
                <w:kern w:val="0"/>
                <w:sz w:val="18"/>
                <w:szCs w:val="18"/>
                <w:lang w:eastAsia="en-AU"/>
                <w14:ligatures w14:val="none"/>
              </w:rPr>
              <w:t>(</w:t>
            </w:r>
            <w:r w:rsidR="00835F2E" w:rsidRPr="00D479B3">
              <w:rPr>
                <w:rFonts w:ascii="Calibri" w:eastAsia="Times New Roman" w:hAnsi="Calibri" w:cs="Calibri"/>
                <w:i/>
                <w:iCs/>
                <w:color w:val="000000"/>
                <w:kern w:val="0"/>
                <w:sz w:val="18"/>
                <w:szCs w:val="18"/>
                <w:lang w:eastAsia="en-AU"/>
                <w14:ligatures w14:val="none"/>
              </w:rPr>
              <w:t>71</w:t>
            </w:r>
            <w:r w:rsidR="007C1549" w:rsidRPr="00D479B3">
              <w:rPr>
                <w:rFonts w:ascii="Calibri" w:eastAsia="Times New Roman" w:hAnsi="Calibri" w:cs="Calibri"/>
                <w:i/>
                <w:iCs/>
                <w:color w:val="000000"/>
                <w:kern w:val="0"/>
                <w:sz w:val="18"/>
                <w:szCs w:val="18"/>
                <w:lang w:eastAsia="en-AU"/>
                <w14:ligatures w14:val="none"/>
              </w:rPr>
              <w:t>)</w:t>
            </w:r>
          </w:p>
        </w:tc>
        <w:tc>
          <w:tcPr>
            <w:tcW w:w="508" w:type="pct"/>
            <w:tcBorders>
              <w:top w:val="nil"/>
              <w:left w:val="nil"/>
              <w:bottom w:val="dotted" w:sz="4" w:space="0" w:color="auto"/>
              <w:right w:val="dotted" w:sz="4" w:space="0" w:color="auto"/>
            </w:tcBorders>
            <w:vAlign w:val="center"/>
            <w:hideMark/>
          </w:tcPr>
          <w:p w14:paraId="3B02FB80" w14:textId="618A1D1E" w:rsidR="00835F2E" w:rsidRPr="00D479B3" w:rsidRDefault="004B3332" w:rsidP="00835F2E">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102,</w:t>
            </w:r>
            <w:r w:rsidRPr="00D479B3">
              <w:rPr>
                <w:rFonts w:ascii="Calibri" w:eastAsia="Times New Roman" w:hAnsi="Calibri" w:cs="Calibri"/>
                <w:color w:val="A02B93" w:themeColor="accent5"/>
                <w:kern w:val="0"/>
                <w:sz w:val="18"/>
                <w:szCs w:val="18"/>
                <w:lang w:eastAsia="en-AU"/>
                <w14:ligatures w14:val="none"/>
              </w:rPr>
              <w:t xml:space="preserve"> </w:t>
            </w:r>
            <w:r w:rsidR="00442167" w:rsidRPr="00D479B3">
              <w:rPr>
                <w:rFonts w:ascii="Calibri" w:eastAsia="Times New Roman" w:hAnsi="Calibri" w:cs="Calibri"/>
                <w:color w:val="A02B93" w:themeColor="accent5"/>
                <w:kern w:val="0"/>
                <w:sz w:val="18"/>
                <w:szCs w:val="18"/>
                <w:lang w:eastAsia="en-AU"/>
                <w14:ligatures w14:val="none"/>
              </w:rPr>
              <w:t>74</w:t>
            </w:r>
            <w:r w:rsidR="00353E04" w:rsidRPr="00D479B3">
              <w:rPr>
                <w:rFonts w:ascii="Calibri" w:eastAsia="Times New Roman" w:hAnsi="Calibri" w:cs="Calibri"/>
                <w:i/>
                <w:iCs/>
                <w:color w:val="000000"/>
                <w:kern w:val="0"/>
                <w:sz w:val="18"/>
                <w:szCs w:val="18"/>
                <w:lang w:eastAsia="en-AU"/>
                <w14:ligatures w14:val="none"/>
              </w:rPr>
              <w:t xml:space="preserve"> </w:t>
            </w:r>
            <w:r w:rsidR="007C1549" w:rsidRPr="00D479B3">
              <w:rPr>
                <w:rFonts w:ascii="Calibri" w:eastAsia="Times New Roman" w:hAnsi="Calibri" w:cs="Calibri"/>
                <w:i/>
                <w:iCs/>
                <w:color w:val="000000"/>
                <w:kern w:val="0"/>
                <w:sz w:val="18"/>
                <w:szCs w:val="18"/>
                <w:lang w:eastAsia="en-AU"/>
                <w14:ligatures w14:val="none"/>
              </w:rPr>
              <w:t>(</w:t>
            </w:r>
            <w:r w:rsidR="00835F2E" w:rsidRPr="00D479B3">
              <w:rPr>
                <w:rFonts w:ascii="Calibri" w:eastAsia="Times New Roman" w:hAnsi="Calibri" w:cs="Calibri"/>
                <w:i/>
                <w:iCs/>
                <w:color w:val="000000"/>
                <w:kern w:val="0"/>
                <w:sz w:val="18"/>
                <w:szCs w:val="18"/>
                <w:lang w:eastAsia="en-AU"/>
                <w14:ligatures w14:val="none"/>
              </w:rPr>
              <w:t>8</w:t>
            </w:r>
            <w:r w:rsidR="004D2DA9" w:rsidRPr="00D479B3">
              <w:rPr>
                <w:rFonts w:ascii="Calibri" w:eastAsia="Times New Roman" w:hAnsi="Calibri" w:cs="Calibri"/>
                <w:i/>
                <w:iCs/>
                <w:color w:val="000000"/>
                <w:kern w:val="0"/>
                <w:sz w:val="18"/>
                <w:szCs w:val="18"/>
                <w:lang w:eastAsia="en-AU"/>
                <w14:ligatures w14:val="none"/>
              </w:rPr>
              <w:t>8</w:t>
            </w:r>
            <w:r w:rsidR="007C1549" w:rsidRPr="00D479B3">
              <w:rPr>
                <w:rFonts w:ascii="Calibri" w:eastAsia="Times New Roman" w:hAnsi="Calibri" w:cs="Calibri"/>
                <w:i/>
                <w:iCs/>
                <w:color w:val="000000"/>
                <w:kern w:val="0"/>
                <w:sz w:val="18"/>
                <w:szCs w:val="18"/>
                <w:lang w:eastAsia="en-AU"/>
                <w14:ligatures w14:val="none"/>
              </w:rPr>
              <w:t>)</w:t>
            </w:r>
          </w:p>
        </w:tc>
        <w:tc>
          <w:tcPr>
            <w:tcW w:w="458" w:type="pct"/>
            <w:tcBorders>
              <w:top w:val="nil"/>
              <w:left w:val="nil"/>
              <w:bottom w:val="dotted" w:sz="4" w:space="0" w:color="auto"/>
              <w:right w:val="dotted" w:sz="4" w:space="0" w:color="auto"/>
            </w:tcBorders>
            <w:vAlign w:val="center"/>
            <w:hideMark/>
          </w:tcPr>
          <w:p w14:paraId="7C7724FA" w14:textId="638873BD" w:rsidR="00835F2E" w:rsidRPr="00D479B3" w:rsidRDefault="0032693A" w:rsidP="00835F2E">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87,</w:t>
            </w:r>
            <w:r w:rsidRPr="00D479B3">
              <w:rPr>
                <w:rFonts w:ascii="Calibri" w:eastAsia="Times New Roman" w:hAnsi="Calibri" w:cs="Calibri"/>
                <w:color w:val="A02B93" w:themeColor="accent5"/>
                <w:kern w:val="0"/>
                <w:sz w:val="18"/>
                <w:szCs w:val="18"/>
                <w:lang w:eastAsia="en-AU"/>
                <w14:ligatures w14:val="none"/>
              </w:rPr>
              <w:t xml:space="preserve"> </w:t>
            </w:r>
            <w:r w:rsidR="002D31E6" w:rsidRPr="00D479B3">
              <w:rPr>
                <w:rFonts w:ascii="Calibri" w:eastAsia="Times New Roman" w:hAnsi="Calibri" w:cs="Calibri"/>
                <w:color w:val="A02B93" w:themeColor="accent5"/>
                <w:kern w:val="0"/>
                <w:sz w:val="18"/>
                <w:szCs w:val="18"/>
                <w:lang w:eastAsia="en-AU"/>
                <w14:ligatures w14:val="none"/>
              </w:rPr>
              <w:t>82</w:t>
            </w:r>
            <w:r w:rsidR="002D31E6" w:rsidRPr="00D479B3">
              <w:rPr>
                <w:rFonts w:ascii="Calibri" w:eastAsia="Times New Roman" w:hAnsi="Calibri" w:cs="Calibri"/>
                <w:i/>
                <w:iCs/>
                <w:color w:val="000000"/>
                <w:kern w:val="0"/>
                <w:sz w:val="18"/>
                <w:szCs w:val="18"/>
                <w:lang w:eastAsia="en-AU"/>
                <w14:ligatures w14:val="none"/>
              </w:rPr>
              <w:t xml:space="preserve"> </w:t>
            </w:r>
            <w:r w:rsidR="007C1549" w:rsidRPr="00D479B3">
              <w:rPr>
                <w:rFonts w:ascii="Calibri" w:eastAsia="Times New Roman" w:hAnsi="Calibri" w:cs="Calibri"/>
                <w:i/>
                <w:iCs/>
                <w:color w:val="000000"/>
                <w:kern w:val="0"/>
                <w:sz w:val="18"/>
                <w:szCs w:val="18"/>
                <w:lang w:eastAsia="en-AU"/>
                <w14:ligatures w14:val="none"/>
              </w:rPr>
              <w:t>(</w:t>
            </w:r>
            <w:r w:rsidR="00835F2E" w:rsidRPr="00D479B3">
              <w:rPr>
                <w:rFonts w:ascii="Calibri" w:eastAsia="Times New Roman" w:hAnsi="Calibri" w:cs="Calibri"/>
                <w:i/>
                <w:iCs/>
                <w:color w:val="000000"/>
                <w:kern w:val="0"/>
                <w:sz w:val="18"/>
                <w:szCs w:val="18"/>
                <w:lang w:eastAsia="en-AU"/>
                <w14:ligatures w14:val="none"/>
              </w:rPr>
              <w:t>85</w:t>
            </w:r>
            <w:r w:rsidR="007C1549" w:rsidRPr="00D479B3">
              <w:rPr>
                <w:rFonts w:ascii="Calibri" w:eastAsia="Times New Roman" w:hAnsi="Calibri" w:cs="Calibri"/>
                <w:i/>
                <w:iCs/>
                <w:color w:val="000000"/>
                <w:kern w:val="0"/>
                <w:sz w:val="18"/>
                <w:szCs w:val="18"/>
                <w:lang w:eastAsia="en-AU"/>
                <w14:ligatures w14:val="none"/>
              </w:rPr>
              <w:t>)</w:t>
            </w:r>
          </w:p>
        </w:tc>
        <w:tc>
          <w:tcPr>
            <w:tcW w:w="478" w:type="pct"/>
            <w:tcBorders>
              <w:top w:val="nil"/>
              <w:left w:val="nil"/>
              <w:bottom w:val="dotted" w:sz="4" w:space="0" w:color="auto"/>
              <w:right w:val="single" w:sz="8" w:space="0" w:color="auto"/>
            </w:tcBorders>
            <w:vAlign w:val="center"/>
            <w:hideMark/>
          </w:tcPr>
          <w:p w14:paraId="01D295F7" w14:textId="24A60890" w:rsidR="00835F2E" w:rsidRPr="00D479B3" w:rsidRDefault="009A25C2" w:rsidP="00835F2E">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87,</w:t>
            </w:r>
            <w:r w:rsidRPr="00D479B3">
              <w:rPr>
                <w:rFonts w:ascii="Calibri" w:eastAsia="Times New Roman" w:hAnsi="Calibri" w:cs="Calibri"/>
                <w:color w:val="A02B93" w:themeColor="accent5"/>
                <w:kern w:val="0"/>
                <w:sz w:val="18"/>
                <w:szCs w:val="18"/>
                <w:lang w:eastAsia="en-AU"/>
                <w14:ligatures w14:val="none"/>
              </w:rPr>
              <w:t xml:space="preserve"> </w:t>
            </w:r>
            <w:r w:rsidR="00CF3BB6" w:rsidRPr="00D479B3">
              <w:rPr>
                <w:rFonts w:ascii="Calibri" w:eastAsia="Times New Roman" w:hAnsi="Calibri" w:cs="Calibri"/>
                <w:color w:val="A02B93" w:themeColor="accent5"/>
                <w:kern w:val="0"/>
                <w:sz w:val="18"/>
                <w:szCs w:val="18"/>
                <w:lang w:eastAsia="en-AU"/>
                <w14:ligatures w14:val="none"/>
              </w:rPr>
              <w:t>58</w:t>
            </w:r>
            <w:r w:rsidR="00CF3BB6" w:rsidRPr="00D479B3">
              <w:rPr>
                <w:rFonts w:ascii="Calibri" w:eastAsia="Times New Roman" w:hAnsi="Calibri" w:cs="Calibri"/>
                <w:i/>
                <w:iCs/>
                <w:color w:val="000000"/>
                <w:kern w:val="0"/>
                <w:sz w:val="18"/>
                <w:szCs w:val="18"/>
                <w:lang w:eastAsia="en-AU"/>
                <w14:ligatures w14:val="none"/>
              </w:rPr>
              <w:t xml:space="preserve"> </w:t>
            </w:r>
            <w:r w:rsidR="007C1549" w:rsidRPr="00D479B3">
              <w:rPr>
                <w:rFonts w:ascii="Calibri" w:eastAsia="Times New Roman" w:hAnsi="Calibri" w:cs="Calibri"/>
                <w:i/>
                <w:iCs/>
                <w:color w:val="000000"/>
                <w:kern w:val="0"/>
                <w:sz w:val="18"/>
                <w:szCs w:val="18"/>
                <w:lang w:eastAsia="en-AU"/>
                <w14:ligatures w14:val="none"/>
              </w:rPr>
              <w:t>(</w:t>
            </w:r>
            <w:r w:rsidR="00835F2E" w:rsidRPr="00D479B3">
              <w:rPr>
                <w:rFonts w:ascii="Calibri" w:eastAsia="Times New Roman" w:hAnsi="Calibri" w:cs="Calibri"/>
                <w:i/>
                <w:iCs/>
                <w:color w:val="000000"/>
                <w:kern w:val="0"/>
                <w:sz w:val="18"/>
                <w:szCs w:val="18"/>
                <w:lang w:eastAsia="en-AU"/>
                <w14:ligatures w14:val="none"/>
              </w:rPr>
              <w:t>7</w:t>
            </w:r>
            <w:r w:rsidR="004D2DA9" w:rsidRPr="00D479B3">
              <w:rPr>
                <w:rFonts w:ascii="Calibri" w:eastAsia="Times New Roman" w:hAnsi="Calibri" w:cs="Calibri"/>
                <w:i/>
                <w:iCs/>
                <w:color w:val="000000"/>
                <w:kern w:val="0"/>
                <w:sz w:val="18"/>
                <w:szCs w:val="18"/>
                <w:lang w:eastAsia="en-AU"/>
                <w14:ligatures w14:val="none"/>
              </w:rPr>
              <w:t>3</w:t>
            </w:r>
            <w:r w:rsidR="007C1549" w:rsidRPr="00D479B3">
              <w:rPr>
                <w:rFonts w:ascii="Calibri" w:eastAsia="Times New Roman" w:hAnsi="Calibri" w:cs="Calibri"/>
                <w:i/>
                <w:iCs/>
                <w:color w:val="000000"/>
                <w:kern w:val="0"/>
                <w:sz w:val="18"/>
                <w:szCs w:val="18"/>
                <w:lang w:eastAsia="en-AU"/>
                <w14:ligatures w14:val="none"/>
              </w:rPr>
              <w:t>)</w:t>
            </w:r>
          </w:p>
        </w:tc>
      </w:tr>
      <w:tr w:rsidR="00774ED6" w:rsidRPr="00D633FF" w14:paraId="025913F5" w14:textId="77777777" w:rsidTr="00023D8D">
        <w:trPr>
          <w:trHeight w:val="381"/>
        </w:trPr>
        <w:tc>
          <w:tcPr>
            <w:tcW w:w="708" w:type="pct"/>
            <w:tcBorders>
              <w:top w:val="nil"/>
              <w:left w:val="single" w:sz="8" w:space="0" w:color="auto"/>
              <w:bottom w:val="nil"/>
              <w:right w:val="single" w:sz="8" w:space="0" w:color="auto"/>
            </w:tcBorders>
            <w:shd w:val="clear" w:color="auto" w:fill="C1F0C7" w:themeFill="accent3" w:themeFillTint="33"/>
            <w:vAlign w:val="center"/>
            <w:hideMark/>
          </w:tcPr>
          <w:p w14:paraId="706C667E" w14:textId="3C7F9129" w:rsidR="00835F2E" w:rsidRPr="00D479B3" w:rsidRDefault="00EA091F" w:rsidP="007A0490">
            <w:pPr>
              <w:spacing w:after="0" w:line="240" w:lineRule="auto"/>
              <w:jc w:val="right"/>
              <w:rPr>
                <w:rFonts w:ascii="Calibri" w:eastAsia="Times New Roman" w:hAnsi="Calibri" w:cs="Calibri"/>
                <w:color w:val="000000"/>
                <w:kern w:val="0"/>
                <w:sz w:val="18"/>
                <w:szCs w:val="18"/>
                <w:lang w:eastAsia="en-AU"/>
                <w14:ligatures w14:val="none"/>
              </w:rPr>
            </w:pPr>
            <w:r w:rsidRPr="00D479B3">
              <w:rPr>
                <w:rFonts w:ascii="Calibri" w:eastAsia="Times New Roman" w:hAnsi="Calibri" w:cs="Calibri"/>
                <w:color w:val="000000"/>
                <w:kern w:val="0"/>
                <w:sz w:val="18"/>
                <w:szCs w:val="18"/>
                <w:lang w:eastAsia="en-AU"/>
                <w14:ligatures w14:val="none"/>
              </w:rPr>
              <w:t>Māori</w:t>
            </w:r>
          </w:p>
        </w:tc>
        <w:tc>
          <w:tcPr>
            <w:tcW w:w="500" w:type="pct"/>
            <w:tcBorders>
              <w:top w:val="nil"/>
              <w:left w:val="nil"/>
              <w:bottom w:val="dotted" w:sz="4" w:space="0" w:color="auto"/>
              <w:right w:val="dotted" w:sz="4" w:space="0" w:color="auto"/>
            </w:tcBorders>
            <w:vAlign w:val="center"/>
            <w:hideMark/>
          </w:tcPr>
          <w:p w14:paraId="09A4E136" w14:textId="45CD5646" w:rsidR="00835F2E" w:rsidRPr="00D479B3" w:rsidRDefault="00835F2E" w:rsidP="00835F2E">
            <w:pPr>
              <w:spacing w:after="0" w:line="240" w:lineRule="auto"/>
              <w:jc w:val="center"/>
              <w:rPr>
                <w:rFonts w:ascii="Calibri" w:eastAsia="Times New Roman" w:hAnsi="Calibri" w:cs="Calibri"/>
                <w:b/>
                <w:bCs/>
                <w:i/>
                <w:iCs/>
                <w:color w:val="000000"/>
                <w:kern w:val="0"/>
                <w:sz w:val="18"/>
                <w:szCs w:val="18"/>
                <w:lang w:eastAsia="en-AU"/>
                <w14:ligatures w14:val="none"/>
              </w:rPr>
            </w:pPr>
            <w:r w:rsidRPr="00D479B3">
              <w:rPr>
                <w:rFonts w:ascii="Calibri" w:eastAsia="Times New Roman" w:hAnsi="Calibri" w:cs="Calibri"/>
                <w:b/>
                <w:bCs/>
                <w:i/>
                <w:iCs/>
                <w:color w:val="000000"/>
                <w:kern w:val="0"/>
                <w:sz w:val="18"/>
                <w:szCs w:val="18"/>
                <w:lang w:eastAsia="en-AU"/>
                <w14:ligatures w14:val="none"/>
              </w:rPr>
              <w:t>-</w:t>
            </w:r>
          </w:p>
        </w:tc>
        <w:tc>
          <w:tcPr>
            <w:tcW w:w="466" w:type="pct"/>
            <w:tcBorders>
              <w:top w:val="nil"/>
              <w:left w:val="nil"/>
              <w:bottom w:val="dotted" w:sz="4" w:space="0" w:color="auto"/>
              <w:right w:val="dotted" w:sz="4" w:space="0" w:color="auto"/>
            </w:tcBorders>
            <w:vAlign w:val="center"/>
            <w:hideMark/>
          </w:tcPr>
          <w:p w14:paraId="1560791C" w14:textId="7E929D68" w:rsidR="00835F2E" w:rsidRPr="00D479B3" w:rsidRDefault="002A6AB3" w:rsidP="00835F2E">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 xml:space="preserve">56, </w:t>
            </w:r>
            <w:r w:rsidR="00F446FC" w:rsidRPr="00D479B3">
              <w:rPr>
                <w:rFonts w:ascii="Calibri" w:eastAsia="Times New Roman" w:hAnsi="Calibri" w:cs="Calibri"/>
                <w:color w:val="A02B93" w:themeColor="accent5"/>
                <w:kern w:val="0"/>
                <w:sz w:val="18"/>
                <w:szCs w:val="18"/>
                <w:lang w:eastAsia="en-AU"/>
                <w14:ligatures w14:val="none"/>
              </w:rPr>
              <w:t>52</w:t>
            </w:r>
            <w:r w:rsidR="006B58BD" w:rsidRPr="00D479B3">
              <w:rPr>
                <w:rFonts w:ascii="Calibri" w:eastAsia="Times New Roman" w:hAnsi="Calibri" w:cs="Calibri"/>
                <w:color w:val="A02B93" w:themeColor="accent5"/>
                <w:kern w:val="0"/>
                <w:sz w:val="18"/>
                <w:szCs w:val="18"/>
                <w:lang w:eastAsia="en-AU"/>
                <w14:ligatures w14:val="none"/>
              </w:rPr>
              <w:t xml:space="preserve"> </w:t>
            </w:r>
            <w:r w:rsidR="007C1549" w:rsidRPr="00D479B3">
              <w:rPr>
                <w:rFonts w:ascii="Calibri" w:eastAsia="Times New Roman" w:hAnsi="Calibri" w:cs="Calibri"/>
                <w:i/>
                <w:iCs/>
                <w:color w:val="000000"/>
                <w:kern w:val="0"/>
                <w:sz w:val="18"/>
                <w:szCs w:val="18"/>
                <w:lang w:eastAsia="en-AU"/>
                <w14:ligatures w14:val="none"/>
              </w:rPr>
              <w:t>(</w:t>
            </w:r>
            <w:r w:rsidR="00835F2E" w:rsidRPr="00D479B3">
              <w:rPr>
                <w:rFonts w:ascii="Calibri" w:eastAsia="Times New Roman" w:hAnsi="Calibri" w:cs="Calibri"/>
                <w:i/>
                <w:iCs/>
                <w:color w:val="000000"/>
                <w:kern w:val="0"/>
                <w:sz w:val="18"/>
                <w:szCs w:val="18"/>
                <w:lang w:eastAsia="en-AU"/>
                <w14:ligatures w14:val="none"/>
              </w:rPr>
              <w:t>5</w:t>
            </w:r>
            <w:r w:rsidR="004D2DA9" w:rsidRPr="00D479B3">
              <w:rPr>
                <w:rFonts w:ascii="Calibri" w:eastAsia="Times New Roman" w:hAnsi="Calibri" w:cs="Calibri"/>
                <w:i/>
                <w:iCs/>
                <w:color w:val="000000"/>
                <w:kern w:val="0"/>
                <w:sz w:val="18"/>
                <w:szCs w:val="18"/>
                <w:lang w:eastAsia="en-AU"/>
                <w14:ligatures w14:val="none"/>
              </w:rPr>
              <w:t>4</w:t>
            </w:r>
            <w:r w:rsidR="007C1549" w:rsidRPr="00D479B3">
              <w:rPr>
                <w:rFonts w:ascii="Calibri" w:eastAsia="Times New Roman" w:hAnsi="Calibri" w:cs="Calibri"/>
                <w:i/>
                <w:iCs/>
                <w:color w:val="000000"/>
                <w:kern w:val="0"/>
                <w:sz w:val="18"/>
                <w:szCs w:val="18"/>
                <w:lang w:eastAsia="en-AU"/>
                <w14:ligatures w14:val="none"/>
              </w:rPr>
              <w:t>)</w:t>
            </w:r>
          </w:p>
        </w:tc>
        <w:tc>
          <w:tcPr>
            <w:tcW w:w="406" w:type="pct"/>
            <w:tcBorders>
              <w:top w:val="nil"/>
              <w:left w:val="nil"/>
              <w:bottom w:val="dotted" w:sz="4" w:space="0" w:color="auto"/>
              <w:right w:val="single" w:sz="8" w:space="0" w:color="auto"/>
            </w:tcBorders>
            <w:vAlign w:val="center"/>
            <w:hideMark/>
          </w:tcPr>
          <w:p w14:paraId="3112EC42" w14:textId="2F1656A1" w:rsidR="00835F2E" w:rsidRPr="00D479B3" w:rsidRDefault="005D5CB2" w:rsidP="00835F2E">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59,</w:t>
            </w:r>
            <w:r w:rsidRPr="00D479B3">
              <w:rPr>
                <w:rFonts w:ascii="Calibri" w:eastAsia="Times New Roman" w:hAnsi="Calibri" w:cs="Calibri"/>
                <w:color w:val="A02B93" w:themeColor="accent5"/>
                <w:kern w:val="0"/>
                <w:sz w:val="18"/>
                <w:szCs w:val="18"/>
                <w:lang w:eastAsia="en-AU"/>
                <w14:ligatures w14:val="none"/>
              </w:rPr>
              <w:t xml:space="preserve"> </w:t>
            </w:r>
            <w:r w:rsidR="007951F7" w:rsidRPr="00D479B3">
              <w:rPr>
                <w:rFonts w:ascii="Calibri" w:eastAsia="Times New Roman" w:hAnsi="Calibri" w:cs="Calibri"/>
                <w:color w:val="A02B93" w:themeColor="accent5"/>
                <w:kern w:val="0"/>
                <w:sz w:val="18"/>
                <w:szCs w:val="18"/>
                <w:lang w:eastAsia="en-AU"/>
                <w14:ligatures w14:val="none"/>
              </w:rPr>
              <w:t>53</w:t>
            </w:r>
            <w:r w:rsidR="007951F7" w:rsidRPr="00D479B3">
              <w:rPr>
                <w:rFonts w:ascii="Calibri" w:eastAsia="Times New Roman" w:hAnsi="Calibri" w:cs="Calibri"/>
                <w:i/>
                <w:iCs/>
                <w:color w:val="000000"/>
                <w:kern w:val="0"/>
                <w:sz w:val="18"/>
                <w:szCs w:val="18"/>
                <w:lang w:eastAsia="en-AU"/>
                <w14:ligatures w14:val="none"/>
              </w:rPr>
              <w:t xml:space="preserve"> </w:t>
            </w:r>
            <w:r w:rsidR="007C1549" w:rsidRPr="00D479B3">
              <w:rPr>
                <w:rFonts w:ascii="Calibri" w:eastAsia="Times New Roman" w:hAnsi="Calibri" w:cs="Calibri"/>
                <w:i/>
                <w:iCs/>
                <w:color w:val="000000"/>
                <w:kern w:val="0"/>
                <w:sz w:val="18"/>
                <w:szCs w:val="18"/>
                <w:lang w:eastAsia="en-AU"/>
                <w14:ligatures w14:val="none"/>
              </w:rPr>
              <w:t>(</w:t>
            </w:r>
            <w:r w:rsidR="00835F2E" w:rsidRPr="00D479B3">
              <w:rPr>
                <w:rFonts w:ascii="Calibri" w:eastAsia="Times New Roman" w:hAnsi="Calibri" w:cs="Calibri"/>
                <w:i/>
                <w:iCs/>
                <w:color w:val="000000"/>
                <w:kern w:val="0"/>
                <w:sz w:val="18"/>
                <w:szCs w:val="18"/>
                <w:lang w:eastAsia="en-AU"/>
                <w14:ligatures w14:val="none"/>
              </w:rPr>
              <w:t>5</w:t>
            </w:r>
            <w:r w:rsidR="004D2DA9" w:rsidRPr="00D479B3">
              <w:rPr>
                <w:rFonts w:ascii="Calibri" w:eastAsia="Times New Roman" w:hAnsi="Calibri" w:cs="Calibri"/>
                <w:i/>
                <w:iCs/>
                <w:color w:val="000000"/>
                <w:kern w:val="0"/>
                <w:sz w:val="18"/>
                <w:szCs w:val="18"/>
                <w:lang w:eastAsia="en-AU"/>
                <w14:ligatures w14:val="none"/>
              </w:rPr>
              <w:t>6</w:t>
            </w:r>
            <w:r w:rsidR="007C1549" w:rsidRPr="00D479B3">
              <w:rPr>
                <w:rFonts w:ascii="Calibri" w:eastAsia="Times New Roman" w:hAnsi="Calibri" w:cs="Calibri"/>
                <w:i/>
                <w:iCs/>
                <w:color w:val="000000"/>
                <w:kern w:val="0"/>
                <w:sz w:val="18"/>
                <w:szCs w:val="18"/>
                <w:lang w:eastAsia="en-AU"/>
                <w14:ligatures w14:val="none"/>
              </w:rPr>
              <w:t>)</w:t>
            </w:r>
          </w:p>
        </w:tc>
        <w:tc>
          <w:tcPr>
            <w:tcW w:w="509" w:type="pct"/>
            <w:tcBorders>
              <w:top w:val="nil"/>
              <w:left w:val="nil"/>
              <w:bottom w:val="dotted" w:sz="4" w:space="0" w:color="auto"/>
              <w:right w:val="dotted" w:sz="4" w:space="0" w:color="auto"/>
            </w:tcBorders>
            <w:vAlign w:val="center"/>
            <w:hideMark/>
          </w:tcPr>
          <w:p w14:paraId="3DFE6596" w14:textId="5B8F55DD" w:rsidR="00835F2E" w:rsidRPr="00D479B3" w:rsidRDefault="0059660D" w:rsidP="00835F2E">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86,</w:t>
            </w:r>
            <w:r w:rsidRPr="00D479B3">
              <w:rPr>
                <w:rFonts w:ascii="Calibri" w:eastAsia="Times New Roman" w:hAnsi="Calibri" w:cs="Calibri"/>
                <w:color w:val="A02B93" w:themeColor="accent5"/>
                <w:kern w:val="0"/>
                <w:sz w:val="18"/>
                <w:szCs w:val="18"/>
                <w:lang w:eastAsia="en-AU"/>
                <w14:ligatures w14:val="none"/>
              </w:rPr>
              <w:t xml:space="preserve"> </w:t>
            </w:r>
            <w:r w:rsidR="00F7098B" w:rsidRPr="00D479B3">
              <w:rPr>
                <w:rFonts w:ascii="Calibri" w:eastAsia="Times New Roman" w:hAnsi="Calibri" w:cs="Calibri"/>
                <w:color w:val="A02B93" w:themeColor="accent5"/>
                <w:kern w:val="0"/>
                <w:sz w:val="18"/>
                <w:szCs w:val="18"/>
                <w:lang w:eastAsia="en-AU"/>
                <w14:ligatures w14:val="none"/>
              </w:rPr>
              <w:t xml:space="preserve">60 </w:t>
            </w:r>
            <w:r w:rsidR="007C1549" w:rsidRPr="00D479B3">
              <w:rPr>
                <w:rFonts w:ascii="Calibri" w:eastAsia="Times New Roman" w:hAnsi="Calibri" w:cs="Calibri"/>
                <w:i/>
                <w:iCs/>
                <w:color w:val="000000"/>
                <w:kern w:val="0"/>
                <w:sz w:val="18"/>
                <w:szCs w:val="18"/>
                <w:lang w:eastAsia="en-AU"/>
                <w14:ligatures w14:val="none"/>
              </w:rPr>
              <w:t>(</w:t>
            </w:r>
            <w:r w:rsidR="00835F2E" w:rsidRPr="00D479B3">
              <w:rPr>
                <w:rFonts w:ascii="Calibri" w:eastAsia="Times New Roman" w:hAnsi="Calibri" w:cs="Calibri"/>
                <w:i/>
                <w:iCs/>
                <w:color w:val="000000"/>
                <w:kern w:val="0"/>
                <w:sz w:val="18"/>
                <w:szCs w:val="18"/>
                <w:lang w:eastAsia="en-AU"/>
                <w14:ligatures w14:val="none"/>
              </w:rPr>
              <w:t>73</w:t>
            </w:r>
            <w:r w:rsidR="007C1549" w:rsidRPr="00D479B3">
              <w:rPr>
                <w:rFonts w:ascii="Calibri" w:eastAsia="Times New Roman" w:hAnsi="Calibri" w:cs="Calibri"/>
                <w:i/>
                <w:iCs/>
                <w:color w:val="000000"/>
                <w:kern w:val="0"/>
                <w:sz w:val="18"/>
                <w:szCs w:val="18"/>
                <w:lang w:eastAsia="en-AU"/>
                <w14:ligatures w14:val="none"/>
              </w:rPr>
              <w:t>)</w:t>
            </w:r>
          </w:p>
        </w:tc>
        <w:tc>
          <w:tcPr>
            <w:tcW w:w="457" w:type="pct"/>
            <w:tcBorders>
              <w:top w:val="nil"/>
              <w:left w:val="nil"/>
              <w:bottom w:val="dotted" w:sz="4" w:space="0" w:color="auto"/>
              <w:right w:val="single" w:sz="8" w:space="0" w:color="auto"/>
            </w:tcBorders>
            <w:vAlign w:val="center"/>
            <w:hideMark/>
          </w:tcPr>
          <w:p w14:paraId="638BFB84" w14:textId="1A418167" w:rsidR="00835F2E" w:rsidRPr="00D479B3" w:rsidRDefault="00471B7F" w:rsidP="00835F2E">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99,</w:t>
            </w:r>
            <w:r w:rsidRPr="00D479B3">
              <w:rPr>
                <w:rFonts w:ascii="Calibri" w:eastAsia="Times New Roman" w:hAnsi="Calibri" w:cs="Calibri"/>
                <w:color w:val="A02B93" w:themeColor="accent5"/>
                <w:kern w:val="0"/>
                <w:sz w:val="18"/>
                <w:szCs w:val="18"/>
                <w:lang w:eastAsia="en-AU"/>
                <w14:ligatures w14:val="none"/>
              </w:rPr>
              <w:t xml:space="preserve"> </w:t>
            </w:r>
            <w:r w:rsidR="00F7098B" w:rsidRPr="00D479B3">
              <w:rPr>
                <w:rFonts w:ascii="Calibri" w:eastAsia="Times New Roman" w:hAnsi="Calibri" w:cs="Calibri"/>
                <w:color w:val="A02B93" w:themeColor="accent5"/>
                <w:kern w:val="0"/>
                <w:sz w:val="18"/>
                <w:szCs w:val="18"/>
                <w:lang w:eastAsia="en-AU"/>
                <w14:ligatures w14:val="none"/>
              </w:rPr>
              <w:t>70</w:t>
            </w:r>
            <w:r w:rsidR="00F7098B" w:rsidRPr="00D479B3">
              <w:rPr>
                <w:rFonts w:ascii="Calibri" w:eastAsia="Times New Roman" w:hAnsi="Calibri" w:cs="Calibri"/>
                <w:i/>
                <w:iCs/>
                <w:color w:val="000000"/>
                <w:kern w:val="0"/>
                <w:sz w:val="18"/>
                <w:szCs w:val="18"/>
                <w:lang w:eastAsia="en-AU"/>
                <w14:ligatures w14:val="none"/>
              </w:rPr>
              <w:t xml:space="preserve"> </w:t>
            </w:r>
            <w:r w:rsidR="007C1549" w:rsidRPr="00D479B3">
              <w:rPr>
                <w:rFonts w:ascii="Calibri" w:eastAsia="Times New Roman" w:hAnsi="Calibri" w:cs="Calibri"/>
                <w:i/>
                <w:iCs/>
                <w:color w:val="000000"/>
                <w:kern w:val="0"/>
                <w:sz w:val="18"/>
                <w:szCs w:val="18"/>
                <w:lang w:eastAsia="en-AU"/>
                <w14:ligatures w14:val="none"/>
              </w:rPr>
              <w:t>(</w:t>
            </w:r>
            <w:r w:rsidR="00835F2E" w:rsidRPr="00D479B3">
              <w:rPr>
                <w:rFonts w:ascii="Calibri" w:eastAsia="Times New Roman" w:hAnsi="Calibri" w:cs="Calibri"/>
                <w:i/>
                <w:iCs/>
                <w:color w:val="000000"/>
                <w:kern w:val="0"/>
                <w:sz w:val="18"/>
                <w:szCs w:val="18"/>
                <w:lang w:eastAsia="en-AU"/>
                <w14:ligatures w14:val="none"/>
              </w:rPr>
              <w:t>8</w:t>
            </w:r>
            <w:r w:rsidR="004D2DA9" w:rsidRPr="00D479B3">
              <w:rPr>
                <w:rFonts w:ascii="Calibri" w:eastAsia="Times New Roman" w:hAnsi="Calibri" w:cs="Calibri"/>
                <w:i/>
                <w:iCs/>
                <w:color w:val="000000"/>
                <w:kern w:val="0"/>
                <w:sz w:val="18"/>
                <w:szCs w:val="18"/>
                <w:lang w:eastAsia="en-AU"/>
                <w14:ligatures w14:val="none"/>
              </w:rPr>
              <w:t>5</w:t>
            </w:r>
            <w:r w:rsidR="007C1549" w:rsidRPr="00D479B3">
              <w:rPr>
                <w:rFonts w:ascii="Calibri" w:eastAsia="Times New Roman" w:hAnsi="Calibri" w:cs="Calibri"/>
                <w:i/>
                <w:iCs/>
                <w:color w:val="000000"/>
                <w:kern w:val="0"/>
                <w:sz w:val="18"/>
                <w:szCs w:val="18"/>
                <w:lang w:eastAsia="en-AU"/>
                <w14:ligatures w14:val="none"/>
              </w:rPr>
              <w:t>)</w:t>
            </w:r>
          </w:p>
        </w:tc>
        <w:tc>
          <w:tcPr>
            <w:tcW w:w="509" w:type="pct"/>
            <w:tcBorders>
              <w:top w:val="nil"/>
              <w:left w:val="nil"/>
              <w:bottom w:val="dotted" w:sz="4" w:space="0" w:color="auto"/>
              <w:right w:val="dotted" w:sz="4" w:space="0" w:color="auto"/>
            </w:tcBorders>
            <w:vAlign w:val="center"/>
            <w:hideMark/>
          </w:tcPr>
          <w:p w14:paraId="0C3CD07F" w14:textId="3800C14E" w:rsidR="00835F2E" w:rsidRPr="00D479B3" w:rsidRDefault="00123542" w:rsidP="00835F2E">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120,</w:t>
            </w:r>
            <w:r w:rsidRPr="00D479B3">
              <w:rPr>
                <w:rFonts w:ascii="Calibri" w:eastAsia="Times New Roman" w:hAnsi="Calibri" w:cs="Calibri"/>
                <w:color w:val="A02B93" w:themeColor="accent5"/>
                <w:kern w:val="0"/>
                <w:sz w:val="18"/>
                <w:szCs w:val="18"/>
                <w:lang w:eastAsia="en-AU"/>
                <w14:ligatures w14:val="none"/>
              </w:rPr>
              <w:t xml:space="preserve"> </w:t>
            </w:r>
            <w:r w:rsidR="000E05DB" w:rsidRPr="00D479B3">
              <w:rPr>
                <w:rFonts w:ascii="Calibri" w:eastAsia="Times New Roman" w:hAnsi="Calibri" w:cs="Calibri"/>
                <w:color w:val="A02B93" w:themeColor="accent5"/>
                <w:kern w:val="0"/>
                <w:sz w:val="18"/>
                <w:szCs w:val="18"/>
                <w:lang w:eastAsia="en-AU"/>
                <w14:ligatures w14:val="none"/>
              </w:rPr>
              <w:t>93</w:t>
            </w:r>
            <w:r w:rsidR="000E05DB" w:rsidRPr="00D479B3">
              <w:rPr>
                <w:rFonts w:ascii="Calibri" w:eastAsia="Times New Roman" w:hAnsi="Calibri" w:cs="Calibri"/>
                <w:i/>
                <w:iCs/>
                <w:color w:val="000000"/>
                <w:kern w:val="0"/>
                <w:sz w:val="18"/>
                <w:szCs w:val="18"/>
                <w:lang w:eastAsia="en-AU"/>
                <w14:ligatures w14:val="none"/>
              </w:rPr>
              <w:t xml:space="preserve"> </w:t>
            </w:r>
            <w:r w:rsidR="007C1549" w:rsidRPr="00D479B3">
              <w:rPr>
                <w:rFonts w:ascii="Calibri" w:eastAsia="Times New Roman" w:hAnsi="Calibri" w:cs="Calibri"/>
                <w:i/>
                <w:iCs/>
                <w:color w:val="000000"/>
                <w:kern w:val="0"/>
                <w:sz w:val="18"/>
                <w:szCs w:val="18"/>
                <w:lang w:eastAsia="en-AU"/>
                <w14:ligatures w14:val="none"/>
              </w:rPr>
              <w:t>(</w:t>
            </w:r>
            <w:r w:rsidR="00835F2E" w:rsidRPr="00D479B3">
              <w:rPr>
                <w:rFonts w:ascii="Calibri" w:eastAsia="Times New Roman" w:hAnsi="Calibri" w:cs="Calibri"/>
                <w:i/>
                <w:iCs/>
                <w:color w:val="000000"/>
                <w:kern w:val="0"/>
                <w:sz w:val="18"/>
                <w:szCs w:val="18"/>
                <w:lang w:eastAsia="en-AU"/>
                <w14:ligatures w14:val="none"/>
              </w:rPr>
              <w:t>10</w:t>
            </w:r>
            <w:r w:rsidR="004D2DA9" w:rsidRPr="00D479B3">
              <w:rPr>
                <w:rFonts w:ascii="Calibri" w:eastAsia="Times New Roman" w:hAnsi="Calibri" w:cs="Calibri"/>
                <w:i/>
                <w:iCs/>
                <w:color w:val="000000"/>
                <w:kern w:val="0"/>
                <w:sz w:val="18"/>
                <w:szCs w:val="18"/>
                <w:lang w:eastAsia="en-AU"/>
                <w14:ligatures w14:val="none"/>
              </w:rPr>
              <w:t>7</w:t>
            </w:r>
            <w:r w:rsidR="007C1549" w:rsidRPr="00D479B3">
              <w:rPr>
                <w:rFonts w:ascii="Calibri" w:eastAsia="Times New Roman" w:hAnsi="Calibri" w:cs="Calibri"/>
                <w:i/>
                <w:iCs/>
                <w:color w:val="000000"/>
                <w:kern w:val="0"/>
                <w:sz w:val="18"/>
                <w:szCs w:val="18"/>
                <w:lang w:eastAsia="en-AU"/>
                <w14:ligatures w14:val="none"/>
              </w:rPr>
              <w:t>)</w:t>
            </w:r>
          </w:p>
        </w:tc>
        <w:tc>
          <w:tcPr>
            <w:tcW w:w="508" w:type="pct"/>
            <w:tcBorders>
              <w:top w:val="nil"/>
              <w:left w:val="nil"/>
              <w:bottom w:val="dotted" w:sz="4" w:space="0" w:color="auto"/>
              <w:right w:val="dotted" w:sz="4" w:space="0" w:color="auto"/>
            </w:tcBorders>
            <w:vAlign w:val="center"/>
            <w:hideMark/>
          </w:tcPr>
          <w:p w14:paraId="14174DF0" w14:textId="1B918E8C" w:rsidR="00835F2E" w:rsidRPr="00D479B3" w:rsidRDefault="004B3332" w:rsidP="00835F2E">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145,</w:t>
            </w:r>
            <w:r w:rsidRPr="00D479B3">
              <w:rPr>
                <w:rFonts w:ascii="Calibri" w:eastAsia="Times New Roman" w:hAnsi="Calibri" w:cs="Calibri"/>
                <w:i/>
                <w:iCs/>
                <w:color w:val="000000"/>
                <w:kern w:val="0"/>
                <w:sz w:val="18"/>
                <w:szCs w:val="18"/>
                <w:lang w:eastAsia="en-AU"/>
                <w14:ligatures w14:val="none"/>
              </w:rPr>
              <w:t xml:space="preserve"> </w:t>
            </w:r>
            <w:r w:rsidR="00442167" w:rsidRPr="00D479B3">
              <w:rPr>
                <w:rFonts w:ascii="Calibri" w:eastAsia="Times New Roman" w:hAnsi="Calibri" w:cs="Calibri"/>
                <w:color w:val="A02B93" w:themeColor="accent5"/>
                <w:kern w:val="0"/>
                <w:sz w:val="18"/>
                <w:szCs w:val="18"/>
                <w:lang w:eastAsia="en-AU"/>
                <w14:ligatures w14:val="none"/>
              </w:rPr>
              <w:t>66</w:t>
            </w:r>
            <w:r w:rsidR="00442167" w:rsidRPr="00D479B3">
              <w:rPr>
                <w:rFonts w:ascii="Calibri" w:eastAsia="Times New Roman" w:hAnsi="Calibri" w:cs="Calibri"/>
                <w:i/>
                <w:iCs/>
                <w:color w:val="000000"/>
                <w:kern w:val="0"/>
                <w:sz w:val="18"/>
                <w:szCs w:val="18"/>
                <w:lang w:eastAsia="en-AU"/>
                <w14:ligatures w14:val="none"/>
              </w:rPr>
              <w:t xml:space="preserve"> </w:t>
            </w:r>
            <w:r w:rsidR="007C1549" w:rsidRPr="00D479B3">
              <w:rPr>
                <w:rFonts w:ascii="Calibri" w:eastAsia="Times New Roman" w:hAnsi="Calibri" w:cs="Calibri"/>
                <w:i/>
                <w:iCs/>
                <w:color w:val="000000"/>
                <w:kern w:val="0"/>
                <w:sz w:val="18"/>
                <w:szCs w:val="18"/>
                <w:lang w:eastAsia="en-AU"/>
                <w14:ligatures w14:val="none"/>
              </w:rPr>
              <w:t>(</w:t>
            </w:r>
            <w:r w:rsidR="00835F2E" w:rsidRPr="00D479B3">
              <w:rPr>
                <w:rFonts w:ascii="Calibri" w:eastAsia="Times New Roman" w:hAnsi="Calibri" w:cs="Calibri"/>
                <w:i/>
                <w:iCs/>
                <w:color w:val="000000"/>
                <w:kern w:val="0"/>
                <w:sz w:val="18"/>
                <w:szCs w:val="18"/>
                <w:lang w:eastAsia="en-AU"/>
                <w14:ligatures w14:val="none"/>
              </w:rPr>
              <w:t>105</w:t>
            </w:r>
            <w:r w:rsidR="007C1549" w:rsidRPr="00D479B3">
              <w:rPr>
                <w:rFonts w:ascii="Calibri" w:eastAsia="Times New Roman" w:hAnsi="Calibri" w:cs="Calibri"/>
                <w:i/>
                <w:iCs/>
                <w:color w:val="000000"/>
                <w:kern w:val="0"/>
                <w:sz w:val="18"/>
                <w:szCs w:val="18"/>
                <w:lang w:eastAsia="en-AU"/>
                <w14:ligatures w14:val="none"/>
              </w:rPr>
              <w:t>)</w:t>
            </w:r>
          </w:p>
        </w:tc>
        <w:tc>
          <w:tcPr>
            <w:tcW w:w="458" w:type="pct"/>
            <w:tcBorders>
              <w:top w:val="nil"/>
              <w:left w:val="nil"/>
              <w:bottom w:val="dotted" w:sz="4" w:space="0" w:color="auto"/>
              <w:right w:val="dotted" w:sz="4" w:space="0" w:color="auto"/>
            </w:tcBorders>
            <w:vAlign w:val="center"/>
            <w:hideMark/>
          </w:tcPr>
          <w:p w14:paraId="5D15B3B2" w14:textId="7E477B5E" w:rsidR="00835F2E" w:rsidRPr="00D479B3" w:rsidRDefault="0032693A" w:rsidP="00835F2E">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118,</w:t>
            </w:r>
            <w:r w:rsidRPr="00D479B3">
              <w:rPr>
                <w:rFonts w:ascii="Calibri" w:eastAsia="Times New Roman" w:hAnsi="Calibri" w:cs="Calibri"/>
                <w:color w:val="A02B93" w:themeColor="accent5"/>
                <w:kern w:val="0"/>
                <w:sz w:val="18"/>
                <w:szCs w:val="18"/>
                <w:lang w:eastAsia="en-AU"/>
                <w14:ligatures w14:val="none"/>
              </w:rPr>
              <w:t xml:space="preserve"> </w:t>
            </w:r>
            <w:r w:rsidR="002D31E6" w:rsidRPr="00D479B3">
              <w:rPr>
                <w:rFonts w:ascii="Calibri" w:eastAsia="Times New Roman" w:hAnsi="Calibri" w:cs="Calibri"/>
                <w:color w:val="A02B93" w:themeColor="accent5"/>
                <w:kern w:val="0"/>
                <w:sz w:val="18"/>
                <w:szCs w:val="18"/>
                <w:lang w:eastAsia="en-AU"/>
                <w14:ligatures w14:val="none"/>
              </w:rPr>
              <w:t>87</w:t>
            </w:r>
            <w:r w:rsidR="002D31E6" w:rsidRPr="00D479B3">
              <w:rPr>
                <w:rFonts w:ascii="Calibri" w:eastAsia="Times New Roman" w:hAnsi="Calibri" w:cs="Calibri"/>
                <w:i/>
                <w:iCs/>
                <w:color w:val="000000"/>
                <w:kern w:val="0"/>
                <w:sz w:val="18"/>
                <w:szCs w:val="18"/>
                <w:lang w:eastAsia="en-AU"/>
                <w14:ligatures w14:val="none"/>
              </w:rPr>
              <w:t xml:space="preserve"> </w:t>
            </w:r>
            <w:r w:rsidR="007C1549" w:rsidRPr="00D479B3">
              <w:rPr>
                <w:rFonts w:ascii="Calibri" w:eastAsia="Times New Roman" w:hAnsi="Calibri" w:cs="Calibri"/>
                <w:i/>
                <w:iCs/>
                <w:color w:val="000000"/>
                <w:kern w:val="0"/>
                <w:sz w:val="18"/>
                <w:szCs w:val="18"/>
                <w:lang w:eastAsia="en-AU"/>
                <w14:ligatures w14:val="none"/>
              </w:rPr>
              <w:t>(</w:t>
            </w:r>
            <w:r w:rsidR="00835F2E" w:rsidRPr="00D479B3">
              <w:rPr>
                <w:rFonts w:ascii="Calibri" w:eastAsia="Times New Roman" w:hAnsi="Calibri" w:cs="Calibri"/>
                <w:i/>
                <w:iCs/>
                <w:color w:val="000000"/>
                <w:kern w:val="0"/>
                <w:sz w:val="18"/>
                <w:szCs w:val="18"/>
                <w:lang w:eastAsia="en-AU"/>
                <w14:ligatures w14:val="none"/>
              </w:rPr>
              <w:t>10</w:t>
            </w:r>
            <w:r w:rsidR="004D2DA9" w:rsidRPr="00D479B3">
              <w:rPr>
                <w:rFonts w:ascii="Calibri" w:eastAsia="Times New Roman" w:hAnsi="Calibri" w:cs="Calibri"/>
                <w:i/>
                <w:iCs/>
                <w:color w:val="000000"/>
                <w:kern w:val="0"/>
                <w:sz w:val="18"/>
                <w:szCs w:val="18"/>
                <w:lang w:eastAsia="en-AU"/>
                <w14:ligatures w14:val="none"/>
              </w:rPr>
              <w:t>3</w:t>
            </w:r>
            <w:r w:rsidR="007C1549" w:rsidRPr="00D479B3">
              <w:rPr>
                <w:rFonts w:ascii="Calibri" w:eastAsia="Times New Roman" w:hAnsi="Calibri" w:cs="Calibri"/>
                <w:i/>
                <w:iCs/>
                <w:color w:val="000000"/>
                <w:kern w:val="0"/>
                <w:sz w:val="18"/>
                <w:szCs w:val="18"/>
                <w:lang w:eastAsia="en-AU"/>
                <w14:ligatures w14:val="none"/>
              </w:rPr>
              <w:t>)</w:t>
            </w:r>
          </w:p>
        </w:tc>
        <w:tc>
          <w:tcPr>
            <w:tcW w:w="478" w:type="pct"/>
            <w:tcBorders>
              <w:top w:val="nil"/>
              <w:left w:val="nil"/>
              <w:bottom w:val="dotted" w:sz="4" w:space="0" w:color="auto"/>
              <w:right w:val="single" w:sz="8" w:space="0" w:color="auto"/>
            </w:tcBorders>
            <w:vAlign w:val="center"/>
            <w:hideMark/>
          </w:tcPr>
          <w:p w14:paraId="249BA6C2" w14:textId="7B326964" w:rsidR="00835F2E" w:rsidRPr="00D479B3" w:rsidRDefault="00DA6DD8" w:rsidP="00835F2E">
            <w:pPr>
              <w:spacing w:after="0" w:line="240" w:lineRule="auto"/>
              <w:jc w:val="center"/>
              <w:rPr>
                <w:rFonts w:ascii="Calibri" w:eastAsia="Times New Roman" w:hAnsi="Calibri" w:cs="Calibri"/>
                <w:b/>
                <w:bCs/>
                <w:i/>
                <w:iCs/>
                <w:color w:val="000000"/>
                <w:kern w:val="0"/>
                <w:sz w:val="18"/>
                <w:szCs w:val="18"/>
                <w:lang w:eastAsia="en-AU"/>
                <w14:ligatures w14:val="none"/>
              </w:rPr>
            </w:pPr>
            <w:r w:rsidRPr="00D479B3">
              <w:rPr>
                <w:rFonts w:ascii="Calibri" w:eastAsia="Times New Roman" w:hAnsi="Calibri" w:cs="Calibri"/>
                <w:b/>
                <w:bCs/>
                <w:i/>
                <w:iCs/>
                <w:color w:val="000000"/>
                <w:kern w:val="0"/>
                <w:sz w:val="18"/>
                <w:szCs w:val="18"/>
                <w:lang w:eastAsia="en-AU"/>
                <w14:ligatures w14:val="none"/>
              </w:rPr>
              <w:t xml:space="preserve">- </w:t>
            </w:r>
          </w:p>
        </w:tc>
      </w:tr>
      <w:tr w:rsidR="00774ED6" w:rsidRPr="00D633FF" w14:paraId="30A6258D" w14:textId="77777777" w:rsidTr="00023D8D">
        <w:trPr>
          <w:trHeight w:val="288"/>
        </w:trPr>
        <w:tc>
          <w:tcPr>
            <w:tcW w:w="708" w:type="pct"/>
            <w:tcBorders>
              <w:top w:val="nil"/>
              <w:left w:val="single" w:sz="8" w:space="0" w:color="auto"/>
              <w:bottom w:val="nil"/>
              <w:right w:val="single" w:sz="8" w:space="0" w:color="auto"/>
            </w:tcBorders>
            <w:shd w:val="clear" w:color="auto" w:fill="C1F0C7" w:themeFill="accent3" w:themeFillTint="33"/>
            <w:vAlign w:val="center"/>
            <w:hideMark/>
          </w:tcPr>
          <w:p w14:paraId="2E5F4950" w14:textId="7367B31D" w:rsidR="00DA6DD8" w:rsidRPr="00D479B3" w:rsidRDefault="00DA6DD8" w:rsidP="00DA6DD8">
            <w:pPr>
              <w:spacing w:after="0" w:line="240" w:lineRule="auto"/>
              <w:jc w:val="right"/>
              <w:rPr>
                <w:rFonts w:ascii="Calibri" w:eastAsia="Times New Roman" w:hAnsi="Calibri" w:cs="Calibri"/>
                <w:color w:val="000000"/>
                <w:kern w:val="0"/>
                <w:sz w:val="18"/>
                <w:szCs w:val="18"/>
                <w:lang w:eastAsia="en-AU"/>
                <w14:ligatures w14:val="none"/>
              </w:rPr>
            </w:pPr>
            <w:r w:rsidRPr="00D479B3">
              <w:rPr>
                <w:rFonts w:ascii="Calibri" w:eastAsia="Times New Roman" w:hAnsi="Calibri" w:cs="Calibri"/>
                <w:color w:val="000000"/>
                <w:kern w:val="0"/>
                <w:sz w:val="18"/>
                <w:szCs w:val="18"/>
                <w:lang w:eastAsia="en-AU"/>
                <w14:ligatures w14:val="none"/>
              </w:rPr>
              <w:t>Pacific</w:t>
            </w:r>
          </w:p>
        </w:tc>
        <w:tc>
          <w:tcPr>
            <w:tcW w:w="500" w:type="pct"/>
            <w:tcBorders>
              <w:top w:val="nil"/>
              <w:left w:val="nil"/>
              <w:bottom w:val="dotted" w:sz="4" w:space="0" w:color="auto"/>
              <w:right w:val="dotted" w:sz="4" w:space="0" w:color="auto"/>
            </w:tcBorders>
            <w:vAlign w:val="center"/>
            <w:hideMark/>
          </w:tcPr>
          <w:p w14:paraId="188C5B75" w14:textId="51BA7D3D" w:rsidR="00DA6DD8" w:rsidRPr="00D479B3" w:rsidRDefault="00DA6DD8" w:rsidP="00DA6DD8">
            <w:pPr>
              <w:spacing w:after="0" w:line="240" w:lineRule="auto"/>
              <w:jc w:val="center"/>
              <w:rPr>
                <w:rFonts w:ascii="Calibri" w:eastAsia="Times New Roman" w:hAnsi="Calibri" w:cs="Calibri"/>
                <w:b/>
                <w:bCs/>
                <w:i/>
                <w:iCs/>
                <w:color w:val="000000"/>
                <w:kern w:val="0"/>
                <w:sz w:val="18"/>
                <w:szCs w:val="18"/>
                <w:lang w:eastAsia="en-AU"/>
                <w14:ligatures w14:val="none"/>
              </w:rPr>
            </w:pPr>
            <w:r w:rsidRPr="00D479B3">
              <w:rPr>
                <w:rFonts w:ascii="Calibri" w:eastAsia="Times New Roman" w:hAnsi="Calibri" w:cs="Calibri"/>
                <w:b/>
                <w:bCs/>
                <w:i/>
                <w:iCs/>
                <w:color w:val="000000"/>
                <w:kern w:val="0"/>
                <w:sz w:val="18"/>
                <w:szCs w:val="18"/>
                <w:lang w:eastAsia="en-AU"/>
                <w14:ligatures w14:val="none"/>
              </w:rPr>
              <w:t>-</w:t>
            </w:r>
          </w:p>
        </w:tc>
        <w:tc>
          <w:tcPr>
            <w:tcW w:w="466" w:type="pct"/>
            <w:tcBorders>
              <w:top w:val="nil"/>
              <w:left w:val="nil"/>
              <w:bottom w:val="dotted" w:sz="4" w:space="0" w:color="auto"/>
              <w:right w:val="dotted" w:sz="4" w:space="0" w:color="auto"/>
            </w:tcBorders>
            <w:vAlign w:val="center"/>
            <w:hideMark/>
          </w:tcPr>
          <w:p w14:paraId="5B9D565E" w14:textId="5A04C27C" w:rsidR="00DA6DD8" w:rsidRPr="00D479B3" w:rsidRDefault="00DA6DD8" w:rsidP="00DA6DD8">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52,</w:t>
            </w:r>
            <w:r w:rsidRPr="00D479B3">
              <w:rPr>
                <w:rFonts w:ascii="Calibri" w:eastAsia="Times New Roman" w:hAnsi="Calibri" w:cs="Calibri"/>
                <w:color w:val="A02B93" w:themeColor="accent5"/>
                <w:kern w:val="0"/>
                <w:sz w:val="18"/>
                <w:szCs w:val="18"/>
                <w:lang w:eastAsia="en-AU"/>
                <w14:ligatures w14:val="none"/>
              </w:rPr>
              <w:t xml:space="preserve"> 41 </w:t>
            </w:r>
            <w:r w:rsidRPr="00D479B3">
              <w:rPr>
                <w:rFonts w:ascii="Calibri" w:eastAsia="Times New Roman" w:hAnsi="Calibri" w:cs="Calibri"/>
                <w:i/>
                <w:iCs/>
                <w:color w:val="000000"/>
                <w:kern w:val="0"/>
                <w:sz w:val="18"/>
                <w:szCs w:val="18"/>
                <w:lang w:eastAsia="en-AU"/>
                <w14:ligatures w14:val="none"/>
              </w:rPr>
              <w:t>(47)</w:t>
            </w:r>
          </w:p>
        </w:tc>
        <w:tc>
          <w:tcPr>
            <w:tcW w:w="406" w:type="pct"/>
            <w:tcBorders>
              <w:top w:val="nil"/>
              <w:left w:val="nil"/>
              <w:bottom w:val="dotted" w:sz="4" w:space="0" w:color="auto"/>
              <w:right w:val="single" w:sz="8" w:space="0" w:color="auto"/>
            </w:tcBorders>
            <w:vAlign w:val="center"/>
            <w:hideMark/>
          </w:tcPr>
          <w:p w14:paraId="3E073D33" w14:textId="097B908D" w:rsidR="00DA6DD8" w:rsidRPr="00D479B3" w:rsidRDefault="00DA6DD8" w:rsidP="00DA6DD8">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69,</w:t>
            </w:r>
            <w:r w:rsidRPr="00D479B3">
              <w:rPr>
                <w:rFonts w:ascii="Calibri" w:eastAsia="Times New Roman" w:hAnsi="Calibri" w:cs="Calibri"/>
                <w:color w:val="A02B93" w:themeColor="accent5"/>
                <w:kern w:val="0"/>
                <w:sz w:val="18"/>
                <w:szCs w:val="18"/>
                <w:lang w:eastAsia="en-AU"/>
                <w14:ligatures w14:val="none"/>
              </w:rPr>
              <w:t xml:space="preserve"> 52</w:t>
            </w:r>
            <w:r w:rsidRPr="00D479B3">
              <w:rPr>
                <w:rFonts w:ascii="Calibri" w:eastAsia="Times New Roman" w:hAnsi="Calibri" w:cs="Calibri"/>
                <w:i/>
                <w:iCs/>
                <w:color w:val="000000"/>
                <w:kern w:val="0"/>
                <w:sz w:val="18"/>
                <w:szCs w:val="18"/>
                <w:lang w:eastAsia="en-AU"/>
                <w14:ligatures w14:val="none"/>
              </w:rPr>
              <w:t xml:space="preserve"> (61)</w:t>
            </w:r>
          </w:p>
        </w:tc>
        <w:tc>
          <w:tcPr>
            <w:tcW w:w="509" w:type="pct"/>
            <w:tcBorders>
              <w:top w:val="nil"/>
              <w:left w:val="nil"/>
              <w:bottom w:val="dotted" w:sz="4" w:space="0" w:color="auto"/>
              <w:right w:val="dotted" w:sz="4" w:space="0" w:color="auto"/>
            </w:tcBorders>
            <w:vAlign w:val="center"/>
            <w:hideMark/>
          </w:tcPr>
          <w:p w14:paraId="36C39A54" w14:textId="31997762" w:rsidR="00DA6DD8" w:rsidRPr="00D479B3" w:rsidRDefault="00DA6DD8" w:rsidP="00DA6DD8">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94,</w:t>
            </w:r>
            <w:r w:rsidRPr="00D479B3">
              <w:rPr>
                <w:rFonts w:ascii="Calibri" w:eastAsia="Times New Roman" w:hAnsi="Calibri" w:cs="Calibri"/>
                <w:color w:val="A02B93" w:themeColor="accent5"/>
                <w:kern w:val="0"/>
                <w:sz w:val="18"/>
                <w:szCs w:val="18"/>
                <w:lang w:eastAsia="en-AU"/>
                <w14:ligatures w14:val="none"/>
              </w:rPr>
              <w:t xml:space="preserve"> 59</w:t>
            </w:r>
            <w:r w:rsidRPr="00D479B3">
              <w:rPr>
                <w:rFonts w:ascii="Calibri" w:eastAsia="Times New Roman" w:hAnsi="Calibri" w:cs="Calibri"/>
                <w:i/>
                <w:iCs/>
                <w:color w:val="000000"/>
                <w:kern w:val="0"/>
                <w:sz w:val="18"/>
                <w:szCs w:val="18"/>
                <w:lang w:eastAsia="en-AU"/>
                <w14:ligatures w14:val="none"/>
              </w:rPr>
              <w:t xml:space="preserve"> (77)</w:t>
            </w:r>
          </w:p>
        </w:tc>
        <w:tc>
          <w:tcPr>
            <w:tcW w:w="457" w:type="pct"/>
            <w:tcBorders>
              <w:top w:val="nil"/>
              <w:left w:val="nil"/>
              <w:bottom w:val="dotted" w:sz="4" w:space="0" w:color="auto"/>
              <w:right w:val="single" w:sz="8" w:space="0" w:color="auto"/>
            </w:tcBorders>
            <w:vAlign w:val="center"/>
            <w:hideMark/>
          </w:tcPr>
          <w:p w14:paraId="09046954" w14:textId="413ACC9A" w:rsidR="00DA6DD8" w:rsidRPr="00D479B3" w:rsidRDefault="00DA6DD8" w:rsidP="00DA6DD8">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90,</w:t>
            </w:r>
            <w:r w:rsidRPr="00D479B3">
              <w:rPr>
                <w:rFonts w:ascii="Calibri" w:eastAsia="Times New Roman" w:hAnsi="Calibri" w:cs="Calibri"/>
                <w:color w:val="A02B93" w:themeColor="accent5"/>
                <w:kern w:val="0"/>
                <w:sz w:val="18"/>
                <w:szCs w:val="18"/>
                <w:lang w:eastAsia="en-AU"/>
                <w14:ligatures w14:val="none"/>
              </w:rPr>
              <w:t xml:space="preserve"> 59</w:t>
            </w:r>
            <w:r w:rsidRPr="00D479B3">
              <w:rPr>
                <w:rFonts w:ascii="Calibri" w:eastAsia="Times New Roman" w:hAnsi="Calibri" w:cs="Calibri"/>
                <w:i/>
                <w:iCs/>
                <w:color w:val="000000"/>
                <w:kern w:val="0"/>
                <w:sz w:val="18"/>
                <w:szCs w:val="18"/>
                <w:lang w:eastAsia="en-AU"/>
                <w14:ligatures w14:val="none"/>
              </w:rPr>
              <w:t xml:space="preserve"> (75)</w:t>
            </w:r>
          </w:p>
        </w:tc>
        <w:tc>
          <w:tcPr>
            <w:tcW w:w="509" w:type="pct"/>
            <w:tcBorders>
              <w:top w:val="nil"/>
              <w:left w:val="nil"/>
              <w:bottom w:val="dotted" w:sz="4" w:space="0" w:color="auto"/>
              <w:right w:val="dotted" w:sz="4" w:space="0" w:color="auto"/>
            </w:tcBorders>
            <w:vAlign w:val="center"/>
            <w:hideMark/>
          </w:tcPr>
          <w:p w14:paraId="094962B5" w14:textId="70F7A28D" w:rsidR="00DA6DD8" w:rsidRPr="00D479B3" w:rsidRDefault="00DA6DD8" w:rsidP="00DA6DD8">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146,</w:t>
            </w:r>
            <w:r w:rsidRPr="00D479B3">
              <w:rPr>
                <w:rFonts w:ascii="Calibri" w:eastAsia="Times New Roman" w:hAnsi="Calibri" w:cs="Calibri"/>
                <w:color w:val="A02B93" w:themeColor="accent5"/>
                <w:kern w:val="0"/>
                <w:sz w:val="18"/>
                <w:szCs w:val="18"/>
                <w:lang w:eastAsia="en-AU"/>
                <w14:ligatures w14:val="none"/>
              </w:rPr>
              <w:t xml:space="preserve"> 79</w:t>
            </w:r>
            <w:r w:rsidRPr="00D479B3">
              <w:rPr>
                <w:rFonts w:ascii="Calibri" w:eastAsia="Times New Roman" w:hAnsi="Calibri" w:cs="Calibri"/>
                <w:i/>
                <w:iCs/>
                <w:color w:val="000000"/>
                <w:kern w:val="0"/>
                <w:sz w:val="18"/>
                <w:szCs w:val="18"/>
                <w:lang w:eastAsia="en-AU"/>
                <w14:ligatures w14:val="none"/>
              </w:rPr>
              <w:t xml:space="preserve"> (113)</w:t>
            </w:r>
          </w:p>
        </w:tc>
        <w:tc>
          <w:tcPr>
            <w:tcW w:w="508" w:type="pct"/>
            <w:tcBorders>
              <w:top w:val="nil"/>
              <w:left w:val="nil"/>
              <w:bottom w:val="dotted" w:sz="4" w:space="0" w:color="auto"/>
              <w:right w:val="dotted" w:sz="4" w:space="0" w:color="auto"/>
            </w:tcBorders>
            <w:vAlign w:val="center"/>
            <w:hideMark/>
          </w:tcPr>
          <w:p w14:paraId="5F5C6D27" w14:textId="1BB583D8" w:rsidR="00DA6DD8" w:rsidRPr="00D479B3" w:rsidRDefault="00DA6DD8" w:rsidP="00DA6DD8">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ED0000"/>
                <w:kern w:val="0"/>
                <w:sz w:val="18"/>
                <w:szCs w:val="18"/>
                <w:lang w:eastAsia="en-AU"/>
                <w14:ligatures w14:val="none"/>
              </w:rPr>
              <w:t>194</w:t>
            </w:r>
            <w:r w:rsidR="00832928" w:rsidRPr="00D479B3">
              <w:rPr>
                <w:rFonts w:ascii="Calibri" w:eastAsia="Times New Roman" w:hAnsi="Calibri" w:cs="Calibri"/>
                <w:color w:val="ED0000"/>
                <w:kern w:val="0"/>
                <w:sz w:val="18"/>
                <w:szCs w:val="18"/>
                <w:lang w:eastAsia="en-AU"/>
                <w14:ligatures w14:val="none"/>
              </w:rPr>
              <w:t>ǂ</w:t>
            </w:r>
            <w:r w:rsidRPr="00D479B3">
              <w:rPr>
                <w:rFonts w:ascii="Calibri" w:eastAsia="Times New Roman" w:hAnsi="Calibri" w:cs="Calibri"/>
                <w:color w:val="0B769F" w:themeColor="accent4" w:themeShade="BF"/>
                <w:kern w:val="0"/>
                <w:sz w:val="18"/>
                <w:szCs w:val="18"/>
                <w:lang w:eastAsia="en-AU"/>
                <w14:ligatures w14:val="none"/>
              </w:rPr>
              <w:t>,</w:t>
            </w:r>
            <w:r w:rsidRPr="00D479B3">
              <w:rPr>
                <w:rFonts w:ascii="Calibri" w:eastAsia="Times New Roman" w:hAnsi="Calibri" w:cs="Calibri"/>
                <w:color w:val="A02B93" w:themeColor="accent5"/>
                <w:kern w:val="0"/>
                <w:sz w:val="18"/>
                <w:szCs w:val="18"/>
                <w:lang w:eastAsia="en-AU"/>
                <w14:ligatures w14:val="none"/>
              </w:rPr>
              <w:t xml:space="preserve"> 110</w:t>
            </w:r>
            <w:r w:rsidRPr="00D479B3">
              <w:rPr>
                <w:rFonts w:ascii="Calibri" w:eastAsia="Times New Roman" w:hAnsi="Calibri" w:cs="Calibri"/>
                <w:i/>
                <w:iCs/>
                <w:color w:val="FF0000"/>
                <w:kern w:val="0"/>
                <w:sz w:val="18"/>
                <w:szCs w:val="18"/>
                <w:lang w:eastAsia="en-AU"/>
                <w14:ligatures w14:val="none"/>
              </w:rPr>
              <w:t xml:space="preserve"> </w:t>
            </w:r>
            <w:r w:rsidRPr="00D479B3">
              <w:rPr>
                <w:rFonts w:ascii="Calibri" w:eastAsia="Times New Roman" w:hAnsi="Calibri" w:cs="Calibri"/>
                <w:i/>
                <w:iCs/>
                <w:kern w:val="0"/>
                <w:sz w:val="18"/>
                <w:szCs w:val="18"/>
                <w:lang w:eastAsia="en-AU"/>
                <w14:ligatures w14:val="none"/>
              </w:rPr>
              <w:t>(152)</w:t>
            </w:r>
          </w:p>
        </w:tc>
        <w:tc>
          <w:tcPr>
            <w:tcW w:w="458" w:type="pct"/>
            <w:tcBorders>
              <w:top w:val="nil"/>
              <w:left w:val="nil"/>
              <w:bottom w:val="dotted" w:sz="4" w:space="0" w:color="auto"/>
              <w:right w:val="dotted" w:sz="4" w:space="0" w:color="auto"/>
            </w:tcBorders>
            <w:vAlign w:val="center"/>
            <w:hideMark/>
          </w:tcPr>
          <w:p w14:paraId="77D4623B" w14:textId="1C29BA96" w:rsidR="00DA6DD8" w:rsidRPr="00D479B3" w:rsidRDefault="00DA6DD8" w:rsidP="00DA6DD8">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147,</w:t>
            </w:r>
            <w:r w:rsidRPr="00D479B3">
              <w:rPr>
                <w:rFonts w:ascii="Calibri" w:eastAsia="Times New Roman" w:hAnsi="Calibri" w:cs="Calibri"/>
                <w:color w:val="A02B93" w:themeColor="accent5"/>
                <w:kern w:val="0"/>
                <w:sz w:val="18"/>
                <w:szCs w:val="18"/>
                <w:lang w:eastAsia="en-AU"/>
                <w14:ligatures w14:val="none"/>
              </w:rPr>
              <w:t xml:space="preserve"> 91</w:t>
            </w:r>
            <w:r w:rsidRPr="00D479B3">
              <w:rPr>
                <w:rFonts w:ascii="Calibri" w:eastAsia="Times New Roman" w:hAnsi="Calibri" w:cs="Calibri"/>
                <w:i/>
                <w:iCs/>
                <w:color w:val="000000"/>
                <w:kern w:val="0"/>
                <w:sz w:val="18"/>
                <w:szCs w:val="18"/>
                <w:lang w:eastAsia="en-AU"/>
                <w14:ligatures w14:val="none"/>
              </w:rPr>
              <w:t xml:space="preserve"> (119)</w:t>
            </w:r>
          </w:p>
        </w:tc>
        <w:tc>
          <w:tcPr>
            <w:tcW w:w="478" w:type="pct"/>
            <w:tcBorders>
              <w:top w:val="nil"/>
              <w:left w:val="nil"/>
              <w:bottom w:val="dotted" w:sz="4" w:space="0" w:color="auto"/>
              <w:right w:val="single" w:sz="8" w:space="0" w:color="auto"/>
            </w:tcBorders>
            <w:hideMark/>
          </w:tcPr>
          <w:p w14:paraId="29C9754F" w14:textId="0F5FE046" w:rsidR="00DA6DD8" w:rsidRPr="00D479B3" w:rsidRDefault="00DA6DD8" w:rsidP="00DA6DD8">
            <w:pPr>
              <w:spacing w:after="0" w:line="240" w:lineRule="auto"/>
              <w:jc w:val="center"/>
              <w:rPr>
                <w:rFonts w:ascii="Calibri" w:eastAsia="Times New Roman" w:hAnsi="Calibri" w:cs="Calibri"/>
                <w:b/>
                <w:bCs/>
                <w:i/>
                <w:iCs/>
                <w:color w:val="000000"/>
                <w:kern w:val="0"/>
                <w:sz w:val="18"/>
                <w:szCs w:val="18"/>
                <w:lang w:eastAsia="en-AU"/>
                <w14:ligatures w14:val="none"/>
              </w:rPr>
            </w:pPr>
            <w:r w:rsidRPr="00D479B3">
              <w:rPr>
                <w:rFonts w:ascii="Calibri" w:eastAsia="Times New Roman" w:hAnsi="Calibri" w:cs="Calibri"/>
                <w:b/>
                <w:bCs/>
                <w:i/>
                <w:iCs/>
                <w:color w:val="000000"/>
                <w:kern w:val="0"/>
                <w:sz w:val="18"/>
                <w:szCs w:val="18"/>
                <w:lang w:eastAsia="en-AU"/>
                <w14:ligatures w14:val="none"/>
              </w:rPr>
              <w:t>-</w:t>
            </w:r>
          </w:p>
        </w:tc>
      </w:tr>
      <w:tr w:rsidR="00774ED6" w:rsidRPr="00D633FF" w14:paraId="40FA5A54" w14:textId="77777777" w:rsidTr="00023D8D">
        <w:trPr>
          <w:trHeight w:val="300"/>
        </w:trPr>
        <w:tc>
          <w:tcPr>
            <w:tcW w:w="708" w:type="pct"/>
            <w:tcBorders>
              <w:top w:val="nil"/>
              <w:left w:val="single" w:sz="8" w:space="0" w:color="auto"/>
              <w:bottom w:val="single" w:sz="8" w:space="0" w:color="auto"/>
              <w:right w:val="single" w:sz="8" w:space="0" w:color="auto"/>
            </w:tcBorders>
            <w:shd w:val="clear" w:color="auto" w:fill="C1F0C7" w:themeFill="accent3" w:themeFillTint="33"/>
            <w:vAlign w:val="center"/>
            <w:hideMark/>
          </w:tcPr>
          <w:p w14:paraId="70FB617E" w14:textId="5983ABF2" w:rsidR="00DA6DD8" w:rsidRPr="00D479B3" w:rsidRDefault="00DA6DD8" w:rsidP="00DA6DD8">
            <w:pPr>
              <w:spacing w:after="0" w:line="240" w:lineRule="auto"/>
              <w:jc w:val="right"/>
              <w:rPr>
                <w:rFonts w:ascii="Calibri" w:eastAsia="Times New Roman" w:hAnsi="Calibri" w:cs="Calibri"/>
                <w:color w:val="000000"/>
                <w:kern w:val="0"/>
                <w:sz w:val="18"/>
                <w:szCs w:val="18"/>
                <w:lang w:eastAsia="en-AU"/>
                <w14:ligatures w14:val="none"/>
              </w:rPr>
            </w:pPr>
            <w:r w:rsidRPr="00D479B3">
              <w:rPr>
                <w:rFonts w:ascii="Calibri" w:eastAsia="Times New Roman" w:hAnsi="Calibri" w:cs="Calibri"/>
                <w:color w:val="000000"/>
                <w:kern w:val="0"/>
                <w:sz w:val="18"/>
                <w:szCs w:val="18"/>
                <w:lang w:eastAsia="en-AU"/>
                <w14:ligatures w14:val="none"/>
              </w:rPr>
              <w:t>NZEO</w:t>
            </w:r>
          </w:p>
        </w:tc>
        <w:tc>
          <w:tcPr>
            <w:tcW w:w="500" w:type="pct"/>
            <w:tcBorders>
              <w:top w:val="dotted" w:sz="4" w:space="0" w:color="auto"/>
              <w:left w:val="nil"/>
              <w:bottom w:val="single" w:sz="4" w:space="0" w:color="auto"/>
              <w:right w:val="dotted" w:sz="4" w:space="0" w:color="auto"/>
            </w:tcBorders>
            <w:vAlign w:val="center"/>
            <w:hideMark/>
          </w:tcPr>
          <w:p w14:paraId="76D825B7" w14:textId="5BA44A9E" w:rsidR="00DA6DD8" w:rsidRPr="00D479B3" w:rsidRDefault="00DA6DD8" w:rsidP="00DA6DD8">
            <w:pPr>
              <w:spacing w:after="0" w:line="240" w:lineRule="auto"/>
              <w:jc w:val="center"/>
              <w:rPr>
                <w:rFonts w:ascii="Calibri" w:eastAsia="Times New Roman" w:hAnsi="Calibri" w:cs="Calibri"/>
                <w:b/>
                <w:bCs/>
                <w:i/>
                <w:iCs/>
                <w:color w:val="000000"/>
                <w:kern w:val="0"/>
                <w:sz w:val="18"/>
                <w:szCs w:val="18"/>
                <w:lang w:eastAsia="en-AU"/>
                <w14:ligatures w14:val="none"/>
              </w:rPr>
            </w:pPr>
            <w:r w:rsidRPr="00D479B3">
              <w:rPr>
                <w:rFonts w:ascii="Calibri" w:eastAsia="Times New Roman" w:hAnsi="Calibri" w:cs="Calibri"/>
                <w:b/>
                <w:bCs/>
                <w:i/>
                <w:iCs/>
                <w:color w:val="000000"/>
                <w:kern w:val="0"/>
                <w:sz w:val="18"/>
                <w:szCs w:val="18"/>
                <w:lang w:eastAsia="en-AU"/>
                <w14:ligatures w14:val="none"/>
              </w:rPr>
              <w:t>-</w:t>
            </w:r>
          </w:p>
        </w:tc>
        <w:tc>
          <w:tcPr>
            <w:tcW w:w="466" w:type="pct"/>
            <w:tcBorders>
              <w:top w:val="dotted" w:sz="4" w:space="0" w:color="auto"/>
              <w:left w:val="nil"/>
              <w:bottom w:val="single" w:sz="4" w:space="0" w:color="auto"/>
              <w:right w:val="dotted" w:sz="4" w:space="0" w:color="auto"/>
            </w:tcBorders>
            <w:vAlign w:val="center"/>
            <w:hideMark/>
          </w:tcPr>
          <w:p w14:paraId="5D2BE2ED" w14:textId="4BBDDF96" w:rsidR="00DA6DD8" w:rsidRPr="00D479B3" w:rsidRDefault="00DA6DD8" w:rsidP="00DA6DD8">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39,</w:t>
            </w:r>
            <w:r w:rsidRPr="00D479B3">
              <w:rPr>
                <w:rFonts w:ascii="Calibri" w:eastAsia="Times New Roman" w:hAnsi="Calibri" w:cs="Calibri"/>
                <w:i/>
                <w:iCs/>
                <w:color w:val="000000"/>
                <w:kern w:val="0"/>
                <w:sz w:val="18"/>
                <w:szCs w:val="18"/>
                <w:lang w:eastAsia="en-AU"/>
                <w14:ligatures w14:val="none"/>
              </w:rPr>
              <w:t xml:space="preserve"> </w:t>
            </w:r>
            <w:r w:rsidRPr="00D479B3">
              <w:rPr>
                <w:rFonts w:ascii="Calibri" w:eastAsia="Times New Roman" w:hAnsi="Calibri" w:cs="Calibri"/>
                <w:color w:val="A02B93" w:themeColor="accent5"/>
                <w:kern w:val="0"/>
                <w:sz w:val="18"/>
                <w:szCs w:val="18"/>
                <w:lang w:eastAsia="en-AU"/>
                <w14:ligatures w14:val="none"/>
              </w:rPr>
              <w:t>34</w:t>
            </w:r>
            <w:r w:rsidRPr="00D479B3">
              <w:rPr>
                <w:rFonts w:ascii="Calibri" w:eastAsia="Times New Roman" w:hAnsi="Calibri" w:cs="Calibri"/>
                <w:i/>
                <w:iCs/>
                <w:color w:val="000000"/>
                <w:kern w:val="0"/>
                <w:sz w:val="18"/>
                <w:szCs w:val="18"/>
                <w:lang w:eastAsia="en-AU"/>
                <w14:ligatures w14:val="none"/>
              </w:rPr>
              <w:t xml:space="preserve"> (37)</w:t>
            </w:r>
          </w:p>
        </w:tc>
        <w:tc>
          <w:tcPr>
            <w:tcW w:w="406" w:type="pct"/>
            <w:tcBorders>
              <w:top w:val="dotted" w:sz="4" w:space="0" w:color="auto"/>
              <w:left w:val="nil"/>
              <w:bottom w:val="single" w:sz="4" w:space="0" w:color="auto"/>
              <w:right w:val="single" w:sz="8" w:space="0" w:color="auto"/>
            </w:tcBorders>
            <w:vAlign w:val="center"/>
            <w:hideMark/>
          </w:tcPr>
          <w:p w14:paraId="77AD8B44" w14:textId="2682E28C" w:rsidR="00DA6DD8" w:rsidRPr="00D479B3" w:rsidRDefault="00DA6DD8" w:rsidP="00DA6DD8">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51,</w:t>
            </w:r>
            <w:r w:rsidRPr="00D479B3">
              <w:rPr>
                <w:rFonts w:ascii="Calibri" w:eastAsia="Times New Roman" w:hAnsi="Calibri" w:cs="Calibri"/>
                <w:i/>
                <w:iCs/>
                <w:color w:val="000000"/>
                <w:kern w:val="0"/>
                <w:sz w:val="18"/>
                <w:szCs w:val="18"/>
                <w:lang w:eastAsia="en-AU"/>
                <w14:ligatures w14:val="none"/>
              </w:rPr>
              <w:t xml:space="preserve"> </w:t>
            </w:r>
            <w:r w:rsidRPr="00D479B3">
              <w:rPr>
                <w:rFonts w:ascii="Calibri" w:eastAsia="Times New Roman" w:hAnsi="Calibri" w:cs="Calibri"/>
                <w:color w:val="A02B93" w:themeColor="accent5"/>
                <w:kern w:val="0"/>
                <w:sz w:val="18"/>
                <w:szCs w:val="18"/>
                <w:lang w:eastAsia="en-AU"/>
                <w14:ligatures w14:val="none"/>
              </w:rPr>
              <w:t>45</w:t>
            </w:r>
            <w:r w:rsidRPr="00D479B3">
              <w:rPr>
                <w:rFonts w:ascii="Calibri" w:eastAsia="Times New Roman" w:hAnsi="Calibri" w:cs="Calibri"/>
                <w:i/>
                <w:iCs/>
                <w:color w:val="000000"/>
                <w:kern w:val="0"/>
                <w:sz w:val="18"/>
                <w:szCs w:val="18"/>
                <w:lang w:eastAsia="en-AU"/>
                <w14:ligatures w14:val="none"/>
              </w:rPr>
              <w:t xml:space="preserve"> (48)</w:t>
            </w:r>
          </w:p>
        </w:tc>
        <w:tc>
          <w:tcPr>
            <w:tcW w:w="509" w:type="pct"/>
            <w:tcBorders>
              <w:top w:val="dotted" w:sz="4" w:space="0" w:color="auto"/>
              <w:left w:val="nil"/>
              <w:bottom w:val="single" w:sz="4" w:space="0" w:color="auto"/>
              <w:right w:val="dotted" w:sz="4" w:space="0" w:color="auto"/>
            </w:tcBorders>
            <w:vAlign w:val="center"/>
            <w:hideMark/>
          </w:tcPr>
          <w:p w14:paraId="57C4A27E" w14:textId="595EEC2E" w:rsidR="00DA6DD8" w:rsidRPr="00D479B3" w:rsidRDefault="00DA6DD8" w:rsidP="00DA6DD8">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color w:val="0B769F" w:themeColor="accent4" w:themeShade="BF"/>
                <w:kern w:val="0"/>
                <w:sz w:val="18"/>
                <w:szCs w:val="18"/>
                <w:lang w:eastAsia="en-AU"/>
                <w14:ligatures w14:val="none"/>
              </w:rPr>
              <w:t>75,</w:t>
            </w:r>
            <w:r w:rsidRPr="00D479B3">
              <w:rPr>
                <w:rFonts w:ascii="Calibri" w:eastAsia="Times New Roman" w:hAnsi="Calibri" w:cs="Calibri"/>
                <w:i/>
                <w:iCs/>
                <w:color w:val="000000"/>
                <w:kern w:val="0"/>
                <w:sz w:val="18"/>
                <w:szCs w:val="18"/>
                <w:lang w:eastAsia="en-AU"/>
                <w14:ligatures w14:val="none"/>
              </w:rPr>
              <w:t xml:space="preserve"> </w:t>
            </w:r>
            <w:r w:rsidRPr="00D479B3">
              <w:rPr>
                <w:rFonts w:ascii="Calibri" w:eastAsia="Times New Roman" w:hAnsi="Calibri" w:cs="Calibri"/>
                <w:color w:val="A02B93" w:themeColor="accent5"/>
                <w:kern w:val="0"/>
                <w:sz w:val="18"/>
                <w:szCs w:val="18"/>
                <w:lang w:eastAsia="en-AU"/>
                <w14:ligatures w14:val="none"/>
              </w:rPr>
              <w:t>47</w:t>
            </w:r>
            <w:r w:rsidRPr="00D479B3">
              <w:rPr>
                <w:rFonts w:ascii="Calibri" w:eastAsia="Times New Roman" w:hAnsi="Calibri" w:cs="Calibri"/>
                <w:i/>
                <w:iCs/>
                <w:color w:val="000000"/>
                <w:kern w:val="0"/>
                <w:sz w:val="18"/>
                <w:szCs w:val="18"/>
                <w:lang w:eastAsia="en-AU"/>
                <w14:ligatures w14:val="none"/>
              </w:rPr>
              <w:t xml:space="preserve"> (48)</w:t>
            </w:r>
          </w:p>
        </w:tc>
        <w:tc>
          <w:tcPr>
            <w:tcW w:w="457" w:type="pct"/>
            <w:tcBorders>
              <w:top w:val="dotted" w:sz="4" w:space="0" w:color="auto"/>
              <w:left w:val="nil"/>
              <w:bottom w:val="single" w:sz="4" w:space="0" w:color="auto"/>
              <w:right w:val="single" w:sz="8" w:space="0" w:color="auto"/>
            </w:tcBorders>
            <w:vAlign w:val="center"/>
            <w:hideMark/>
          </w:tcPr>
          <w:p w14:paraId="2D9AA01B" w14:textId="2B7123AF" w:rsidR="00DA6DD8" w:rsidRPr="00D479B3" w:rsidRDefault="00D84A38" w:rsidP="00DA6DD8">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b/>
                <w:bCs/>
                <w:i/>
                <w:iCs/>
                <w:color w:val="0B769F" w:themeColor="accent4" w:themeShade="BF"/>
                <w:kern w:val="0"/>
                <w:sz w:val="18"/>
                <w:szCs w:val="18"/>
                <w:lang w:eastAsia="en-AU"/>
                <w14:ligatures w14:val="none"/>
              </w:rPr>
              <w:t>-</w:t>
            </w:r>
            <w:r w:rsidRPr="00D479B3">
              <w:rPr>
                <w:rFonts w:ascii="Calibri" w:eastAsia="Times New Roman" w:hAnsi="Calibri" w:cs="Calibri"/>
                <w:b/>
                <w:bCs/>
                <w:i/>
                <w:iCs/>
                <w:color w:val="000000"/>
                <w:kern w:val="0"/>
                <w:sz w:val="18"/>
                <w:szCs w:val="18"/>
                <w:lang w:eastAsia="en-AU"/>
                <w14:ligatures w14:val="none"/>
              </w:rPr>
              <w:t xml:space="preserve"> </w:t>
            </w:r>
            <w:r w:rsidRPr="00D479B3">
              <w:rPr>
                <w:rFonts w:ascii="Calibri" w:eastAsia="Times New Roman" w:hAnsi="Calibri" w:cs="Calibri"/>
                <w:b/>
                <w:bCs/>
                <w:i/>
                <w:iCs/>
                <w:color w:val="A02B93" w:themeColor="accent5"/>
                <w:kern w:val="0"/>
                <w:sz w:val="18"/>
                <w:szCs w:val="18"/>
                <w:lang w:eastAsia="en-AU"/>
                <w14:ligatures w14:val="none"/>
              </w:rPr>
              <w:t>-</w:t>
            </w:r>
            <w:r w:rsidRPr="00D479B3">
              <w:rPr>
                <w:rFonts w:ascii="Calibri" w:eastAsia="Times New Roman" w:hAnsi="Calibri" w:cs="Calibri"/>
                <w:i/>
                <w:iCs/>
                <w:color w:val="000000"/>
                <w:kern w:val="0"/>
                <w:sz w:val="18"/>
                <w:szCs w:val="18"/>
                <w:lang w:eastAsia="en-AU"/>
                <w14:ligatures w14:val="none"/>
              </w:rPr>
              <w:t xml:space="preserve"> </w:t>
            </w:r>
            <w:r w:rsidR="00DA6DD8" w:rsidRPr="00D479B3">
              <w:rPr>
                <w:rFonts w:ascii="Calibri" w:eastAsia="Times New Roman" w:hAnsi="Calibri" w:cs="Calibri"/>
                <w:i/>
                <w:iCs/>
                <w:color w:val="000000"/>
                <w:kern w:val="0"/>
                <w:sz w:val="18"/>
                <w:szCs w:val="18"/>
                <w:lang w:eastAsia="en-AU"/>
                <w14:ligatures w14:val="none"/>
              </w:rPr>
              <w:t>(73)</w:t>
            </w:r>
          </w:p>
        </w:tc>
        <w:tc>
          <w:tcPr>
            <w:tcW w:w="509" w:type="pct"/>
            <w:tcBorders>
              <w:top w:val="dotted" w:sz="4" w:space="0" w:color="auto"/>
              <w:left w:val="nil"/>
              <w:bottom w:val="single" w:sz="4" w:space="0" w:color="auto"/>
              <w:right w:val="dotted" w:sz="4" w:space="0" w:color="auto"/>
            </w:tcBorders>
            <w:vAlign w:val="center"/>
            <w:hideMark/>
          </w:tcPr>
          <w:p w14:paraId="1FFCE79B" w14:textId="3DBCA551" w:rsidR="00DA6DD8" w:rsidRPr="00D479B3" w:rsidRDefault="00D84A38" w:rsidP="00DA6DD8">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b/>
                <w:bCs/>
                <w:i/>
                <w:iCs/>
                <w:color w:val="0B769F" w:themeColor="accent4" w:themeShade="BF"/>
                <w:kern w:val="0"/>
                <w:sz w:val="18"/>
                <w:szCs w:val="18"/>
                <w:lang w:eastAsia="en-AU"/>
                <w14:ligatures w14:val="none"/>
              </w:rPr>
              <w:t>-</w:t>
            </w:r>
            <w:r w:rsidRPr="00D479B3">
              <w:rPr>
                <w:rFonts w:ascii="Calibri" w:eastAsia="Times New Roman" w:hAnsi="Calibri" w:cs="Calibri"/>
                <w:b/>
                <w:bCs/>
                <w:i/>
                <w:iCs/>
                <w:color w:val="000000"/>
                <w:kern w:val="0"/>
                <w:sz w:val="18"/>
                <w:szCs w:val="18"/>
                <w:lang w:eastAsia="en-AU"/>
                <w14:ligatures w14:val="none"/>
              </w:rPr>
              <w:t xml:space="preserve"> </w:t>
            </w:r>
            <w:r w:rsidRPr="00D479B3">
              <w:rPr>
                <w:rFonts w:ascii="Calibri" w:eastAsia="Times New Roman" w:hAnsi="Calibri" w:cs="Calibri"/>
                <w:b/>
                <w:bCs/>
                <w:i/>
                <w:iCs/>
                <w:color w:val="A02B93" w:themeColor="accent5"/>
                <w:kern w:val="0"/>
                <w:sz w:val="18"/>
                <w:szCs w:val="18"/>
                <w:lang w:eastAsia="en-AU"/>
                <w14:ligatures w14:val="none"/>
              </w:rPr>
              <w:t>-</w:t>
            </w:r>
            <w:r w:rsidR="00DA6DD8" w:rsidRPr="00D479B3">
              <w:rPr>
                <w:rFonts w:ascii="Calibri" w:eastAsia="Times New Roman" w:hAnsi="Calibri" w:cs="Calibri"/>
                <w:i/>
                <w:iCs/>
                <w:color w:val="000000"/>
                <w:kern w:val="0"/>
                <w:sz w:val="18"/>
                <w:szCs w:val="18"/>
                <w:lang w:eastAsia="en-AU"/>
                <w14:ligatures w14:val="none"/>
              </w:rPr>
              <w:t xml:space="preserve"> (76)</w:t>
            </w:r>
          </w:p>
        </w:tc>
        <w:tc>
          <w:tcPr>
            <w:tcW w:w="508" w:type="pct"/>
            <w:tcBorders>
              <w:top w:val="dotted" w:sz="4" w:space="0" w:color="auto"/>
              <w:left w:val="nil"/>
              <w:bottom w:val="single" w:sz="4" w:space="0" w:color="auto"/>
              <w:right w:val="dotted" w:sz="4" w:space="0" w:color="auto"/>
            </w:tcBorders>
            <w:vAlign w:val="center"/>
            <w:hideMark/>
          </w:tcPr>
          <w:p w14:paraId="444DD6D6" w14:textId="08AD3B46" w:rsidR="00DA6DD8" w:rsidRPr="00D479B3" w:rsidRDefault="00D84A38" w:rsidP="00DA6DD8">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b/>
                <w:bCs/>
                <w:i/>
                <w:iCs/>
                <w:color w:val="0B769F" w:themeColor="accent4" w:themeShade="BF"/>
                <w:kern w:val="0"/>
                <w:sz w:val="18"/>
                <w:szCs w:val="18"/>
                <w:lang w:eastAsia="en-AU"/>
                <w14:ligatures w14:val="none"/>
              </w:rPr>
              <w:t>-</w:t>
            </w:r>
            <w:r w:rsidRPr="00D479B3">
              <w:rPr>
                <w:rFonts w:ascii="Calibri" w:eastAsia="Times New Roman" w:hAnsi="Calibri" w:cs="Calibri"/>
                <w:b/>
                <w:bCs/>
                <w:i/>
                <w:iCs/>
                <w:color w:val="000000"/>
                <w:kern w:val="0"/>
                <w:sz w:val="18"/>
                <w:szCs w:val="18"/>
                <w:lang w:eastAsia="en-AU"/>
                <w14:ligatures w14:val="none"/>
              </w:rPr>
              <w:t xml:space="preserve"> </w:t>
            </w:r>
            <w:r w:rsidRPr="00D479B3">
              <w:rPr>
                <w:rFonts w:ascii="Calibri" w:eastAsia="Times New Roman" w:hAnsi="Calibri" w:cs="Calibri"/>
                <w:b/>
                <w:bCs/>
                <w:i/>
                <w:iCs/>
                <w:color w:val="A02B93" w:themeColor="accent5"/>
                <w:kern w:val="0"/>
                <w:sz w:val="18"/>
                <w:szCs w:val="18"/>
                <w:lang w:eastAsia="en-AU"/>
                <w14:ligatures w14:val="none"/>
              </w:rPr>
              <w:t>-</w:t>
            </w:r>
            <w:r w:rsidR="00DA6DD8" w:rsidRPr="00D479B3">
              <w:rPr>
                <w:rFonts w:ascii="Calibri" w:eastAsia="Times New Roman" w:hAnsi="Calibri" w:cs="Calibri"/>
                <w:i/>
                <w:iCs/>
                <w:color w:val="000000"/>
                <w:kern w:val="0"/>
                <w:sz w:val="18"/>
                <w:szCs w:val="18"/>
                <w:lang w:eastAsia="en-AU"/>
                <w14:ligatures w14:val="none"/>
              </w:rPr>
              <w:t xml:space="preserve"> (91)</w:t>
            </w:r>
          </w:p>
        </w:tc>
        <w:tc>
          <w:tcPr>
            <w:tcW w:w="458" w:type="pct"/>
            <w:tcBorders>
              <w:top w:val="dotted" w:sz="4" w:space="0" w:color="auto"/>
              <w:left w:val="nil"/>
              <w:bottom w:val="single" w:sz="4" w:space="0" w:color="auto"/>
              <w:right w:val="dotted" w:sz="4" w:space="0" w:color="auto"/>
            </w:tcBorders>
            <w:vAlign w:val="center"/>
            <w:hideMark/>
          </w:tcPr>
          <w:p w14:paraId="7937AC0D" w14:textId="69BAC53D" w:rsidR="00DA6DD8" w:rsidRPr="00D479B3" w:rsidRDefault="00D84A38" w:rsidP="00DA6DD8">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b/>
                <w:bCs/>
                <w:i/>
                <w:iCs/>
                <w:color w:val="0B769F" w:themeColor="accent4" w:themeShade="BF"/>
                <w:kern w:val="0"/>
                <w:sz w:val="18"/>
                <w:szCs w:val="18"/>
                <w:lang w:eastAsia="en-AU"/>
                <w14:ligatures w14:val="none"/>
              </w:rPr>
              <w:t>-</w:t>
            </w:r>
            <w:r w:rsidRPr="00D479B3">
              <w:rPr>
                <w:rFonts w:ascii="Calibri" w:eastAsia="Times New Roman" w:hAnsi="Calibri" w:cs="Calibri"/>
                <w:b/>
                <w:bCs/>
                <w:i/>
                <w:iCs/>
                <w:color w:val="000000"/>
                <w:kern w:val="0"/>
                <w:sz w:val="18"/>
                <w:szCs w:val="18"/>
                <w:lang w:eastAsia="en-AU"/>
                <w14:ligatures w14:val="none"/>
              </w:rPr>
              <w:t xml:space="preserve"> </w:t>
            </w:r>
            <w:r w:rsidRPr="00D479B3">
              <w:rPr>
                <w:rFonts w:ascii="Calibri" w:eastAsia="Times New Roman" w:hAnsi="Calibri" w:cs="Calibri"/>
                <w:b/>
                <w:bCs/>
                <w:i/>
                <w:iCs/>
                <w:color w:val="A02B93" w:themeColor="accent5"/>
                <w:kern w:val="0"/>
                <w:sz w:val="18"/>
                <w:szCs w:val="18"/>
                <w:lang w:eastAsia="en-AU"/>
                <w14:ligatures w14:val="none"/>
              </w:rPr>
              <w:t>-</w:t>
            </w:r>
            <w:r w:rsidR="00DA6DD8" w:rsidRPr="00D479B3">
              <w:rPr>
                <w:rFonts w:ascii="Calibri" w:eastAsia="Times New Roman" w:hAnsi="Calibri" w:cs="Calibri"/>
                <w:i/>
                <w:iCs/>
                <w:color w:val="000000"/>
                <w:kern w:val="0"/>
                <w:sz w:val="18"/>
                <w:szCs w:val="18"/>
                <w:lang w:eastAsia="en-AU"/>
                <w14:ligatures w14:val="none"/>
              </w:rPr>
              <w:t xml:space="preserve"> (81)</w:t>
            </w:r>
          </w:p>
        </w:tc>
        <w:tc>
          <w:tcPr>
            <w:tcW w:w="478" w:type="pct"/>
            <w:tcBorders>
              <w:top w:val="dotted" w:sz="4" w:space="0" w:color="auto"/>
              <w:left w:val="nil"/>
              <w:bottom w:val="single" w:sz="4" w:space="0" w:color="auto"/>
              <w:right w:val="single" w:sz="8" w:space="0" w:color="auto"/>
            </w:tcBorders>
            <w:hideMark/>
          </w:tcPr>
          <w:p w14:paraId="67D06688" w14:textId="5DDBCC08" w:rsidR="00DA6DD8" w:rsidRPr="00D479B3" w:rsidRDefault="00DA6DD8" w:rsidP="00DA6DD8">
            <w:pPr>
              <w:spacing w:after="0" w:line="240" w:lineRule="auto"/>
              <w:jc w:val="center"/>
              <w:rPr>
                <w:rFonts w:ascii="Calibri" w:eastAsia="Times New Roman" w:hAnsi="Calibri" w:cs="Calibri"/>
                <w:b/>
                <w:bCs/>
                <w:i/>
                <w:iCs/>
                <w:color w:val="000000"/>
                <w:kern w:val="0"/>
                <w:sz w:val="18"/>
                <w:szCs w:val="18"/>
                <w:lang w:eastAsia="en-AU"/>
                <w14:ligatures w14:val="none"/>
              </w:rPr>
            </w:pPr>
            <w:r w:rsidRPr="00D479B3">
              <w:rPr>
                <w:rFonts w:ascii="Calibri" w:eastAsia="Times New Roman" w:hAnsi="Calibri" w:cs="Calibri"/>
                <w:b/>
                <w:bCs/>
                <w:i/>
                <w:iCs/>
                <w:color w:val="000000"/>
                <w:kern w:val="0"/>
                <w:sz w:val="18"/>
                <w:szCs w:val="18"/>
                <w:lang w:eastAsia="en-AU"/>
                <w14:ligatures w14:val="none"/>
              </w:rPr>
              <w:t>-</w:t>
            </w:r>
          </w:p>
        </w:tc>
      </w:tr>
      <w:tr w:rsidR="00774ED6" w:rsidRPr="00D633FF" w14:paraId="20707ABC" w14:textId="77777777" w:rsidTr="00023D8D">
        <w:trPr>
          <w:trHeight w:val="141"/>
        </w:trPr>
        <w:tc>
          <w:tcPr>
            <w:tcW w:w="708" w:type="pct"/>
            <w:tcBorders>
              <w:top w:val="nil"/>
              <w:left w:val="single" w:sz="8" w:space="0" w:color="auto"/>
              <w:bottom w:val="nil"/>
              <w:right w:val="single" w:sz="8" w:space="0" w:color="auto"/>
            </w:tcBorders>
            <w:shd w:val="clear" w:color="auto" w:fill="F2CEED" w:themeFill="accent5" w:themeFillTint="33"/>
            <w:vAlign w:val="center"/>
            <w:hideMark/>
          </w:tcPr>
          <w:p w14:paraId="7F7ED3C4" w14:textId="77777777" w:rsidR="00243A2F" w:rsidRPr="00F66628" w:rsidRDefault="00243A2F" w:rsidP="00835F2E">
            <w:pPr>
              <w:spacing w:after="0" w:line="240" w:lineRule="auto"/>
              <w:rPr>
                <w:rFonts w:ascii="Calibri" w:eastAsia="Times New Roman" w:hAnsi="Calibri" w:cs="Calibri"/>
                <w:b/>
                <w:bCs/>
                <w:color w:val="000000"/>
                <w:kern w:val="0"/>
                <w:sz w:val="18"/>
                <w:szCs w:val="18"/>
                <w:lang w:eastAsia="en-AU"/>
                <w14:ligatures w14:val="none"/>
              </w:rPr>
            </w:pPr>
            <w:r w:rsidRPr="00F66628">
              <w:rPr>
                <w:rFonts w:ascii="Calibri" w:eastAsia="Times New Roman" w:hAnsi="Calibri" w:cs="Calibri"/>
                <w:b/>
                <w:bCs/>
                <w:color w:val="000000"/>
                <w:kern w:val="0"/>
                <w:sz w:val="18"/>
                <w:szCs w:val="18"/>
                <w:lang w:eastAsia="en-AU"/>
                <w14:ligatures w14:val="none"/>
              </w:rPr>
              <w:t xml:space="preserve">European Member States </w:t>
            </w:r>
          </w:p>
          <w:p w14:paraId="5F682A12" w14:textId="10B1D793" w:rsidR="00243A2F" w:rsidRPr="00D479B3" w:rsidRDefault="00243A2F" w:rsidP="00835F2E">
            <w:pPr>
              <w:spacing w:after="0" w:line="240" w:lineRule="auto"/>
              <w:rPr>
                <w:rFonts w:ascii="Calibri" w:eastAsia="Times New Roman" w:hAnsi="Calibri" w:cs="Calibri"/>
                <w:i/>
                <w:color w:val="000000"/>
                <w:kern w:val="0"/>
                <w:sz w:val="18"/>
                <w:szCs w:val="18"/>
                <w:lang w:eastAsia="en-AU"/>
                <w14:ligatures w14:val="none"/>
              </w:rPr>
            </w:pPr>
            <w:r w:rsidRPr="00F66628">
              <w:rPr>
                <w:rFonts w:ascii="Calibri" w:eastAsia="Times New Roman" w:hAnsi="Calibri" w:cs="Calibri"/>
                <w:i/>
                <w:iCs/>
                <w:color w:val="000000"/>
                <w:kern w:val="0"/>
                <w:sz w:val="16"/>
                <w:szCs w:val="16"/>
                <w:lang w:eastAsia="en-AU"/>
                <w14:ligatures w14:val="none"/>
              </w:rPr>
              <w:t>(food only)</w:t>
            </w:r>
          </w:p>
        </w:tc>
        <w:tc>
          <w:tcPr>
            <w:tcW w:w="500" w:type="pct"/>
            <w:tcBorders>
              <w:top w:val="single" w:sz="4" w:space="0" w:color="auto"/>
              <w:left w:val="nil"/>
              <w:bottom w:val="dotted" w:sz="4" w:space="0" w:color="auto"/>
              <w:right w:val="dotted" w:sz="4" w:space="0" w:color="auto"/>
            </w:tcBorders>
            <w:shd w:val="clear" w:color="auto" w:fill="F2CEED" w:themeFill="accent5" w:themeFillTint="33"/>
            <w:vAlign w:val="center"/>
            <w:hideMark/>
          </w:tcPr>
          <w:p w14:paraId="3A22E169" w14:textId="354DD460" w:rsidR="00243A2F" w:rsidRPr="00D479B3" w:rsidRDefault="00243A2F" w:rsidP="00835F2E">
            <w:pPr>
              <w:spacing w:after="0" w:line="240" w:lineRule="auto"/>
              <w:jc w:val="center"/>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1-3yrs</w:t>
            </w:r>
          </w:p>
        </w:tc>
        <w:tc>
          <w:tcPr>
            <w:tcW w:w="466" w:type="pct"/>
            <w:tcBorders>
              <w:top w:val="single" w:sz="4" w:space="0" w:color="auto"/>
              <w:left w:val="nil"/>
              <w:bottom w:val="dotted" w:sz="4" w:space="0" w:color="auto"/>
            </w:tcBorders>
            <w:shd w:val="clear" w:color="auto" w:fill="F2CEED" w:themeFill="accent5" w:themeFillTint="33"/>
            <w:vAlign w:val="center"/>
            <w:hideMark/>
          </w:tcPr>
          <w:p w14:paraId="5D2209A4" w14:textId="77777777" w:rsidR="00243A2F" w:rsidRPr="00D479B3" w:rsidRDefault="00243A2F" w:rsidP="00835F2E">
            <w:pPr>
              <w:spacing w:after="0" w:line="240" w:lineRule="auto"/>
              <w:jc w:val="center"/>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3-10yrs</w:t>
            </w:r>
          </w:p>
        </w:tc>
        <w:tc>
          <w:tcPr>
            <w:tcW w:w="406" w:type="pct"/>
            <w:tcBorders>
              <w:top w:val="single" w:sz="4" w:space="0" w:color="auto"/>
              <w:bottom w:val="dotted" w:sz="4" w:space="0" w:color="auto"/>
              <w:right w:val="single" w:sz="8" w:space="0" w:color="000000"/>
            </w:tcBorders>
            <w:shd w:val="clear" w:color="auto" w:fill="F2CEED" w:themeFill="accent5" w:themeFillTint="33"/>
            <w:vAlign w:val="center"/>
          </w:tcPr>
          <w:p w14:paraId="672E500F" w14:textId="5DA6A558" w:rsidR="00243A2F" w:rsidRPr="00D479B3" w:rsidRDefault="00243A2F" w:rsidP="00835F2E">
            <w:pPr>
              <w:spacing w:after="0" w:line="240" w:lineRule="auto"/>
              <w:jc w:val="center"/>
              <w:rPr>
                <w:rFonts w:ascii="Calibri" w:eastAsia="Times New Roman" w:hAnsi="Calibri" w:cs="Calibri"/>
                <w:b/>
                <w:bCs/>
                <w:color w:val="000000"/>
                <w:kern w:val="0"/>
                <w:sz w:val="18"/>
                <w:szCs w:val="18"/>
                <w:lang w:eastAsia="en-AU"/>
                <w14:ligatures w14:val="none"/>
              </w:rPr>
            </w:pPr>
          </w:p>
        </w:tc>
        <w:tc>
          <w:tcPr>
            <w:tcW w:w="509" w:type="pct"/>
            <w:tcBorders>
              <w:top w:val="single" w:sz="4" w:space="0" w:color="auto"/>
              <w:left w:val="nil"/>
              <w:bottom w:val="dotted" w:sz="4" w:space="0" w:color="auto"/>
            </w:tcBorders>
            <w:shd w:val="clear" w:color="auto" w:fill="F2CEED" w:themeFill="accent5" w:themeFillTint="33"/>
            <w:vAlign w:val="center"/>
            <w:hideMark/>
          </w:tcPr>
          <w:p w14:paraId="76A7679D" w14:textId="77777777" w:rsidR="00243A2F" w:rsidRPr="00D479B3" w:rsidRDefault="00243A2F" w:rsidP="00835F2E">
            <w:pPr>
              <w:spacing w:after="0" w:line="240" w:lineRule="auto"/>
              <w:jc w:val="center"/>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10-18yrs</w:t>
            </w:r>
          </w:p>
        </w:tc>
        <w:tc>
          <w:tcPr>
            <w:tcW w:w="457" w:type="pct"/>
            <w:tcBorders>
              <w:top w:val="single" w:sz="4" w:space="0" w:color="auto"/>
              <w:bottom w:val="dotted" w:sz="4" w:space="0" w:color="auto"/>
              <w:right w:val="single" w:sz="8" w:space="0" w:color="000000"/>
            </w:tcBorders>
            <w:shd w:val="clear" w:color="auto" w:fill="F2CEED" w:themeFill="accent5" w:themeFillTint="33"/>
            <w:vAlign w:val="center"/>
          </w:tcPr>
          <w:p w14:paraId="76C24442" w14:textId="574E6C8E" w:rsidR="00243A2F" w:rsidRPr="00D479B3" w:rsidRDefault="00243A2F" w:rsidP="00835F2E">
            <w:pPr>
              <w:spacing w:after="0" w:line="240" w:lineRule="auto"/>
              <w:jc w:val="center"/>
              <w:rPr>
                <w:rFonts w:ascii="Calibri" w:eastAsia="Times New Roman" w:hAnsi="Calibri" w:cs="Calibri"/>
                <w:b/>
                <w:bCs/>
                <w:color w:val="000000"/>
                <w:kern w:val="0"/>
                <w:sz w:val="18"/>
                <w:szCs w:val="18"/>
                <w:lang w:eastAsia="en-AU"/>
                <w14:ligatures w14:val="none"/>
              </w:rPr>
            </w:pPr>
          </w:p>
        </w:tc>
        <w:tc>
          <w:tcPr>
            <w:tcW w:w="509" w:type="pct"/>
            <w:tcBorders>
              <w:top w:val="single" w:sz="4" w:space="0" w:color="auto"/>
              <w:left w:val="nil"/>
              <w:bottom w:val="dotted" w:sz="4" w:space="0" w:color="auto"/>
            </w:tcBorders>
            <w:shd w:val="clear" w:color="auto" w:fill="F2CEED" w:themeFill="accent5" w:themeFillTint="33"/>
            <w:vAlign w:val="center"/>
            <w:hideMark/>
          </w:tcPr>
          <w:p w14:paraId="6F09C37C" w14:textId="77777777" w:rsidR="00243A2F" w:rsidRPr="00D479B3" w:rsidRDefault="00243A2F" w:rsidP="00835F2E">
            <w:pPr>
              <w:spacing w:after="0" w:line="240" w:lineRule="auto"/>
              <w:jc w:val="center"/>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18-64yrs</w:t>
            </w:r>
          </w:p>
        </w:tc>
        <w:tc>
          <w:tcPr>
            <w:tcW w:w="508" w:type="pct"/>
            <w:tcBorders>
              <w:top w:val="single" w:sz="4" w:space="0" w:color="auto"/>
              <w:bottom w:val="dotted" w:sz="4" w:space="0" w:color="auto"/>
              <w:right w:val="single" w:sz="8" w:space="0" w:color="000000"/>
            </w:tcBorders>
            <w:shd w:val="clear" w:color="auto" w:fill="F2CEED" w:themeFill="accent5" w:themeFillTint="33"/>
            <w:vAlign w:val="center"/>
          </w:tcPr>
          <w:p w14:paraId="15C19F00" w14:textId="6D97AE61" w:rsidR="00243A2F" w:rsidRPr="00D479B3" w:rsidRDefault="00243A2F" w:rsidP="00835F2E">
            <w:pPr>
              <w:spacing w:after="0" w:line="240" w:lineRule="auto"/>
              <w:jc w:val="center"/>
              <w:rPr>
                <w:rFonts w:ascii="Calibri" w:eastAsia="Times New Roman" w:hAnsi="Calibri" w:cs="Calibri"/>
                <w:b/>
                <w:bCs/>
                <w:color w:val="000000"/>
                <w:kern w:val="0"/>
                <w:sz w:val="18"/>
                <w:szCs w:val="18"/>
                <w:lang w:eastAsia="en-AU"/>
                <w14:ligatures w14:val="none"/>
              </w:rPr>
            </w:pPr>
          </w:p>
        </w:tc>
        <w:tc>
          <w:tcPr>
            <w:tcW w:w="458" w:type="pct"/>
            <w:tcBorders>
              <w:top w:val="single" w:sz="4" w:space="0" w:color="auto"/>
              <w:left w:val="nil"/>
              <w:bottom w:val="dotted" w:sz="4" w:space="0" w:color="auto"/>
              <w:right w:val="single" w:sz="8" w:space="0" w:color="auto"/>
            </w:tcBorders>
            <w:shd w:val="clear" w:color="auto" w:fill="F2CEED" w:themeFill="accent5" w:themeFillTint="33"/>
            <w:vAlign w:val="center"/>
            <w:hideMark/>
          </w:tcPr>
          <w:p w14:paraId="3FFD82C4" w14:textId="05DF394E" w:rsidR="00243A2F" w:rsidRPr="00D479B3" w:rsidRDefault="00243A2F" w:rsidP="00835F2E">
            <w:pPr>
              <w:spacing w:after="0" w:line="240" w:lineRule="auto"/>
              <w:jc w:val="center"/>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65-74yrs</w:t>
            </w:r>
          </w:p>
        </w:tc>
        <w:tc>
          <w:tcPr>
            <w:tcW w:w="478" w:type="pct"/>
            <w:tcBorders>
              <w:top w:val="single" w:sz="4" w:space="0" w:color="auto"/>
              <w:left w:val="nil"/>
              <w:bottom w:val="dotted" w:sz="4" w:space="0" w:color="auto"/>
              <w:right w:val="single" w:sz="8" w:space="0" w:color="auto"/>
            </w:tcBorders>
            <w:shd w:val="clear" w:color="auto" w:fill="F2CEED" w:themeFill="accent5" w:themeFillTint="33"/>
            <w:vAlign w:val="center"/>
            <w:hideMark/>
          </w:tcPr>
          <w:p w14:paraId="7B8E62C8" w14:textId="01663CFF" w:rsidR="00243A2F" w:rsidRPr="00D479B3" w:rsidRDefault="00243A2F" w:rsidP="00835F2E">
            <w:pPr>
              <w:spacing w:after="0" w:line="240" w:lineRule="auto"/>
              <w:jc w:val="center"/>
              <w:rPr>
                <w:rFonts w:ascii="Calibri" w:eastAsia="Times New Roman" w:hAnsi="Calibri" w:cs="Calibri"/>
                <w:b/>
                <w:bCs/>
                <w:color w:val="000000"/>
                <w:kern w:val="0"/>
                <w:sz w:val="18"/>
                <w:szCs w:val="18"/>
                <w:lang w:eastAsia="en-AU"/>
                <w14:ligatures w14:val="none"/>
              </w:rPr>
            </w:pPr>
            <w:r w:rsidRPr="00D479B3">
              <w:rPr>
                <w:rFonts w:ascii="Calibri" w:eastAsia="Times New Roman" w:hAnsi="Calibri" w:cs="Calibri"/>
                <w:b/>
                <w:bCs/>
                <w:color w:val="000000"/>
                <w:kern w:val="0"/>
                <w:sz w:val="18"/>
                <w:szCs w:val="18"/>
                <w:lang w:eastAsia="en-AU"/>
                <w14:ligatures w14:val="none"/>
              </w:rPr>
              <w:t>75+yrs</w:t>
            </w:r>
          </w:p>
        </w:tc>
      </w:tr>
      <w:tr w:rsidR="00774ED6" w:rsidRPr="00D633FF" w14:paraId="17B9CCB3" w14:textId="77777777" w:rsidTr="00023D8D">
        <w:trPr>
          <w:trHeight w:val="288"/>
        </w:trPr>
        <w:tc>
          <w:tcPr>
            <w:tcW w:w="708" w:type="pct"/>
            <w:tcBorders>
              <w:top w:val="nil"/>
              <w:left w:val="single" w:sz="8" w:space="0" w:color="auto"/>
              <w:bottom w:val="dotted" w:sz="4" w:space="0" w:color="auto"/>
              <w:right w:val="single" w:sz="8" w:space="0" w:color="auto"/>
            </w:tcBorders>
            <w:shd w:val="clear" w:color="auto" w:fill="F2CEED" w:themeFill="accent5" w:themeFillTint="33"/>
            <w:vAlign w:val="center"/>
            <w:hideMark/>
          </w:tcPr>
          <w:p w14:paraId="16213D50" w14:textId="2A7CB4A3" w:rsidR="00243A2F" w:rsidRPr="00D479B3" w:rsidRDefault="00243A2F" w:rsidP="007A0490">
            <w:pPr>
              <w:spacing w:after="0" w:line="240" w:lineRule="auto"/>
              <w:jc w:val="right"/>
              <w:rPr>
                <w:rFonts w:ascii="Calibri" w:eastAsia="Times New Roman" w:hAnsi="Calibri" w:cs="Calibri"/>
                <w:color w:val="000000"/>
                <w:kern w:val="0"/>
                <w:sz w:val="18"/>
                <w:szCs w:val="18"/>
                <w:lang w:eastAsia="en-AU"/>
                <w14:ligatures w14:val="none"/>
              </w:rPr>
            </w:pPr>
            <w:r w:rsidRPr="00D479B3">
              <w:rPr>
                <w:rFonts w:ascii="Calibri" w:eastAsia="Times New Roman" w:hAnsi="Calibri" w:cs="Calibri"/>
                <w:color w:val="000000"/>
                <w:kern w:val="0"/>
                <w:sz w:val="18"/>
                <w:szCs w:val="18"/>
                <w:lang w:eastAsia="en-AU"/>
                <w14:ligatures w14:val="none"/>
              </w:rPr>
              <w:t>(</w:t>
            </w:r>
            <w:r w:rsidRPr="00D479B3">
              <w:rPr>
                <w:rFonts w:ascii="Calibri" w:eastAsia="Times New Roman" w:hAnsi="Calibri" w:cs="Calibri"/>
                <w:b/>
                <w:bCs/>
                <w:color w:val="000000"/>
                <w:kern w:val="0"/>
                <w:sz w:val="18"/>
                <w:szCs w:val="18"/>
                <w:lang w:eastAsia="en-AU"/>
                <w14:ligatures w14:val="none"/>
              </w:rPr>
              <w:t>Max P95</w:t>
            </w:r>
            <w:r w:rsidRPr="00D479B3">
              <w:rPr>
                <w:rFonts w:ascii="Calibri" w:eastAsia="Times New Roman" w:hAnsi="Calibri" w:cs="Calibri"/>
                <w:color w:val="000000"/>
                <w:kern w:val="0"/>
                <w:sz w:val="18"/>
                <w:szCs w:val="18"/>
                <w:lang w:eastAsia="en-AU"/>
                <w14:ligatures w14:val="none"/>
              </w:rPr>
              <w:t>)</w:t>
            </w:r>
          </w:p>
        </w:tc>
        <w:tc>
          <w:tcPr>
            <w:tcW w:w="500" w:type="pct"/>
            <w:tcBorders>
              <w:top w:val="nil"/>
              <w:left w:val="nil"/>
              <w:bottom w:val="dotted" w:sz="4" w:space="0" w:color="auto"/>
              <w:right w:val="dotted" w:sz="4" w:space="0" w:color="auto"/>
            </w:tcBorders>
            <w:vAlign w:val="center"/>
            <w:hideMark/>
          </w:tcPr>
          <w:p w14:paraId="1439F6B0" w14:textId="165B9FE3" w:rsidR="00243A2F" w:rsidRPr="00D479B3" w:rsidRDefault="00243A2F" w:rsidP="00835F2E">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b/>
                <w:bCs/>
                <w:i/>
                <w:iCs/>
                <w:color w:val="0B769F" w:themeColor="accent4" w:themeShade="BF"/>
                <w:kern w:val="0"/>
                <w:sz w:val="18"/>
                <w:szCs w:val="18"/>
                <w:lang w:eastAsia="en-AU"/>
                <w14:ligatures w14:val="none"/>
              </w:rPr>
              <w:t>-</w:t>
            </w:r>
            <w:r w:rsidRPr="00D479B3">
              <w:rPr>
                <w:rFonts w:ascii="Calibri" w:eastAsia="Times New Roman" w:hAnsi="Calibri" w:cs="Calibri"/>
                <w:b/>
                <w:bCs/>
                <w:i/>
                <w:iCs/>
                <w:color w:val="000000"/>
                <w:kern w:val="0"/>
                <w:sz w:val="18"/>
                <w:szCs w:val="18"/>
                <w:lang w:eastAsia="en-AU"/>
                <w14:ligatures w14:val="none"/>
              </w:rPr>
              <w:t xml:space="preserve"> </w:t>
            </w:r>
            <w:r w:rsidRPr="00D479B3">
              <w:rPr>
                <w:rFonts w:ascii="Calibri" w:eastAsia="Times New Roman" w:hAnsi="Calibri" w:cs="Calibri"/>
                <w:b/>
                <w:bCs/>
                <w:i/>
                <w:iCs/>
                <w:color w:val="A02B93" w:themeColor="accent5"/>
                <w:kern w:val="0"/>
                <w:sz w:val="18"/>
                <w:szCs w:val="18"/>
                <w:lang w:eastAsia="en-AU"/>
                <w14:ligatures w14:val="none"/>
              </w:rPr>
              <w:t>-</w:t>
            </w:r>
            <w:r w:rsidRPr="00D479B3">
              <w:rPr>
                <w:rFonts w:ascii="Calibri" w:eastAsia="Times New Roman" w:hAnsi="Calibri" w:cs="Calibri"/>
                <w:i/>
                <w:iCs/>
                <w:color w:val="000000"/>
                <w:kern w:val="0"/>
                <w:sz w:val="18"/>
                <w:szCs w:val="18"/>
                <w:lang w:eastAsia="en-AU"/>
                <w14:ligatures w14:val="none"/>
              </w:rPr>
              <w:t xml:space="preserve"> (59)</w:t>
            </w:r>
          </w:p>
        </w:tc>
        <w:tc>
          <w:tcPr>
            <w:tcW w:w="466" w:type="pct"/>
            <w:tcBorders>
              <w:top w:val="dotted" w:sz="4" w:space="0" w:color="auto"/>
              <w:left w:val="nil"/>
              <w:bottom w:val="dotted" w:sz="4" w:space="0" w:color="auto"/>
            </w:tcBorders>
            <w:vAlign w:val="center"/>
            <w:hideMark/>
          </w:tcPr>
          <w:p w14:paraId="1D7686AB" w14:textId="77777777" w:rsidR="00243A2F" w:rsidRPr="00D479B3" w:rsidRDefault="00243A2F" w:rsidP="00835F2E">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b/>
                <w:bCs/>
                <w:i/>
                <w:iCs/>
                <w:color w:val="0B769F" w:themeColor="accent4" w:themeShade="BF"/>
                <w:kern w:val="0"/>
                <w:sz w:val="18"/>
                <w:szCs w:val="18"/>
                <w:lang w:eastAsia="en-AU"/>
                <w14:ligatures w14:val="none"/>
              </w:rPr>
              <w:t>-</w:t>
            </w:r>
            <w:r w:rsidRPr="00D479B3">
              <w:rPr>
                <w:rFonts w:ascii="Calibri" w:eastAsia="Times New Roman" w:hAnsi="Calibri" w:cs="Calibri"/>
                <w:b/>
                <w:bCs/>
                <w:i/>
                <w:iCs/>
                <w:color w:val="000000"/>
                <w:kern w:val="0"/>
                <w:sz w:val="18"/>
                <w:szCs w:val="18"/>
                <w:lang w:eastAsia="en-AU"/>
                <w14:ligatures w14:val="none"/>
              </w:rPr>
              <w:t xml:space="preserve"> </w:t>
            </w:r>
            <w:r w:rsidRPr="00D479B3">
              <w:rPr>
                <w:rFonts w:ascii="Calibri" w:eastAsia="Times New Roman" w:hAnsi="Calibri" w:cs="Calibri"/>
                <w:b/>
                <w:bCs/>
                <w:i/>
                <w:iCs/>
                <w:color w:val="A02B93" w:themeColor="accent5"/>
                <w:kern w:val="0"/>
                <w:sz w:val="18"/>
                <w:szCs w:val="18"/>
                <w:lang w:eastAsia="en-AU"/>
                <w14:ligatures w14:val="none"/>
              </w:rPr>
              <w:t>-</w:t>
            </w:r>
            <w:r w:rsidRPr="00D479B3">
              <w:rPr>
                <w:rFonts w:ascii="Calibri" w:eastAsia="Times New Roman" w:hAnsi="Calibri" w:cs="Calibri"/>
                <w:i/>
                <w:iCs/>
                <w:color w:val="000000"/>
                <w:kern w:val="0"/>
                <w:sz w:val="18"/>
                <w:szCs w:val="18"/>
                <w:lang w:eastAsia="en-AU"/>
                <w14:ligatures w14:val="none"/>
              </w:rPr>
              <w:t xml:space="preserve"> (68)</w:t>
            </w:r>
          </w:p>
        </w:tc>
        <w:tc>
          <w:tcPr>
            <w:tcW w:w="406" w:type="pct"/>
            <w:tcBorders>
              <w:top w:val="dotted" w:sz="4" w:space="0" w:color="auto"/>
              <w:bottom w:val="dotted" w:sz="4" w:space="0" w:color="auto"/>
              <w:right w:val="single" w:sz="8" w:space="0" w:color="000000"/>
            </w:tcBorders>
            <w:vAlign w:val="center"/>
          </w:tcPr>
          <w:p w14:paraId="0EB98280" w14:textId="753F6E47" w:rsidR="00243A2F" w:rsidRPr="00D479B3" w:rsidRDefault="00243A2F" w:rsidP="00835F2E">
            <w:pPr>
              <w:spacing w:after="0" w:line="240" w:lineRule="auto"/>
              <w:jc w:val="center"/>
              <w:rPr>
                <w:rFonts w:ascii="Calibri" w:eastAsia="Times New Roman" w:hAnsi="Calibri" w:cs="Calibri"/>
                <w:i/>
                <w:iCs/>
                <w:color w:val="000000"/>
                <w:kern w:val="0"/>
                <w:sz w:val="18"/>
                <w:szCs w:val="18"/>
                <w:lang w:eastAsia="en-AU"/>
                <w14:ligatures w14:val="none"/>
              </w:rPr>
            </w:pPr>
          </w:p>
        </w:tc>
        <w:tc>
          <w:tcPr>
            <w:tcW w:w="509" w:type="pct"/>
            <w:tcBorders>
              <w:top w:val="dotted" w:sz="4" w:space="0" w:color="auto"/>
              <w:left w:val="nil"/>
              <w:bottom w:val="dotted" w:sz="4" w:space="0" w:color="auto"/>
            </w:tcBorders>
            <w:vAlign w:val="center"/>
            <w:hideMark/>
          </w:tcPr>
          <w:p w14:paraId="7E0FE2F7" w14:textId="77777777" w:rsidR="00243A2F" w:rsidRPr="00D479B3" w:rsidRDefault="00243A2F" w:rsidP="00835F2E">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b/>
                <w:bCs/>
                <w:i/>
                <w:iCs/>
                <w:color w:val="0B769F" w:themeColor="accent4" w:themeShade="BF"/>
                <w:kern w:val="0"/>
                <w:sz w:val="18"/>
                <w:szCs w:val="18"/>
                <w:lang w:eastAsia="en-AU"/>
                <w14:ligatures w14:val="none"/>
              </w:rPr>
              <w:t>-</w:t>
            </w:r>
            <w:r w:rsidRPr="00D479B3">
              <w:rPr>
                <w:rFonts w:ascii="Calibri" w:eastAsia="Times New Roman" w:hAnsi="Calibri" w:cs="Calibri"/>
                <w:b/>
                <w:bCs/>
                <w:i/>
                <w:iCs/>
                <w:color w:val="000000"/>
                <w:kern w:val="0"/>
                <w:sz w:val="18"/>
                <w:szCs w:val="18"/>
                <w:lang w:eastAsia="en-AU"/>
                <w14:ligatures w14:val="none"/>
              </w:rPr>
              <w:t xml:space="preserve"> </w:t>
            </w:r>
            <w:r w:rsidRPr="00D479B3">
              <w:rPr>
                <w:rFonts w:ascii="Calibri" w:eastAsia="Times New Roman" w:hAnsi="Calibri" w:cs="Calibri"/>
                <w:b/>
                <w:bCs/>
                <w:i/>
                <w:iCs/>
                <w:color w:val="A02B93" w:themeColor="accent5"/>
                <w:kern w:val="0"/>
                <w:sz w:val="18"/>
                <w:szCs w:val="18"/>
                <w:lang w:eastAsia="en-AU"/>
                <w14:ligatures w14:val="none"/>
              </w:rPr>
              <w:t>-</w:t>
            </w:r>
            <w:r w:rsidRPr="00D479B3">
              <w:rPr>
                <w:rFonts w:ascii="Calibri" w:eastAsia="Times New Roman" w:hAnsi="Calibri" w:cs="Calibri"/>
                <w:i/>
                <w:iCs/>
                <w:color w:val="000000"/>
                <w:kern w:val="0"/>
                <w:sz w:val="18"/>
                <w:szCs w:val="18"/>
                <w:lang w:eastAsia="en-AU"/>
                <w14:ligatures w14:val="none"/>
              </w:rPr>
              <w:t xml:space="preserve"> (92)</w:t>
            </w:r>
          </w:p>
        </w:tc>
        <w:tc>
          <w:tcPr>
            <w:tcW w:w="457" w:type="pct"/>
            <w:tcBorders>
              <w:top w:val="dotted" w:sz="4" w:space="0" w:color="auto"/>
              <w:bottom w:val="dotted" w:sz="4" w:space="0" w:color="auto"/>
              <w:right w:val="single" w:sz="8" w:space="0" w:color="000000"/>
            </w:tcBorders>
            <w:vAlign w:val="center"/>
          </w:tcPr>
          <w:p w14:paraId="7DD023B1" w14:textId="3319C10D" w:rsidR="00243A2F" w:rsidRPr="00D479B3" w:rsidRDefault="00243A2F" w:rsidP="00835F2E">
            <w:pPr>
              <w:spacing w:after="0" w:line="240" w:lineRule="auto"/>
              <w:jc w:val="center"/>
              <w:rPr>
                <w:rFonts w:ascii="Calibri" w:eastAsia="Times New Roman" w:hAnsi="Calibri" w:cs="Calibri"/>
                <w:i/>
                <w:iCs/>
                <w:color w:val="000000"/>
                <w:kern w:val="0"/>
                <w:sz w:val="18"/>
                <w:szCs w:val="18"/>
                <w:lang w:eastAsia="en-AU"/>
                <w14:ligatures w14:val="none"/>
              </w:rPr>
            </w:pPr>
          </w:p>
        </w:tc>
        <w:tc>
          <w:tcPr>
            <w:tcW w:w="509" w:type="pct"/>
            <w:tcBorders>
              <w:top w:val="dotted" w:sz="4" w:space="0" w:color="auto"/>
              <w:left w:val="nil"/>
              <w:bottom w:val="dotted" w:sz="4" w:space="0" w:color="auto"/>
            </w:tcBorders>
            <w:vAlign w:val="center"/>
            <w:hideMark/>
          </w:tcPr>
          <w:p w14:paraId="5C4EE528" w14:textId="77777777" w:rsidR="00243A2F" w:rsidRPr="00D479B3" w:rsidRDefault="00243A2F" w:rsidP="00835F2E">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b/>
                <w:bCs/>
                <w:i/>
                <w:iCs/>
                <w:color w:val="0B769F" w:themeColor="accent4" w:themeShade="BF"/>
                <w:kern w:val="0"/>
                <w:sz w:val="18"/>
                <w:szCs w:val="18"/>
                <w:lang w:eastAsia="en-AU"/>
                <w14:ligatures w14:val="none"/>
              </w:rPr>
              <w:t>-</w:t>
            </w:r>
            <w:r w:rsidRPr="00D479B3">
              <w:rPr>
                <w:rFonts w:ascii="Calibri" w:eastAsia="Times New Roman" w:hAnsi="Calibri" w:cs="Calibri"/>
                <w:b/>
                <w:bCs/>
                <w:i/>
                <w:iCs/>
                <w:color w:val="000000"/>
                <w:kern w:val="0"/>
                <w:sz w:val="18"/>
                <w:szCs w:val="18"/>
                <w:lang w:eastAsia="en-AU"/>
                <w14:ligatures w14:val="none"/>
              </w:rPr>
              <w:t xml:space="preserve"> </w:t>
            </w:r>
            <w:r w:rsidRPr="00D479B3">
              <w:rPr>
                <w:rFonts w:ascii="Calibri" w:eastAsia="Times New Roman" w:hAnsi="Calibri" w:cs="Calibri"/>
                <w:b/>
                <w:bCs/>
                <w:i/>
                <w:iCs/>
                <w:color w:val="A02B93" w:themeColor="accent5"/>
                <w:kern w:val="0"/>
                <w:sz w:val="18"/>
                <w:szCs w:val="18"/>
                <w:lang w:eastAsia="en-AU"/>
                <w14:ligatures w14:val="none"/>
              </w:rPr>
              <w:t>-</w:t>
            </w:r>
            <w:r w:rsidRPr="00D479B3">
              <w:rPr>
                <w:rFonts w:ascii="Calibri" w:eastAsia="Times New Roman" w:hAnsi="Calibri" w:cs="Calibri"/>
                <w:i/>
                <w:iCs/>
                <w:color w:val="000000"/>
                <w:kern w:val="0"/>
                <w:sz w:val="18"/>
                <w:szCs w:val="18"/>
                <w:lang w:eastAsia="en-AU"/>
                <w14:ligatures w14:val="none"/>
              </w:rPr>
              <w:t xml:space="preserve"> (99)</w:t>
            </w:r>
          </w:p>
        </w:tc>
        <w:tc>
          <w:tcPr>
            <w:tcW w:w="508" w:type="pct"/>
            <w:tcBorders>
              <w:top w:val="dotted" w:sz="4" w:space="0" w:color="auto"/>
              <w:bottom w:val="dotted" w:sz="4" w:space="0" w:color="auto"/>
              <w:right w:val="single" w:sz="8" w:space="0" w:color="000000"/>
            </w:tcBorders>
            <w:vAlign w:val="center"/>
          </w:tcPr>
          <w:p w14:paraId="34F62A2C" w14:textId="342075AB" w:rsidR="00243A2F" w:rsidRPr="00D479B3" w:rsidRDefault="00243A2F" w:rsidP="00835F2E">
            <w:pPr>
              <w:spacing w:after="0" w:line="240" w:lineRule="auto"/>
              <w:jc w:val="center"/>
              <w:rPr>
                <w:rFonts w:ascii="Calibri" w:eastAsia="Times New Roman" w:hAnsi="Calibri" w:cs="Calibri"/>
                <w:i/>
                <w:iCs/>
                <w:color w:val="000000"/>
                <w:kern w:val="0"/>
                <w:sz w:val="18"/>
                <w:szCs w:val="18"/>
                <w:lang w:eastAsia="en-AU"/>
                <w14:ligatures w14:val="none"/>
              </w:rPr>
            </w:pPr>
          </w:p>
        </w:tc>
        <w:tc>
          <w:tcPr>
            <w:tcW w:w="458" w:type="pct"/>
            <w:tcBorders>
              <w:top w:val="nil"/>
              <w:left w:val="nil"/>
              <w:bottom w:val="dotted" w:sz="4" w:space="0" w:color="auto"/>
              <w:right w:val="single" w:sz="8" w:space="0" w:color="auto"/>
            </w:tcBorders>
            <w:vAlign w:val="center"/>
            <w:hideMark/>
          </w:tcPr>
          <w:p w14:paraId="62BCB0F9" w14:textId="28114AFF" w:rsidR="00243A2F" w:rsidRPr="00D479B3" w:rsidRDefault="00243A2F" w:rsidP="00835F2E">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b/>
                <w:bCs/>
                <w:i/>
                <w:iCs/>
                <w:color w:val="0B769F" w:themeColor="accent4" w:themeShade="BF"/>
                <w:kern w:val="0"/>
                <w:sz w:val="18"/>
                <w:szCs w:val="18"/>
                <w:lang w:eastAsia="en-AU"/>
                <w14:ligatures w14:val="none"/>
              </w:rPr>
              <w:t>-</w:t>
            </w:r>
            <w:r w:rsidRPr="00D479B3">
              <w:rPr>
                <w:rFonts w:ascii="Calibri" w:eastAsia="Times New Roman" w:hAnsi="Calibri" w:cs="Calibri"/>
                <w:b/>
                <w:bCs/>
                <w:i/>
                <w:iCs/>
                <w:color w:val="000000"/>
                <w:kern w:val="0"/>
                <w:sz w:val="18"/>
                <w:szCs w:val="18"/>
                <w:lang w:eastAsia="en-AU"/>
                <w14:ligatures w14:val="none"/>
              </w:rPr>
              <w:t xml:space="preserve"> </w:t>
            </w:r>
            <w:r w:rsidRPr="00D479B3">
              <w:rPr>
                <w:rFonts w:ascii="Calibri" w:eastAsia="Times New Roman" w:hAnsi="Calibri" w:cs="Calibri"/>
                <w:b/>
                <w:bCs/>
                <w:i/>
                <w:iCs/>
                <w:color w:val="A02B93" w:themeColor="accent5"/>
                <w:kern w:val="0"/>
                <w:sz w:val="18"/>
                <w:szCs w:val="18"/>
                <w:lang w:eastAsia="en-AU"/>
                <w14:ligatures w14:val="none"/>
              </w:rPr>
              <w:t>-</w:t>
            </w:r>
            <w:r w:rsidRPr="00D479B3">
              <w:rPr>
                <w:rFonts w:ascii="Calibri" w:eastAsia="Times New Roman" w:hAnsi="Calibri" w:cs="Calibri"/>
                <w:i/>
                <w:iCs/>
                <w:color w:val="000000"/>
                <w:kern w:val="0"/>
                <w:sz w:val="18"/>
                <w:szCs w:val="18"/>
                <w:lang w:eastAsia="en-AU"/>
                <w14:ligatures w14:val="none"/>
              </w:rPr>
              <w:t xml:space="preserve"> (97)</w:t>
            </w:r>
          </w:p>
        </w:tc>
        <w:tc>
          <w:tcPr>
            <w:tcW w:w="478" w:type="pct"/>
            <w:tcBorders>
              <w:top w:val="nil"/>
              <w:left w:val="nil"/>
              <w:bottom w:val="dotted" w:sz="4" w:space="0" w:color="auto"/>
              <w:right w:val="single" w:sz="8" w:space="0" w:color="auto"/>
            </w:tcBorders>
            <w:vAlign w:val="center"/>
            <w:hideMark/>
          </w:tcPr>
          <w:p w14:paraId="7BDE3C3C" w14:textId="1AC5D5D3" w:rsidR="00243A2F" w:rsidRPr="00D479B3" w:rsidRDefault="00243A2F" w:rsidP="00835F2E">
            <w:pPr>
              <w:spacing w:after="0" w:line="240" w:lineRule="auto"/>
              <w:jc w:val="center"/>
              <w:rPr>
                <w:rFonts w:ascii="Calibri" w:eastAsia="Times New Roman" w:hAnsi="Calibri" w:cs="Calibri"/>
                <w:i/>
                <w:iCs/>
                <w:color w:val="467886"/>
                <w:kern w:val="0"/>
                <w:sz w:val="18"/>
                <w:szCs w:val="18"/>
                <w:u w:val="single"/>
                <w:lang w:eastAsia="en-AU"/>
                <w14:ligatures w14:val="none"/>
              </w:rPr>
            </w:pPr>
            <w:r w:rsidRPr="00D479B3">
              <w:rPr>
                <w:rFonts w:ascii="Calibri" w:eastAsia="Times New Roman" w:hAnsi="Calibri" w:cs="Calibri"/>
                <w:b/>
                <w:bCs/>
                <w:i/>
                <w:iCs/>
                <w:color w:val="0B769F" w:themeColor="accent4" w:themeShade="BF"/>
                <w:kern w:val="0"/>
                <w:sz w:val="18"/>
                <w:szCs w:val="18"/>
                <w:lang w:eastAsia="en-AU"/>
                <w14:ligatures w14:val="none"/>
              </w:rPr>
              <w:t>-</w:t>
            </w:r>
            <w:r w:rsidRPr="00D479B3">
              <w:rPr>
                <w:rFonts w:ascii="Calibri" w:eastAsia="Times New Roman" w:hAnsi="Calibri" w:cs="Calibri"/>
                <w:b/>
                <w:bCs/>
                <w:i/>
                <w:iCs/>
                <w:color w:val="000000"/>
                <w:kern w:val="0"/>
                <w:sz w:val="18"/>
                <w:szCs w:val="18"/>
                <w:lang w:eastAsia="en-AU"/>
                <w14:ligatures w14:val="none"/>
              </w:rPr>
              <w:t xml:space="preserve"> </w:t>
            </w:r>
            <w:r w:rsidRPr="00D479B3">
              <w:rPr>
                <w:rFonts w:ascii="Calibri" w:eastAsia="Times New Roman" w:hAnsi="Calibri" w:cs="Calibri"/>
                <w:b/>
                <w:bCs/>
                <w:i/>
                <w:iCs/>
                <w:color w:val="A02B93" w:themeColor="accent5"/>
                <w:kern w:val="0"/>
                <w:sz w:val="18"/>
                <w:szCs w:val="18"/>
                <w:lang w:eastAsia="en-AU"/>
                <w14:ligatures w14:val="none"/>
              </w:rPr>
              <w:t>-</w:t>
            </w:r>
            <w:r w:rsidRPr="00D479B3">
              <w:rPr>
                <w:rFonts w:ascii="Calibri" w:eastAsia="Times New Roman" w:hAnsi="Calibri" w:cs="Calibri"/>
                <w:i/>
                <w:iCs/>
                <w:color w:val="000000"/>
                <w:kern w:val="0"/>
                <w:sz w:val="18"/>
                <w:szCs w:val="18"/>
                <w:lang w:eastAsia="en-AU"/>
                <w14:ligatures w14:val="none"/>
              </w:rPr>
              <w:t xml:space="preserve"> (</w:t>
            </w:r>
            <w:r w:rsidRPr="00D479B3" w:rsidDel="00BD4490">
              <w:rPr>
                <w:rFonts w:ascii="Calibri" w:eastAsia="Times New Roman" w:hAnsi="Calibri" w:cs="Calibri"/>
                <w:i/>
                <w:iCs/>
                <w:color w:val="000000"/>
                <w:kern w:val="0"/>
                <w:sz w:val="18"/>
                <w:szCs w:val="18"/>
                <w:lang w:eastAsia="en-AU"/>
                <w14:ligatures w14:val="none"/>
              </w:rPr>
              <w:t>57</w:t>
            </w:r>
            <w:r w:rsidRPr="00D479B3" w:rsidDel="00BD4490">
              <w:rPr>
                <w:rFonts w:ascii="Calibri" w:hAnsi="Calibri" w:cs="Calibri"/>
                <w:i/>
                <w:iCs/>
                <w:sz w:val="18"/>
                <w:szCs w:val="18"/>
              </w:rPr>
              <w:t>**</w:t>
            </w:r>
            <w:r w:rsidRPr="00D479B3">
              <w:rPr>
                <w:rFonts w:ascii="Calibri" w:hAnsi="Calibri" w:cs="Calibri"/>
                <w:i/>
                <w:iCs/>
                <w:sz w:val="18"/>
                <w:szCs w:val="18"/>
              </w:rPr>
              <w:t>)</w:t>
            </w:r>
          </w:p>
        </w:tc>
      </w:tr>
      <w:tr w:rsidR="00774ED6" w:rsidRPr="00D633FF" w14:paraId="7CB9361B" w14:textId="77777777" w:rsidTr="00023D8D">
        <w:trPr>
          <w:trHeight w:val="300"/>
        </w:trPr>
        <w:tc>
          <w:tcPr>
            <w:tcW w:w="708" w:type="pct"/>
            <w:tcBorders>
              <w:top w:val="nil"/>
              <w:left w:val="single" w:sz="8" w:space="0" w:color="auto"/>
              <w:bottom w:val="single" w:sz="8" w:space="0" w:color="auto"/>
              <w:right w:val="single" w:sz="8" w:space="0" w:color="auto"/>
            </w:tcBorders>
            <w:shd w:val="clear" w:color="auto" w:fill="F2CEED" w:themeFill="accent5" w:themeFillTint="33"/>
            <w:vAlign w:val="center"/>
            <w:hideMark/>
          </w:tcPr>
          <w:p w14:paraId="4DEEAF17" w14:textId="5C372A07" w:rsidR="00243A2F" w:rsidRPr="00D479B3" w:rsidRDefault="00243A2F" w:rsidP="007A0490">
            <w:pPr>
              <w:spacing w:after="0" w:line="240" w:lineRule="auto"/>
              <w:jc w:val="right"/>
              <w:rPr>
                <w:rFonts w:ascii="Calibri" w:eastAsia="Times New Roman" w:hAnsi="Calibri" w:cs="Calibri"/>
                <w:color w:val="000000"/>
                <w:kern w:val="0"/>
                <w:sz w:val="18"/>
                <w:szCs w:val="18"/>
                <w:lang w:eastAsia="en-AU"/>
                <w14:ligatures w14:val="none"/>
              </w:rPr>
            </w:pPr>
            <w:r w:rsidRPr="00D479B3">
              <w:rPr>
                <w:rFonts w:ascii="Calibri" w:eastAsia="Times New Roman" w:hAnsi="Calibri" w:cs="Calibri"/>
                <w:color w:val="000000"/>
                <w:kern w:val="0"/>
                <w:sz w:val="18"/>
                <w:szCs w:val="18"/>
                <w:lang w:eastAsia="en-AU"/>
                <w14:ligatures w14:val="none"/>
              </w:rPr>
              <w:t>(</w:t>
            </w:r>
            <w:r w:rsidRPr="00D479B3">
              <w:rPr>
                <w:rFonts w:ascii="Calibri" w:eastAsia="Times New Roman" w:hAnsi="Calibri" w:cs="Calibri"/>
                <w:b/>
                <w:bCs/>
                <w:color w:val="000000"/>
                <w:kern w:val="0"/>
                <w:sz w:val="18"/>
                <w:szCs w:val="18"/>
                <w:lang w:eastAsia="en-AU"/>
                <w14:ligatures w14:val="none"/>
              </w:rPr>
              <w:t>Min P95</w:t>
            </w:r>
            <w:r w:rsidRPr="00D479B3">
              <w:rPr>
                <w:rFonts w:ascii="Calibri" w:eastAsia="Times New Roman" w:hAnsi="Calibri" w:cs="Calibri"/>
                <w:color w:val="000000"/>
                <w:kern w:val="0"/>
                <w:sz w:val="18"/>
                <w:szCs w:val="18"/>
                <w:lang w:eastAsia="en-AU"/>
                <w14:ligatures w14:val="none"/>
              </w:rPr>
              <w:t>)</w:t>
            </w:r>
          </w:p>
        </w:tc>
        <w:tc>
          <w:tcPr>
            <w:tcW w:w="500" w:type="pct"/>
            <w:tcBorders>
              <w:top w:val="nil"/>
              <w:left w:val="nil"/>
              <w:bottom w:val="single" w:sz="8" w:space="0" w:color="auto"/>
              <w:right w:val="dotted" w:sz="4" w:space="0" w:color="auto"/>
            </w:tcBorders>
            <w:vAlign w:val="center"/>
            <w:hideMark/>
          </w:tcPr>
          <w:p w14:paraId="58BFEACF" w14:textId="086A6CC7" w:rsidR="00243A2F" w:rsidRPr="00D479B3" w:rsidRDefault="00243A2F" w:rsidP="00835F2E">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b/>
                <w:bCs/>
                <w:i/>
                <w:iCs/>
                <w:color w:val="0B769F" w:themeColor="accent4" w:themeShade="BF"/>
                <w:kern w:val="0"/>
                <w:sz w:val="18"/>
                <w:szCs w:val="18"/>
                <w:lang w:eastAsia="en-AU"/>
                <w14:ligatures w14:val="none"/>
              </w:rPr>
              <w:t>-</w:t>
            </w:r>
            <w:r w:rsidRPr="00D479B3">
              <w:rPr>
                <w:rFonts w:ascii="Calibri" w:eastAsia="Times New Roman" w:hAnsi="Calibri" w:cs="Calibri"/>
                <w:b/>
                <w:bCs/>
                <w:i/>
                <w:iCs/>
                <w:color w:val="000000"/>
                <w:kern w:val="0"/>
                <w:sz w:val="18"/>
                <w:szCs w:val="18"/>
                <w:lang w:eastAsia="en-AU"/>
                <w14:ligatures w14:val="none"/>
              </w:rPr>
              <w:t xml:space="preserve"> </w:t>
            </w:r>
            <w:r w:rsidRPr="00D479B3">
              <w:rPr>
                <w:rFonts w:ascii="Calibri" w:eastAsia="Times New Roman" w:hAnsi="Calibri" w:cs="Calibri"/>
                <w:b/>
                <w:bCs/>
                <w:i/>
                <w:iCs/>
                <w:color w:val="A02B93" w:themeColor="accent5"/>
                <w:kern w:val="0"/>
                <w:sz w:val="18"/>
                <w:szCs w:val="18"/>
                <w:lang w:eastAsia="en-AU"/>
                <w14:ligatures w14:val="none"/>
              </w:rPr>
              <w:t>-</w:t>
            </w:r>
            <w:r w:rsidRPr="00D479B3">
              <w:rPr>
                <w:rFonts w:ascii="Calibri" w:eastAsia="Times New Roman" w:hAnsi="Calibri" w:cs="Calibri"/>
                <w:i/>
                <w:iCs/>
                <w:color w:val="000000"/>
                <w:kern w:val="0"/>
                <w:sz w:val="18"/>
                <w:szCs w:val="18"/>
                <w:lang w:eastAsia="en-AU"/>
                <w14:ligatures w14:val="none"/>
              </w:rPr>
              <w:t xml:space="preserve"> (30)</w:t>
            </w:r>
          </w:p>
        </w:tc>
        <w:tc>
          <w:tcPr>
            <w:tcW w:w="466" w:type="pct"/>
            <w:tcBorders>
              <w:top w:val="dotted" w:sz="4" w:space="0" w:color="auto"/>
              <w:left w:val="nil"/>
              <w:bottom w:val="single" w:sz="8" w:space="0" w:color="auto"/>
            </w:tcBorders>
            <w:vAlign w:val="center"/>
            <w:hideMark/>
          </w:tcPr>
          <w:p w14:paraId="7A9B4768" w14:textId="77777777" w:rsidR="00243A2F" w:rsidRPr="00D479B3" w:rsidRDefault="00243A2F" w:rsidP="00835F2E">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b/>
                <w:bCs/>
                <w:i/>
                <w:iCs/>
                <w:color w:val="0B769F" w:themeColor="accent4" w:themeShade="BF"/>
                <w:kern w:val="0"/>
                <w:sz w:val="18"/>
                <w:szCs w:val="18"/>
                <w:lang w:eastAsia="en-AU"/>
                <w14:ligatures w14:val="none"/>
              </w:rPr>
              <w:t>-</w:t>
            </w:r>
            <w:r w:rsidRPr="00D479B3">
              <w:rPr>
                <w:rFonts w:ascii="Calibri" w:eastAsia="Times New Roman" w:hAnsi="Calibri" w:cs="Calibri"/>
                <w:b/>
                <w:bCs/>
                <w:i/>
                <w:iCs/>
                <w:color w:val="000000"/>
                <w:kern w:val="0"/>
                <w:sz w:val="18"/>
                <w:szCs w:val="18"/>
                <w:lang w:eastAsia="en-AU"/>
                <w14:ligatures w14:val="none"/>
              </w:rPr>
              <w:t xml:space="preserve"> </w:t>
            </w:r>
            <w:r w:rsidRPr="00D479B3">
              <w:rPr>
                <w:rFonts w:ascii="Calibri" w:eastAsia="Times New Roman" w:hAnsi="Calibri" w:cs="Calibri"/>
                <w:b/>
                <w:bCs/>
                <w:i/>
                <w:iCs/>
                <w:color w:val="A02B93" w:themeColor="accent5"/>
                <w:kern w:val="0"/>
                <w:sz w:val="18"/>
                <w:szCs w:val="18"/>
                <w:lang w:eastAsia="en-AU"/>
                <w14:ligatures w14:val="none"/>
              </w:rPr>
              <w:t>-</w:t>
            </w:r>
            <w:r w:rsidRPr="00D479B3">
              <w:rPr>
                <w:rFonts w:ascii="Calibri" w:eastAsia="Times New Roman" w:hAnsi="Calibri" w:cs="Calibri"/>
                <w:i/>
                <w:iCs/>
                <w:color w:val="000000"/>
                <w:kern w:val="0"/>
                <w:sz w:val="18"/>
                <w:szCs w:val="18"/>
                <w:lang w:eastAsia="en-AU"/>
                <w14:ligatures w14:val="none"/>
              </w:rPr>
              <w:t xml:space="preserve"> (33)</w:t>
            </w:r>
          </w:p>
        </w:tc>
        <w:tc>
          <w:tcPr>
            <w:tcW w:w="406" w:type="pct"/>
            <w:tcBorders>
              <w:top w:val="dotted" w:sz="4" w:space="0" w:color="auto"/>
              <w:bottom w:val="single" w:sz="8" w:space="0" w:color="auto"/>
              <w:right w:val="single" w:sz="8" w:space="0" w:color="000000"/>
            </w:tcBorders>
            <w:vAlign w:val="center"/>
          </w:tcPr>
          <w:p w14:paraId="559FDECA" w14:textId="62A1F75B" w:rsidR="00243A2F" w:rsidRPr="00D479B3" w:rsidRDefault="00243A2F" w:rsidP="00835F2E">
            <w:pPr>
              <w:spacing w:after="0" w:line="240" w:lineRule="auto"/>
              <w:jc w:val="center"/>
              <w:rPr>
                <w:rFonts w:ascii="Calibri" w:eastAsia="Times New Roman" w:hAnsi="Calibri" w:cs="Calibri"/>
                <w:i/>
                <w:iCs/>
                <w:color w:val="000000"/>
                <w:kern w:val="0"/>
                <w:sz w:val="18"/>
                <w:szCs w:val="18"/>
                <w:lang w:eastAsia="en-AU"/>
                <w14:ligatures w14:val="none"/>
              </w:rPr>
            </w:pPr>
          </w:p>
        </w:tc>
        <w:tc>
          <w:tcPr>
            <w:tcW w:w="509" w:type="pct"/>
            <w:tcBorders>
              <w:top w:val="dotted" w:sz="4" w:space="0" w:color="auto"/>
              <w:left w:val="nil"/>
              <w:bottom w:val="single" w:sz="8" w:space="0" w:color="auto"/>
            </w:tcBorders>
            <w:vAlign w:val="center"/>
            <w:hideMark/>
          </w:tcPr>
          <w:p w14:paraId="40F30351" w14:textId="77777777" w:rsidR="00243A2F" w:rsidRPr="00D479B3" w:rsidRDefault="00243A2F" w:rsidP="00835F2E">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b/>
                <w:bCs/>
                <w:i/>
                <w:iCs/>
                <w:color w:val="0B769F" w:themeColor="accent4" w:themeShade="BF"/>
                <w:kern w:val="0"/>
                <w:sz w:val="18"/>
                <w:szCs w:val="18"/>
                <w:lang w:eastAsia="en-AU"/>
                <w14:ligatures w14:val="none"/>
              </w:rPr>
              <w:t>-</w:t>
            </w:r>
            <w:r w:rsidRPr="00D479B3">
              <w:rPr>
                <w:rFonts w:ascii="Calibri" w:eastAsia="Times New Roman" w:hAnsi="Calibri" w:cs="Calibri"/>
                <w:b/>
                <w:bCs/>
                <w:i/>
                <w:iCs/>
                <w:color w:val="000000"/>
                <w:kern w:val="0"/>
                <w:sz w:val="18"/>
                <w:szCs w:val="18"/>
                <w:lang w:eastAsia="en-AU"/>
                <w14:ligatures w14:val="none"/>
              </w:rPr>
              <w:t xml:space="preserve"> </w:t>
            </w:r>
            <w:r w:rsidRPr="00D479B3">
              <w:rPr>
                <w:rFonts w:ascii="Calibri" w:eastAsia="Times New Roman" w:hAnsi="Calibri" w:cs="Calibri"/>
                <w:b/>
                <w:bCs/>
                <w:i/>
                <w:iCs/>
                <w:color w:val="A02B93" w:themeColor="accent5"/>
                <w:kern w:val="0"/>
                <w:sz w:val="18"/>
                <w:szCs w:val="18"/>
                <w:lang w:eastAsia="en-AU"/>
                <w14:ligatures w14:val="none"/>
              </w:rPr>
              <w:t>-</w:t>
            </w:r>
            <w:r w:rsidRPr="00D479B3">
              <w:rPr>
                <w:rFonts w:ascii="Calibri" w:eastAsia="Times New Roman" w:hAnsi="Calibri" w:cs="Calibri"/>
                <w:i/>
                <w:iCs/>
                <w:color w:val="000000"/>
                <w:kern w:val="0"/>
                <w:sz w:val="18"/>
                <w:szCs w:val="18"/>
                <w:lang w:eastAsia="en-AU"/>
                <w14:ligatures w14:val="none"/>
              </w:rPr>
              <w:t xml:space="preserve"> (61)</w:t>
            </w:r>
          </w:p>
        </w:tc>
        <w:tc>
          <w:tcPr>
            <w:tcW w:w="457" w:type="pct"/>
            <w:tcBorders>
              <w:top w:val="dotted" w:sz="4" w:space="0" w:color="auto"/>
              <w:bottom w:val="single" w:sz="8" w:space="0" w:color="auto"/>
              <w:right w:val="single" w:sz="8" w:space="0" w:color="000000"/>
            </w:tcBorders>
            <w:vAlign w:val="center"/>
          </w:tcPr>
          <w:p w14:paraId="7132D22F" w14:textId="40FCE53C" w:rsidR="00243A2F" w:rsidRPr="00D479B3" w:rsidRDefault="00243A2F" w:rsidP="00835F2E">
            <w:pPr>
              <w:spacing w:after="0" w:line="240" w:lineRule="auto"/>
              <w:jc w:val="center"/>
              <w:rPr>
                <w:rFonts w:ascii="Calibri" w:eastAsia="Times New Roman" w:hAnsi="Calibri" w:cs="Calibri"/>
                <w:i/>
                <w:iCs/>
                <w:color w:val="000000"/>
                <w:kern w:val="0"/>
                <w:sz w:val="18"/>
                <w:szCs w:val="18"/>
                <w:lang w:eastAsia="en-AU"/>
                <w14:ligatures w14:val="none"/>
              </w:rPr>
            </w:pPr>
          </w:p>
        </w:tc>
        <w:tc>
          <w:tcPr>
            <w:tcW w:w="509" w:type="pct"/>
            <w:tcBorders>
              <w:top w:val="dotted" w:sz="4" w:space="0" w:color="auto"/>
              <w:left w:val="nil"/>
              <w:bottom w:val="single" w:sz="8" w:space="0" w:color="auto"/>
            </w:tcBorders>
            <w:vAlign w:val="center"/>
            <w:hideMark/>
          </w:tcPr>
          <w:p w14:paraId="62A645B3" w14:textId="77777777" w:rsidR="00243A2F" w:rsidRPr="00D479B3" w:rsidRDefault="00243A2F" w:rsidP="00835F2E">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b/>
                <w:bCs/>
                <w:i/>
                <w:iCs/>
                <w:color w:val="0B769F" w:themeColor="accent4" w:themeShade="BF"/>
                <w:kern w:val="0"/>
                <w:sz w:val="18"/>
                <w:szCs w:val="18"/>
                <w:lang w:eastAsia="en-AU"/>
                <w14:ligatures w14:val="none"/>
              </w:rPr>
              <w:t>-</w:t>
            </w:r>
            <w:r w:rsidRPr="00D479B3">
              <w:rPr>
                <w:rFonts w:ascii="Calibri" w:eastAsia="Times New Roman" w:hAnsi="Calibri" w:cs="Calibri"/>
                <w:b/>
                <w:bCs/>
                <w:i/>
                <w:iCs/>
                <w:color w:val="000000"/>
                <w:kern w:val="0"/>
                <w:sz w:val="18"/>
                <w:szCs w:val="18"/>
                <w:lang w:eastAsia="en-AU"/>
                <w14:ligatures w14:val="none"/>
              </w:rPr>
              <w:t xml:space="preserve"> </w:t>
            </w:r>
            <w:r w:rsidRPr="00D479B3">
              <w:rPr>
                <w:rFonts w:ascii="Calibri" w:eastAsia="Times New Roman" w:hAnsi="Calibri" w:cs="Calibri"/>
                <w:b/>
                <w:bCs/>
                <w:i/>
                <w:iCs/>
                <w:color w:val="A02B93" w:themeColor="accent5"/>
                <w:kern w:val="0"/>
                <w:sz w:val="18"/>
                <w:szCs w:val="18"/>
                <w:lang w:eastAsia="en-AU"/>
                <w14:ligatures w14:val="none"/>
              </w:rPr>
              <w:t>-</w:t>
            </w:r>
            <w:r w:rsidRPr="00D479B3">
              <w:rPr>
                <w:rFonts w:ascii="Calibri" w:eastAsia="Times New Roman" w:hAnsi="Calibri" w:cs="Calibri"/>
                <w:i/>
                <w:iCs/>
                <w:color w:val="000000"/>
                <w:kern w:val="0"/>
                <w:sz w:val="18"/>
                <w:szCs w:val="18"/>
                <w:lang w:eastAsia="en-AU"/>
                <w14:ligatures w14:val="none"/>
              </w:rPr>
              <w:t xml:space="preserve"> (71)</w:t>
            </w:r>
          </w:p>
        </w:tc>
        <w:tc>
          <w:tcPr>
            <w:tcW w:w="508" w:type="pct"/>
            <w:tcBorders>
              <w:top w:val="dotted" w:sz="4" w:space="0" w:color="auto"/>
              <w:bottom w:val="single" w:sz="8" w:space="0" w:color="auto"/>
              <w:right w:val="single" w:sz="8" w:space="0" w:color="000000"/>
            </w:tcBorders>
            <w:vAlign w:val="center"/>
          </w:tcPr>
          <w:p w14:paraId="45B63701" w14:textId="3708AB74" w:rsidR="00243A2F" w:rsidRPr="00D479B3" w:rsidRDefault="00243A2F" w:rsidP="00835F2E">
            <w:pPr>
              <w:spacing w:after="0" w:line="240" w:lineRule="auto"/>
              <w:jc w:val="center"/>
              <w:rPr>
                <w:rFonts w:ascii="Calibri" w:eastAsia="Times New Roman" w:hAnsi="Calibri" w:cs="Calibri"/>
                <w:i/>
                <w:iCs/>
                <w:color w:val="000000"/>
                <w:kern w:val="0"/>
                <w:sz w:val="18"/>
                <w:szCs w:val="18"/>
                <w:lang w:eastAsia="en-AU"/>
                <w14:ligatures w14:val="none"/>
              </w:rPr>
            </w:pPr>
          </w:p>
        </w:tc>
        <w:tc>
          <w:tcPr>
            <w:tcW w:w="458" w:type="pct"/>
            <w:tcBorders>
              <w:top w:val="nil"/>
              <w:left w:val="nil"/>
              <w:bottom w:val="single" w:sz="8" w:space="0" w:color="auto"/>
              <w:right w:val="single" w:sz="8" w:space="0" w:color="auto"/>
            </w:tcBorders>
            <w:vAlign w:val="center"/>
            <w:hideMark/>
          </w:tcPr>
          <w:p w14:paraId="7A690AC9" w14:textId="72F9D561" w:rsidR="00243A2F" w:rsidRPr="00D479B3" w:rsidRDefault="00243A2F" w:rsidP="00835F2E">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b/>
                <w:bCs/>
                <w:i/>
                <w:iCs/>
                <w:color w:val="0B769F" w:themeColor="accent4" w:themeShade="BF"/>
                <w:kern w:val="0"/>
                <w:sz w:val="18"/>
                <w:szCs w:val="18"/>
                <w:lang w:eastAsia="en-AU"/>
                <w14:ligatures w14:val="none"/>
              </w:rPr>
              <w:t>-</w:t>
            </w:r>
            <w:r w:rsidRPr="00D479B3">
              <w:rPr>
                <w:rFonts w:ascii="Calibri" w:eastAsia="Times New Roman" w:hAnsi="Calibri" w:cs="Calibri"/>
                <w:b/>
                <w:bCs/>
                <w:i/>
                <w:iCs/>
                <w:color w:val="000000"/>
                <w:kern w:val="0"/>
                <w:sz w:val="18"/>
                <w:szCs w:val="18"/>
                <w:lang w:eastAsia="en-AU"/>
                <w14:ligatures w14:val="none"/>
              </w:rPr>
              <w:t xml:space="preserve"> </w:t>
            </w:r>
            <w:r w:rsidRPr="00D479B3">
              <w:rPr>
                <w:rFonts w:ascii="Calibri" w:eastAsia="Times New Roman" w:hAnsi="Calibri" w:cs="Calibri"/>
                <w:b/>
                <w:bCs/>
                <w:i/>
                <w:iCs/>
                <w:color w:val="A02B93" w:themeColor="accent5"/>
                <w:kern w:val="0"/>
                <w:sz w:val="18"/>
                <w:szCs w:val="18"/>
                <w:lang w:eastAsia="en-AU"/>
                <w14:ligatures w14:val="none"/>
              </w:rPr>
              <w:t>-</w:t>
            </w:r>
            <w:r w:rsidRPr="00D479B3">
              <w:rPr>
                <w:rFonts w:ascii="Calibri" w:eastAsia="Times New Roman" w:hAnsi="Calibri" w:cs="Calibri"/>
                <w:i/>
                <w:iCs/>
                <w:color w:val="000000"/>
                <w:kern w:val="0"/>
                <w:sz w:val="18"/>
                <w:szCs w:val="18"/>
                <w:lang w:eastAsia="en-AU"/>
                <w14:ligatures w14:val="none"/>
              </w:rPr>
              <w:t xml:space="preserve"> (71)</w:t>
            </w:r>
          </w:p>
        </w:tc>
        <w:tc>
          <w:tcPr>
            <w:tcW w:w="478" w:type="pct"/>
            <w:tcBorders>
              <w:top w:val="nil"/>
              <w:left w:val="nil"/>
              <w:bottom w:val="single" w:sz="8" w:space="0" w:color="auto"/>
              <w:right w:val="single" w:sz="8" w:space="0" w:color="auto"/>
            </w:tcBorders>
            <w:vAlign w:val="center"/>
            <w:hideMark/>
          </w:tcPr>
          <w:p w14:paraId="2ACFB0AA" w14:textId="7DEAA539" w:rsidR="00243A2F" w:rsidRPr="00D479B3" w:rsidRDefault="00243A2F" w:rsidP="00835F2E">
            <w:pPr>
              <w:spacing w:after="0" w:line="240" w:lineRule="auto"/>
              <w:jc w:val="center"/>
              <w:rPr>
                <w:rFonts w:ascii="Calibri" w:eastAsia="Times New Roman" w:hAnsi="Calibri" w:cs="Calibri"/>
                <w:i/>
                <w:iCs/>
                <w:color w:val="000000"/>
                <w:kern w:val="0"/>
                <w:sz w:val="18"/>
                <w:szCs w:val="18"/>
                <w:lang w:eastAsia="en-AU"/>
                <w14:ligatures w14:val="none"/>
              </w:rPr>
            </w:pPr>
            <w:r w:rsidRPr="00D479B3">
              <w:rPr>
                <w:rFonts w:ascii="Calibri" w:eastAsia="Times New Roman" w:hAnsi="Calibri" w:cs="Calibri"/>
                <w:b/>
                <w:bCs/>
                <w:i/>
                <w:iCs/>
                <w:color w:val="0B769F" w:themeColor="accent4" w:themeShade="BF"/>
                <w:kern w:val="0"/>
                <w:sz w:val="18"/>
                <w:szCs w:val="18"/>
                <w:lang w:eastAsia="en-AU"/>
                <w14:ligatures w14:val="none"/>
              </w:rPr>
              <w:t>-</w:t>
            </w:r>
            <w:r w:rsidRPr="00D479B3">
              <w:rPr>
                <w:rFonts w:ascii="Calibri" w:eastAsia="Times New Roman" w:hAnsi="Calibri" w:cs="Calibri"/>
                <w:b/>
                <w:bCs/>
                <w:i/>
                <w:iCs/>
                <w:color w:val="000000"/>
                <w:kern w:val="0"/>
                <w:sz w:val="18"/>
                <w:szCs w:val="18"/>
                <w:lang w:eastAsia="en-AU"/>
                <w14:ligatures w14:val="none"/>
              </w:rPr>
              <w:t xml:space="preserve"> </w:t>
            </w:r>
            <w:r w:rsidRPr="00D479B3">
              <w:rPr>
                <w:rFonts w:ascii="Calibri" w:eastAsia="Times New Roman" w:hAnsi="Calibri" w:cs="Calibri"/>
                <w:b/>
                <w:bCs/>
                <w:i/>
                <w:iCs/>
                <w:color w:val="A02B93" w:themeColor="accent5"/>
                <w:kern w:val="0"/>
                <w:sz w:val="18"/>
                <w:szCs w:val="18"/>
                <w:lang w:eastAsia="en-AU"/>
                <w14:ligatures w14:val="none"/>
              </w:rPr>
              <w:t>-</w:t>
            </w:r>
            <w:r w:rsidRPr="00D479B3">
              <w:rPr>
                <w:rFonts w:ascii="Calibri" w:eastAsia="Times New Roman" w:hAnsi="Calibri" w:cs="Calibri"/>
                <w:i/>
                <w:iCs/>
                <w:color w:val="000000"/>
                <w:kern w:val="0"/>
                <w:sz w:val="18"/>
                <w:szCs w:val="18"/>
                <w:lang w:eastAsia="en-AU"/>
                <w14:ligatures w14:val="none"/>
              </w:rPr>
              <w:t xml:space="preserve"> (57</w:t>
            </w:r>
            <w:r w:rsidRPr="00D479B3">
              <w:rPr>
                <w:rFonts w:ascii="Calibri" w:hAnsi="Calibri" w:cs="Calibri"/>
                <w:i/>
                <w:iCs/>
                <w:sz w:val="18"/>
                <w:szCs w:val="18"/>
              </w:rPr>
              <w:t>**)</w:t>
            </w:r>
          </w:p>
        </w:tc>
      </w:tr>
    </w:tbl>
    <w:p w14:paraId="440EAEED" w14:textId="1D6B8317" w:rsidR="00A151AC" w:rsidRPr="00D633FF" w:rsidRDefault="00A151AC" w:rsidP="007412CF">
      <w:pPr>
        <w:pStyle w:val="Footer"/>
        <w:rPr>
          <w:rFonts w:ascii="Calibri" w:hAnsi="Calibri" w:cs="Calibri"/>
          <w:sz w:val="16"/>
          <w:szCs w:val="16"/>
        </w:rPr>
      </w:pPr>
      <w:r w:rsidRPr="00DD0F58">
        <w:rPr>
          <w:rFonts w:ascii="Calibri" w:hAnsi="Calibri" w:cs="Calibri"/>
          <w:b/>
          <w:bCs/>
          <w:sz w:val="16"/>
          <w:szCs w:val="16"/>
        </w:rPr>
        <w:t>Abbreviations:</w:t>
      </w:r>
      <w:r w:rsidRPr="00D633FF">
        <w:rPr>
          <w:rFonts w:ascii="Calibri" w:hAnsi="Calibri" w:cs="Calibri"/>
          <w:sz w:val="16"/>
          <w:szCs w:val="16"/>
        </w:rPr>
        <w:t xml:space="preserve"> </w:t>
      </w:r>
      <w:r w:rsidR="005152CC" w:rsidRPr="00D633FF">
        <w:rPr>
          <w:rFonts w:ascii="Calibri" w:hAnsi="Calibri" w:cs="Calibri"/>
          <w:sz w:val="16"/>
          <w:szCs w:val="16"/>
        </w:rPr>
        <w:t xml:space="preserve">Max, maximum; Min, minimum; </w:t>
      </w:r>
      <w:r w:rsidRPr="00D633FF">
        <w:rPr>
          <w:rFonts w:ascii="Calibri" w:hAnsi="Calibri" w:cs="Calibri"/>
          <w:sz w:val="16"/>
          <w:szCs w:val="16"/>
        </w:rPr>
        <w:t>NZEO, New Zealand European and Other;</w:t>
      </w:r>
      <w:r w:rsidR="005152CC" w:rsidRPr="00D633FF">
        <w:rPr>
          <w:rFonts w:ascii="Calibri" w:hAnsi="Calibri" w:cs="Calibri"/>
          <w:sz w:val="16"/>
          <w:szCs w:val="16"/>
        </w:rPr>
        <w:t xml:space="preserve"> P90, 90</w:t>
      </w:r>
      <w:r w:rsidR="005152CC" w:rsidRPr="00D633FF">
        <w:rPr>
          <w:rFonts w:ascii="Calibri" w:hAnsi="Calibri" w:cs="Calibri"/>
          <w:sz w:val="16"/>
          <w:szCs w:val="16"/>
          <w:vertAlign w:val="superscript"/>
        </w:rPr>
        <w:t>th</w:t>
      </w:r>
      <w:r w:rsidR="005152CC" w:rsidRPr="00D633FF">
        <w:rPr>
          <w:rFonts w:ascii="Calibri" w:hAnsi="Calibri" w:cs="Calibri"/>
          <w:sz w:val="16"/>
          <w:szCs w:val="16"/>
        </w:rPr>
        <w:t xml:space="preserve"> percentile</w:t>
      </w:r>
      <w:r w:rsidR="00A84664" w:rsidRPr="00D633FF">
        <w:rPr>
          <w:rFonts w:ascii="Calibri" w:hAnsi="Calibri" w:cs="Calibri"/>
          <w:sz w:val="16"/>
          <w:szCs w:val="16"/>
        </w:rPr>
        <w:t>; P95, 95</w:t>
      </w:r>
      <w:r w:rsidR="00A84664" w:rsidRPr="00D633FF">
        <w:rPr>
          <w:rFonts w:ascii="Calibri" w:hAnsi="Calibri" w:cs="Calibri"/>
          <w:sz w:val="16"/>
          <w:szCs w:val="16"/>
          <w:vertAlign w:val="superscript"/>
        </w:rPr>
        <w:t>th</w:t>
      </w:r>
      <w:r w:rsidR="00A84664" w:rsidRPr="00D633FF">
        <w:rPr>
          <w:rFonts w:ascii="Calibri" w:hAnsi="Calibri" w:cs="Calibri"/>
          <w:sz w:val="16"/>
          <w:szCs w:val="16"/>
        </w:rPr>
        <w:t xml:space="preserve"> percentile</w:t>
      </w:r>
      <w:r w:rsidR="00917A8D" w:rsidRPr="00D633FF">
        <w:rPr>
          <w:rFonts w:ascii="Calibri" w:hAnsi="Calibri" w:cs="Calibri"/>
          <w:sz w:val="16"/>
          <w:szCs w:val="16"/>
        </w:rPr>
        <w:t>; yrs, years</w:t>
      </w:r>
      <w:r w:rsidR="000859CC" w:rsidRPr="00D633FF">
        <w:rPr>
          <w:rFonts w:ascii="Calibri" w:hAnsi="Calibri" w:cs="Calibri"/>
          <w:sz w:val="16"/>
          <w:szCs w:val="16"/>
        </w:rPr>
        <w:t>.</w:t>
      </w:r>
    </w:p>
    <w:p w14:paraId="156B5CE4" w14:textId="24FCBCF4" w:rsidR="00091495" w:rsidRPr="00D633FF" w:rsidRDefault="00B258C6" w:rsidP="007412CF">
      <w:pPr>
        <w:pStyle w:val="Footer"/>
        <w:rPr>
          <w:rFonts w:ascii="Calibri" w:hAnsi="Calibri" w:cs="Calibri"/>
          <w:sz w:val="16"/>
          <w:szCs w:val="16"/>
        </w:rPr>
      </w:pPr>
      <w:r w:rsidRPr="00D633FF">
        <w:rPr>
          <w:rFonts w:ascii="Calibri" w:hAnsi="Calibri" w:cs="Calibri"/>
          <w:sz w:val="16"/>
          <w:szCs w:val="16"/>
        </w:rPr>
        <w:t>*</w:t>
      </w:r>
      <w:r w:rsidR="00091495" w:rsidRPr="00D633FF">
        <w:rPr>
          <w:rFonts w:ascii="Calibri" w:hAnsi="Calibri" w:cs="Calibri"/>
          <w:sz w:val="16"/>
          <w:szCs w:val="16"/>
        </w:rPr>
        <w:t>New Zealand reported 90</w:t>
      </w:r>
      <w:r w:rsidR="00091495" w:rsidRPr="00D633FF">
        <w:rPr>
          <w:rFonts w:ascii="Calibri" w:hAnsi="Calibri" w:cs="Calibri"/>
          <w:sz w:val="16"/>
          <w:szCs w:val="16"/>
          <w:vertAlign w:val="superscript"/>
        </w:rPr>
        <w:t>th</w:t>
      </w:r>
      <w:r w:rsidR="00091495" w:rsidRPr="00D633FF">
        <w:rPr>
          <w:rFonts w:ascii="Calibri" w:hAnsi="Calibri" w:cs="Calibri"/>
          <w:sz w:val="16"/>
          <w:szCs w:val="16"/>
        </w:rPr>
        <w:t xml:space="preserve"> percentile, while Australia and EFSA reported 95</w:t>
      </w:r>
      <w:r w:rsidR="00091495" w:rsidRPr="00D633FF">
        <w:rPr>
          <w:rFonts w:ascii="Calibri" w:hAnsi="Calibri" w:cs="Calibri"/>
          <w:sz w:val="16"/>
          <w:szCs w:val="16"/>
          <w:vertAlign w:val="superscript"/>
        </w:rPr>
        <w:t>th</w:t>
      </w:r>
      <w:r w:rsidR="00091495" w:rsidRPr="00D633FF">
        <w:rPr>
          <w:rFonts w:ascii="Calibri" w:hAnsi="Calibri" w:cs="Calibri"/>
          <w:sz w:val="16"/>
          <w:szCs w:val="16"/>
        </w:rPr>
        <w:t xml:space="preserve"> percentile values</w:t>
      </w:r>
    </w:p>
    <w:p w14:paraId="5074ACC6" w14:textId="2C0E4E3B" w:rsidR="00F06CCA" w:rsidRPr="00D633FF" w:rsidRDefault="00091495" w:rsidP="00545098">
      <w:pPr>
        <w:pStyle w:val="Footer"/>
        <w:rPr>
          <w:rFonts w:ascii="Calibri" w:hAnsi="Calibri" w:cs="Calibri"/>
          <w:lang w:eastAsia="en-AU"/>
        </w:rPr>
      </w:pPr>
      <w:r w:rsidRPr="00D633FF">
        <w:rPr>
          <w:rFonts w:ascii="Calibri" w:hAnsi="Calibri" w:cs="Calibri"/>
          <w:sz w:val="16"/>
          <w:szCs w:val="16"/>
        </w:rPr>
        <w:t>*</w:t>
      </w:r>
      <w:r w:rsidR="00B258C6" w:rsidRPr="00D633FF">
        <w:rPr>
          <w:rFonts w:ascii="Calibri" w:hAnsi="Calibri" w:cs="Calibri"/>
          <w:sz w:val="16"/>
          <w:szCs w:val="16"/>
        </w:rPr>
        <w:t>*95</w:t>
      </w:r>
      <w:r w:rsidR="00B258C6" w:rsidRPr="00D633FF">
        <w:rPr>
          <w:rFonts w:ascii="Calibri" w:hAnsi="Calibri" w:cs="Calibri"/>
          <w:sz w:val="16"/>
          <w:szCs w:val="16"/>
          <w:vertAlign w:val="superscript"/>
        </w:rPr>
        <w:t>th</w:t>
      </w:r>
      <w:r w:rsidR="00B258C6" w:rsidRPr="00D633FF">
        <w:rPr>
          <w:rFonts w:ascii="Calibri" w:hAnsi="Calibri" w:cs="Calibri"/>
          <w:sz w:val="16"/>
          <w:szCs w:val="16"/>
        </w:rPr>
        <w:t xml:space="preserve"> percentile only </w:t>
      </w:r>
      <w:r w:rsidR="00CF7EF7" w:rsidRPr="00D633FF">
        <w:rPr>
          <w:rFonts w:ascii="Calibri" w:hAnsi="Calibri" w:cs="Calibri"/>
          <w:sz w:val="16"/>
          <w:szCs w:val="16"/>
        </w:rPr>
        <w:t>reported for one survey</w:t>
      </w:r>
      <w:r w:rsidR="005312CF" w:rsidRPr="00D633FF">
        <w:rPr>
          <w:rFonts w:ascii="Calibri" w:hAnsi="Calibri" w:cs="Calibri"/>
          <w:sz w:val="16"/>
          <w:szCs w:val="16"/>
        </w:rPr>
        <w:t>, therefore the minimum and maximum P95 are the same</w:t>
      </w:r>
      <w:r w:rsidR="00592D6C" w:rsidRPr="00D633FF">
        <w:rPr>
          <w:rFonts w:ascii="Calibri" w:hAnsi="Calibri" w:cs="Calibri"/>
          <w:sz w:val="16"/>
          <w:szCs w:val="16"/>
        </w:rPr>
        <w:t xml:space="preserve"> value</w:t>
      </w:r>
    </w:p>
    <w:p w14:paraId="71851E0B" w14:textId="77777777" w:rsidR="00FB01EC" w:rsidRDefault="00FB01EC" w:rsidP="00E46EB1">
      <w:pPr>
        <w:spacing w:after="0"/>
        <w:rPr>
          <w:rFonts w:ascii="Calibri" w:eastAsia="Times New Roman" w:hAnsi="Calibri" w:cs="Calibri"/>
          <w:color w:val="0B769F" w:themeColor="accent4" w:themeShade="BF"/>
          <w:kern w:val="0"/>
          <w:sz w:val="16"/>
          <w:szCs w:val="16"/>
          <w:lang w:eastAsia="en-AU"/>
          <w14:ligatures w14:val="none"/>
        </w:rPr>
      </w:pPr>
      <w:r w:rsidRPr="00D633FF">
        <w:rPr>
          <w:rFonts w:ascii="Calibri" w:hAnsi="Calibri" w:cs="Calibri"/>
          <w:i/>
          <w:iCs/>
          <w:sz w:val="16"/>
          <w:szCs w:val="16"/>
        </w:rPr>
        <w:t>- data unavailable</w:t>
      </w:r>
      <w:r>
        <w:rPr>
          <w:rFonts w:ascii="Calibri" w:eastAsia="Times New Roman" w:hAnsi="Calibri" w:cs="Calibri"/>
          <w:color w:val="0B769F" w:themeColor="accent4" w:themeShade="BF"/>
          <w:kern w:val="0"/>
          <w:sz w:val="16"/>
          <w:szCs w:val="16"/>
          <w:lang w:eastAsia="en-AU"/>
          <w14:ligatures w14:val="none"/>
        </w:rPr>
        <w:t xml:space="preserve"> </w:t>
      </w:r>
    </w:p>
    <w:p w14:paraId="38FAFE36" w14:textId="4EC83424" w:rsidR="00F10113" w:rsidRDefault="00FB01EC" w:rsidP="00E46EB1">
      <w:pPr>
        <w:spacing w:after="0"/>
        <w:rPr>
          <w:rFonts w:ascii="Calibri" w:hAnsi="Calibri" w:cs="Calibri"/>
          <w:color w:val="ED0000"/>
          <w:sz w:val="16"/>
          <w:szCs w:val="16"/>
          <w:vertAlign w:val="superscript"/>
        </w:rPr>
      </w:pPr>
      <w:r>
        <w:rPr>
          <w:rFonts w:ascii="Calibri" w:eastAsia="Times New Roman" w:hAnsi="Calibri" w:cs="Calibri"/>
          <w:color w:val="0B769F" w:themeColor="accent4" w:themeShade="BF"/>
          <w:kern w:val="0"/>
          <w:sz w:val="16"/>
          <w:szCs w:val="16"/>
          <w:lang w:eastAsia="en-AU"/>
          <w14:ligatures w14:val="none"/>
        </w:rPr>
        <w:t>m</w:t>
      </w:r>
      <w:r w:rsidR="00F10113" w:rsidRPr="00A81732">
        <w:rPr>
          <w:rFonts w:ascii="Calibri" w:eastAsia="Times New Roman" w:hAnsi="Calibri" w:cs="Calibri"/>
          <w:color w:val="0B769F" w:themeColor="accent4" w:themeShade="BF"/>
          <w:kern w:val="0"/>
          <w:sz w:val="16"/>
          <w:szCs w:val="16"/>
          <w:lang w:eastAsia="en-AU"/>
          <w14:ligatures w14:val="none"/>
        </w:rPr>
        <w:t>ale</w:t>
      </w:r>
      <w:r>
        <w:rPr>
          <w:rFonts w:ascii="Calibri" w:eastAsia="Times New Roman" w:hAnsi="Calibri" w:cs="Calibri"/>
          <w:color w:val="0B769F" w:themeColor="accent4" w:themeShade="BF"/>
          <w:kern w:val="0"/>
          <w:sz w:val="16"/>
          <w:szCs w:val="16"/>
          <w:lang w:eastAsia="en-AU"/>
          <w14:ligatures w14:val="none"/>
        </w:rPr>
        <w:t xml:space="preserve"> value</w:t>
      </w:r>
      <w:r w:rsidR="00F10113" w:rsidRPr="00D633FF">
        <w:rPr>
          <w:rFonts w:ascii="Calibri" w:eastAsia="Times New Roman" w:hAnsi="Calibri" w:cs="Calibri"/>
          <w:color w:val="000000"/>
          <w:kern w:val="0"/>
          <w:sz w:val="16"/>
          <w:szCs w:val="16"/>
          <w:lang w:eastAsia="en-AU"/>
          <w14:ligatures w14:val="none"/>
        </w:rPr>
        <w:t xml:space="preserve">, </w:t>
      </w:r>
      <w:r w:rsidR="00F10113" w:rsidRPr="00D633FF">
        <w:rPr>
          <w:rFonts w:ascii="Calibri" w:eastAsia="Times New Roman" w:hAnsi="Calibri" w:cs="Calibri"/>
          <w:color w:val="A02B93" w:themeColor="accent5"/>
          <w:kern w:val="0"/>
          <w:sz w:val="16"/>
          <w:szCs w:val="16"/>
          <w:lang w:eastAsia="en-AU"/>
          <w14:ligatures w14:val="none"/>
        </w:rPr>
        <w:t>female</w:t>
      </w:r>
      <w:r>
        <w:rPr>
          <w:rFonts w:ascii="Calibri" w:eastAsia="Times New Roman" w:hAnsi="Calibri" w:cs="Calibri"/>
          <w:color w:val="A02B93" w:themeColor="accent5"/>
          <w:kern w:val="0"/>
          <w:sz w:val="16"/>
          <w:szCs w:val="16"/>
          <w:lang w:eastAsia="en-AU"/>
          <w14:ligatures w14:val="none"/>
        </w:rPr>
        <w:t xml:space="preserve"> value</w:t>
      </w:r>
      <w:r w:rsidR="00F10113" w:rsidRPr="00D633FF">
        <w:rPr>
          <w:rFonts w:ascii="Calibri" w:eastAsia="Times New Roman" w:hAnsi="Calibri" w:cs="Calibri"/>
          <w:color w:val="000000"/>
          <w:kern w:val="0"/>
          <w:sz w:val="16"/>
          <w:szCs w:val="16"/>
          <w:lang w:eastAsia="en-AU"/>
          <w14:ligatures w14:val="none"/>
        </w:rPr>
        <w:t xml:space="preserve"> (</w:t>
      </w:r>
      <w:r w:rsidR="00F10113" w:rsidRPr="00D633FF">
        <w:rPr>
          <w:rFonts w:ascii="Calibri" w:eastAsia="Times New Roman" w:hAnsi="Calibri" w:cs="Calibri"/>
          <w:i/>
          <w:iCs/>
          <w:color w:val="000000"/>
          <w:kern w:val="0"/>
          <w:sz w:val="16"/>
          <w:szCs w:val="16"/>
          <w:lang w:eastAsia="en-AU"/>
          <w14:ligatures w14:val="none"/>
        </w:rPr>
        <w:t>mean of male and female values)</w:t>
      </w:r>
    </w:p>
    <w:p w14:paraId="305D3BEF" w14:textId="1AEAB3A8" w:rsidR="000928BB" w:rsidRPr="00090062" w:rsidRDefault="00832928" w:rsidP="00E46EB1">
      <w:pPr>
        <w:spacing w:after="0"/>
        <w:rPr>
          <w:rFonts w:ascii="Calibri" w:hAnsi="Calibri" w:cs="Calibri"/>
          <w:color w:val="ED0000"/>
          <w:sz w:val="16"/>
          <w:szCs w:val="16"/>
        </w:rPr>
      </w:pPr>
      <w:r w:rsidRPr="00090062">
        <w:rPr>
          <w:rFonts w:ascii="Calibri" w:hAnsi="Calibri" w:cs="Calibri"/>
          <w:color w:val="ED0000"/>
          <w:sz w:val="16"/>
          <w:szCs w:val="16"/>
          <w:vertAlign w:val="superscript"/>
        </w:rPr>
        <w:t xml:space="preserve">ǂ </w:t>
      </w:r>
      <w:r w:rsidR="00545098" w:rsidRPr="00090062">
        <w:rPr>
          <w:rFonts w:ascii="Calibri" w:hAnsi="Calibri" w:cs="Calibri"/>
          <w:color w:val="ED0000"/>
          <w:sz w:val="16"/>
          <w:szCs w:val="16"/>
        </w:rPr>
        <w:t>Highest value overall</w:t>
      </w:r>
    </w:p>
    <w:p w14:paraId="784DC761" w14:textId="3E0F605D" w:rsidR="009B1CD4" w:rsidRPr="00D633FF" w:rsidRDefault="00545098" w:rsidP="00E46EB1">
      <w:pPr>
        <w:spacing w:after="0"/>
        <w:rPr>
          <w:rFonts w:ascii="Calibri" w:hAnsi="Calibri" w:cs="Calibri"/>
          <w:sz w:val="16"/>
          <w:szCs w:val="16"/>
        </w:rPr>
        <w:sectPr w:rsidR="009B1CD4" w:rsidRPr="00D633FF" w:rsidSect="00215CE4">
          <w:footnotePr>
            <w:pos w:val="beneathText"/>
          </w:footnotePr>
          <w:pgSz w:w="16838" w:h="11906" w:orient="landscape"/>
          <w:pgMar w:top="1440" w:right="1440" w:bottom="1440" w:left="1440" w:header="708" w:footer="708" w:gutter="0"/>
          <w:cols w:space="708"/>
          <w:docGrid w:linePitch="360"/>
        </w:sectPr>
      </w:pPr>
      <w:r w:rsidRPr="00D633FF">
        <w:rPr>
          <w:rFonts w:ascii="Calibri" w:hAnsi="Calibri" w:cs="Calibri"/>
          <w:sz w:val="16"/>
          <w:szCs w:val="16"/>
        </w:rPr>
        <w:t>.</w:t>
      </w:r>
    </w:p>
    <w:p w14:paraId="46E9F371" w14:textId="77777777" w:rsidR="007221CA" w:rsidRPr="00D633FF" w:rsidRDefault="007221CA" w:rsidP="00DD7CAA">
      <w:pPr>
        <w:pStyle w:val="Heading4"/>
        <w:rPr>
          <w:rFonts w:ascii="Calibri" w:hAnsi="Calibri" w:cs="Calibri"/>
        </w:rPr>
      </w:pPr>
      <w:r w:rsidRPr="00D633FF">
        <w:rPr>
          <w:rFonts w:ascii="Calibri" w:hAnsi="Calibri" w:cs="Calibri"/>
        </w:rPr>
        <w:lastRenderedPageBreak/>
        <w:t>Comparison of Australian and New Zealand intake estimates with EFSA</w:t>
      </w:r>
    </w:p>
    <w:p w14:paraId="27474E32" w14:textId="77777777" w:rsidR="00AC50A9" w:rsidRPr="00D633FF" w:rsidRDefault="00AC50A9" w:rsidP="00DD7CAA">
      <w:pPr>
        <w:pStyle w:val="Heading5"/>
        <w:rPr>
          <w:rFonts w:ascii="Calibri" w:hAnsi="Calibri" w:cs="Calibri"/>
        </w:rPr>
      </w:pPr>
      <w:r w:rsidRPr="00D633FF">
        <w:rPr>
          <w:rFonts w:ascii="Calibri" w:hAnsi="Calibri" w:cs="Calibri"/>
        </w:rPr>
        <w:t>Adults</w:t>
      </w:r>
    </w:p>
    <w:p w14:paraId="0816741C" w14:textId="0E7A9EC8" w:rsidR="00B16330" w:rsidRPr="00D633FF" w:rsidRDefault="00B16330" w:rsidP="000E7288">
      <w:pPr>
        <w:spacing w:line="360" w:lineRule="auto"/>
        <w:rPr>
          <w:rFonts w:ascii="Calibri" w:hAnsi="Calibri" w:cs="Calibri"/>
        </w:rPr>
      </w:pPr>
      <w:r w:rsidRPr="00D633FF">
        <w:rPr>
          <w:rFonts w:ascii="Calibri" w:eastAsia="Calibri" w:hAnsi="Calibri" w:cs="Calibri"/>
        </w:rPr>
        <w:t xml:space="preserve">For Australia, the age group with the highest mean and 95th percentile values </w:t>
      </w:r>
      <w:proofErr w:type="gramStart"/>
      <w:r w:rsidRPr="00D633FF">
        <w:rPr>
          <w:rFonts w:ascii="Calibri" w:eastAsia="Calibri" w:hAnsi="Calibri" w:cs="Calibri"/>
        </w:rPr>
        <w:t>was</w:t>
      </w:r>
      <w:proofErr w:type="gramEnd"/>
      <w:r w:rsidRPr="00D633FF">
        <w:rPr>
          <w:rFonts w:ascii="Calibri" w:eastAsia="Calibri" w:hAnsi="Calibri" w:cs="Calibri"/>
        </w:rPr>
        <w:t xml:space="preserve"> the 19–30-year age group for all populations. For New Zealand the highest mean and 90th percentile values were for the 31–50-year age group for all populations except the Māori population, who had its highest intake in the 19–30-year age group (see </w:t>
      </w:r>
      <w:r w:rsidRPr="00D633FF">
        <w:rPr>
          <w:rFonts w:ascii="Calibri" w:eastAsia="Calibri" w:hAnsi="Calibri" w:cs="Calibri"/>
        </w:rPr>
        <w:fldChar w:fldCharType="begin" w:fldLock="1"/>
      </w:r>
      <w:r w:rsidRPr="00D633FF">
        <w:rPr>
          <w:rFonts w:ascii="Calibri" w:eastAsia="Calibri" w:hAnsi="Calibri" w:cs="Calibri"/>
        </w:rPr>
        <w:instrText xml:space="preserve"> REF _Ref198212643 \h  \* MERGEFORMAT </w:instrText>
      </w:r>
      <w:r w:rsidRPr="00D633FF">
        <w:rPr>
          <w:rFonts w:ascii="Calibri" w:eastAsia="Calibri" w:hAnsi="Calibri" w:cs="Calibri"/>
        </w:rPr>
      </w:r>
      <w:r w:rsidRPr="00D633FF">
        <w:rPr>
          <w:rFonts w:ascii="Calibri" w:eastAsia="Calibri" w:hAnsi="Calibri" w:cs="Calibri"/>
        </w:rPr>
        <w:fldChar w:fldCharType="separate"/>
      </w:r>
      <w:r w:rsidRPr="00D633FF">
        <w:rPr>
          <w:rFonts w:ascii="Calibri" w:eastAsia="Calibri" w:hAnsi="Calibri" w:cs="Calibri"/>
        </w:rPr>
        <w:t>Table 3</w:t>
      </w:r>
      <w:r w:rsidRPr="00D633FF">
        <w:rPr>
          <w:rFonts w:ascii="Calibri" w:eastAsia="Calibri" w:hAnsi="Calibri" w:cs="Calibri"/>
        </w:rPr>
        <w:fldChar w:fldCharType="end"/>
      </w:r>
      <w:r w:rsidRPr="00D633FF">
        <w:rPr>
          <w:rFonts w:ascii="Calibri" w:eastAsia="Calibri" w:hAnsi="Calibri" w:cs="Calibri"/>
        </w:rPr>
        <w:t xml:space="preserve"> and </w:t>
      </w:r>
      <w:r w:rsidRPr="00D633FF">
        <w:rPr>
          <w:rFonts w:ascii="Calibri" w:eastAsia="Calibri" w:hAnsi="Calibri" w:cs="Calibri"/>
        </w:rPr>
        <w:fldChar w:fldCharType="begin" w:fldLock="1"/>
      </w:r>
      <w:r w:rsidRPr="00D633FF">
        <w:rPr>
          <w:rFonts w:ascii="Calibri" w:eastAsia="Calibri" w:hAnsi="Calibri" w:cs="Calibri"/>
        </w:rPr>
        <w:instrText xml:space="preserve"> REF _Ref198212548 \h  \* MERGEFORMAT </w:instrText>
      </w:r>
      <w:r w:rsidRPr="00D633FF">
        <w:rPr>
          <w:rFonts w:ascii="Calibri" w:eastAsia="Calibri" w:hAnsi="Calibri" w:cs="Calibri"/>
        </w:rPr>
      </w:r>
      <w:r w:rsidRPr="00D633FF">
        <w:rPr>
          <w:rFonts w:ascii="Calibri" w:eastAsia="Calibri" w:hAnsi="Calibri" w:cs="Calibri"/>
        </w:rPr>
        <w:fldChar w:fldCharType="separate"/>
      </w:r>
      <w:r w:rsidRPr="00D633FF">
        <w:rPr>
          <w:rFonts w:ascii="Calibri" w:eastAsia="Calibri" w:hAnsi="Calibri" w:cs="Calibri"/>
        </w:rPr>
        <w:t>Table 4</w:t>
      </w:r>
      <w:r w:rsidRPr="00D633FF">
        <w:rPr>
          <w:rFonts w:ascii="Calibri" w:eastAsia="Calibri" w:hAnsi="Calibri" w:cs="Calibri"/>
        </w:rPr>
        <w:fldChar w:fldCharType="end"/>
      </w:r>
      <w:r w:rsidRPr="00D633FF">
        <w:rPr>
          <w:rFonts w:ascii="Calibri" w:eastAsia="Calibri" w:hAnsi="Calibri" w:cs="Calibri"/>
        </w:rPr>
        <w:t>).</w:t>
      </w:r>
      <w:r w:rsidR="00AC50A9" w:rsidRPr="00D633FF">
        <w:rPr>
          <w:rFonts w:ascii="Calibri" w:eastAsia="Calibri" w:hAnsi="Calibri" w:cs="Calibri"/>
        </w:rPr>
        <w:t xml:space="preserve"> </w:t>
      </w:r>
      <w:r w:rsidR="00AC50A9" w:rsidRPr="00D633FF">
        <w:rPr>
          <w:rFonts w:ascii="Calibri" w:eastAsia="Times New Roman" w:hAnsi="Calibri" w:cs="Calibri"/>
          <w:szCs w:val="20"/>
        </w:rPr>
        <w:t>The populations with the highest intake overall was New Zealand 31</w:t>
      </w:r>
      <w:r w:rsidR="00395B2D">
        <w:rPr>
          <w:rFonts w:ascii="Calibri" w:eastAsia="Times New Roman" w:hAnsi="Calibri" w:cs="Calibri"/>
          <w:szCs w:val="20"/>
        </w:rPr>
        <w:t>–</w:t>
      </w:r>
      <w:r w:rsidR="00AC50A9" w:rsidRPr="00D633FF">
        <w:rPr>
          <w:rFonts w:ascii="Calibri" w:eastAsia="Times New Roman" w:hAnsi="Calibri" w:cs="Calibri"/>
          <w:szCs w:val="20"/>
        </w:rPr>
        <w:t>50-year-old Pacific males, with a 90</w:t>
      </w:r>
      <w:r w:rsidR="00AC50A9" w:rsidRPr="00D633FF">
        <w:rPr>
          <w:rFonts w:ascii="Calibri" w:eastAsia="Times New Roman" w:hAnsi="Calibri" w:cs="Calibri"/>
          <w:szCs w:val="20"/>
          <w:vertAlign w:val="superscript"/>
        </w:rPr>
        <w:t>th</w:t>
      </w:r>
      <w:r w:rsidR="00AC50A9" w:rsidRPr="00D633FF">
        <w:rPr>
          <w:rFonts w:ascii="Calibri" w:eastAsia="Times New Roman" w:hAnsi="Calibri" w:cs="Calibri"/>
          <w:szCs w:val="20"/>
        </w:rPr>
        <w:t xml:space="preserve"> percentile intake of (194 µg/day, food only), followed by Australian 19–30-year-old males, with a 95</w:t>
      </w:r>
      <w:r w:rsidR="00AC50A9" w:rsidRPr="00D633FF">
        <w:rPr>
          <w:rFonts w:ascii="Calibri" w:eastAsia="Times New Roman" w:hAnsi="Calibri" w:cs="Calibri"/>
          <w:szCs w:val="20"/>
          <w:vertAlign w:val="superscript"/>
        </w:rPr>
        <w:t>th</w:t>
      </w:r>
      <w:r w:rsidR="00AC50A9" w:rsidRPr="00D633FF">
        <w:rPr>
          <w:rFonts w:ascii="Calibri" w:eastAsia="Times New Roman" w:hAnsi="Calibri" w:cs="Calibri"/>
          <w:szCs w:val="20"/>
        </w:rPr>
        <w:t xml:space="preserve"> percentile intake of 160 µg/day (food and supplements) </w:t>
      </w:r>
      <w:r w:rsidR="00AC50A9" w:rsidRPr="00D633FF">
        <w:rPr>
          <w:rFonts w:ascii="Calibri" w:hAnsi="Calibri" w:cs="Calibri"/>
          <w:color w:val="000000"/>
          <w:kern w:val="0"/>
          <w:lang w:eastAsia="en-AU"/>
          <w14:ligatures w14:val="none"/>
        </w:rPr>
        <w:t xml:space="preserve">(see </w:t>
      </w:r>
      <w:r w:rsidR="00AC50A9" w:rsidRPr="00D633FF">
        <w:rPr>
          <w:rFonts w:ascii="Calibri" w:hAnsi="Calibri" w:cs="Calibri"/>
          <w:color w:val="000000"/>
          <w:kern w:val="0"/>
          <w:lang w:eastAsia="en-AU"/>
          <w14:ligatures w14:val="none"/>
        </w:rPr>
        <w:fldChar w:fldCharType="begin" w:fldLock="1"/>
      </w:r>
      <w:r w:rsidR="00AC50A9" w:rsidRPr="00D633FF">
        <w:rPr>
          <w:rFonts w:ascii="Calibri" w:hAnsi="Calibri" w:cs="Calibri"/>
          <w:color w:val="000000"/>
          <w:kern w:val="0"/>
          <w:lang w:eastAsia="en-AU"/>
          <w14:ligatures w14:val="none"/>
        </w:rPr>
        <w:instrText xml:space="preserve"> REF _Ref198212548 \h  \* MERGEFORMAT </w:instrText>
      </w:r>
      <w:r w:rsidR="00AC50A9" w:rsidRPr="00D633FF">
        <w:rPr>
          <w:rFonts w:ascii="Calibri" w:hAnsi="Calibri" w:cs="Calibri"/>
          <w:color w:val="000000"/>
          <w:kern w:val="0"/>
          <w:lang w:eastAsia="en-AU"/>
          <w14:ligatures w14:val="none"/>
        </w:rPr>
      </w:r>
      <w:r w:rsidR="00AC50A9" w:rsidRPr="00D633FF">
        <w:rPr>
          <w:rFonts w:ascii="Calibri" w:hAnsi="Calibri" w:cs="Calibri"/>
          <w:color w:val="000000"/>
          <w:kern w:val="0"/>
          <w:lang w:eastAsia="en-AU"/>
          <w14:ligatures w14:val="none"/>
        </w:rPr>
        <w:fldChar w:fldCharType="separate"/>
      </w:r>
      <w:r w:rsidR="00AC50A9" w:rsidRPr="00D633FF">
        <w:rPr>
          <w:rFonts w:ascii="Calibri" w:hAnsi="Calibri" w:cs="Calibri"/>
        </w:rPr>
        <w:t xml:space="preserve">Table </w:t>
      </w:r>
      <w:r w:rsidR="00AC50A9" w:rsidRPr="00D633FF">
        <w:rPr>
          <w:rFonts w:ascii="Calibri" w:hAnsi="Calibri" w:cs="Calibri"/>
          <w:noProof/>
        </w:rPr>
        <w:t>4</w:t>
      </w:r>
      <w:r w:rsidR="00AC50A9" w:rsidRPr="00D633FF">
        <w:rPr>
          <w:rFonts w:ascii="Calibri" w:hAnsi="Calibri" w:cs="Calibri"/>
          <w:color w:val="000000"/>
          <w:kern w:val="0"/>
          <w:lang w:eastAsia="en-AU"/>
          <w14:ligatures w14:val="none"/>
        </w:rPr>
        <w:fldChar w:fldCharType="end"/>
      </w:r>
      <w:r w:rsidR="00AC50A9" w:rsidRPr="00D633FF">
        <w:rPr>
          <w:rFonts w:ascii="Calibri" w:hAnsi="Calibri" w:cs="Calibri"/>
          <w:color w:val="000000"/>
          <w:kern w:val="0"/>
          <w:lang w:eastAsia="en-AU"/>
          <w14:ligatures w14:val="none"/>
        </w:rPr>
        <w:t>)</w:t>
      </w:r>
      <w:r w:rsidR="00AC50A9" w:rsidRPr="00D633FF">
        <w:rPr>
          <w:rFonts w:ascii="Calibri" w:hAnsi="Calibri" w:cs="Calibri"/>
        </w:rPr>
        <w:t>.</w:t>
      </w:r>
    </w:p>
    <w:p w14:paraId="411DBA3E" w14:textId="147ECB3F" w:rsidR="007221CA" w:rsidRPr="00D633FF" w:rsidRDefault="007221CA" w:rsidP="000E7288">
      <w:pPr>
        <w:spacing w:line="360" w:lineRule="auto"/>
        <w:rPr>
          <w:rFonts w:ascii="Calibri" w:hAnsi="Calibri" w:cs="Calibri"/>
        </w:rPr>
      </w:pPr>
      <w:r w:rsidRPr="00D633FF">
        <w:rPr>
          <w:rFonts w:ascii="Calibri" w:eastAsia="Calibri" w:hAnsi="Calibri" w:cs="Calibri"/>
        </w:rPr>
        <w:t>Overall, when comparing mean and 90</w:t>
      </w:r>
      <w:r w:rsidRPr="00D633FF">
        <w:rPr>
          <w:rFonts w:ascii="Calibri" w:eastAsia="Calibri" w:hAnsi="Calibri" w:cs="Calibri"/>
          <w:vertAlign w:val="superscript"/>
        </w:rPr>
        <w:t>th</w:t>
      </w:r>
      <w:r w:rsidRPr="00D633FF">
        <w:rPr>
          <w:rFonts w:ascii="Calibri" w:eastAsia="Calibri" w:hAnsi="Calibri" w:cs="Calibri"/>
        </w:rPr>
        <w:t xml:space="preserve"> or 95</w:t>
      </w:r>
      <w:r w:rsidRPr="00D633FF">
        <w:rPr>
          <w:rFonts w:ascii="Calibri" w:hAnsi="Calibri" w:cs="Calibri"/>
          <w:vertAlign w:val="superscript"/>
        </w:rPr>
        <w:t>th</w:t>
      </w:r>
      <w:r w:rsidRPr="00D633FF">
        <w:rPr>
          <w:rFonts w:ascii="Calibri" w:eastAsia="Calibri" w:hAnsi="Calibri" w:cs="Calibri"/>
        </w:rPr>
        <w:t xml:space="preserve"> percentile intake estimates from Australia and New Zealand to those reported by EFSA, New Zealand intake levels appear to be generally consistent with those in Europe, while Australia</w:t>
      </w:r>
      <w:r w:rsidR="00090D02" w:rsidRPr="00D633FF">
        <w:rPr>
          <w:rFonts w:ascii="Calibri" w:eastAsia="Calibri" w:hAnsi="Calibri" w:cs="Calibri"/>
        </w:rPr>
        <w:t>n</w:t>
      </w:r>
      <w:r w:rsidRPr="00D633FF">
        <w:rPr>
          <w:rFonts w:ascii="Calibri" w:eastAsia="Calibri" w:hAnsi="Calibri" w:cs="Calibri"/>
        </w:rPr>
        <w:t xml:space="preserve"> intake levels appear higher. In the New Zealand 19–30-year and 31–50-year age groups, values are close to or above EFSA’s maximum values. However, direct comparison between these populations is difficult due to differences in age grouping (31</w:t>
      </w:r>
      <w:r w:rsidR="00894F73">
        <w:rPr>
          <w:rFonts w:ascii="Calibri" w:eastAsia="Calibri" w:hAnsi="Calibri" w:cs="Calibri"/>
        </w:rPr>
        <w:t>–</w:t>
      </w:r>
      <w:r w:rsidRPr="00D633FF">
        <w:rPr>
          <w:rFonts w:ascii="Calibri" w:eastAsia="Calibri" w:hAnsi="Calibri" w:cs="Calibri"/>
        </w:rPr>
        <w:t>50 years vs 18</w:t>
      </w:r>
      <w:r w:rsidR="00894F73">
        <w:rPr>
          <w:rFonts w:ascii="Calibri" w:eastAsia="Calibri" w:hAnsi="Calibri" w:cs="Calibri"/>
        </w:rPr>
        <w:t>–</w:t>
      </w:r>
      <w:r w:rsidRPr="00D633FF">
        <w:rPr>
          <w:rFonts w:ascii="Calibri" w:eastAsia="Calibri" w:hAnsi="Calibri" w:cs="Calibri"/>
        </w:rPr>
        <w:t>64 years)</w:t>
      </w:r>
      <w:r w:rsidR="003179E5" w:rsidRPr="00D633FF">
        <w:rPr>
          <w:rFonts w:ascii="Calibri" w:eastAsia="Calibri" w:hAnsi="Calibri" w:cs="Calibri"/>
        </w:rPr>
        <w:t xml:space="preserve"> and the use of 90</w:t>
      </w:r>
      <w:r w:rsidR="003179E5" w:rsidRPr="00D633FF">
        <w:rPr>
          <w:rFonts w:ascii="Calibri" w:eastAsia="Calibri" w:hAnsi="Calibri" w:cs="Calibri"/>
          <w:vertAlign w:val="superscript"/>
        </w:rPr>
        <w:t>th</w:t>
      </w:r>
      <w:r w:rsidR="003179E5" w:rsidRPr="00D633FF">
        <w:rPr>
          <w:rFonts w:ascii="Calibri" w:eastAsia="Calibri" w:hAnsi="Calibri" w:cs="Calibri"/>
        </w:rPr>
        <w:t xml:space="preserve"> and 95</w:t>
      </w:r>
      <w:r w:rsidR="003179E5" w:rsidRPr="00D633FF">
        <w:rPr>
          <w:rFonts w:ascii="Calibri" w:eastAsia="Calibri" w:hAnsi="Calibri" w:cs="Calibri"/>
          <w:vertAlign w:val="superscript"/>
        </w:rPr>
        <w:t>th</w:t>
      </w:r>
      <w:r w:rsidR="003179E5" w:rsidRPr="00D633FF">
        <w:rPr>
          <w:rFonts w:ascii="Calibri" w:eastAsia="Calibri" w:hAnsi="Calibri" w:cs="Calibri"/>
        </w:rPr>
        <w:t xml:space="preserve"> percentiles </w:t>
      </w:r>
      <w:r w:rsidR="00A4519E" w:rsidRPr="00D633FF">
        <w:rPr>
          <w:rFonts w:ascii="Calibri" w:eastAsia="Calibri" w:hAnsi="Calibri" w:cs="Calibri"/>
        </w:rPr>
        <w:t>across populations</w:t>
      </w:r>
      <w:r w:rsidR="00832928" w:rsidRPr="00D633FF">
        <w:rPr>
          <w:rFonts w:ascii="Calibri" w:eastAsia="Calibri" w:hAnsi="Calibri" w:cs="Calibri"/>
        </w:rPr>
        <w:t xml:space="preserve"> and Australian intake data including food and supplement intake, while EFSA and NZ include food only</w:t>
      </w:r>
      <w:r w:rsidRPr="00D633FF">
        <w:rPr>
          <w:rFonts w:ascii="Calibri" w:eastAsia="Calibri" w:hAnsi="Calibri" w:cs="Calibri"/>
        </w:rPr>
        <w:t>.</w:t>
      </w:r>
      <w:r w:rsidRPr="00D633FF">
        <w:rPr>
          <w:rFonts w:ascii="Calibri" w:hAnsi="Calibri" w:cs="Calibri"/>
        </w:rPr>
        <w:t xml:space="preserve"> </w:t>
      </w:r>
    </w:p>
    <w:p w14:paraId="07CC17CA" w14:textId="77777777" w:rsidR="00C447F2" w:rsidRPr="00D633FF" w:rsidRDefault="00C447F2" w:rsidP="00774DB9">
      <w:pPr>
        <w:spacing w:line="360" w:lineRule="auto"/>
        <w:rPr>
          <w:rFonts w:ascii="Calibri" w:eastAsia="Calibri" w:hAnsi="Calibri" w:cs="Calibri"/>
        </w:rPr>
      </w:pPr>
    </w:p>
    <w:p w14:paraId="2F33160C" w14:textId="1B20F264" w:rsidR="00DF795A" w:rsidRPr="00D633FF" w:rsidRDefault="00DF795A" w:rsidP="00832928">
      <w:pPr>
        <w:pStyle w:val="Heading5"/>
        <w:rPr>
          <w:rFonts w:ascii="Calibri" w:hAnsi="Calibri" w:cs="Calibri"/>
        </w:rPr>
      </w:pPr>
      <w:r w:rsidRPr="00D633FF">
        <w:rPr>
          <w:rFonts w:ascii="Calibri" w:hAnsi="Calibri" w:cs="Calibri"/>
        </w:rPr>
        <w:t>Children and adolescents</w:t>
      </w:r>
    </w:p>
    <w:p w14:paraId="575D6C90" w14:textId="02252079" w:rsidR="0037358D" w:rsidRPr="00D633FF" w:rsidRDefault="000F7502" w:rsidP="00355CB4">
      <w:pPr>
        <w:spacing w:line="360" w:lineRule="auto"/>
        <w:rPr>
          <w:rFonts w:ascii="Calibri" w:hAnsi="Calibri" w:cs="Calibri"/>
        </w:rPr>
      </w:pPr>
      <w:r w:rsidRPr="00D633FF">
        <w:rPr>
          <w:rFonts w:ascii="Calibri" w:eastAsia="Times New Roman" w:hAnsi="Calibri" w:cs="Calibri"/>
          <w:color w:val="000000"/>
          <w:kern w:val="0"/>
          <w:lang w:eastAsia="en-AU"/>
          <w14:ligatures w14:val="none"/>
        </w:rPr>
        <w:t>Overall,</w:t>
      </w:r>
      <w:r w:rsidR="009210E3" w:rsidRPr="00D633FF">
        <w:rPr>
          <w:rFonts w:ascii="Calibri" w:eastAsia="Times New Roman" w:hAnsi="Calibri" w:cs="Calibri"/>
          <w:color w:val="000000"/>
          <w:kern w:val="0"/>
          <w:lang w:eastAsia="en-AU"/>
          <w14:ligatures w14:val="none"/>
        </w:rPr>
        <w:t xml:space="preserve"> </w:t>
      </w:r>
      <w:r w:rsidR="00B22015" w:rsidRPr="00D633FF">
        <w:rPr>
          <w:rFonts w:ascii="Calibri" w:eastAsia="Times New Roman" w:hAnsi="Calibri" w:cs="Calibri"/>
          <w:color w:val="000000"/>
          <w:kern w:val="0"/>
          <w:lang w:eastAsia="en-AU"/>
          <w14:ligatures w14:val="none"/>
        </w:rPr>
        <w:t xml:space="preserve">for all </w:t>
      </w:r>
      <w:r w:rsidR="000D0CE6" w:rsidRPr="00D633FF">
        <w:rPr>
          <w:rFonts w:ascii="Calibri" w:eastAsia="Times New Roman" w:hAnsi="Calibri" w:cs="Calibri"/>
          <w:color w:val="000000"/>
          <w:kern w:val="0"/>
          <w:lang w:eastAsia="en-AU"/>
          <w14:ligatures w14:val="none"/>
        </w:rPr>
        <w:t>children and adolescent</w:t>
      </w:r>
      <w:r w:rsidR="00B22015" w:rsidRPr="00D633FF">
        <w:rPr>
          <w:rFonts w:ascii="Calibri" w:eastAsia="Times New Roman" w:hAnsi="Calibri" w:cs="Calibri"/>
          <w:color w:val="000000"/>
          <w:kern w:val="0"/>
          <w:lang w:eastAsia="en-AU"/>
          <w14:ligatures w14:val="none"/>
        </w:rPr>
        <w:t xml:space="preserve"> age group</w:t>
      </w:r>
      <w:r w:rsidR="000D0CE6" w:rsidRPr="00D633FF">
        <w:rPr>
          <w:rFonts w:ascii="Calibri" w:eastAsia="Times New Roman" w:hAnsi="Calibri" w:cs="Calibri"/>
          <w:color w:val="000000"/>
          <w:kern w:val="0"/>
          <w:lang w:eastAsia="en-AU"/>
          <w14:ligatures w14:val="none"/>
        </w:rPr>
        <w:t>s</w:t>
      </w:r>
      <w:r w:rsidR="00354C1A" w:rsidRPr="00D633FF">
        <w:rPr>
          <w:rFonts w:ascii="Calibri" w:eastAsia="Times New Roman" w:hAnsi="Calibri" w:cs="Calibri"/>
          <w:color w:val="000000"/>
          <w:kern w:val="0"/>
          <w:lang w:eastAsia="en-AU"/>
          <w14:ligatures w14:val="none"/>
        </w:rPr>
        <w:t xml:space="preserve">, </w:t>
      </w:r>
      <w:r w:rsidR="00156635" w:rsidRPr="00D633FF">
        <w:rPr>
          <w:rFonts w:ascii="Calibri" w:eastAsia="Times New Roman" w:hAnsi="Calibri" w:cs="Calibri"/>
          <w:color w:val="000000"/>
          <w:kern w:val="0"/>
          <w:lang w:eastAsia="en-AU"/>
          <w14:ligatures w14:val="none"/>
        </w:rPr>
        <w:t xml:space="preserve">selenium intake </w:t>
      </w:r>
      <w:r w:rsidR="005751EF" w:rsidRPr="00D633FF">
        <w:rPr>
          <w:rFonts w:ascii="Calibri" w:eastAsia="Times New Roman" w:hAnsi="Calibri" w:cs="Calibri"/>
          <w:color w:val="000000"/>
          <w:kern w:val="0"/>
          <w:lang w:eastAsia="en-AU"/>
          <w14:ligatures w14:val="none"/>
        </w:rPr>
        <w:t xml:space="preserve">estimates </w:t>
      </w:r>
      <w:r w:rsidR="00FC0ED5" w:rsidRPr="00D633FF">
        <w:rPr>
          <w:rFonts w:ascii="Calibri" w:eastAsia="Times New Roman" w:hAnsi="Calibri" w:cs="Calibri"/>
          <w:color w:val="000000"/>
          <w:kern w:val="0"/>
          <w:lang w:eastAsia="en-AU"/>
          <w14:ligatures w14:val="none"/>
        </w:rPr>
        <w:t xml:space="preserve">were </w:t>
      </w:r>
      <w:r w:rsidR="001D3A31" w:rsidRPr="00D633FF">
        <w:rPr>
          <w:rFonts w:ascii="Calibri" w:eastAsia="Times New Roman" w:hAnsi="Calibri" w:cs="Calibri"/>
          <w:color w:val="000000"/>
          <w:kern w:val="0"/>
          <w:lang w:eastAsia="en-AU"/>
          <w14:ligatures w14:val="none"/>
        </w:rPr>
        <w:t>higher</w:t>
      </w:r>
      <w:r w:rsidR="00DD363B" w:rsidRPr="00D633FF">
        <w:rPr>
          <w:rFonts w:ascii="Calibri" w:eastAsia="Times New Roman" w:hAnsi="Calibri" w:cs="Calibri"/>
          <w:color w:val="000000"/>
          <w:kern w:val="0"/>
          <w:lang w:eastAsia="en-AU"/>
          <w14:ligatures w14:val="none"/>
        </w:rPr>
        <w:t xml:space="preserve"> </w:t>
      </w:r>
      <w:r w:rsidR="005751EF" w:rsidRPr="00D633FF">
        <w:rPr>
          <w:rFonts w:ascii="Calibri" w:eastAsia="Times New Roman" w:hAnsi="Calibri" w:cs="Calibri"/>
          <w:color w:val="000000"/>
          <w:kern w:val="0"/>
          <w:lang w:eastAsia="en-AU"/>
          <w14:ligatures w14:val="none"/>
        </w:rPr>
        <w:t xml:space="preserve">for </w:t>
      </w:r>
      <w:r w:rsidR="00DD363B" w:rsidRPr="00D633FF">
        <w:rPr>
          <w:rFonts w:ascii="Calibri" w:eastAsia="Times New Roman" w:hAnsi="Calibri" w:cs="Calibri"/>
          <w:color w:val="000000"/>
          <w:kern w:val="0"/>
          <w:lang w:eastAsia="en-AU"/>
          <w14:ligatures w14:val="none"/>
        </w:rPr>
        <w:t>Australia</w:t>
      </w:r>
      <w:r w:rsidR="00A11877" w:rsidRPr="00D633FF">
        <w:rPr>
          <w:rFonts w:ascii="Calibri" w:eastAsia="Times New Roman" w:hAnsi="Calibri" w:cs="Calibri"/>
          <w:color w:val="000000"/>
          <w:kern w:val="0"/>
          <w:lang w:eastAsia="en-AU"/>
          <w14:ligatures w14:val="none"/>
        </w:rPr>
        <w:t xml:space="preserve"> </w:t>
      </w:r>
      <w:r w:rsidR="005751EF" w:rsidRPr="00D633FF">
        <w:rPr>
          <w:rFonts w:ascii="Calibri" w:eastAsia="Times New Roman" w:hAnsi="Calibri" w:cs="Calibri"/>
          <w:color w:val="000000"/>
          <w:kern w:val="0"/>
          <w:lang w:eastAsia="en-AU"/>
          <w14:ligatures w14:val="none"/>
        </w:rPr>
        <w:t xml:space="preserve">when compared </w:t>
      </w:r>
      <w:r w:rsidR="00E86BEA" w:rsidRPr="00D633FF">
        <w:rPr>
          <w:rFonts w:ascii="Calibri" w:eastAsia="Times New Roman" w:hAnsi="Calibri" w:cs="Calibri"/>
          <w:color w:val="000000"/>
          <w:kern w:val="0"/>
          <w:lang w:eastAsia="en-AU"/>
          <w14:ligatures w14:val="none"/>
        </w:rPr>
        <w:t xml:space="preserve">with EFSA </w:t>
      </w:r>
      <w:r w:rsidR="00FA675D" w:rsidRPr="00D633FF">
        <w:rPr>
          <w:rFonts w:ascii="Calibri" w:eastAsia="Times New Roman" w:hAnsi="Calibri" w:cs="Calibri"/>
          <w:color w:val="000000"/>
          <w:kern w:val="0"/>
          <w:lang w:eastAsia="en-AU"/>
          <w14:ligatures w14:val="none"/>
        </w:rPr>
        <w:t>(</w:t>
      </w:r>
      <w:r w:rsidR="007E6CC8" w:rsidRPr="00D633FF">
        <w:rPr>
          <w:rFonts w:ascii="Calibri" w:eastAsia="Times New Roman" w:hAnsi="Calibri" w:cs="Calibri"/>
          <w:color w:val="000000"/>
          <w:kern w:val="0"/>
          <w:lang w:eastAsia="en-AU"/>
          <w14:ligatures w14:val="none"/>
        </w:rPr>
        <w:t>Australian 95</w:t>
      </w:r>
      <w:r w:rsidR="007E6CC8" w:rsidRPr="00D633FF">
        <w:rPr>
          <w:rFonts w:ascii="Calibri" w:eastAsia="Times New Roman" w:hAnsi="Calibri" w:cs="Calibri"/>
          <w:color w:val="000000"/>
          <w:kern w:val="0"/>
          <w:vertAlign w:val="superscript"/>
          <w:lang w:eastAsia="en-AU"/>
          <w14:ligatures w14:val="none"/>
        </w:rPr>
        <w:t>th</w:t>
      </w:r>
      <w:r w:rsidR="007E6CC8" w:rsidRPr="00D633FF">
        <w:rPr>
          <w:rFonts w:ascii="Calibri" w:eastAsia="Times New Roman" w:hAnsi="Calibri" w:cs="Calibri"/>
          <w:color w:val="000000"/>
          <w:kern w:val="0"/>
          <w:lang w:eastAsia="en-AU"/>
          <w14:ligatures w14:val="none"/>
        </w:rPr>
        <w:t xml:space="preserve"> percentile </w:t>
      </w:r>
      <w:r w:rsidR="000266EC" w:rsidRPr="00D633FF">
        <w:rPr>
          <w:rFonts w:ascii="Calibri" w:eastAsia="Times New Roman" w:hAnsi="Calibri" w:cs="Calibri"/>
          <w:color w:val="000000"/>
          <w:kern w:val="0"/>
          <w:lang w:eastAsia="en-AU"/>
          <w14:ligatures w14:val="none"/>
        </w:rPr>
        <w:t xml:space="preserve">was </w:t>
      </w:r>
      <w:r w:rsidR="007E6CC8" w:rsidRPr="00D633FF">
        <w:rPr>
          <w:rFonts w:ascii="Calibri" w:eastAsia="Times New Roman" w:hAnsi="Calibri" w:cs="Calibri"/>
          <w:color w:val="000000"/>
          <w:kern w:val="0"/>
          <w:lang w:eastAsia="en-AU"/>
          <w14:ligatures w14:val="none"/>
        </w:rPr>
        <w:t xml:space="preserve">higher than </w:t>
      </w:r>
      <w:r w:rsidR="004F6423" w:rsidRPr="00D633FF">
        <w:rPr>
          <w:rFonts w:ascii="Calibri" w:eastAsia="Times New Roman" w:hAnsi="Calibri" w:cs="Calibri"/>
          <w:color w:val="000000"/>
          <w:kern w:val="0"/>
          <w:lang w:eastAsia="en-AU"/>
          <w14:ligatures w14:val="none"/>
        </w:rPr>
        <w:t>EFSAs maximum 95</w:t>
      </w:r>
      <w:r w:rsidR="004F6423" w:rsidRPr="00D633FF">
        <w:rPr>
          <w:rFonts w:ascii="Calibri" w:eastAsia="Times New Roman" w:hAnsi="Calibri" w:cs="Calibri"/>
          <w:color w:val="000000"/>
          <w:kern w:val="0"/>
          <w:vertAlign w:val="superscript"/>
          <w:lang w:eastAsia="en-AU"/>
          <w14:ligatures w14:val="none"/>
        </w:rPr>
        <w:t>th</w:t>
      </w:r>
      <w:r w:rsidR="004F6423" w:rsidRPr="00D633FF">
        <w:rPr>
          <w:rFonts w:ascii="Calibri" w:eastAsia="Times New Roman" w:hAnsi="Calibri" w:cs="Calibri"/>
          <w:color w:val="000000"/>
          <w:kern w:val="0"/>
          <w:lang w:eastAsia="en-AU"/>
          <w14:ligatures w14:val="none"/>
        </w:rPr>
        <w:t xml:space="preserve"> percentile estimate</w:t>
      </w:r>
      <w:r w:rsidR="00F138AC" w:rsidRPr="00D633FF">
        <w:rPr>
          <w:rFonts w:ascii="Calibri" w:eastAsia="Times New Roman" w:hAnsi="Calibri" w:cs="Calibri"/>
          <w:color w:val="000000"/>
          <w:kern w:val="0"/>
          <w:lang w:eastAsia="en-AU"/>
          <w14:ligatures w14:val="none"/>
        </w:rPr>
        <w:t xml:space="preserve"> for all age groups</w:t>
      </w:r>
      <w:r w:rsidR="003F4B3A" w:rsidRPr="00D633FF">
        <w:rPr>
          <w:rFonts w:ascii="Calibri" w:eastAsia="Times New Roman" w:hAnsi="Calibri" w:cs="Calibri"/>
          <w:color w:val="000000"/>
          <w:kern w:val="0"/>
          <w:lang w:eastAsia="en-AU"/>
          <w14:ligatures w14:val="none"/>
        </w:rPr>
        <w:t xml:space="preserve">). New </w:t>
      </w:r>
      <w:r w:rsidRPr="00D633FF">
        <w:rPr>
          <w:rFonts w:ascii="Calibri" w:eastAsia="Times New Roman" w:hAnsi="Calibri" w:cs="Calibri"/>
          <w:color w:val="000000"/>
          <w:kern w:val="0"/>
          <w:lang w:eastAsia="en-AU"/>
          <w14:ligatures w14:val="none"/>
        </w:rPr>
        <w:t>Zealand’s</w:t>
      </w:r>
      <w:r w:rsidR="003F4B3A" w:rsidRPr="00D633FF">
        <w:rPr>
          <w:rFonts w:ascii="Calibri" w:eastAsia="Times New Roman" w:hAnsi="Calibri" w:cs="Calibri"/>
          <w:color w:val="000000"/>
          <w:kern w:val="0"/>
          <w:lang w:eastAsia="en-AU"/>
          <w14:ligatures w14:val="none"/>
        </w:rPr>
        <w:t xml:space="preserve"> 90</w:t>
      </w:r>
      <w:r w:rsidR="003F4B3A" w:rsidRPr="00D633FF">
        <w:rPr>
          <w:rFonts w:ascii="Calibri" w:eastAsia="Times New Roman" w:hAnsi="Calibri" w:cs="Calibri"/>
          <w:color w:val="000000"/>
          <w:kern w:val="0"/>
          <w:vertAlign w:val="superscript"/>
          <w:lang w:eastAsia="en-AU"/>
          <w14:ligatures w14:val="none"/>
        </w:rPr>
        <w:t>th</w:t>
      </w:r>
      <w:r w:rsidR="003F4B3A" w:rsidRPr="00D633FF">
        <w:rPr>
          <w:rFonts w:ascii="Calibri" w:eastAsia="Times New Roman" w:hAnsi="Calibri" w:cs="Calibri"/>
          <w:color w:val="000000"/>
          <w:kern w:val="0"/>
          <w:lang w:eastAsia="en-AU"/>
          <w14:ligatures w14:val="none"/>
        </w:rPr>
        <w:t xml:space="preserve"> percentile values generally </w:t>
      </w:r>
      <w:r w:rsidR="00FC0ED5" w:rsidRPr="00D633FF">
        <w:rPr>
          <w:rFonts w:ascii="Calibri" w:eastAsia="Times New Roman" w:hAnsi="Calibri" w:cs="Calibri"/>
          <w:color w:val="000000"/>
          <w:kern w:val="0"/>
          <w:lang w:eastAsia="en-AU"/>
          <w14:ligatures w14:val="none"/>
        </w:rPr>
        <w:t xml:space="preserve">fell </w:t>
      </w:r>
      <w:r w:rsidR="003F4B3A" w:rsidRPr="00D633FF">
        <w:rPr>
          <w:rFonts w:ascii="Calibri" w:eastAsia="Times New Roman" w:hAnsi="Calibri" w:cs="Calibri"/>
          <w:color w:val="000000"/>
          <w:kern w:val="0"/>
          <w:lang w:eastAsia="en-AU"/>
          <w14:ligatures w14:val="none"/>
        </w:rPr>
        <w:t xml:space="preserve">between </w:t>
      </w:r>
      <w:r w:rsidR="00DA5427" w:rsidRPr="00D633FF">
        <w:rPr>
          <w:rFonts w:ascii="Calibri" w:eastAsia="Times New Roman" w:hAnsi="Calibri" w:cs="Calibri"/>
          <w:color w:val="000000"/>
          <w:kern w:val="0"/>
          <w:lang w:eastAsia="en-AU"/>
          <w14:ligatures w14:val="none"/>
        </w:rPr>
        <w:t>EFSAs</w:t>
      </w:r>
      <w:r w:rsidR="003F4B3A" w:rsidRPr="00D633FF">
        <w:rPr>
          <w:rFonts w:ascii="Calibri" w:eastAsia="Times New Roman" w:hAnsi="Calibri" w:cs="Calibri"/>
          <w:color w:val="000000"/>
          <w:kern w:val="0"/>
          <w:lang w:eastAsia="en-AU"/>
          <w14:ligatures w14:val="none"/>
        </w:rPr>
        <w:t xml:space="preserve"> minimum and maximum</w:t>
      </w:r>
      <w:r w:rsidR="00B22015" w:rsidRPr="00D633FF">
        <w:rPr>
          <w:rFonts w:ascii="Calibri" w:eastAsia="Times New Roman" w:hAnsi="Calibri" w:cs="Calibri"/>
          <w:color w:val="000000"/>
          <w:kern w:val="0"/>
          <w:lang w:eastAsia="en-AU"/>
          <w14:ligatures w14:val="none"/>
        </w:rPr>
        <w:t xml:space="preserve"> </w:t>
      </w:r>
      <w:r w:rsidR="00DA5427" w:rsidRPr="00D633FF">
        <w:rPr>
          <w:rFonts w:ascii="Calibri" w:eastAsia="Times New Roman" w:hAnsi="Calibri" w:cs="Calibri"/>
          <w:color w:val="000000"/>
          <w:kern w:val="0"/>
          <w:lang w:eastAsia="en-AU"/>
          <w14:ligatures w14:val="none"/>
        </w:rPr>
        <w:t>95</w:t>
      </w:r>
      <w:r w:rsidR="00DA5427" w:rsidRPr="00D633FF">
        <w:rPr>
          <w:rFonts w:ascii="Calibri" w:eastAsia="Times New Roman" w:hAnsi="Calibri" w:cs="Calibri"/>
          <w:color w:val="000000"/>
          <w:kern w:val="0"/>
          <w:vertAlign w:val="superscript"/>
          <w:lang w:eastAsia="en-AU"/>
          <w14:ligatures w14:val="none"/>
        </w:rPr>
        <w:t>th</w:t>
      </w:r>
      <w:r w:rsidR="00DA5427" w:rsidRPr="00D633FF">
        <w:rPr>
          <w:rFonts w:ascii="Calibri" w:eastAsia="Times New Roman" w:hAnsi="Calibri" w:cs="Calibri"/>
          <w:color w:val="000000"/>
          <w:kern w:val="0"/>
          <w:lang w:eastAsia="en-AU"/>
          <w14:ligatures w14:val="none"/>
        </w:rPr>
        <w:t xml:space="preserve"> percentile estimates. </w:t>
      </w:r>
      <w:r w:rsidR="001B14A6" w:rsidRPr="00D633FF">
        <w:rPr>
          <w:rFonts w:ascii="Calibri" w:eastAsia="Times New Roman" w:hAnsi="Calibri" w:cs="Calibri"/>
          <w:color w:val="000000"/>
          <w:kern w:val="0"/>
          <w:lang w:eastAsia="en-AU"/>
          <w14:ligatures w14:val="none"/>
        </w:rPr>
        <w:t>However, it should be noted that i</w:t>
      </w:r>
      <w:r w:rsidR="00144EAF" w:rsidRPr="00D633FF">
        <w:rPr>
          <w:rFonts w:ascii="Calibri" w:eastAsia="Times New Roman" w:hAnsi="Calibri" w:cs="Calibri"/>
          <w:color w:val="000000"/>
          <w:kern w:val="0"/>
          <w:lang w:eastAsia="en-AU"/>
          <w14:ligatures w14:val="none"/>
        </w:rPr>
        <w:t xml:space="preserve">t is difficult to </w:t>
      </w:r>
      <w:r w:rsidR="00367F8C" w:rsidRPr="00D633FF">
        <w:rPr>
          <w:rFonts w:ascii="Calibri" w:eastAsia="Times New Roman" w:hAnsi="Calibri" w:cs="Calibri"/>
          <w:color w:val="000000"/>
          <w:kern w:val="0"/>
          <w:lang w:eastAsia="en-AU"/>
          <w14:ligatures w14:val="none"/>
        </w:rPr>
        <w:t xml:space="preserve">make </w:t>
      </w:r>
      <w:r w:rsidR="007F39F1" w:rsidRPr="00D633FF">
        <w:rPr>
          <w:rFonts w:ascii="Calibri" w:eastAsia="Times New Roman" w:hAnsi="Calibri" w:cs="Calibri"/>
          <w:color w:val="000000"/>
          <w:kern w:val="0"/>
          <w:lang w:eastAsia="en-AU"/>
          <w14:ligatures w14:val="none"/>
        </w:rPr>
        <w:t>direct comparisons</w:t>
      </w:r>
      <w:r w:rsidR="00367F8C" w:rsidRPr="00D633FF">
        <w:rPr>
          <w:rFonts w:ascii="Calibri" w:eastAsia="Times New Roman" w:hAnsi="Calibri" w:cs="Calibri"/>
          <w:color w:val="000000"/>
          <w:kern w:val="0"/>
          <w:lang w:eastAsia="en-AU"/>
          <w14:ligatures w14:val="none"/>
        </w:rPr>
        <w:t xml:space="preserve"> </w:t>
      </w:r>
      <w:r w:rsidR="001B14A6" w:rsidRPr="00D633FF">
        <w:rPr>
          <w:rFonts w:ascii="Calibri" w:eastAsia="Times New Roman" w:hAnsi="Calibri" w:cs="Calibri"/>
          <w:color w:val="000000"/>
          <w:kern w:val="0"/>
          <w:lang w:eastAsia="en-AU"/>
          <w14:ligatures w14:val="none"/>
        </w:rPr>
        <w:t xml:space="preserve">between </w:t>
      </w:r>
      <w:r w:rsidR="00FC6A7E" w:rsidRPr="00D633FF">
        <w:rPr>
          <w:rFonts w:ascii="Calibri" w:eastAsia="Times New Roman" w:hAnsi="Calibri" w:cs="Calibri"/>
          <w:color w:val="000000"/>
          <w:kern w:val="0"/>
          <w:lang w:eastAsia="en-AU"/>
          <w14:ligatures w14:val="none"/>
        </w:rPr>
        <w:t xml:space="preserve">Australian, New Zealand and EFSA estimates due to </w:t>
      </w:r>
      <w:r w:rsidR="00BC67AB" w:rsidRPr="00D633FF">
        <w:rPr>
          <w:rFonts w:ascii="Calibri" w:eastAsia="Times New Roman" w:hAnsi="Calibri" w:cs="Calibri"/>
          <w:color w:val="000000"/>
          <w:kern w:val="0"/>
          <w:lang w:eastAsia="en-AU"/>
          <w14:ligatures w14:val="none"/>
        </w:rPr>
        <w:t xml:space="preserve">the </w:t>
      </w:r>
      <w:r w:rsidR="00DF0D02" w:rsidRPr="00D633FF">
        <w:rPr>
          <w:rFonts w:ascii="Calibri" w:eastAsia="Times New Roman" w:hAnsi="Calibri" w:cs="Calibri"/>
          <w:color w:val="000000"/>
          <w:kern w:val="0"/>
          <w:lang w:eastAsia="en-AU"/>
          <w14:ligatures w14:val="none"/>
        </w:rPr>
        <w:t xml:space="preserve">differences in </w:t>
      </w:r>
      <w:r w:rsidR="00CB3915" w:rsidRPr="00D633FF">
        <w:rPr>
          <w:rFonts w:ascii="Calibri" w:eastAsia="Times New Roman" w:hAnsi="Calibri" w:cs="Calibri"/>
          <w:color w:val="000000"/>
          <w:kern w:val="0"/>
          <w:lang w:eastAsia="en-AU"/>
          <w14:ligatures w14:val="none"/>
        </w:rPr>
        <w:t xml:space="preserve">reporting </w:t>
      </w:r>
      <w:r w:rsidR="00DF0D02" w:rsidRPr="00D633FF">
        <w:rPr>
          <w:rFonts w:ascii="Calibri" w:eastAsia="Times New Roman" w:hAnsi="Calibri" w:cs="Calibri"/>
          <w:color w:val="000000"/>
          <w:kern w:val="0"/>
          <w:lang w:eastAsia="en-AU"/>
          <w14:ligatures w14:val="none"/>
        </w:rPr>
        <w:t>age</w:t>
      </w:r>
      <w:r w:rsidR="000B3D92" w:rsidRPr="00D633FF">
        <w:rPr>
          <w:rFonts w:ascii="Calibri" w:eastAsia="Times New Roman" w:hAnsi="Calibri" w:cs="Calibri"/>
          <w:color w:val="000000"/>
          <w:kern w:val="0"/>
          <w:lang w:eastAsia="en-AU"/>
          <w14:ligatures w14:val="none"/>
        </w:rPr>
        <w:t xml:space="preserve"> group</w:t>
      </w:r>
      <w:r w:rsidR="00DB4DED" w:rsidRPr="00D633FF">
        <w:rPr>
          <w:rFonts w:ascii="Calibri" w:eastAsia="Times New Roman" w:hAnsi="Calibri" w:cs="Calibri"/>
          <w:color w:val="000000"/>
          <w:kern w:val="0"/>
          <w:lang w:eastAsia="en-AU"/>
          <w14:ligatures w14:val="none"/>
        </w:rPr>
        <w:t>s</w:t>
      </w:r>
      <w:r w:rsidR="00697741" w:rsidRPr="00D633FF">
        <w:rPr>
          <w:rFonts w:ascii="Calibri" w:eastAsia="Times New Roman" w:hAnsi="Calibri" w:cs="Calibri"/>
          <w:color w:val="000000"/>
          <w:kern w:val="0"/>
          <w:lang w:eastAsia="en-AU"/>
          <w14:ligatures w14:val="none"/>
        </w:rPr>
        <w:t xml:space="preserve"> and the use of 95</w:t>
      </w:r>
      <w:r w:rsidR="00697741" w:rsidRPr="00D633FF">
        <w:rPr>
          <w:rFonts w:ascii="Calibri" w:eastAsia="Times New Roman" w:hAnsi="Calibri" w:cs="Calibri"/>
          <w:color w:val="000000"/>
          <w:kern w:val="0"/>
          <w:vertAlign w:val="superscript"/>
          <w:lang w:eastAsia="en-AU"/>
          <w14:ligatures w14:val="none"/>
        </w:rPr>
        <w:t>th</w:t>
      </w:r>
      <w:r w:rsidR="00697741" w:rsidRPr="00D633FF">
        <w:rPr>
          <w:rFonts w:ascii="Calibri" w:eastAsia="Times New Roman" w:hAnsi="Calibri" w:cs="Calibri"/>
          <w:color w:val="000000"/>
          <w:kern w:val="0"/>
          <w:lang w:eastAsia="en-AU"/>
          <w14:ligatures w14:val="none"/>
        </w:rPr>
        <w:t xml:space="preserve"> percentile</w:t>
      </w:r>
      <w:r w:rsidR="006D66AA" w:rsidRPr="00D633FF">
        <w:rPr>
          <w:rFonts w:ascii="Calibri" w:eastAsia="Times New Roman" w:hAnsi="Calibri" w:cs="Calibri"/>
          <w:color w:val="000000"/>
          <w:kern w:val="0"/>
          <w:lang w:eastAsia="en-AU"/>
          <w14:ligatures w14:val="none"/>
        </w:rPr>
        <w:t xml:space="preserve"> estimates by Australia and </w:t>
      </w:r>
      <w:r w:rsidR="007E1FCD" w:rsidRPr="00D633FF">
        <w:rPr>
          <w:rFonts w:ascii="Calibri" w:eastAsia="Times New Roman" w:hAnsi="Calibri" w:cs="Calibri"/>
          <w:color w:val="000000"/>
          <w:kern w:val="0"/>
          <w:lang w:eastAsia="en-AU"/>
          <w14:ligatures w14:val="none"/>
        </w:rPr>
        <w:t>EFSA, and 90</w:t>
      </w:r>
      <w:r w:rsidR="007E1FCD" w:rsidRPr="00D633FF">
        <w:rPr>
          <w:rFonts w:ascii="Calibri" w:eastAsia="Times New Roman" w:hAnsi="Calibri" w:cs="Calibri"/>
          <w:color w:val="000000"/>
          <w:kern w:val="0"/>
          <w:vertAlign w:val="superscript"/>
          <w:lang w:eastAsia="en-AU"/>
          <w14:ligatures w14:val="none"/>
        </w:rPr>
        <w:t>th</w:t>
      </w:r>
      <w:r w:rsidR="007E1FCD" w:rsidRPr="00D633FF">
        <w:rPr>
          <w:rFonts w:ascii="Calibri" w:eastAsia="Times New Roman" w:hAnsi="Calibri" w:cs="Calibri"/>
          <w:color w:val="000000"/>
          <w:kern w:val="0"/>
          <w:lang w:eastAsia="en-AU"/>
          <w14:ligatures w14:val="none"/>
        </w:rPr>
        <w:t xml:space="preserve"> </w:t>
      </w:r>
      <w:r w:rsidR="00DB4DED" w:rsidRPr="00D633FF">
        <w:rPr>
          <w:rFonts w:ascii="Calibri" w:eastAsia="Times New Roman" w:hAnsi="Calibri" w:cs="Calibri"/>
          <w:color w:val="000000"/>
          <w:kern w:val="0"/>
          <w:lang w:eastAsia="en-AU"/>
          <w14:ligatures w14:val="none"/>
        </w:rPr>
        <w:t>percentile</w:t>
      </w:r>
      <w:r w:rsidR="007E1FCD" w:rsidRPr="00D633FF">
        <w:rPr>
          <w:rFonts w:ascii="Calibri" w:eastAsia="Times New Roman" w:hAnsi="Calibri" w:cs="Calibri"/>
          <w:color w:val="000000"/>
          <w:kern w:val="0"/>
          <w:lang w:eastAsia="en-AU"/>
          <w14:ligatures w14:val="none"/>
        </w:rPr>
        <w:t xml:space="preserve"> estimates used by New Zealand</w:t>
      </w:r>
      <w:r w:rsidR="00457A71" w:rsidRPr="00D633FF">
        <w:rPr>
          <w:rFonts w:ascii="Calibri" w:eastAsia="Times New Roman" w:hAnsi="Calibri" w:cs="Calibri"/>
          <w:color w:val="000000"/>
          <w:kern w:val="0"/>
          <w:lang w:eastAsia="en-AU"/>
          <w14:ligatures w14:val="none"/>
        </w:rPr>
        <w:t xml:space="preserve"> </w:t>
      </w:r>
      <w:r w:rsidR="00457A71" w:rsidRPr="00D633FF">
        <w:rPr>
          <w:rFonts w:ascii="Calibri" w:eastAsia="Times New Roman" w:hAnsi="Calibri" w:cs="Calibri"/>
          <w:szCs w:val="20"/>
        </w:rPr>
        <w:t xml:space="preserve"> </w:t>
      </w:r>
      <w:r w:rsidR="00457A71" w:rsidRPr="00D633FF">
        <w:rPr>
          <w:rFonts w:ascii="Calibri" w:hAnsi="Calibri" w:cs="Calibri"/>
          <w:color w:val="000000"/>
          <w:kern w:val="0"/>
          <w:lang w:eastAsia="en-AU"/>
          <w14:ligatures w14:val="none"/>
        </w:rPr>
        <w:t xml:space="preserve">(see </w:t>
      </w:r>
      <w:r w:rsidR="00457A71" w:rsidRPr="00D633FF">
        <w:rPr>
          <w:rFonts w:ascii="Calibri" w:hAnsi="Calibri" w:cs="Calibri"/>
          <w:color w:val="000000"/>
          <w:kern w:val="0"/>
          <w:lang w:eastAsia="en-AU"/>
          <w14:ligatures w14:val="none"/>
        </w:rPr>
        <w:fldChar w:fldCharType="begin" w:fldLock="1"/>
      </w:r>
      <w:r w:rsidR="00457A71" w:rsidRPr="00D633FF">
        <w:rPr>
          <w:rFonts w:ascii="Calibri" w:hAnsi="Calibri" w:cs="Calibri"/>
          <w:color w:val="000000"/>
          <w:kern w:val="0"/>
          <w:lang w:eastAsia="en-AU"/>
          <w14:ligatures w14:val="none"/>
        </w:rPr>
        <w:instrText xml:space="preserve"> REF _Ref198212548 \h  \* MERGEFORMAT </w:instrText>
      </w:r>
      <w:r w:rsidR="00457A71" w:rsidRPr="00D633FF">
        <w:rPr>
          <w:rFonts w:ascii="Calibri" w:hAnsi="Calibri" w:cs="Calibri"/>
          <w:color w:val="000000"/>
          <w:kern w:val="0"/>
          <w:lang w:eastAsia="en-AU"/>
          <w14:ligatures w14:val="none"/>
        </w:rPr>
      </w:r>
      <w:r w:rsidR="00457A71" w:rsidRPr="00D633FF">
        <w:rPr>
          <w:rFonts w:ascii="Calibri" w:hAnsi="Calibri" w:cs="Calibri"/>
          <w:color w:val="000000"/>
          <w:kern w:val="0"/>
          <w:lang w:eastAsia="en-AU"/>
          <w14:ligatures w14:val="none"/>
        </w:rPr>
        <w:fldChar w:fldCharType="separate"/>
      </w:r>
      <w:r w:rsidR="00457A71" w:rsidRPr="00D633FF">
        <w:rPr>
          <w:rFonts w:ascii="Calibri" w:hAnsi="Calibri" w:cs="Calibri"/>
        </w:rPr>
        <w:t xml:space="preserve">Table </w:t>
      </w:r>
      <w:r w:rsidR="00457A71" w:rsidRPr="00D633FF">
        <w:rPr>
          <w:rFonts w:ascii="Calibri" w:hAnsi="Calibri" w:cs="Calibri"/>
          <w:noProof/>
        </w:rPr>
        <w:t>4</w:t>
      </w:r>
      <w:r w:rsidR="00457A71" w:rsidRPr="00D633FF">
        <w:rPr>
          <w:rFonts w:ascii="Calibri" w:hAnsi="Calibri" w:cs="Calibri"/>
          <w:color w:val="000000"/>
          <w:kern w:val="0"/>
          <w:lang w:eastAsia="en-AU"/>
          <w14:ligatures w14:val="none"/>
        </w:rPr>
        <w:fldChar w:fldCharType="end"/>
      </w:r>
      <w:r w:rsidR="00457A71" w:rsidRPr="00D633FF">
        <w:rPr>
          <w:rFonts w:ascii="Calibri" w:hAnsi="Calibri" w:cs="Calibri"/>
          <w:color w:val="000000"/>
          <w:kern w:val="0"/>
          <w:lang w:eastAsia="en-AU"/>
          <w14:ligatures w14:val="none"/>
        </w:rPr>
        <w:t>)</w:t>
      </w:r>
      <w:r w:rsidR="00457A71" w:rsidRPr="00D633FF">
        <w:rPr>
          <w:rFonts w:ascii="Calibri" w:hAnsi="Calibri" w:cs="Calibri"/>
        </w:rPr>
        <w:t>.</w:t>
      </w:r>
    </w:p>
    <w:p w14:paraId="41FED123" w14:textId="55BC3707" w:rsidR="00E80D3F" w:rsidRPr="00D633FF" w:rsidRDefault="00E80D3F" w:rsidP="004D2DA9">
      <w:pPr>
        <w:keepNext/>
        <w:spacing w:after="0" w:line="276" w:lineRule="auto"/>
        <w:rPr>
          <w:rFonts w:ascii="Calibri" w:hAnsi="Calibri" w:cs="Calibri"/>
        </w:rPr>
      </w:pPr>
    </w:p>
    <w:p w14:paraId="634498EF" w14:textId="030CF95E" w:rsidR="00DE6C4C" w:rsidRPr="00D633FF" w:rsidRDefault="00DE6C4C" w:rsidP="00792803">
      <w:pPr>
        <w:pStyle w:val="Heading5"/>
        <w:rPr>
          <w:rFonts w:ascii="Calibri" w:hAnsi="Calibri" w:cs="Calibri"/>
        </w:rPr>
      </w:pPr>
      <w:r w:rsidRPr="00D633FF">
        <w:rPr>
          <w:rFonts w:ascii="Calibri" w:hAnsi="Calibri" w:cs="Calibri"/>
        </w:rPr>
        <w:t>Limitations of selenium intake estimates</w:t>
      </w:r>
      <w:r w:rsidR="00786F92" w:rsidRPr="00D633FF">
        <w:rPr>
          <w:rFonts w:ascii="Calibri" w:hAnsi="Calibri" w:cs="Calibri"/>
        </w:rPr>
        <w:t xml:space="preserve"> and comparisons</w:t>
      </w:r>
    </w:p>
    <w:p w14:paraId="360038F1" w14:textId="7FA551EF" w:rsidR="00DE6C4C" w:rsidRPr="00D633FF" w:rsidRDefault="00DE6C4C" w:rsidP="00DE6C4C">
      <w:pPr>
        <w:spacing w:line="360" w:lineRule="auto"/>
        <w:rPr>
          <w:rFonts w:ascii="Calibri" w:eastAsia="Times New Roman" w:hAnsi="Calibri" w:cs="Calibri"/>
        </w:rPr>
      </w:pPr>
      <w:r w:rsidRPr="00D633FF">
        <w:rPr>
          <w:rFonts w:ascii="Calibri" w:eastAsia="Times New Roman" w:hAnsi="Calibri" w:cs="Calibri"/>
        </w:rPr>
        <w:t xml:space="preserve">When comparing intake estimates between Australia, New Zealand and EFSA, it should also be noted that intake values are derived from different surveys, different food composition tables and databases, and in different years. Furthermore, when comparing Australian intake estimates with those presented by EFSA, it should be noted that </w:t>
      </w:r>
      <w:r w:rsidR="00D635CE" w:rsidRPr="00D633FF">
        <w:rPr>
          <w:rFonts w:ascii="Calibri" w:eastAsia="Times New Roman" w:hAnsi="Calibri" w:cs="Calibri"/>
        </w:rPr>
        <w:t xml:space="preserve">the </w:t>
      </w:r>
      <w:r w:rsidRPr="00D633FF">
        <w:rPr>
          <w:rFonts w:ascii="Calibri" w:eastAsia="Times New Roman" w:hAnsi="Calibri" w:cs="Calibri"/>
        </w:rPr>
        <w:t>Australia</w:t>
      </w:r>
      <w:r w:rsidR="00D635CE" w:rsidRPr="00D633FF">
        <w:rPr>
          <w:rFonts w:ascii="Calibri" w:eastAsia="Times New Roman" w:hAnsi="Calibri" w:cs="Calibri"/>
        </w:rPr>
        <w:t xml:space="preserve">n dietary intake data </w:t>
      </w:r>
      <w:r w:rsidR="00AF1E23" w:rsidRPr="00D633FF">
        <w:rPr>
          <w:rFonts w:ascii="Calibri" w:eastAsia="Times New Roman" w:hAnsi="Calibri" w:cs="Calibri"/>
        </w:rPr>
        <w:t>included food</w:t>
      </w:r>
      <w:r w:rsidRPr="00D633FF">
        <w:rPr>
          <w:rFonts w:ascii="Calibri" w:eastAsia="Times New Roman" w:hAnsi="Calibri" w:cs="Calibri"/>
        </w:rPr>
        <w:t xml:space="preserve"> and supplements, while </w:t>
      </w:r>
      <w:r w:rsidR="00BC5BD9" w:rsidRPr="00D633FF">
        <w:rPr>
          <w:rFonts w:ascii="Calibri" w:eastAsia="Times New Roman" w:hAnsi="Calibri" w:cs="Calibri"/>
        </w:rPr>
        <w:t xml:space="preserve">New Zealand and </w:t>
      </w:r>
      <w:r w:rsidRPr="00D633FF">
        <w:rPr>
          <w:rFonts w:ascii="Calibri" w:eastAsia="Times New Roman" w:hAnsi="Calibri" w:cs="Calibri"/>
        </w:rPr>
        <w:t>EFSA presented intakes from food only.</w:t>
      </w:r>
    </w:p>
    <w:p w14:paraId="419550BD" w14:textId="2712CB9A" w:rsidR="00DE6C4C" w:rsidRPr="00D633FF" w:rsidRDefault="00610C31" w:rsidP="00DE6C4C">
      <w:pPr>
        <w:spacing w:line="360" w:lineRule="auto"/>
        <w:rPr>
          <w:rFonts w:ascii="Calibri" w:hAnsi="Calibri" w:cs="Calibri"/>
        </w:rPr>
      </w:pPr>
      <w:r w:rsidRPr="00D633FF">
        <w:rPr>
          <w:rFonts w:ascii="Calibri" w:hAnsi="Calibri" w:cs="Calibri"/>
        </w:rPr>
        <w:lastRenderedPageBreak/>
        <w:t>C</w:t>
      </w:r>
      <w:r w:rsidR="00EF0C7F" w:rsidRPr="00D633FF">
        <w:rPr>
          <w:rFonts w:ascii="Calibri" w:hAnsi="Calibri" w:cs="Calibri"/>
        </w:rPr>
        <w:t>omparison between</w:t>
      </w:r>
      <w:r w:rsidR="00DE6C4C" w:rsidRPr="00D633FF">
        <w:rPr>
          <w:rFonts w:ascii="Calibri" w:hAnsi="Calibri" w:cs="Calibri"/>
        </w:rPr>
        <w:t xml:space="preserve"> population groups across jurisdictions</w:t>
      </w:r>
      <w:r w:rsidR="0083404F" w:rsidRPr="00D633FF">
        <w:rPr>
          <w:rFonts w:ascii="Calibri" w:hAnsi="Calibri" w:cs="Calibri"/>
        </w:rPr>
        <w:t xml:space="preserve"> can be difficult</w:t>
      </w:r>
      <w:r w:rsidR="00DE6C4C" w:rsidRPr="00D633FF">
        <w:rPr>
          <w:rFonts w:ascii="Calibri" w:hAnsi="Calibri" w:cs="Calibri"/>
        </w:rPr>
        <w:t xml:space="preserve">, </w:t>
      </w:r>
      <w:r w:rsidR="0083404F" w:rsidRPr="00D633FF">
        <w:rPr>
          <w:rFonts w:ascii="Calibri" w:hAnsi="Calibri" w:cs="Calibri"/>
        </w:rPr>
        <w:t>as</w:t>
      </w:r>
      <w:r w:rsidR="00DE6C4C" w:rsidRPr="00D633FF">
        <w:rPr>
          <w:rFonts w:ascii="Calibri" w:hAnsi="Calibri" w:cs="Calibri"/>
        </w:rPr>
        <w:t xml:space="preserve"> age groups do not always align and estimates are not reported for some population</w:t>
      </w:r>
      <w:r w:rsidR="0083404F" w:rsidRPr="00D633FF">
        <w:rPr>
          <w:rFonts w:ascii="Calibri" w:hAnsi="Calibri" w:cs="Calibri"/>
        </w:rPr>
        <w:t>s</w:t>
      </w:r>
      <w:r w:rsidR="00DE6C4C" w:rsidRPr="00D633FF">
        <w:rPr>
          <w:rFonts w:ascii="Calibri" w:hAnsi="Calibri" w:cs="Calibri"/>
        </w:rPr>
        <w:t xml:space="preserve"> (i.e. intake values for children &lt;5 years in New Zealand, and 95</w:t>
      </w:r>
      <w:r w:rsidR="00DE6C4C" w:rsidRPr="00D633FF">
        <w:rPr>
          <w:rFonts w:ascii="Calibri" w:hAnsi="Calibri" w:cs="Calibri"/>
          <w:vertAlign w:val="superscript"/>
        </w:rPr>
        <w:t>th</w:t>
      </w:r>
      <w:r w:rsidR="00DE6C4C" w:rsidRPr="00D633FF">
        <w:rPr>
          <w:rFonts w:ascii="Calibri" w:hAnsi="Calibri" w:cs="Calibri"/>
        </w:rPr>
        <w:t xml:space="preserve"> percentile values for Aboriginal and Torres Strait Islander populations). There are also inconsistencies in data reported for higher levels of intake with 95</w:t>
      </w:r>
      <w:r w:rsidR="00DE6C4C" w:rsidRPr="00D633FF">
        <w:rPr>
          <w:rFonts w:ascii="Calibri" w:hAnsi="Calibri" w:cs="Calibri"/>
          <w:vertAlign w:val="superscript"/>
        </w:rPr>
        <w:t>th</w:t>
      </w:r>
      <w:r w:rsidR="00DE6C4C" w:rsidRPr="00D633FF">
        <w:rPr>
          <w:rFonts w:ascii="Calibri" w:hAnsi="Calibri" w:cs="Calibri"/>
        </w:rPr>
        <w:t xml:space="preserve"> percentile values provided for EFSA and Australia, and 90</w:t>
      </w:r>
      <w:r w:rsidR="00DE6C4C" w:rsidRPr="00D633FF">
        <w:rPr>
          <w:rFonts w:ascii="Calibri" w:hAnsi="Calibri" w:cs="Calibri"/>
          <w:vertAlign w:val="superscript"/>
        </w:rPr>
        <w:t>th</w:t>
      </w:r>
      <w:r w:rsidR="00DE6C4C" w:rsidRPr="00D633FF">
        <w:rPr>
          <w:rFonts w:ascii="Calibri" w:hAnsi="Calibri" w:cs="Calibri"/>
        </w:rPr>
        <w:t xml:space="preserve"> percentile values for New Zealand.</w:t>
      </w:r>
    </w:p>
    <w:p w14:paraId="18473EAD" w14:textId="5E94E5F3" w:rsidR="00DE6C4C" w:rsidRPr="00D633FF" w:rsidRDefault="00DE6C4C" w:rsidP="00DE6C4C">
      <w:pPr>
        <w:spacing w:line="360" w:lineRule="auto"/>
        <w:rPr>
          <w:rFonts w:ascii="Calibri" w:hAnsi="Calibri" w:cs="Calibri"/>
        </w:rPr>
      </w:pPr>
      <w:r w:rsidRPr="00D633FF">
        <w:rPr>
          <w:rFonts w:ascii="Calibri" w:hAnsi="Calibri" w:cs="Calibri"/>
        </w:rPr>
        <w:t>There are further uncertainties in estimating selenium intake due to the significant variability in selenium content in foods, which is influenced by the geochemistry and selenium content of the soil</w:t>
      </w:r>
      <w:r w:rsidR="009E0217" w:rsidRPr="00D633FF">
        <w:rPr>
          <w:rFonts w:ascii="Calibri" w:hAnsi="Calibri" w:cs="Calibri"/>
        </w:rPr>
        <w:t xml:space="preserve"> </w:t>
      </w:r>
      <w:r w:rsidR="00F41A14" w:rsidRPr="00D633FF">
        <w:rPr>
          <w:rFonts w:ascii="Calibri" w:hAnsi="Calibri" w:cs="Calibri"/>
          <w:noProof/>
        </w:rPr>
        <w:t>(Tinggi 2003)</w:t>
      </w:r>
      <w:r w:rsidR="00151DAD" w:rsidRPr="00D633FF">
        <w:rPr>
          <w:rFonts w:ascii="Calibri" w:hAnsi="Calibri" w:cs="Calibri"/>
        </w:rPr>
        <w:t xml:space="preserve">. </w:t>
      </w:r>
      <w:r w:rsidRPr="00D633FF">
        <w:rPr>
          <w:rFonts w:ascii="Calibri" w:hAnsi="Calibri" w:cs="Calibri"/>
        </w:rPr>
        <w:t xml:space="preserve">The origin of the foods </w:t>
      </w:r>
      <w:r w:rsidR="007026E9" w:rsidRPr="00D633FF">
        <w:rPr>
          <w:rFonts w:ascii="Calibri" w:hAnsi="Calibri" w:cs="Calibri"/>
        </w:rPr>
        <w:t xml:space="preserve">analysed </w:t>
      </w:r>
      <w:r w:rsidRPr="00D633FF">
        <w:rPr>
          <w:rFonts w:ascii="Calibri" w:hAnsi="Calibri" w:cs="Calibri"/>
        </w:rPr>
        <w:t>can greatly affect their selenium content, leading to potential inaccuracies in food composition tables if the analytical data do not adequately capture this variability or if borrowed values are used</w:t>
      </w:r>
      <w:r w:rsidR="00151DAD" w:rsidRPr="00D633FF">
        <w:rPr>
          <w:rFonts w:ascii="Calibri" w:hAnsi="Calibri" w:cs="Calibri"/>
        </w:rPr>
        <w:t xml:space="preserve"> </w:t>
      </w:r>
      <w:r w:rsidRPr="00D633FF">
        <w:rPr>
          <w:rFonts w:ascii="Calibri" w:hAnsi="Calibri" w:cs="Calibri"/>
        </w:rPr>
        <w:t>these intake estimates should therefore be interpreted with caution</w:t>
      </w:r>
      <w:r w:rsidR="00151DAD" w:rsidRPr="00D633FF">
        <w:rPr>
          <w:rFonts w:ascii="Calibri" w:hAnsi="Calibri" w:cs="Calibri"/>
        </w:rPr>
        <w:t xml:space="preserve"> </w:t>
      </w:r>
      <w:r w:rsidR="00F41A14" w:rsidRPr="00D633FF">
        <w:rPr>
          <w:rFonts w:ascii="Calibri" w:hAnsi="Calibri" w:cs="Calibri"/>
          <w:noProof/>
        </w:rPr>
        <w:t>(Turck et al. 2023)</w:t>
      </w:r>
      <w:r w:rsidRPr="00D633FF">
        <w:rPr>
          <w:rFonts w:ascii="Calibri" w:hAnsi="Calibri" w:cs="Calibri"/>
        </w:rPr>
        <w:t>. </w:t>
      </w:r>
    </w:p>
    <w:p w14:paraId="1690AE5B" w14:textId="77777777" w:rsidR="004B562C" w:rsidRPr="00D633FF" w:rsidRDefault="004B562C">
      <w:pPr>
        <w:rPr>
          <w:rFonts w:ascii="Calibri" w:hAnsi="Calibri" w:cs="Calibri"/>
        </w:rPr>
      </w:pPr>
    </w:p>
    <w:p w14:paraId="704BDA9F" w14:textId="77777777" w:rsidR="004F2E3B" w:rsidRPr="00D633FF" w:rsidRDefault="004F2E3B" w:rsidP="004F2E3B">
      <w:pPr>
        <w:pStyle w:val="Heading3"/>
        <w:rPr>
          <w:rFonts w:ascii="Calibri" w:hAnsi="Calibri" w:cs="Calibri"/>
        </w:rPr>
      </w:pPr>
      <w:bookmarkStart w:id="37" w:name="_Toc218527967"/>
      <w:r w:rsidRPr="00D633FF">
        <w:rPr>
          <w:rFonts w:ascii="Calibri" w:hAnsi="Calibri" w:cs="Calibri"/>
        </w:rPr>
        <w:t>Selenium status</w:t>
      </w:r>
      <w:bookmarkEnd w:id="37"/>
      <w:r w:rsidRPr="00D633FF">
        <w:rPr>
          <w:rFonts w:ascii="Calibri" w:hAnsi="Calibri" w:cs="Calibri"/>
        </w:rPr>
        <w:t xml:space="preserve"> </w:t>
      </w:r>
    </w:p>
    <w:p w14:paraId="518107C1" w14:textId="6A3C4613" w:rsidR="00D27629" w:rsidRPr="00D633FF" w:rsidRDefault="004F2E3B" w:rsidP="003613C7">
      <w:pPr>
        <w:spacing w:line="360" w:lineRule="auto"/>
        <w:rPr>
          <w:rFonts w:ascii="Calibri" w:hAnsi="Calibri" w:cs="Calibri"/>
        </w:rPr>
      </w:pPr>
      <w:r w:rsidRPr="00D633FF">
        <w:rPr>
          <w:rFonts w:ascii="Calibri" w:hAnsi="Calibri" w:cs="Calibri"/>
        </w:rPr>
        <w:t>There is no national or government data around the selenium status of the Australian or New Zealand population, consequently research studies have instead been used to attain this data. Only studies that used plasma or serum selenium levels to measure selenium status were included for consistency (see</w:t>
      </w:r>
      <w:r w:rsidR="00B107C5" w:rsidRPr="00D633FF">
        <w:rPr>
          <w:rFonts w:ascii="Calibri" w:hAnsi="Calibri" w:cs="Calibri"/>
        </w:rPr>
        <w:t xml:space="preserve"> </w:t>
      </w:r>
      <w:r w:rsidR="00DD5C4E" w:rsidRPr="00D633FF">
        <w:rPr>
          <w:rFonts w:ascii="Calibri" w:hAnsi="Calibri" w:cs="Calibri"/>
        </w:rPr>
        <w:fldChar w:fldCharType="begin" w:fldLock="1"/>
      </w:r>
      <w:r w:rsidR="00DD5C4E" w:rsidRPr="00D633FF">
        <w:rPr>
          <w:rFonts w:ascii="Calibri" w:hAnsi="Calibri" w:cs="Calibri"/>
        </w:rPr>
        <w:instrText xml:space="preserve"> REF _Ref199411868 \h </w:instrText>
      </w:r>
      <w:r w:rsidR="00D633FF">
        <w:rPr>
          <w:rFonts w:ascii="Calibri" w:hAnsi="Calibri" w:cs="Calibri"/>
        </w:rPr>
        <w:instrText xml:space="preserve"> \* MERGEFORMAT </w:instrText>
      </w:r>
      <w:r w:rsidR="00DD5C4E" w:rsidRPr="00D633FF">
        <w:rPr>
          <w:rFonts w:ascii="Calibri" w:hAnsi="Calibri" w:cs="Calibri"/>
        </w:rPr>
      </w:r>
      <w:r w:rsidR="00DD5C4E" w:rsidRPr="00D633FF">
        <w:rPr>
          <w:rFonts w:ascii="Calibri" w:hAnsi="Calibri" w:cs="Calibri"/>
        </w:rPr>
        <w:fldChar w:fldCharType="separate"/>
      </w:r>
      <w:r w:rsidR="00DD5C4E" w:rsidRPr="00D633FF">
        <w:rPr>
          <w:rFonts w:ascii="Calibri" w:hAnsi="Calibri" w:cs="Calibri"/>
        </w:rPr>
        <w:t xml:space="preserve">Table </w:t>
      </w:r>
      <w:r w:rsidR="00DD5C4E" w:rsidRPr="00D633FF">
        <w:rPr>
          <w:rFonts w:ascii="Calibri" w:hAnsi="Calibri" w:cs="Calibri"/>
          <w:noProof/>
        </w:rPr>
        <w:t>5</w:t>
      </w:r>
      <w:r w:rsidR="00DD5C4E" w:rsidRPr="00D633FF">
        <w:rPr>
          <w:rFonts w:ascii="Calibri" w:hAnsi="Calibri" w:cs="Calibri"/>
        </w:rPr>
        <w:fldChar w:fldCharType="end"/>
      </w:r>
      <w:r w:rsidR="00A137D3" w:rsidRPr="00D633FF">
        <w:rPr>
          <w:rFonts w:ascii="Calibri" w:hAnsi="Calibri" w:cs="Calibri"/>
        </w:rPr>
        <w:t xml:space="preserve"> and </w:t>
      </w:r>
      <w:r w:rsidR="00A137D3" w:rsidRPr="00D633FF">
        <w:rPr>
          <w:rFonts w:ascii="Calibri" w:hAnsi="Calibri" w:cs="Calibri"/>
        </w:rPr>
        <w:fldChar w:fldCharType="begin" w:fldLock="1"/>
      </w:r>
      <w:r w:rsidR="00A137D3" w:rsidRPr="00D633FF">
        <w:rPr>
          <w:rFonts w:ascii="Calibri" w:hAnsi="Calibri" w:cs="Calibri"/>
        </w:rPr>
        <w:instrText xml:space="preserve"> REF _Ref199412432 \h </w:instrText>
      </w:r>
      <w:r w:rsidR="00D633FF">
        <w:rPr>
          <w:rFonts w:ascii="Calibri" w:hAnsi="Calibri" w:cs="Calibri"/>
        </w:rPr>
        <w:instrText xml:space="preserve"> \* MERGEFORMAT </w:instrText>
      </w:r>
      <w:r w:rsidR="00A137D3" w:rsidRPr="00D633FF">
        <w:rPr>
          <w:rFonts w:ascii="Calibri" w:hAnsi="Calibri" w:cs="Calibri"/>
        </w:rPr>
      </w:r>
      <w:r w:rsidR="00A137D3" w:rsidRPr="00D633FF">
        <w:rPr>
          <w:rFonts w:ascii="Calibri" w:hAnsi="Calibri" w:cs="Calibri"/>
        </w:rPr>
        <w:fldChar w:fldCharType="separate"/>
      </w:r>
      <w:r w:rsidR="00A137D3" w:rsidRPr="00D633FF">
        <w:rPr>
          <w:rFonts w:ascii="Calibri" w:hAnsi="Calibri" w:cs="Calibri"/>
        </w:rPr>
        <w:t xml:space="preserve">Table </w:t>
      </w:r>
      <w:r w:rsidR="00A137D3" w:rsidRPr="00D633FF">
        <w:rPr>
          <w:rFonts w:ascii="Calibri" w:hAnsi="Calibri" w:cs="Calibri"/>
          <w:noProof/>
        </w:rPr>
        <w:t>6</w:t>
      </w:r>
      <w:r w:rsidR="00A137D3" w:rsidRPr="00D633FF">
        <w:rPr>
          <w:rFonts w:ascii="Calibri" w:hAnsi="Calibri" w:cs="Calibri"/>
        </w:rPr>
        <w:fldChar w:fldCharType="end"/>
      </w:r>
      <w:r w:rsidRPr="00D633FF">
        <w:rPr>
          <w:rFonts w:ascii="Calibri" w:hAnsi="Calibri" w:cs="Calibri"/>
        </w:rPr>
        <w:t>).</w:t>
      </w:r>
      <w:r w:rsidR="0006232C" w:rsidRPr="00D633FF">
        <w:rPr>
          <w:rFonts w:ascii="Calibri" w:hAnsi="Calibri" w:cs="Calibri"/>
        </w:rPr>
        <w:t xml:space="preserve"> </w:t>
      </w:r>
      <w:r w:rsidR="00DD6672" w:rsidRPr="00D633FF">
        <w:rPr>
          <w:rFonts w:ascii="Calibri" w:hAnsi="Calibri" w:cs="Calibri"/>
        </w:rPr>
        <w:t xml:space="preserve">Data for a range of studies are presented for completeness. However, </w:t>
      </w:r>
      <w:r w:rsidR="001A5545" w:rsidRPr="00D633FF">
        <w:rPr>
          <w:rFonts w:ascii="Calibri" w:hAnsi="Calibri" w:cs="Calibri"/>
        </w:rPr>
        <w:t>it should be noted that these s</w:t>
      </w:r>
      <w:r w:rsidR="0006232C" w:rsidRPr="00D633FF">
        <w:rPr>
          <w:rFonts w:ascii="Calibri" w:hAnsi="Calibri" w:cs="Calibri"/>
        </w:rPr>
        <w:t xml:space="preserve">tudies </w:t>
      </w:r>
      <w:r w:rsidR="008B531E" w:rsidRPr="00D633FF">
        <w:rPr>
          <w:rFonts w:ascii="Calibri" w:hAnsi="Calibri" w:cs="Calibri"/>
        </w:rPr>
        <w:t xml:space="preserve">generally involved small sample </w:t>
      </w:r>
      <w:proofErr w:type="gramStart"/>
      <w:r w:rsidR="008B531E" w:rsidRPr="00D633FF">
        <w:rPr>
          <w:rFonts w:ascii="Calibri" w:hAnsi="Calibri" w:cs="Calibri"/>
        </w:rPr>
        <w:t>sizes, and</w:t>
      </w:r>
      <w:proofErr w:type="gramEnd"/>
      <w:r w:rsidR="008B531E" w:rsidRPr="00D633FF">
        <w:rPr>
          <w:rFonts w:ascii="Calibri" w:hAnsi="Calibri" w:cs="Calibri"/>
        </w:rPr>
        <w:t xml:space="preserve"> </w:t>
      </w:r>
      <w:r w:rsidR="0006232C" w:rsidRPr="00D633FF">
        <w:rPr>
          <w:rFonts w:ascii="Calibri" w:hAnsi="Calibri" w:cs="Calibri"/>
        </w:rPr>
        <w:t xml:space="preserve">were conducted </w:t>
      </w:r>
      <w:r w:rsidR="001A5545" w:rsidRPr="00D633FF">
        <w:rPr>
          <w:rFonts w:ascii="Calibri" w:hAnsi="Calibri" w:cs="Calibri"/>
        </w:rPr>
        <w:t xml:space="preserve">in </w:t>
      </w:r>
      <w:r w:rsidR="00A731AD" w:rsidRPr="00D633FF">
        <w:rPr>
          <w:rFonts w:ascii="Calibri" w:hAnsi="Calibri" w:cs="Calibri"/>
        </w:rPr>
        <w:t xml:space="preserve">various </w:t>
      </w:r>
      <w:r w:rsidR="001A5545" w:rsidRPr="00D633FF">
        <w:rPr>
          <w:rFonts w:ascii="Calibri" w:hAnsi="Calibri" w:cs="Calibri"/>
        </w:rPr>
        <w:t xml:space="preserve">populations </w:t>
      </w:r>
      <w:r w:rsidR="0006232C" w:rsidRPr="00D633FF">
        <w:rPr>
          <w:rFonts w:ascii="Calibri" w:hAnsi="Calibri" w:cs="Calibri"/>
        </w:rPr>
        <w:t>across different regions</w:t>
      </w:r>
      <w:r w:rsidR="00A731AD" w:rsidRPr="00D633FF">
        <w:rPr>
          <w:rFonts w:ascii="Calibri" w:hAnsi="Calibri" w:cs="Calibri"/>
        </w:rPr>
        <w:t xml:space="preserve"> and</w:t>
      </w:r>
      <w:r w:rsidR="0006232C" w:rsidRPr="00D633FF">
        <w:rPr>
          <w:rFonts w:ascii="Calibri" w:hAnsi="Calibri" w:cs="Calibri"/>
        </w:rPr>
        <w:t xml:space="preserve"> </w:t>
      </w:r>
      <w:r w:rsidR="00A731AD" w:rsidRPr="00D633FF">
        <w:rPr>
          <w:rFonts w:ascii="Calibri" w:hAnsi="Calibri" w:cs="Calibri"/>
        </w:rPr>
        <w:t xml:space="preserve">over differing </w:t>
      </w:r>
      <w:r w:rsidR="0006232C" w:rsidRPr="00D633FF">
        <w:rPr>
          <w:rFonts w:ascii="Calibri" w:hAnsi="Calibri" w:cs="Calibri"/>
        </w:rPr>
        <w:t>time periods</w:t>
      </w:r>
      <w:r w:rsidR="00A731AD" w:rsidRPr="00D633FF">
        <w:rPr>
          <w:rFonts w:ascii="Calibri" w:hAnsi="Calibri" w:cs="Calibri"/>
        </w:rPr>
        <w:t xml:space="preserve">, </w:t>
      </w:r>
      <w:r w:rsidR="0006232C" w:rsidRPr="00D633FF">
        <w:rPr>
          <w:rFonts w:ascii="Calibri" w:hAnsi="Calibri" w:cs="Calibri"/>
        </w:rPr>
        <w:t xml:space="preserve">and </w:t>
      </w:r>
      <w:r w:rsidR="00A731AD" w:rsidRPr="00D633FF">
        <w:rPr>
          <w:rFonts w:ascii="Calibri" w:hAnsi="Calibri" w:cs="Calibri"/>
        </w:rPr>
        <w:t xml:space="preserve">using varied </w:t>
      </w:r>
      <w:r w:rsidR="0006232C" w:rsidRPr="00D633FF">
        <w:rPr>
          <w:rFonts w:ascii="Calibri" w:hAnsi="Calibri" w:cs="Calibri"/>
        </w:rPr>
        <w:t xml:space="preserve">methodologies. Consequently, </w:t>
      </w:r>
      <w:r w:rsidR="00DD6672" w:rsidRPr="00D633FF">
        <w:rPr>
          <w:rFonts w:ascii="Calibri" w:hAnsi="Calibri" w:cs="Calibri"/>
        </w:rPr>
        <w:t xml:space="preserve">differences in </w:t>
      </w:r>
      <w:r w:rsidR="00446E4D" w:rsidRPr="00D633FF">
        <w:rPr>
          <w:rFonts w:ascii="Calibri" w:hAnsi="Calibri" w:cs="Calibri"/>
        </w:rPr>
        <w:t xml:space="preserve">reported </w:t>
      </w:r>
      <w:r w:rsidR="00DD6672" w:rsidRPr="00D633FF">
        <w:rPr>
          <w:rFonts w:ascii="Calibri" w:hAnsi="Calibri" w:cs="Calibri"/>
        </w:rPr>
        <w:t xml:space="preserve">selenium </w:t>
      </w:r>
      <w:r w:rsidR="0006232C" w:rsidRPr="00D633FF">
        <w:rPr>
          <w:rFonts w:ascii="Calibri" w:hAnsi="Calibri" w:cs="Calibri"/>
        </w:rPr>
        <w:t xml:space="preserve">status </w:t>
      </w:r>
      <w:r w:rsidR="00DD6672" w:rsidRPr="00D633FF">
        <w:rPr>
          <w:rFonts w:ascii="Calibri" w:hAnsi="Calibri" w:cs="Calibri"/>
        </w:rPr>
        <w:t xml:space="preserve">may reflect </w:t>
      </w:r>
      <w:r w:rsidR="004648A1" w:rsidRPr="00D633FF">
        <w:rPr>
          <w:rFonts w:ascii="Calibri" w:hAnsi="Calibri" w:cs="Calibri"/>
        </w:rPr>
        <w:t xml:space="preserve">temporal, geographic, </w:t>
      </w:r>
      <w:r w:rsidR="001C466D" w:rsidRPr="00D633FF">
        <w:rPr>
          <w:rFonts w:ascii="Calibri" w:hAnsi="Calibri" w:cs="Calibri"/>
        </w:rPr>
        <w:t xml:space="preserve">or </w:t>
      </w:r>
      <w:r w:rsidR="004648A1" w:rsidRPr="00D633FF">
        <w:rPr>
          <w:rFonts w:ascii="Calibri" w:hAnsi="Calibri" w:cs="Calibri"/>
        </w:rPr>
        <w:t xml:space="preserve">sampling differences between studies, </w:t>
      </w:r>
      <w:r w:rsidR="00DD6672" w:rsidRPr="00D633FF">
        <w:rPr>
          <w:rFonts w:ascii="Calibri" w:hAnsi="Calibri" w:cs="Calibri"/>
        </w:rPr>
        <w:t xml:space="preserve">or other unknown factors. Consequently, direct </w:t>
      </w:r>
      <w:r w:rsidR="0006232C" w:rsidRPr="00D633FF">
        <w:rPr>
          <w:rFonts w:ascii="Calibri" w:hAnsi="Calibri" w:cs="Calibri"/>
        </w:rPr>
        <w:t>comparisons between studies</w:t>
      </w:r>
      <w:r w:rsidR="001A5545" w:rsidRPr="00D633FF">
        <w:rPr>
          <w:rFonts w:ascii="Calibri" w:hAnsi="Calibri" w:cs="Calibri"/>
        </w:rPr>
        <w:t xml:space="preserve"> </w:t>
      </w:r>
      <w:r w:rsidR="00144157" w:rsidRPr="00D633FF">
        <w:rPr>
          <w:rFonts w:ascii="Calibri" w:hAnsi="Calibri" w:cs="Calibri"/>
        </w:rPr>
        <w:t xml:space="preserve">have been </w:t>
      </w:r>
      <w:r w:rsidR="004648A1" w:rsidRPr="00D633FF">
        <w:rPr>
          <w:rFonts w:ascii="Calibri" w:hAnsi="Calibri" w:cs="Calibri"/>
        </w:rPr>
        <w:t xml:space="preserve">avoided. </w:t>
      </w:r>
    </w:p>
    <w:p w14:paraId="4E63D43F" w14:textId="77777777" w:rsidR="0009045C" w:rsidRPr="00D633FF" w:rsidRDefault="0009045C" w:rsidP="0009045C">
      <w:pPr>
        <w:pStyle w:val="Heading4"/>
        <w:rPr>
          <w:rFonts w:ascii="Calibri" w:hAnsi="Calibri" w:cs="Calibri"/>
        </w:rPr>
      </w:pPr>
      <w:r w:rsidRPr="00D633FF">
        <w:rPr>
          <w:rFonts w:ascii="Calibri" w:hAnsi="Calibri" w:cs="Calibri"/>
        </w:rPr>
        <w:t>Australia</w:t>
      </w:r>
    </w:p>
    <w:p w14:paraId="15D9EF6A" w14:textId="7E77A16D" w:rsidR="0009045C" w:rsidRPr="00D633FF" w:rsidRDefault="0009045C" w:rsidP="003613C7">
      <w:pPr>
        <w:spacing w:line="360" w:lineRule="auto"/>
        <w:rPr>
          <w:rFonts w:ascii="Calibri" w:hAnsi="Calibri" w:cs="Calibri"/>
        </w:rPr>
      </w:pPr>
      <w:bookmarkStart w:id="38" w:name="_Hlk213258019"/>
      <w:r w:rsidRPr="00D633FF">
        <w:rPr>
          <w:rFonts w:ascii="Calibri" w:hAnsi="Calibri" w:cs="Calibri"/>
        </w:rPr>
        <w:t xml:space="preserve">Overall, data in </w:t>
      </w:r>
      <w:r w:rsidRPr="00D633FF">
        <w:rPr>
          <w:rFonts w:ascii="Calibri" w:hAnsi="Calibri" w:cs="Calibri"/>
        </w:rPr>
        <w:fldChar w:fldCharType="begin" w:fldLock="1"/>
      </w:r>
      <w:r w:rsidRPr="00D633FF">
        <w:rPr>
          <w:rFonts w:ascii="Calibri" w:hAnsi="Calibri" w:cs="Calibri"/>
        </w:rPr>
        <w:instrText xml:space="preserve"> REF _Ref199411868 \h  \* MERGEFORMAT </w:instrText>
      </w:r>
      <w:r w:rsidRPr="00D633FF">
        <w:rPr>
          <w:rFonts w:ascii="Calibri" w:hAnsi="Calibri" w:cs="Calibri"/>
        </w:rPr>
      </w:r>
      <w:r w:rsidRPr="00D633FF">
        <w:rPr>
          <w:rFonts w:ascii="Calibri" w:hAnsi="Calibri" w:cs="Calibri"/>
        </w:rPr>
        <w:fldChar w:fldCharType="separate"/>
      </w:r>
      <w:r w:rsidRPr="00D633FF">
        <w:rPr>
          <w:rFonts w:ascii="Calibri" w:hAnsi="Calibri" w:cs="Calibri"/>
        </w:rPr>
        <w:t>Table 5</w:t>
      </w:r>
      <w:r w:rsidRPr="00D633FF">
        <w:rPr>
          <w:rFonts w:ascii="Calibri" w:hAnsi="Calibri" w:cs="Calibri"/>
        </w:rPr>
        <w:fldChar w:fldCharType="end"/>
      </w:r>
      <w:r w:rsidRPr="00D633FF">
        <w:rPr>
          <w:rFonts w:ascii="Calibri" w:hAnsi="Calibri" w:cs="Calibri"/>
        </w:rPr>
        <w:t xml:space="preserve"> suggests that Australian adults are not at significant risk of selenium deficiency, with mean plasma selenium level exceeding the</w:t>
      </w:r>
      <w:r w:rsidR="00FA312B">
        <w:rPr>
          <w:rFonts w:ascii="Calibri" w:hAnsi="Calibri" w:cs="Calibri"/>
        </w:rPr>
        <w:t xml:space="preserve"> </w:t>
      </w:r>
      <w:r w:rsidRPr="00D633FF">
        <w:rPr>
          <w:rFonts w:ascii="Calibri" w:hAnsi="Calibri" w:cs="Calibri"/>
        </w:rPr>
        <w:t xml:space="preserve">100 µg/L threshold for maximisation of </w:t>
      </w:r>
      <w:proofErr w:type="spellStart"/>
      <w:r w:rsidRPr="00D633FF">
        <w:rPr>
          <w:rFonts w:ascii="Calibri" w:hAnsi="Calibri" w:cs="Calibri"/>
        </w:rPr>
        <w:t>GPx</w:t>
      </w:r>
      <w:proofErr w:type="spellEnd"/>
      <w:r w:rsidRPr="00D633FF">
        <w:rPr>
          <w:rFonts w:ascii="Calibri" w:hAnsi="Calibri" w:cs="Calibri"/>
        </w:rPr>
        <w:t xml:space="preserve"> activity. </w:t>
      </w:r>
      <w:bookmarkEnd w:id="38"/>
      <w:r w:rsidRPr="00D633FF">
        <w:rPr>
          <w:rFonts w:ascii="Calibri" w:hAnsi="Calibri" w:cs="Calibri"/>
        </w:rPr>
        <w:t xml:space="preserve">Some studies in younger women or Northern Tasmanian populations reported mean plasma selenium levels below this threshold, which may suggest an increased risk of deficiency in these populations. One study conducted in older adults living in Victoria found notably high selenium levels, with a mean of 169.3 ± 60.4 µg/L </w:t>
      </w:r>
      <w:r w:rsidR="00F41A14" w:rsidRPr="00D633FF">
        <w:rPr>
          <w:rFonts w:ascii="Calibri" w:hAnsi="Calibri" w:cs="Calibri"/>
          <w:noProof/>
        </w:rPr>
        <w:t>(Cardoso et al. 2018)</w:t>
      </w:r>
      <w:r w:rsidRPr="00D633FF">
        <w:rPr>
          <w:rFonts w:ascii="Calibri" w:hAnsi="Calibri" w:cs="Calibri"/>
        </w:rPr>
        <w:t>. The authors proposed that this higher level was likely due to dietary habits.</w:t>
      </w:r>
    </w:p>
    <w:p w14:paraId="409206AA" w14:textId="1ABD1B70" w:rsidR="00D27629" w:rsidRPr="00D633FF" w:rsidRDefault="00D27629" w:rsidP="003613C7">
      <w:pPr>
        <w:spacing w:line="360" w:lineRule="auto"/>
        <w:rPr>
          <w:rFonts w:ascii="Calibri" w:hAnsi="Calibri" w:cs="Calibri"/>
        </w:rPr>
        <w:sectPr w:rsidR="00D27629" w:rsidRPr="00D633FF" w:rsidSect="00832928">
          <w:footnotePr>
            <w:pos w:val="beneathText"/>
          </w:footnotePr>
          <w:pgSz w:w="11906" w:h="16838"/>
          <w:pgMar w:top="1440" w:right="1440" w:bottom="1440" w:left="1440" w:header="708" w:footer="708" w:gutter="0"/>
          <w:cols w:space="708"/>
          <w:docGrid w:linePitch="360"/>
        </w:sectPr>
      </w:pPr>
    </w:p>
    <w:p w14:paraId="4FBAF0D1" w14:textId="27B94EBC" w:rsidR="00322093" w:rsidRPr="00E4509C" w:rsidRDefault="00322093" w:rsidP="00E4509C">
      <w:pPr>
        <w:pStyle w:val="Caption"/>
        <w:keepNext/>
        <w:spacing w:after="120"/>
        <w:rPr>
          <w:rFonts w:ascii="Calibri" w:hAnsi="Calibri" w:cs="Calibri"/>
          <w:b/>
          <w:bCs/>
        </w:rPr>
      </w:pPr>
      <w:bookmarkStart w:id="39" w:name="_Ref199411868"/>
      <w:bookmarkStart w:id="40" w:name="_Hlk213258044"/>
      <w:r w:rsidRPr="00E4509C">
        <w:rPr>
          <w:rFonts w:ascii="Calibri" w:hAnsi="Calibri" w:cs="Calibri"/>
          <w:b/>
          <w:bCs/>
        </w:rPr>
        <w:lastRenderedPageBreak/>
        <w:t xml:space="preserve">Table </w:t>
      </w:r>
      <w:r w:rsidRPr="00E4509C">
        <w:rPr>
          <w:rFonts w:ascii="Calibri" w:hAnsi="Calibri" w:cs="Calibri"/>
          <w:b/>
          <w:bCs/>
        </w:rPr>
        <w:fldChar w:fldCharType="begin"/>
      </w:r>
      <w:r w:rsidRPr="00E4509C">
        <w:rPr>
          <w:rFonts w:ascii="Calibri" w:hAnsi="Calibri" w:cs="Calibri"/>
          <w:b/>
          <w:bCs/>
        </w:rPr>
        <w:instrText xml:space="preserve"> SEQ Table \* ARABIC </w:instrText>
      </w:r>
      <w:r w:rsidRPr="00E4509C">
        <w:rPr>
          <w:rFonts w:ascii="Calibri" w:hAnsi="Calibri" w:cs="Calibri"/>
          <w:b/>
          <w:bCs/>
        </w:rPr>
        <w:fldChar w:fldCharType="separate"/>
      </w:r>
      <w:r w:rsidR="00CB6915" w:rsidRPr="00E4509C">
        <w:rPr>
          <w:rFonts w:ascii="Calibri" w:hAnsi="Calibri" w:cs="Calibri"/>
          <w:b/>
          <w:bCs/>
          <w:noProof/>
        </w:rPr>
        <w:t>6</w:t>
      </w:r>
      <w:r w:rsidRPr="00E4509C">
        <w:rPr>
          <w:rFonts w:ascii="Calibri" w:hAnsi="Calibri" w:cs="Calibri"/>
          <w:b/>
          <w:bCs/>
        </w:rPr>
        <w:fldChar w:fldCharType="end"/>
      </w:r>
      <w:bookmarkEnd w:id="39"/>
      <w:r w:rsidRPr="00E4509C">
        <w:rPr>
          <w:rFonts w:ascii="Calibri" w:hAnsi="Calibri" w:cs="Calibri"/>
          <w:b/>
          <w:bCs/>
        </w:rPr>
        <w:t>. Plasma/serum selenium status of various population groups in Australia</w:t>
      </w:r>
      <w:r w:rsidR="00E4509C">
        <w:rPr>
          <w:rFonts w:ascii="Calibri" w:hAnsi="Calibri" w:cs="Calibri"/>
          <w:b/>
          <w:bCs/>
        </w:rPr>
        <w:t xml:space="preserve"> (</w:t>
      </w:r>
      <w:r w:rsidRPr="00E4509C">
        <w:rPr>
          <w:rFonts w:ascii="Calibri" w:hAnsi="Calibri" w:cs="Calibri"/>
          <w:b/>
          <w:bCs/>
        </w:rPr>
        <w:t>µg/L</w:t>
      </w:r>
      <w:r w:rsidR="00E4509C">
        <w:rPr>
          <w:rFonts w:ascii="Calibri" w:hAnsi="Calibri" w:cs="Calibri"/>
          <w:b/>
          <w:bCs/>
        </w:rPr>
        <w:t>)</w:t>
      </w:r>
      <w:r w:rsidRPr="00E4509C">
        <w:rPr>
          <w:rFonts w:ascii="Calibri" w:hAnsi="Calibri" w:cs="Calibri"/>
          <w:b/>
          <w:bCs/>
        </w:rPr>
        <w:t xml:space="preserve"> </w:t>
      </w:r>
    </w:p>
    <w:tbl>
      <w:tblPr>
        <w:tblW w:w="13745" w:type="dxa"/>
        <w:tblLook w:val="04A0" w:firstRow="1" w:lastRow="0" w:firstColumn="1" w:lastColumn="0" w:noHBand="0" w:noVBand="1"/>
      </w:tblPr>
      <w:tblGrid>
        <w:gridCol w:w="3969"/>
        <w:gridCol w:w="2551"/>
        <w:gridCol w:w="1587"/>
        <w:gridCol w:w="2665"/>
        <w:gridCol w:w="2973"/>
      </w:tblGrid>
      <w:tr w:rsidR="001A125D" w:rsidRPr="00D633FF" w14:paraId="5B6396BF" w14:textId="77777777" w:rsidTr="00281C3B">
        <w:trPr>
          <w:trHeight w:val="607"/>
        </w:trPr>
        <w:tc>
          <w:tcPr>
            <w:tcW w:w="3969" w:type="dxa"/>
            <w:tcBorders>
              <w:top w:val="single" w:sz="4" w:space="0" w:color="auto"/>
              <w:left w:val="single" w:sz="4" w:space="0" w:color="auto"/>
              <w:bottom w:val="single" w:sz="4" w:space="0" w:color="auto"/>
              <w:right w:val="nil"/>
            </w:tcBorders>
            <w:shd w:val="clear" w:color="000000" w:fill="DAE9F8"/>
            <w:noWrap/>
            <w:vAlign w:val="center"/>
            <w:hideMark/>
          </w:tcPr>
          <w:bookmarkEnd w:id="40"/>
          <w:p w14:paraId="167DE54E" w14:textId="77777777" w:rsidR="00086BAE" w:rsidRPr="00D633FF" w:rsidRDefault="00086BAE" w:rsidP="00C9640A">
            <w:pPr>
              <w:spacing w:after="0" w:line="240" w:lineRule="auto"/>
              <w:rPr>
                <w:rFonts w:ascii="Calibri" w:eastAsia="Times New Roman" w:hAnsi="Calibri" w:cs="Calibri"/>
                <w:b/>
                <w:color w:val="000000"/>
                <w:kern w:val="0"/>
                <w:sz w:val="20"/>
                <w:szCs w:val="20"/>
                <w:lang w:eastAsia="en-AU"/>
                <w14:ligatures w14:val="none"/>
              </w:rPr>
            </w:pPr>
            <w:r w:rsidRPr="00D633FF">
              <w:rPr>
                <w:rFonts w:ascii="Calibri" w:eastAsia="Times New Roman" w:hAnsi="Calibri" w:cs="Calibri"/>
                <w:b/>
                <w:color w:val="000000"/>
                <w:kern w:val="0"/>
                <w:sz w:val="20"/>
                <w:szCs w:val="20"/>
                <w:lang w:eastAsia="en-AU"/>
                <w14:ligatures w14:val="none"/>
              </w:rPr>
              <w:t>Population group</w:t>
            </w:r>
          </w:p>
        </w:tc>
        <w:tc>
          <w:tcPr>
            <w:tcW w:w="2551" w:type="dxa"/>
            <w:tcBorders>
              <w:top w:val="single" w:sz="4" w:space="0" w:color="auto"/>
              <w:left w:val="nil"/>
              <w:bottom w:val="single" w:sz="4" w:space="0" w:color="auto"/>
              <w:right w:val="nil"/>
            </w:tcBorders>
            <w:shd w:val="clear" w:color="000000" w:fill="DAE9F8"/>
            <w:vAlign w:val="center"/>
            <w:hideMark/>
          </w:tcPr>
          <w:p w14:paraId="76D29243" w14:textId="77777777" w:rsidR="00086BAE" w:rsidRPr="00D633FF" w:rsidRDefault="00086BAE" w:rsidP="00C9640A">
            <w:pPr>
              <w:spacing w:after="0" w:line="240" w:lineRule="auto"/>
              <w:rPr>
                <w:rFonts w:ascii="Calibri" w:eastAsia="Times New Roman" w:hAnsi="Calibri" w:cs="Calibri"/>
                <w:b/>
                <w:color w:val="000000"/>
                <w:kern w:val="0"/>
                <w:sz w:val="20"/>
                <w:szCs w:val="20"/>
                <w:lang w:eastAsia="en-AU"/>
                <w14:ligatures w14:val="none"/>
              </w:rPr>
            </w:pPr>
            <w:r w:rsidRPr="00D633FF">
              <w:rPr>
                <w:rFonts w:ascii="Calibri" w:eastAsia="Times New Roman" w:hAnsi="Calibri" w:cs="Calibri"/>
                <w:b/>
                <w:color w:val="000000"/>
                <w:kern w:val="0"/>
                <w:sz w:val="20"/>
                <w:szCs w:val="20"/>
                <w:lang w:eastAsia="en-AU"/>
                <w14:ligatures w14:val="none"/>
              </w:rPr>
              <w:t>Region</w:t>
            </w:r>
          </w:p>
        </w:tc>
        <w:tc>
          <w:tcPr>
            <w:tcW w:w="1587" w:type="dxa"/>
            <w:tcBorders>
              <w:top w:val="single" w:sz="4" w:space="0" w:color="auto"/>
              <w:left w:val="nil"/>
              <w:bottom w:val="single" w:sz="4" w:space="0" w:color="auto"/>
              <w:right w:val="nil"/>
            </w:tcBorders>
            <w:shd w:val="clear" w:color="000000" w:fill="DAE9F8"/>
            <w:noWrap/>
            <w:vAlign w:val="center"/>
            <w:hideMark/>
          </w:tcPr>
          <w:p w14:paraId="074205A3" w14:textId="77777777" w:rsidR="00086BAE" w:rsidRPr="00D633FF" w:rsidRDefault="00086BAE" w:rsidP="00C9640A">
            <w:pPr>
              <w:spacing w:after="0" w:line="240" w:lineRule="auto"/>
              <w:rPr>
                <w:rFonts w:ascii="Calibri" w:eastAsia="Times New Roman" w:hAnsi="Calibri" w:cs="Calibri"/>
                <w:b/>
                <w:color w:val="000000"/>
                <w:kern w:val="0"/>
                <w:sz w:val="20"/>
                <w:szCs w:val="20"/>
                <w:lang w:eastAsia="en-AU"/>
                <w14:ligatures w14:val="none"/>
              </w:rPr>
            </w:pPr>
            <w:r w:rsidRPr="00D633FF">
              <w:rPr>
                <w:rFonts w:ascii="Calibri" w:eastAsia="Times New Roman" w:hAnsi="Calibri" w:cs="Calibri"/>
                <w:b/>
                <w:color w:val="000000"/>
                <w:kern w:val="0"/>
                <w:sz w:val="20"/>
                <w:szCs w:val="20"/>
                <w:lang w:eastAsia="en-AU"/>
                <w14:ligatures w14:val="none"/>
              </w:rPr>
              <w:t>Sample size (n)</w:t>
            </w:r>
          </w:p>
        </w:tc>
        <w:tc>
          <w:tcPr>
            <w:tcW w:w="2665" w:type="dxa"/>
            <w:tcBorders>
              <w:top w:val="single" w:sz="4" w:space="0" w:color="auto"/>
              <w:left w:val="nil"/>
              <w:bottom w:val="single" w:sz="4" w:space="0" w:color="auto"/>
              <w:right w:val="nil"/>
            </w:tcBorders>
            <w:shd w:val="clear" w:color="000000" w:fill="DAE9F8"/>
            <w:vAlign w:val="center"/>
            <w:hideMark/>
          </w:tcPr>
          <w:p w14:paraId="0ADEE3E8" w14:textId="6B2586FA" w:rsidR="00086BAE" w:rsidRPr="00D633FF" w:rsidRDefault="00086BAE" w:rsidP="00C9640A">
            <w:pPr>
              <w:spacing w:after="0" w:line="240" w:lineRule="auto"/>
              <w:rPr>
                <w:rFonts w:ascii="Calibri" w:eastAsia="Times New Roman" w:hAnsi="Calibri" w:cs="Calibri"/>
                <w:b/>
                <w:color w:val="000000"/>
                <w:kern w:val="0"/>
                <w:sz w:val="20"/>
                <w:szCs w:val="20"/>
                <w:lang w:eastAsia="en-AU"/>
                <w14:ligatures w14:val="none"/>
              </w:rPr>
            </w:pPr>
            <w:r w:rsidRPr="00D633FF">
              <w:rPr>
                <w:rFonts w:ascii="Calibri" w:eastAsia="Times New Roman" w:hAnsi="Calibri" w:cs="Calibri"/>
                <w:b/>
                <w:color w:val="000000"/>
                <w:kern w:val="0"/>
                <w:sz w:val="20"/>
                <w:szCs w:val="20"/>
                <w:lang w:eastAsia="en-AU"/>
                <w14:ligatures w14:val="none"/>
              </w:rPr>
              <w:t xml:space="preserve">Mean serum/plasma </w:t>
            </w:r>
            <w:r w:rsidR="00C82A79" w:rsidRPr="00D633FF">
              <w:rPr>
                <w:rFonts w:ascii="Calibri" w:eastAsia="Times New Roman" w:hAnsi="Calibri" w:cs="Calibri"/>
                <w:b/>
                <w:color w:val="000000"/>
                <w:kern w:val="0"/>
                <w:sz w:val="20"/>
                <w:szCs w:val="20"/>
                <w:lang w:eastAsia="en-AU"/>
                <w14:ligatures w14:val="none"/>
              </w:rPr>
              <w:t xml:space="preserve">Se </w:t>
            </w:r>
            <w:r w:rsidRPr="00D633FF">
              <w:rPr>
                <w:rFonts w:ascii="Calibri" w:eastAsia="Times New Roman" w:hAnsi="Calibri" w:cs="Calibri"/>
                <w:b/>
                <w:color w:val="000000"/>
                <w:kern w:val="0"/>
                <w:sz w:val="20"/>
                <w:szCs w:val="20"/>
                <w:lang w:eastAsia="en-AU"/>
                <w14:ligatures w14:val="none"/>
              </w:rPr>
              <w:t>concentration ± SD (µg/L)</w:t>
            </w:r>
          </w:p>
        </w:tc>
        <w:tc>
          <w:tcPr>
            <w:tcW w:w="2973" w:type="dxa"/>
            <w:tcBorders>
              <w:top w:val="single" w:sz="4" w:space="0" w:color="auto"/>
              <w:left w:val="nil"/>
              <w:bottom w:val="single" w:sz="4" w:space="0" w:color="auto"/>
              <w:right w:val="single" w:sz="4" w:space="0" w:color="auto"/>
            </w:tcBorders>
            <w:shd w:val="clear" w:color="000000" w:fill="DAE9F8"/>
            <w:noWrap/>
            <w:vAlign w:val="center"/>
            <w:hideMark/>
          </w:tcPr>
          <w:p w14:paraId="7CC2E1F6" w14:textId="77777777" w:rsidR="00086BAE" w:rsidRPr="00D633FF" w:rsidRDefault="00086BAE" w:rsidP="00C9640A">
            <w:pPr>
              <w:spacing w:after="0" w:line="240" w:lineRule="auto"/>
              <w:rPr>
                <w:rFonts w:ascii="Calibri" w:eastAsia="Times New Roman" w:hAnsi="Calibri" w:cs="Calibri"/>
                <w:b/>
                <w:color w:val="000000"/>
                <w:kern w:val="0"/>
                <w:sz w:val="20"/>
                <w:szCs w:val="20"/>
                <w:lang w:eastAsia="en-AU"/>
                <w14:ligatures w14:val="none"/>
              </w:rPr>
            </w:pPr>
            <w:r w:rsidRPr="00D633FF">
              <w:rPr>
                <w:rFonts w:ascii="Calibri" w:eastAsia="Times New Roman" w:hAnsi="Calibri" w:cs="Calibri"/>
                <w:b/>
                <w:color w:val="000000"/>
                <w:kern w:val="0"/>
                <w:sz w:val="20"/>
                <w:szCs w:val="20"/>
                <w:lang w:eastAsia="en-AU"/>
                <w14:ligatures w14:val="none"/>
              </w:rPr>
              <w:t>Study</w:t>
            </w:r>
          </w:p>
        </w:tc>
      </w:tr>
      <w:tr w:rsidR="00281C3B" w:rsidRPr="00D633FF" w14:paraId="4F11B966" w14:textId="77777777" w:rsidTr="00281C3B">
        <w:trPr>
          <w:trHeight w:val="283"/>
        </w:trPr>
        <w:tc>
          <w:tcPr>
            <w:tcW w:w="3969" w:type="dxa"/>
            <w:tcBorders>
              <w:top w:val="single" w:sz="4" w:space="0" w:color="auto"/>
              <w:left w:val="single" w:sz="4" w:space="0" w:color="auto"/>
              <w:bottom w:val="single" w:sz="4" w:space="0" w:color="auto"/>
            </w:tcBorders>
            <w:shd w:val="clear" w:color="auto" w:fill="C1E4F5" w:themeFill="accent1" w:themeFillTint="33"/>
            <w:noWrap/>
            <w:vAlign w:val="center"/>
          </w:tcPr>
          <w:p w14:paraId="4CCCA9A2" w14:textId="77777777" w:rsidR="00281C3B" w:rsidRPr="00D633FF" w:rsidRDefault="00281C3B" w:rsidP="0039319C">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b/>
                <w:bCs/>
                <w:color w:val="000000"/>
                <w:kern w:val="0"/>
                <w:sz w:val="20"/>
                <w:szCs w:val="20"/>
                <w:lang w:eastAsia="en-AU"/>
                <w14:ligatures w14:val="none"/>
              </w:rPr>
              <w:t>General Population</w:t>
            </w:r>
          </w:p>
        </w:tc>
        <w:tc>
          <w:tcPr>
            <w:tcW w:w="2551" w:type="dxa"/>
            <w:tcBorders>
              <w:top w:val="single" w:sz="4" w:space="0" w:color="auto"/>
              <w:bottom w:val="single" w:sz="4" w:space="0" w:color="auto"/>
            </w:tcBorders>
            <w:shd w:val="clear" w:color="auto" w:fill="C1E4F5" w:themeFill="accent1" w:themeFillTint="33"/>
            <w:vAlign w:val="center"/>
          </w:tcPr>
          <w:p w14:paraId="62948337" w14:textId="77777777" w:rsidR="00281C3B" w:rsidRPr="00D633FF" w:rsidRDefault="00281C3B" w:rsidP="0039319C">
            <w:pPr>
              <w:spacing w:after="0" w:line="276" w:lineRule="auto"/>
              <w:rPr>
                <w:rFonts w:ascii="Calibri" w:eastAsia="Times New Roman" w:hAnsi="Calibri" w:cs="Calibri"/>
                <w:color w:val="000000"/>
                <w:kern w:val="0"/>
                <w:sz w:val="20"/>
                <w:szCs w:val="20"/>
                <w:lang w:eastAsia="en-AU"/>
                <w14:ligatures w14:val="none"/>
              </w:rPr>
            </w:pPr>
          </w:p>
        </w:tc>
        <w:tc>
          <w:tcPr>
            <w:tcW w:w="1587" w:type="dxa"/>
            <w:tcBorders>
              <w:top w:val="single" w:sz="4" w:space="0" w:color="auto"/>
              <w:bottom w:val="single" w:sz="4" w:space="0" w:color="auto"/>
            </w:tcBorders>
            <w:shd w:val="clear" w:color="auto" w:fill="C1E4F5" w:themeFill="accent1" w:themeFillTint="33"/>
            <w:vAlign w:val="center"/>
          </w:tcPr>
          <w:p w14:paraId="767ACD3D" w14:textId="77777777" w:rsidR="00281C3B" w:rsidRPr="00D633FF" w:rsidRDefault="00281C3B" w:rsidP="0039319C">
            <w:pPr>
              <w:spacing w:after="0" w:line="276" w:lineRule="auto"/>
              <w:rPr>
                <w:rFonts w:ascii="Calibri" w:eastAsia="Times New Roman" w:hAnsi="Calibri" w:cs="Calibri"/>
                <w:color w:val="000000"/>
                <w:kern w:val="0"/>
                <w:sz w:val="20"/>
                <w:szCs w:val="20"/>
                <w:lang w:eastAsia="en-AU"/>
                <w14:ligatures w14:val="none"/>
              </w:rPr>
            </w:pPr>
          </w:p>
        </w:tc>
        <w:tc>
          <w:tcPr>
            <w:tcW w:w="2665" w:type="dxa"/>
            <w:tcBorders>
              <w:top w:val="single" w:sz="4" w:space="0" w:color="auto"/>
              <w:bottom w:val="single" w:sz="4" w:space="0" w:color="auto"/>
            </w:tcBorders>
            <w:shd w:val="clear" w:color="auto" w:fill="C1E4F5" w:themeFill="accent1" w:themeFillTint="33"/>
            <w:vAlign w:val="center"/>
          </w:tcPr>
          <w:p w14:paraId="60208B74" w14:textId="77777777" w:rsidR="00281C3B" w:rsidRPr="00D633FF" w:rsidRDefault="00281C3B" w:rsidP="0039319C">
            <w:pPr>
              <w:spacing w:after="0" w:line="276" w:lineRule="auto"/>
              <w:rPr>
                <w:rFonts w:ascii="Calibri" w:eastAsia="Times New Roman" w:hAnsi="Calibri" w:cs="Calibri"/>
                <w:color w:val="000000"/>
                <w:kern w:val="0"/>
                <w:sz w:val="20"/>
                <w:szCs w:val="20"/>
                <w:lang w:eastAsia="en-AU"/>
                <w14:ligatures w14:val="none"/>
              </w:rPr>
            </w:pPr>
          </w:p>
        </w:tc>
        <w:tc>
          <w:tcPr>
            <w:tcW w:w="2973" w:type="dxa"/>
            <w:tcBorders>
              <w:top w:val="single" w:sz="4" w:space="0" w:color="auto"/>
              <w:bottom w:val="single" w:sz="4" w:space="0" w:color="auto"/>
              <w:right w:val="single" w:sz="4" w:space="0" w:color="auto"/>
            </w:tcBorders>
            <w:shd w:val="clear" w:color="auto" w:fill="C1E4F5" w:themeFill="accent1" w:themeFillTint="33"/>
            <w:vAlign w:val="center"/>
          </w:tcPr>
          <w:p w14:paraId="09F675CC" w14:textId="15D2A33A" w:rsidR="00281C3B" w:rsidRPr="00D633FF" w:rsidRDefault="00281C3B" w:rsidP="0039319C">
            <w:pPr>
              <w:spacing w:after="0" w:line="276" w:lineRule="auto"/>
              <w:rPr>
                <w:rFonts w:ascii="Calibri" w:eastAsia="Times New Roman" w:hAnsi="Calibri" w:cs="Calibri"/>
                <w:color w:val="000000"/>
                <w:kern w:val="0"/>
                <w:sz w:val="20"/>
                <w:szCs w:val="20"/>
                <w:lang w:eastAsia="en-AU"/>
                <w14:ligatures w14:val="none"/>
              </w:rPr>
            </w:pPr>
          </w:p>
        </w:tc>
      </w:tr>
      <w:tr w:rsidR="008B48EF" w:rsidRPr="00D633FF" w14:paraId="6083C1B8" w14:textId="77777777" w:rsidTr="00281C3B">
        <w:trPr>
          <w:trHeight w:val="397"/>
        </w:trPr>
        <w:tc>
          <w:tcPr>
            <w:tcW w:w="3969" w:type="dxa"/>
            <w:tcBorders>
              <w:top w:val="single" w:sz="4" w:space="0" w:color="auto"/>
              <w:left w:val="single" w:sz="4" w:space="0" w:color="auto"/>
              <w:bottom w:val="dotted" w:sz="4" w:space="0" w:color="auto"/>
              <w:right w:val="single" w:sz="4" w:space="0" w:color="auto"/>
            </w:tcBorders>
            <w:noWrap/>
            <w:vAlign w:val="center"/>
            <w:hideMark/>
          </w:tcPr>
          <w:p w14:paraId="0603561D" w14:textId="27C58EE7" w:rsidR="00086BAE" w:rsidRPr="00D633FF" w:rsidRDefault="00086BAE" w:rsidP="0039319C">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Adults</w:t>
            </w:r>
          </w:p>
        </w:tc>
        <w:tc>
          <w:tcPr>
            <w:tcW w:w="2551" w:type="dxa"/>
            <w:tcBorders>
              <w:top w:val="single" w:sz="4" w:space="0" w:color="auto"/>
              <w:left w:val="single" w:sz="4" w:space="0" w:color="auto"/>
              <w:bottom w:val="dotted" w:sz="4" w:space="0" w:color="auto"/>
              <w:right w:val="single" w:sz="4" w:space="0" w:color="auto"/>
            </w:tcBorders>
            <w:vAlign w:val="center"/>
            <w:hideMark/>
          </w:tcPr>
          <w:p w14:paraId="490B5613" w14:textId="77777777" w:rsidR="00086BAE" w:rsidRPr="00D633FF" w:rsidRDefault="00086BAE" w:rsidP="0039319C">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Australia</w:t>
            </w:r>
          </w:p>
        </w:tc>
        <w:tc>
          <w:tcPr>
            <w:tcW w:w="1587" w:type="dxa"/>
            <w:tcBorders>
              <w:top w:val="single" w:sz="4" w:space="0" w:color="auto"/>
              <w:left w:val="single" w:sz="4" w:space="0" w:color="auto"/>
              <w:bottom w:val="dotted" w:sz="4" w:space="0" w:color="auto"/>
              <w:right w:val="single" w:sz="4" w:space="0" w:color="auto"/>
            </w:tcBorders>
            <w:noWrap/>
            <w:vAlign w:val="center"/>
            <w:hideMark/>
          </w:tcPr>
          <w:p w14:paraId="52F1F1F0" w14:textId="77777777" w:rsidR="00086BAE" w:rsidRPr="00D633FF" w:rsidRDefault="00086BAE" w:rsidP="00B95A36">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140</w:t>
            </w:r>
          </w:p>
        </w:tc>
        <w:tc>
          <w:tcPr>
            <w:tcW w:w="2665" w:type="dxa"/>
            <w:tcBorders>
              <w:top w:val="single" w:sz="4" w:space="0" w:color="auto"/>
              <w:left w:val="single" w:sz="4" w:space="0" w:color="auto"/>
              <w:bottom w:val="dotted" w:sz="4" w:space="0" w:color="auto"/>
              <w:right w:val="single" w:sz="4" w:space="0" w:color="auto"/>
            </w:tcBorders>
            <w:noWrap/>
            <w:vAlign w:val="center"/>
            <w:hideMark/>
          </w:tcPr>
          <w:p w14:paraId="26DB78A1" w14:textId="77777777" w:rsidR="00086BAE" w:rsidRPr="00D633FF" w:rsidRDefault="00086BAE" w:rsidP="0039319C">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100.2 ± 1.3</w:t>
            </w:r>
          </w:p>
        </w:tc>
        <w:tc>
          <w:tcPr>
            <w:tcW w:w="2973" w:type="dxa"/>
            <w:tcBorders>
              <w:top w:val="single" w:sz="4" w:space="0" w:color="auto"/>
              <w:left w:val="single" w:sz="4" w:space="0" w:color="auto"/>
              <w:bottom w:val="dotted" w:sz="4" w:space="0" w:color="auto"/>
              <w:right w:val="single" w:sz="4" w:space="0" w:color="auto"/>
            </w:tcBorders>
            <w:noWrap/>
            <w:vAlign w:val="center"/>
            <w:hideMark/>
          </w:tcPr>
          <w:p w14:paraId="025A628F" w14:textId="70642068" w:rsidR="00086BAE" w:rsidRPr="00D633FF" w:rsidRDefault="00F41A14" w:rsidP="0039319C">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noProof/>
                <w:color w:val="000000"/>
                <w:kern w:val="0"/>
                <w:sz w:val="20"/>
                <w:szCs w:val="20"/>
                <w:lang w:eastAsia="en-AU"/>
                <w14:ligatures w14:val="none"/>
              </w:rPr>
              <w:t>Lymbury et al. (2008)</w:t>
            </w:r>
          </w:p>
        </w:tc>
      </w:tr>
      <w:tr w:rsidR="008B48EF" w:rsidRPr="00D633FF" w14:paraId="0ADC2A2B" w14:textId="77777777" w:rsidTr="00B87BE9">
        <w:trPr>
          <w:trHeight w:val="397"/>
        </w:trPr>
        <w:tc>
          <w:tcPr>
            <w:tcW w:w="3969" w:type="dxa"/>
            <w:tcBorders>
              <w:top w:val="dotted" w:sz="4" w:space="0" w:color="auto"/>
              <w:left w:val="single" w:sz="4" w:space="0" w:color="auto"/>
              <w:bottom w:val="dotted" w:sz="4" w:space="0" w:color="auto"/>
              <w:right w:val="single" w:sz="4" w:space="0" w:color="auto"/>
            </w:tcBorders>
            <w:noWrap/>
            <w:vAlign w:val="center"/>
            <w:hideMark/>
          </w:tcPr>
          <w:p w14:paraId="39AB8B69" w14:textId="6107F1CF" w:rsidR="00086BAE" w:rsidRPr="00D633FF" w:rsidRDefault="00086BAE" w:rsidP="0039319C">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Adults</w:t>
            </w:r>
          </w:p>
        </w:tc>
        <w:tc>
          <w:tcPr>
            <w:tcW w:w="2551" w:type="dxa"/>
            <w:tcBorders>
              <w:top w:val="dotted" w:sz="4" w:space="0" w:color="auto"/>
              <w:left w:val="single" w:sz="4" w:space="0" w:color="auto"/>
              <w:bottom w:val="dotted" w:sz="4" w:space="0" w:color="auto"/>
              <w:right w:val="single" w:sz="4" w:space="0" w:color="auto"/>
            </w:tcBorders>
            <w:vAlign w:val="center"/>
            <w:hideMark/>
          </w:tcPr>
          <w:p w14:paraId="05100447" w14:textId="77777777" w:rsidR="00086BAE" w:rsidRPr="00D633FF" w:rsidRDefault="00086BAE" w:rsidP="0039319C">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South Australia</w:t>
            </w:r>
          </w:p>
        </w:tc>
        <w:tc>
          <w:tcPr>
            <w:tcW w:w="1587" w:type="dxa"/>
            <w:tcBorders>
              <w:top w:val="dotted" w:sz="4" w:space="0" w:color="auto"/>
              <w:left w:val="single" w:sz="4" w:space="0" w:color="auto"/>
              <w:bottom w:val="dotted" w:sz="4" w:space="0" w:color="auto"/>
              <w:right w:val="single" w:sz="4" w:space="0" w:color="auto"/>
            </w:tcBorders>
            <w:noWrap/>
            <w:vAlign w:val="center"/>
            <w:hideMark/>
          </w:tcPr>
          <w:p w14:paraId="5280D60F" w14:textId="77777777" w:rsidR="00086BAE" w:rsidRPr="00D633FF" w:rsidRDefault="00086BAE" w:rsidP="00B95A36">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288</w:t>
            </w:r>
          </w:p>
        </w:tc>
        <w:tc>
          <w:tcPr>
            <w:tcW w:w="2665" w:type="dxa"/>
            <w:tcBorders>
              <w:top w:val="dotted" w:sz="4" w:space="0" w:color="auto"/>
              <w:left w:val="single" w:sz="4" w:space="0" w:color="auto"/>
              <w:bottom w:val="dotted" w:sz="4" w:space="0" w:color="auto"/>
              <w:right w:val="single" w:sz="4" w:space="0" w:color="auto"/>
            </w:tcBorders>
            <w:noWrap/>
            <w:vAlign w:val="center"/>
            <w:hideMark/>
          </w:tcPr>
          <w:p w14:paraId="33A0D51E" w14:textId="77777777" w:rsidR="00086BAE" w:rsidRPr="00D633FF" w:rsidRDefault="00086BAE" w:rsidP="0039319C">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103</w:t>
            </w:r>
          </w:p>
        </w:tc>
        <w:tc>
          <w:tcPr>
            <w:tcW w:w="2973" w:type="dxa"/>
            <w:tcBorders>
              <w:top w:val="dotted" w:sz="4" w:space="0" w:color="auto"/>
              <w:left w:val="single" w:sz="4" w:space="0" w:color="auto"/>
              <w:bottom w:val="dotted" w:sz="4" w:space="0" w:color="auto"/>
              <w:right w:val="single" w:sz="4" w:space="0" w:color="auto"/>
            </w:tcBorders>
            <w:noWrap/>
            <w:vAlign w:val="center"/>
            <w:hideMark/>
          </w:tcPr>
          <w:p w14:paraId="324B3926" w14:textId="44ECA6CE" w:rsidR="00086BAE" w:rsidRPr="00D633FF" w:rsidRDefault="00F41A14" w:rsidP="0039319C">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noProof/>
                <w:color w:val="000000"/>
                <w:kern w:val="0"/>
                <w:sz w:val="20"/>
                <w:szCs w:val="20"/>
                <w:lang w:eastAsia="en-AU"/>
                <w14:ligatures w14:val="none"/>
              </w:rPr>
              <w:t>Lyons et al. (2004)</w:t>
            </w:r>
          </w:p>
        </w:tc>
      </w:tr>
      <w:tr w:rsidR="00F565BF" w:rsidRPr="00D633FF" w14:paraId="7F15C102" w14:textId="77777777" w:rsidTr="0013688C">
        <w:trPr>
          <w:trHeight w:val="397"/>
        </w:trPr>
        <w:tc>
          <w:tcPr>
            <w:tcW w:w="3969" w:type="dxa"/>
            <w:tcBorders>
              <w:top w:val="dotted" w:sz="4" w:space="0" w:color="auto"/>
              <w:left w:val="single" w:sz="4" w:space="0" w:color="auto"/>
              <w:bottom w:val="dotted" w:sz="4" w:space="0" w:color="auto"/>
              <w:right w:val="single" w:sz="4" w:space="0" w:color="auto"/>
            </w:tcBorders>
            <w:noWrap/>
            <w:vAlign w:val="center"/>
            <w:hideMark/>
          </w:tcPr>
          <w:p w14:paraId="3B4A7269" w14:textId="77777777" w:rsidR="00086BAE" w:rsidRPr="00D633FF" w:rsidRDefault="00086BAE" w:rsidP="0039319C">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Adult Men (18-49 years)</w:t>
            </w:r>
          </w:p>
        </w:tc>
        <w:tc>
          <w:tcPr>
            <w:tcW w:w="2551" w:type="dxa"/>
            <w:tcBorders>
              <w:top w:val="dotted" w:sz="4" w:space="0" w:color="auto"/>
              <w:left w:val="single" w:sz="4" w:space="0" w:color="auto"/>
              <w:bottom w:val="dotted" w:sz="4" w:space="0" w:color="auto"/>
              <w:right w:val="single" w:sz="4" w:space="0" w:color="auto"/>
            </w:tcBorders>
            <w:vAlign w:val="center"/>
            <w:hideMark/>
          </w:tcPr>
          <w:p w14:paraId="3214083A" w14:textId="77777777" w:rsidR="00086BAE" w:rsidRPr="00D633FF" w:rsidRDefault="00086BAE" w:rsidP="0039319C">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Southern Tasmania</w:t>
            </w:r>
          </w:p>
        </w:tc>
        <w:tc>
          <w:tcPr>
            <w:tcW w:w="1587" w:type="dxa"/>
            <w:tcBorders>
              <w:top w:val="dotted" w:sz="4" w:space="0" w:color="auto"/>
              <w:left w:val="single" w:sz="4" w:space="0" w:color="auto"/>
              <w:right w:val="single" w:sz="4" w:space="0" w:color="auto"/>
            </w:tcBorders>
            <w:noWrap/>
            <w:vAlign w:val="center"/>
            <w:hideMark/>
          </w:tcPr>
          <w:p w14:paraId="458C69FE" w14:textId="6DEB9B7A" w:rsidR="00086BAE" w:rsidRPr="00D633FF" w:rsidRDefault="00086BAE" w:rsidP="00B95A36">
            <w:pPr>
              <w:spacing w:after="0" w:line="276" w:lineRule="auto"/>
              <w:rPr>
                <w:rFonts w:ascii="Calibri" w:eastAsia="Times New Roman" w:hAnsi="Calibri" w:cs="Calibri"/>
                <w:color w:val="000000"/>
                <w:kern w:val="0"/>
                <w:sz w:val="20"/>
                <w:szCs w:val="20"/>
                <w:lang w:eastAsia="en-AU"/>
                <w14:ligatures w14:val="none"/>
              </w:rPr>
            </w:pPr>
          </w:p>
        </w:tc>
        <w:tc>
          <w:tcPr>
            <w:tcW w:w="2665" w:type="dxa"/>
            <w:tcBorders>
              <w:top w:val="dotted" w:sz="4" w:space="0" w:color="auto"/>
              <w:left w:val="single" w:sz="4" w:space="0" w:color="auto"/>
              <w:bottom w:val="dotted" w:sz="4" w:space="0" w:color="auto"/>
              <w:right w:val="single" w:sz="4" w:space="0" w:color="auto"/>
            </w:tcBorders>
            <w:noWrap/>
            <w:vAlign w:val="center"/>
            <w:hideMark/>
          </w:tcPr>
          <w:p w14:paraId="36CB15B5" w14:textId="77777777" w:rsidR="00086BAE" w:rsidRPr="00D633FF" w:rsidRDefault="00086BAE" w:rsidP="0039319C">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112.6</w:t>
            </w:r>
          </w:p>
        </w:tc>
        <w:tc>
          <w:tcPr>
            <w:tcW w:w="2973" w:type="dxa"/>
            <w:tcBorders>
              <w:top w:val="dotted" w:sz="4" w:space="0" w:color="auto"/>
              <w:left w:val="single" w:sz="4" w:space="0" w:color="auto"/>
              <w:bottom w:val="dotted" w:sz="4" w:space="0" w:color="auto"/>
              <w:right w:val="single" w:sz="4" w:space="0" w:color="auto"/>
            </w:tcBorders>
            <w:shd w:val="clear" w:color="000000" w:fill="FFFFFF"/>
            <w:noWrap/>
            <w:vAlign w:val="center"/>
            <w:hideMark/>
          </w:tcPr>
          <w:p w14:paraId="05433A07" w14:textId="03258427" w:rsidR="00086BAE" w:rsidRPr="00D633FF" w:rsidRDefault="00F41A14" w:rsidP="0039319C">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noProof/>
                <w:color w:val="000000"/>
                <w:kern w:val="0"/>
                <w:sz w:val="20"/>
                <w:szCs w:val="20"/>
                <w:lang w:eastAsia="en-AU"/>
                <w14:ligatures w14:val="none"/>
              </w:rPr>
              <w:t>Jacobson et al. (2007)</w:t>
            </w:r>
          </w:p>
        </w:tc>
      </w:tr>
      <w:tr w:rsidR="004204D2" w:rsidRPr="00D633FF" w14:paraId="0428AF13" w14:textId="77777777" w:rsidTr="0013688C">
        <w:trPr>
          <w:trHeight w:val="397"/>
        </w:trPr>
        <w:tc>
          <w:tcPr>
            <w:tcW w:w="3969" w:type="dxa"/>
            <w:tcBorders>
              <w:top w:val="dotted" w:sz="4" w:space="0" w:color="auto"/>
              <w:left w:val="single" w:sz="4" w:space="0" w:color="auto"/>
              <w:bottom w:val="dotted" w:sz="4" w:space="0" w:color="auto"/>
              <w:right w:val="single" w:sz="4" w:space="0" w:color="auto"/>
            </w:tcBorders>
            <w:noWrap/>
            <w:vAlign w:val="center"/>
            <w:hideMark/>
          </w:tcPr>
          <w:p w14:paraId="009A58D9" w14:textId="77777777" w:rsidR="00086BAE" w:rsidRPr="00D633FF" w:rsidRDefault="00086BAE" w:rsidP="0039319C">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Adult Men (50-65 years)</w:t>
            </w:r>
          </w:p>
        </w:tc>
        <w:tc>
          <w:tcPr>
            <w:tcW w:w="2551" w:type="dxa"/>
            <w:tcBorders>
              <w:top w:val="dotted" w:sz="4" w:space="0" w:color="auto"/>
              <w:left w:val="single" w:sz="4" w:space="0" w:color="auto"/>
              <w:bottom w:val="dotted" w:sz="4" w:space="0" w:color="auto"/>
              <w:right w:val="single" w:sz="4" w:space="0" w:color="auto"/>
            </w:tcBorders>
            <w:vAlign w:val="center"/>
            <w:hideMark/>
          </w:tcPr>
          <w:p w14:paraId="3C4F3EB2" w14:textId="77777777" w:rsidR="00086BAE" w:rsidRPr="00D633FF" w:rsidRDefault="00086BAE" w:rsidP="0039319C">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Southern Tasmania</w:t>
            </w:r>
          </w:p>
        </w:tc>
        <w:tc>
          <w:tcPr>
            <w:tcW w:w="1587" w:type="dxa"/>
            <w:tcBorders>
              <w:left w:val="single" w:sz="4" w:space="0" w:color="auto"/>
              <w:right w:val="single" w:sz="4" w:space="0" w:color="auto"/>
            </w:tcBorders>
            <w:vAlign w:val="center"/>
            <w:hideMark/>
          </w:tcPr>
          <w:p w14:paraId="4724FF8B" w14:textId="77DE9737" w:rsidR="00086BAE" w:rsidRPr="00D633FF" w:rsidRDefault="00B87BE9" w:rsidP="0039319C">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335</w:t>
            </w:r>
          </w:p>
        </w:tc>
        <w:tc>
          <w:tcPr>
            <w:tcW w:w="2665" w:type="dxa"/>
            <w:tcBorders>
              <w:top w:val="dotted" w:sz="4" w:space="0" w:color="auto"/>
              <w:left w:val="single" w:sz="4" w:space="0" w:color="auto"/>
              <w:bottom w:val="dotted" w:sz="4" w:space="0" w:color="auto"/>
              <w:right w:val="single" w:sz="4" w:space="0" w:color="auto"/>
            </w:tcBorders>
            <w:noWrap/>
            <w:vAlign w:val="center"/>
            <w:hideMark/>
          </w:tcPr>
          <w:p w14:paraId="716C445F" w14:textId="77777777" w:rsidR="00086BAE" w:rsidRPr="00D633FF" w:rsidRDefault="00086BAE" w:rsidP="0039319C">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110.9</w:t>
            </w:r>
          </w:p>
        </w:tc>
        <w:tc>
          <w:tcPr>
            <w:tcW w:w="2973" w:type="dxa"/>
            <w:tcBorders>
              <w:top w:val="dotted" w:sz="4" w:space="0" w:color="auto"/>
              <w:left w:val="single" w:sz="4" w:space="0" w:color="auto"/>
              <w:bottom w:val="dotted" w:sz="4" w:space="0" w:color="auto"/>
              <w:right w:val="single" w:sz="4" w:space="0" w:color="auto"/>
            </w:tcBorders>
            <w:noWrap/>
            <w:vAlign w:val="center"/>
            <w:hideMark/>
          </w:tcPr>
          <w:p w14:paraId="33815863" w14:textId="06458448" w:rsidR="00086BAE" w:rsidRPr="00D633FF" w:rsidRDefault="00F41A14" w:rsidP="0039319C">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noProof/>
                <w:color w:val="000000"/>
                <w:kern w:val="0"/>
                <w:sz w:val="20"/>
                <w:szCs w:val="20"/>
                <w:lang w:eastAsia="en-AU"/>
                <w14:ligatures w14:val="none"/>
              </w:rPr>
              <w:t>Jacobson et al. (2007)</w:t>
            </w:r>
          </w:p>
        </w:tc>
      </w:tr>
      <w:tr w:rsidR="004204D2" w:rsidRPr="00D633FF" w14:paraId="12FF08D9" w14:textId="77777777" w:rsidTr="0013688C">
        <w:trPr>
          <w:trHeight w:val="397"/>
        </w:trPr>
        <w:tc>
          <w:tcPr>
            <w:tcW w:w="3969" w:type="dxa"/>
            <w:tcBorders>
              <w:top w:val="dotted" w:sz="4" w:space="0" w:color="auto"/>
              <w:left w:val="single" w:sz="4" w:space="0" w:color="auto"/>
              <w:bottom w:val="dotted" w:sz="4" w:space="0" w:color="auto"/>
              <w:right w:val="single" w:sz="4" w:space="0" w:color="auto"/>
            </w:tcBorders>
            <w:noWrap/>
            <w:vAlign w:val="center"/>
            <w:hideMark/>
          </w:tcPr>
          <w:p w14:paraId="27D12EF7" w14:textId="77777777" w:rsidR="00086BAE" w:rsidRPr="00D633FF" w:rsidRDefault="00086BAE" w:rsidP="0039319C">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Adult Women (18-49 years)</w:t>
            </w:r>
          </w:p>
        </w:tc>
        <w:tc>
          <w:tcPr>
            <w:tcW w:w="2551" w:type="dxa"/>
            <w:tcBorders>
              <w:top w:val="dotted" w:sz="4" w:space="0" w:color="auto"/>
              <w:left w:val="single" w:sz="4" w:space="0" w:color="auto"/>
              <w:bottom w:val="dotted" w:sz="4" w:space="0" w:color="auto"/>
              <w:right w:val="single" w:sz="4" w:space="0" w:color="auto"/>
            </w:tcBorders>
            <w:vAlign w:val="center"/>
            <w:hideMark/>
          </w:tcPr>
          <w:p w14:paraId="1F038303" w14:textId="77777777" w:rsidR="00086BAE" w:rsidRPr="00D633FF" w:rsidRDefault="00086BAE" w:rsidP="0039319C">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Southern Tasmania</w:t>
            </w:r>
          </w:p>
        </w:tc>
        <w:tc>
          <w:tcPr>
            <w:tcW w:w="1587" w:type="dxa"/>
            <w:tcBorders>
              <w:left w:val="single" w:sz="4" w:space="0" w:color="auto"/>
              <w:right w:val="single" w:sz="4" w:space="0" w:color="auto"/>
            </w:tcBorders>
            <w:vAlign w:val="center"/>
            <w:hideMark/>
          </w:tcPr>
          <w:p w14:paraId="64C5D64A" w14:textId="77777777" w:rsidR="00086BAE" w:rsidRPr="00D633FF" w:rsidRDefault="00086BAE" w:rsidP="0039319C">
            <w:pPr>
              <w:spacing w:after="0" w:line="276" w:lineRule="auto"/>
              <w:rPr>
                <w:rFonts w:ascii="Calibri" w:eastAsia="Times New Roman" w:hAnsi="Calibri" w:cs="Calibri"/>
                <w:color w:val="000000"/>
                <w:kern w:val="0"/>
                <w:sz w:val="20"/>
                <w:szCs w:val="20"/>
                <w:lang w:eastAsia="en-AU"/>
                <w14:ligatures w14:val="none"/>
              </w:rPr>
            </w:pPr>
          </w:p>
        </w:tc>
        <w:tc>
          <w:tcPr>
            <w:tcW w:w="2665" w:type="dxa"/>
            <w:tcBorders>
              <w:top w:val="dotted" w:sz="4" w:space="0" w:color="auto"/>
              <w:left w:val="single" w:sz="4" w:space="0" w:color="auto"/>
              <w:bottom w:val="dotted" w:sz="4" w:space="0" w:color="auto"/>
              <w:right w:val="single" w:sz="4" w:space="0" w:color="auto"/>
            </w:tcBorders>
            <w:noWrap/>
            <w:vAlign w:val="center"/>
            <w:hideMark/>
          </w:tcPr>
          <w:p w14:paraId="14BACAAC" w14:textId="77777777" w:rsidR="00086BAE" w:rsidRPr="00D633FF" w:rsidRDefault="00086BAE" w:rsidP="0039319C">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103.8</w:t>
            </w:r>
          </w:p>
        </w:tc>
        <w:tc>
          <w:tcPr>
            <w:tcW w:w="2973" w:type="dxa"/>
            <w:tcBorders>
              <w:top w:val="dotted" w:sz="4" w:space="0" w:color="auto"/>
              <w:left w:val="single" w:sz="4" w:space="0" w:color="auto"/>
              <w:bottom w:val="dotted" w:sz="4" w:space="0" w:color="auto"/>
              <w:right w:val="single" w:sz="4" w:space="0" w:color="auto"/>
            </w:tcBorders>
            <w:noWrap/>
            <w:vAlign w:val="center"/>
            <w:hideMark/>
          </w:tcPr>
          <w:p w14:paraId="15059A59" w14:textId="368DF04D" w:rsidR="00086BAE" w:rsidRPr="00D633FF" w:rsidRDefault="00F41A14" w:rsidP="0039319C">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noProof/>
                <w:color w:val="000000"/>
                <w:kern w:val="0"/>
                <w:sz w:val="20"/>
                <w:szCs w:val="20"/>
                <w:lang w:eastAsia="en-AU"/>
                <w14:ligatures w14:val="none"/>
              </w:rPr>
              <w:t>Jacobson et al. (2007)</w:t>
            </w:r>
          </w:p>
        </w:tc>
      </w:tr>
      <w:tr w:rsidR="004204D2" w:rsidRPr="00D633FF" w14:paraId="2BB73F02" w14:textId="77777777" w:rsidTr="0013688C">
        <w:trPr>
          <w:trHeight w:val="397"/>
        </w:trPr>
        <w:tc>
          <w:tcPr>
            <w:tcW w:w="3969" w:type="dxa"/>
            <w:tcBorders>
              <w:top w:val="dotted" w:sz="4" w:space="0" w:color="auto"/>
              <w:left w:val="single" w:sz="4" w:space="0" w:color="auto"/>
              <w:bottom w:val="dotted" w:sz="4" w:space="0" w:color="auto"/>
              <w:right w:val="single" w:sz="4" w:space="0" w:color="auto"/>
            </w:tcBorders>
            <w:noWrap/>
            <w:vAlign w:val="center"/>
            <w:hideMark/>
          </w:tcPr>
          <w:p w14:paraId="5D032F5E" w14:textId="77777777" w:rsidR="00086BAE" w:rsidRPr="00D633FF" w:rsidRDefault="00086BAE" w:rsidP="0039319C">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Adult Women (50-65 years)</w:t>
            </w:r>
          </w:p>
        </w:tc>
        <w:tc>
          <w:tcPr>
            <w:tcW w:w="2551" w:type="dxa"/>
            <w:tcBorders>
              <w:top w:val="dotted" w:sz="4" w:space="0" w:color="auto"/>
              <w:left w:val="single" w:sz="4" w:space="0" w:color="auto"/>
              <w:bottom w:val="dotted" w:sz="4" w:space="0" w:color="auto"/>
              <w:right w:val="single" w:sz="4" w:space="0" w:color="auto"/>
            </w:tcBorders>
            <w:vAlign w:val="center"/>
            <w:hideMark/>
          </w:tcPr>
          <w:p w14:paraId="5E3D0E60" w14:textId="77777777" w:rsidR="00086BAE" w:rsidRPr="00D633FF" w:rsidRDefault="00086BAE" w:rsidP="0039319C">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Southern Tasmania</w:t>
            </w:r>
          </w:p>
        </w:tc>
        <w:tc>
          <w:tcPr>
            <w:tcW w:w="1587" w:type="dxa"/>
            <w:tcBorders>
              <w:left w:val="single" w:sz="4" w:space="0" w:color="auto"/>
              <w:bottom w:val="dotted" w:sz="4" w:space="0" w:color="auto"/>
              <w:right w:val="single" w:sz="4" w:space="0" w:color="auto"/>
            </w:tcBorders>
            <w:vAlign w:val="center"/>
            <w:hideMark/>
          </w:tcPr>
          <w:p w14:paraId="675D61EC" w14:textId="77777777" w:rsidR="00086BAE" w:rsidRPr="00D633FF" w:rsidRDefault="00086BAE" w:rsidP="0039319C">
            <w:pPr>
              <w:spacing w:after="0" w:line="276" w:lineRule="auto"/>
              <w:rPr>
                <w:rFonts w:ascii="Calibri" w:eastAsia="Times New Roman" w:hAnsi="Calibri" w:cs="Calibri"/>
                <w:color w:val="000000"/>
                <w:kern w:val="0"/>
                <w:sz w:val="20"/>
                <w:szCs w:val="20"/>
                <w:lang w:eastAsia="en-AU"/>
                <w14:ligatures w14:val="none"/>
              </w:rPr>
            </w:pPr>
          </w:p>
        </w:tc>
        <w:tc>
          <w:tcPr>
            <w:tcW w:w="2665" w:type="dxa"/>
            <w:tcBorders>
              <w:top w:val="dotted" w:sz="4" w:space="0" w:color="auto"/>
              <w:left w:val="single" w:sz="4" w:space="0" w:color="auto"/>
              <w:bottom w:val="dotted" w:sz="4" w:space="0" w:color="auto"/>
              <w:right w:val="single" w:sz="4" w:space="0" w:color="auto"/>
            </w:tcBorders>
            <w:noWrap/>
            <w:vAlign w:val="center"/>
            <w:hideMark/>
          </w:tcPr>
          <w:p w14:paraId="04828DE7" w14:textId="77777777" w:rsidR="00086BAE" w:rsidRPr="00D633FF" w:rsidRDefault="00086BAE" w:rsidP="0039319C">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112.0</w:t>
            </w:r>
          </w:p>
        </w:tc>
        <w:tc>
          <w:tcPr>
            <w:tcW w:w="2973" w:type="dxa"/>
            <w:tcBorders>
              <w:top w:val="dotted" w:sz="4" w:space="0" w:color="auto"/>
              <w:left w:val="single" w:sz="4" w:space="0" w:color="auto"/>
              <w:bottom w:val="dotted" w:sz="4" w:space="0" w:color="auto"/>
              <w:right w:val="single" w:sz="4" w:space="0" w:color="auto"/>
            </w:tcBorders>
            <w:noWrap/>
            <w:vAlign w:val="center"/>
            <w:hideMark/>
          </w:tcPr>
          <w:p w14:paraId="21F76A57" w14:textId="6CDF64D1" w:rsidR="00086BAE" w:rsidRPr="00D633FF" w:rsidRDefault="00F41A14" w:rsidP="0039319C">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noProof/>
                <w:color w:val="000000"/>
                <w:kern w:val="0"/>
                <w:sz w:val="20"/>
                <w:szCs w:val="20"/>
                <w:lang w:eastAsia="en-AU"/>
                <w14:ligatures w14:val="none"/>
              </w:rPr>
              <w:t>Jacobson et al. (2007)</w:t>
            </w:r>
          </w:p>
        </w:tc>
      </w:tr>
      <w:tr w:rsidR="008B48EF" w:rsidRPr="00D633FF" w14:paraId="1C2C7869" w14:textId="77777777" w:rsidTr="00281C3B">
        <w:trPr>
          <w:trHeight w:val="397"/>
        </w:trPr>
        <w:tc>
          <w:tcPr>
            <w:tcW w:w="3969" w:type="dxa"/>
            <w:tcBorders>
              <w:top w:val="dotted" w:sz="4" w:space="0" w:color="auto"/>
              <w:left w:val="single" w:sz="4" w:space="0" w:color="auto"/>
              <w:bottom w:val="single" w:sz="4" w:space="0" w:color="auto"/>
              <w:right w:val="single" w:sz="4" w:space="0" w:color="auto"/>
            </w:tcBorders>
            <w:noWrap/>
            <w:vAlign w:val="center"/>
            <w:hideMark/>
          </w:tcPr>
          <w:p w14:paraId="2FF8FA6E" w14:textId="32E2E006" w:rsidR="00086BAE" w:rsidRPr="00D633FF" w:rsidRDefault="00086BAE" w:rsidP="0039319C">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Adults</w:t>
            </w:r>
          </w:p>
        </w:tc>
        <w:tc>
          <w:tcPr>
            <w:tcW w:w="2551" w:type="dxa"/>
            <w:tcBorders>
              <w:top w:val="dotted" w:sz="4" w:space="0" w:color="auto"/>
              <w:left w:val="single" w:sz="4" w:space="0" w:color="auto"/>
              <w:bottom w:val="single" w:sz="4" w:space="0" w:color="auto"/>
              <w:right w:val="single" w:sz="4" w:space="0" w:color="auto"/>
            </w:tcBorders>
            <w:vAlign w:val="center"/>
            <w:hideMark/>
          </w:tcPr>
          <w:p w14:paraId="7DAC2B78" w14:textId="77777777" w:rsidR="00086BAE" w:rsidRPr="00D633FF" w:rsidRDefault="00086BAE" w:rsidP="0039319C">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Northern Tasmania</w:t>
            </w:r>
          </w:p>
        </w:tc>
        <w:tc>
          <w:tcPr>
            <w:tcW w:w="1587" w:type="dxa"/>
            <w:tcBorders>
              <w:top w:val="dotted" w:sz="4" w:space="0" w:color="auto"/>
              <w:left w:val="single" w:sz="4" w:space="0" w:color="auto"/>
              <w:bottom w:val="single" w:sz="4" w:space="0" w:color="auto"/>
              <w:right w:val="single" w:sz="4" w:space="0" w:color="auto"/>
            </w:tcBorders>
            <w:noWrap/>
            <w:vAlign w:val="center"/>
            <w:hideMark/>
          </w:tcPr>
          <w:p w14:paraId="510C8ECF" w14:textId="77777777" w:rsidR="00086BAE" w:rsidRPr="00D633FF" w:rsidRDefault="00086BAE" w:rsidP="00B95A36">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498</w:t>
            </w:r>
          </w:p>
        </w:tc>
        <w:tc>
          <w:tcPr>
            <w:tcW w:w="2665" w:type="dxa"/>
            <w:tcBorders>
              <w:top w:val="dotted" w:sz="4" w:space="0" w:color="auto"/>
              <w:left w:val="single" w:sz="4" w:space="0" w:color="auto"/>
              <w:bottom w:val="single" w:sz="4" w:space="0" w:color="auto"/>
              <w:right w:val="single" w:sz="4" w:space="0" w:color="auto"/>
            </w:tcBorders>
            <w:noWrap/>
            <w:vAlign w:val="center"/>
            <w:hideMark/>
          </w:tcPr>
          <w:p w14:paraId="69CF6A8C" w14:textId="77777777" w:rsidR="00086BAE" w:rsidRPr="00D633FF" w:rsidRDefault="00086BAE" w:rsidP="0039319C">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89.1</w:t>
            </w:r>
          </w:p>
        </w:tc>
        <w:tc>
          <w:tcPr>
            <w:tcW w:w="2973" w:type="dxa"/>
            <w:tcBorders>
              <w:top w:val="dotted" w:sz="4" w:space="0" w:color="auto"/>
              <w:left w:val="single" w:sz="4" w:space="0" w:color="auto"/>
              <w:bottom w:val="single" w:sz="4" w:space="0" w:color="auto"/>
              <w:right w:val="single" w:sz="4" w:space="0" w:color="auto"/>
            </w:tcBorders>
            <w:noWrap/>
            <w:vAlign w:val="center"/>
            <w:hideMark/>
          </w:tcPr>
          <w:p w14:paraId="4913EB08" w14:textId="0D309704" w:rsidR="00086BAE" w:rsidRPr="00D633FF" w:rsidRDefault="00F41A14" w:rsidP="0039319C">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noProof/>
                <w:color w:val="000000"/>
                <w:kern w:val="0"/>
                <w:sz w:val="20"/>
                <w:szCs w:val="20"/>
                <w:lang w:eastAsia="en-AU"/>
                <w14:ligatures w14:val="none"/>
              </w:rPr>
              <w:t>Beckett and Ball (2011)</w:t>
            </w:r>
          </w:p>
        </w:tc>
      </w:tr>
      <w:tr w:rsidR="00281C3B" w:rsidRPr="00D633FF" w14:paraId="7FBE7EF9" w14:textId="77777777" w:rsidTr="00281C3B">
        <w:trPr>
          <w:trHeight w:val="283"/>
        </w:trPr>
        <w:tc>
          <w:tcPr>
            <w:tcW w:w="3969" w:type="dxa"/>
            <w:tcBorders>
              <w:top w:val="single" w:sz="4" w:space="0" w:color="auto"/>
              <w:left w:val="single" w:sz="4" w:space="0" w:color="auto"/>
              <w:bottom w:val="single" w:sz="4" w:space="0" w:color="auto"/>
            </w:tcBorders>
            <w:shd w:val="clear" w:color="auto" w:fill="C1E4F5" w:themeFill="accent1" w:themeFillTint="33"/>
            <w:vAlign w:val="center"/>
          </w:tcPr>
          <w:p w14:paraId="128F407E" w14:textId="77777777" w:rsidR="00281C3B" w:rsidRPr="00D633FF" w:rsidRDefault="00281C3B" w:rsidP="0039319C">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b/>
                <w:bCs/>
                <w:color w:val="000000"/>
                <w:kern w:val="0"/>
                <w:sz w:val="20"/>
                <w:szCs w:val="20"/>
                <w:lang w:eastAsia="en-AU"/>
                <w14:ligatures w14:val="none"/>
              </w:rPr>
              <w:t>Specific Populations</w:t>
            </w:r>
          </w:p>
        </w:tc>
        <w:tc>
          <w:tcPr>
            <w:tcW w:w="2551" w:type="dxa"/>
            <w:tcBorders>
              <w:top w:val="single" w:sz="4" w:space="0" w:color="auto"/>
              <w:bottom w:val="single" w:sz="4" w:space="0" w:color="auto"/>
            </w:tcBorders>
            <w:shd w:val="clear" w:color="auto" w:fill="C1E4F5" w:themeFill="accent1" w:themeFillTint="33"/>
            <w:vAlign w:val="center"/>
          </w:tcPr>
          <w:p w14:paraId="1CA9EDD5" w14:textId="77777777" w:rsidR="00281C3B" w:rsidRPr="00D633FF" w:rsidRDefault="00281C3B" w:rsidP="0039319C">
            <w:pPr>
              <w:spacing w:after="0" w:line="276" w:lineRule="auto"/>
              <w:rPr>
                <w:rFonts w:ascii="Calibri" w:eastAsia="Times New Roman" w:hAnsi="Calibri" w:cs="Calibri"/>
                <w:color w:val="000000"/>
                <w:kern w:val="0"/>
                <w:sz w:val="20"/>
                <w:szCs w:val="20"/>
                <w:lang w:eastAsia="en-AU"/>
                <w14:ligatures w14:val="none"/>
              </w:rPr>
            </w:pPr>
          </w:p>
        </w:tc>
        <w:tc>
          <w:tcPr>
            <w:tcW w:w="1587" w:type="dxa"/>
            <w:tcBorders>
              <w:top w:val="single" w:sz="4" w:space="0" w:color="auto"/>
              <w:bottom w:val="single" w:sz="4" w:space="0" w:color="auto"/>
            </w:tcBorders>
            <w:shd w:val="clear" w:color="auto" w:fill="C1E4F5" w:themeFill="accent1" w:themeFillTint="33"/>
            <w:vAlign w:val="center"/>
          </w:tcPr>
          <w:p w14:paraId="3E15B682" w14:textId="77777777" w:rsidR="00281C3B" w:rsidRPr="00D633FF" w:rsidRDefault="00281C3B" w:rsidP="0039319C">
            <w:pPr>
              <w:spacing w:after="0" w:line="276" w:lineRule="auto"/>
              <w:rPr>
                <w:rFonts w:ascii="Calibri" w:eastAsia="Times New Roman" w:hAnsi="Calibri" w:cs="Calibri"/>
                <w:color w:val="000000"/>
                <w:kern w:val="0"/>
                <w:sz w:val="20"/>
                <w:szCs w:val="20"/>
                <w:lang w:eastAsia="en-AU"/>
                <w14:ligatures w14:val="none"/>
              </w:rPr>
            </w:pPr>
          </w:p>
        </w:tc>
        <w:tc>
          <w:tcPr>
            <w:tcW w:w="2665" w:type="dxa"/>
            <w:tcBorders>
              <w:top w:val="single" w:sz="4" w:space="0" w:color="auto"/>
              <w:bottom w:val="single" w:sz="4" w:space="0" w:color="auto"/>
            </w:tcBorders>
            <w:shd w:val="clear" w:color="auto" w:fill="C1E4F5" w:themeFill="accent1" w:themeFillTint="33"/>
            <w:vAlign w:val="center"/>
          </w:tcPr>
          <w:p w14:paraId="6207608E" w14:textId="77777777" w:rsidR="00281C3B" w:rsidRPr="00D633FF" w:rsidRDefault="00281C3B" w:rsidP="0039319C">
            <w:pPr>
              <w:spacing w:after="0" w:line="276" w:lineRule="auto"/>
              <w:rPr>
                <w:rFonts w:ascii="Calibri" w:eastAsia="Times New Roman" w:hAnsi="Calibri" w:cs="Calibri"/>
                <w:color w:val="000000"/>
                <w:kern w:val="0"/>
                <w:sz w:val="20"/>
                <w:szCs w:val="20"/>
                <w:lang w:eastAsia="en-AU"/>
                <w14:ligatures w14:val="none"/>
              </w:rPr>
            </w:pPr>
          </w:p>
        </w:tc>
        <w:tc>
          <w:tcPr>
            <w:tcW w:w="2973" w:type="dxa"/>
            <w:tcBorders>
              <w:top w:val="single" w:sz="4" w:space="0" w:color="auto"/>
              <w:bottom w:val="single" w:sz="4" w:space="0" w:color="auto"/>
              <w:right w:val="single" w:sz="4" w:space="0" w:color="auto"/>
            </w:tcBorders>
            <w:shd w:val="clear" w:color="auto" w:fill="C1E4F5" w:themeFill="accent1" w:themeFillTint="33"/>
            <w:vAlign w:val="center"/>
          </w:tcPr>
          <w:p w14:paraId="7F8DD8AE" w14:textId="02E7D2D1" w:rsidR="00281C3B" w:rsidRPr="00D633FF" w:rsidRDefault="00281C3B" w:rsidP="0039319C">
            <w:pPr>
              <w:spacing w:after="0" w:line="276" w:lineRule="auto"/>
              <w:rPr>
                <w:rFonts w:ascii="Calibri" w:eastAsia="Times New Roman" w:hAnsi="Calibri" w:cs="Calibri"/>
                <w:color w:val="000000"/>
                <w:kern w:val="0"/>
                <w:sz w:val="20"/>
                <w:szCs w:val="20"/>
                <w:lang w:eastAsia="en-AU"/>
                <w14:ligatures w14:val="none"/>
              </w:rPr>
            </w:pPr>
          </w:p>
        </w:tc>
      </w:tr>
      <w:tr w:rsidR="008B48EF" w:rsidRPr="00D633FF" w14:paraId="6983B589" w14:textId="77777777" w:rsidTr="00281C3B">
        <w:trPr>
          <w:trHeight w:val="397"/>
        </w:trPr>
        <w:tc>
          <w:tcPr>
            <w:tcW w:w="3969" w:type="dxa"/>
            <w:tcBorders>
              <w:top w:val="single" w:sz="4" w:space="0" w:color="auto"/>
              <w:left w:val="single" w:sz="4" w:space="0" w:color="auto"/>
              <w:bottom w:val="dotted" w:sz="4" w:space="0" w:color="auto"/>
              <w:right w:val="single" w:sz="4" w:space="0" w:color="auto"/>
            </w:tcBorders>
            <w:vAlign w:val="center"/>
            <w:hideMark/>
          </w:tcPr>
          <w:p w14:paraId="070680C0" w14:textId="77777777" w:rsidR="00086BAE" w:rsidRPr="00D633FF" w:rsidRDefault="00086BAE" w:rsidP="0039319C">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Older Adults (mean age 70.7 years)</w:t>
            </w:r>
          </w:p>
        </w:tc>
        <w:tc>
          <w:tcPr>
            <w:tcW w:w="2551" w:type="dxa"/>
            <w:tcBorders>
              <w:top w:val="single" w:sz="4" w:space="0" w:color="auto"/>
              <w:left w:val="single" w:sz="4" w:space="0" w:color="auto"/>
              <w:bottom w:val="dotted" w:sz="4" w:space="0" w:color="auto"/>
              <w:right w:val="single" w:sz="4" w:space="0" w:color="auto"/>
            </w:tcBorders>
            <w:vAlign w:val="center"/>
            <w:hideMark/>
          </w:tcPr>
          <w:p w14:paraId="1F860BBC" w14:textId="5C190CEB" w:rsidR="00086BAE" w:rsidRPr="00D633FF" w:rsidRDefault="00086BAE" w:rsidP="0039319C">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 xml:space="preserve">Victoria </w:t>
            </w:r>
          </w:p>
        </w:tc>
        <w:tc>
          <w:tcPr>
            <w:tcW w:w="1587" w:type="dxa"/>
            <w:tcBorders>
              <w:top w:val="single" w:sz="4" w:space="0" w:color="auto"/>
              <w:left w:val="single" w:sz="4" w:space="0" w:color="auto"/>
              <w:bottom w:val="dotted" w:sz="4" w:space="0" w:color="auto"/>
              <w:right w:val="single" w:sz="4" w:space="0" w:color="auto"/>
            </w:tcBorders>
            <w:noWrap/>
            <w:vAlign w:val="center"/>
            <w:hideMark/>
          </w:tcPr>
          <w:p w14:paraId="747CF7CC" w14:textId="77777777" w:rsidR="00086BAE" w:rsidRPr="00D633FF" w:rsidRDefault="00086BAE" w:rsidP="00B95A36">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154</w:t>
            </w:r>
          </w:p>
        </w:tc>
        <w:tc>
          <w:tcPr>
            <w:tcW w:w="2665" w:type="dxa"/>
            <w:tcBorders>
              <w:top w:val="single" w:sz="4" w:space="0" w:color="auto"/>
              <w:left w:val="single" w:sz="4" w:space="0" w:color="auto"/>
              <w:bottom w:val="dotted" w:sz="4" w:space="0" w:color="auto"/>
              <w:right w:val="single" w:sz="4" w:space="0" w:color="auto"/>
            </w:tcBorders>
            <w:vAlign w:val="center"/>
            <w:hideMark/>
          </w:tcPr>
          <w:p w14:paraId="793B3867" w14:textId="77777777" w:rsidR="00086BAE" w:rsidRPr="00D633FF" w:rsidRDefault="00086BAE" w:rsidP="0039319C">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169.3 ± 60.4</w:t>
            </w:r>
          </w:p>
        </w:tc>
        <w:tc>
          <w:tcPr>
            <w:tcW w:w="2973" w:type="dxa"/>
            <w:tcBorders>
              <w:top w:val="single" w:sz="4" w:space="0" w:color="auto"/>
              <w:left w:val="single" w:sz="4" w:space="0" w:color="auto"/>
              <w:bottom w:val="dotted" w:sz="4" w:space="0" w:color="auto"/>
              <w:right w:val="single" w:sz="4" w:space="0" w:color="auto"/>
            </w:tcBorders>
            <w:noWrap/>
            <w:vAlign w:val="center"/>
            <w:hideMark/>
          </w:tcPr>
          <w:p w14:paraId="5D6AE944" w14:textId="7D52C369" w:rsidR="00086BAE" w:rsidRPr="00D633FF" w:rsidRDefault="00F41A14" w:rsidP="0039319C">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noProof/>
                <w:color w:val="000000"/>
                <w:kern w:val="0"/>
                <w:sz w:val="20"/>
                <w:szCs w:val="20"/>
                <w:lang w:eastAsia="en-AU"/>
                <w14:ligatures w14:val="none"/>
              </w:rPr>
              <w:t>Cardoso et al. (2018)</w:t>
            </w:r>
          </w:p>
        </w:tc>
      </w:tr>
      <w:tr w:rsidR="003879F7" w:rsidRPr="00D633FF" w14:paraId="2C62D266" w14:textId="77777777" w:rsidTr="00151DAD">
        <w:trPr>
          <w:trHeight w:val="397"/>
        </w:trPr>
        <w:tc>
          <w:tcPr>
            <w:tcW w:w="3969" w:type="dxa"/>
            <w:tcBorders>
              <w:top w:val="dotted" w:sz="4" w:space="0" w:color="auto"/>
              <w:left w:val="single" w:sz="4" w:space="0" w:color="auto"/>
              <w:bottom w:val="dotted" w:sz="4" w:space="0" w:color="auto"/>
              <w:right w:val="single" w:sz="4" w:space="0" w:color="auto"/>
            </w:tcBorders>
            <w:noWrap/>
            <w:vAlign w:val="center"/>
            <w:hideMark/>
          </w:tcPr>
          <w:p w14:paraId="7CD82ED2" w14:textId="4B0685BE" w:rsidR="00086BAE" w:rsidRPr="00D633FF" w:rsidRDefault="00086BAE" w:rsidP="0039319C">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Female University Students</w:t>
            </w:r>
          </w:p>
        </w:tc>
        <w:tc>
          <w:tcPr>
            <w:tcW w:w="2551" w:type="dxa"/>
            <w:tcBorders>
              <w:top w:val="dotted" w:sz="4" w:space="0" w:color="auto"/>
              <w:left w:val="single" w:sz="4" w:space="0" w:color="auto"/>
              <w:bottom w:val="dotted" w:sz="4" w:space="0" w:color="auto"/>
              <w:right w:val="single" w:sz="4" w:space="0" w:color="auto"/>
            </w:tcBorders>
            <w:vAlign w:val="center"/>
            <w:hideMark/>
          </w:tcPr>
          <w:p w14:paraId="0C891744" w14:textId="77B61AC4" w:rsidR="00086BAE" w:rsidRPr="00D633FF" w:rsidRDefault="00086BAE" w:rsidP="0039319C">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Sydney</w:t>
            </w:r>
          </w:p>
        </w:tc>
        <w:tc>
          <w:tcPr>
            <w:tcW w:w="1587" w:type="dxa"/>
            <w:tcBorders>
              <w:top w:val="dotted" w:sz="4" w:space="0" w:color="auto"/>
              <w:left w:val="single" w:sz="4" w:space="0" w:color="auto"/>
              <w:bottom w:val="dotted" w:sz="4" w:space="0" w:color="auto"/>
              <w:right w:val="single" w:sz="4" w:space="0" w:color="auto"/>
            </w:tcBorders>
            <w:noWrap/>
            <w:vAlign w:val="center"/>
            <w:hideMark/>
          </w:tcPr>
          <w:p w14:paraId="024E519E" w14:textId="77777777" w:rsidR="00086BAE" w:rsidRPr="00D633FF" w:rsidRDefault="00086BAE" w:rsidP="00B95A36">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289</w:t>
            </w:r>
          </w:p>
        </w:tc>
        <w:tc>
          <w:tcPr>
            <w:tcW w:w="2665" w:type="dxa"/>
            <w:tcBorders>
              <w:top w:val="dotted" w:sz="4" w:space="0" w:color="auto"/>
              <w:left w:val="single" w:sz="4" w:space="0" w:color="auto"/>
              <w:bottom w:val="dotted" w:sz="4" w:space="0" w:color="auto"/>
              <w:right w:val="single" w:sz="4" w:space="0" w:color="auto"/>
            </w:tcBorders>
            <w:vAlign w:val="center"/>
            <w:hideMark/>
          </w:tcPr>
          <w:p w14:paraId="119DB992" w14:textId="5A8F13A4" w:rsidR="00086BAE" w:rsidRPr="00D633FF" w:rsidRDefault="00086BAE" w:rsidP="0039319C">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87.7 ± 16.9</w:t>
            </w:r>
            <w:r w:rsidRPr="000450F9">
              <w:rPr>
                <w:rFonts w:ascii="Calibri" w:eastAsia="Times New Roman" w:hAnsi="Calibri" w:cs="Calibri"/>
                <w:color w:val="000000"/>
                <w:kern w:val="0"/>
                <w:sz w:val="20"/>
                <w:szCs w:val="20"/>
                <w:lang w:eastAsia="en-AU"/>
                <w14:ligatures w14:val="none"/>
              </w:rPr>
              <w:t>#</w:t>
            </w:r>
            <w:r w:rsidRPr="00D633FF">
              <w:rPr>
                <w:rFonts w:ascii="Calibri" w:eastAsia="Times New Roman" w:hAnsi="Calibri" w:cs="Calibri"/>
                <w:color w:val="000000"/>
                <w:kern w:val="0"/>
                <w:sz w:val="20"/>
                <w:szCs w:val="20"/>
                <w:lang w:eastAsia="en-AU"/>
                <w14:ligatures w14:val="none"/>
              </w:rPr>
              <w:t xml:space="preserve"> </w:t>
            </w:r>
            <w:r w:rsidRPr="00D633FF">
              <w:rPr>
                <w:rFonts w:ascii="Calibri" w:eastAsia="Times New Roman" w:hAnsi="Calibri" w:cs="Calibri"/>
                <w:color w:val="000000"/>
                <w:kern w:val="0"/>
                <w:sz w:val="20"/>
                <w:szCs w:val="20"/>
                <w:lang w:eastAsia="en-AU"/>
                <w14:ligatures w14:val="none"/>
              </w:rPr>
              <w:br/>
              <w:t>(1.11 ± 0.21 µmol/L)</w:t>
            </w:r>
          </w:p>
        </w:tc>
        <w:tc>
          <w:tcPr>
            <w:tcW w:w="2973" w:type="dxa"/>
            <w:tcBorders>
              <w:top w:val="dotted" w:sz="4" w:space="0" w:color="auto"/>
              <w:left w:val="single" w:sz="4" w:space="0" w:color="auto"/>
              <w:bottom w:val="dotted" w:sz="4" w:space="0" w:color="auto"/>
              <w:right w:val="single" w:sz="4" w:space="0" w:color="auto"/>
            </w:tcBorders>
            <w:noWrap/>
            <w:vAlign w:val="center"/>
            <w:hideMark/>
          </w:tcPr>
          <w:p w14:paraId="694F9061" w14:textId="74B472F7" w:rsidR="00086BAE" w:rsidRPr="00D633FF" w:rsidRDefault="00F41A14" w:rsidP="0039319C">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noProof/>
                <w:color w:val="000000"/>
                <w:kern w:val="0"/>
                <w:sz w:val="20"/>
                <w:szCs w:val="20"/>
                <w:lang w:eastAsia="en-AU"/>
                <w14:ligatures w14:val="none"/>
              </w:rPr>
              <w:t>Fayet-Moore et al. (2014)</w:t>
            </w:r>
          </w:p>
        </w:tc>
      </w:tr>
      <w:tr w:rsidR="00F565BF" w:rsidRPr="00D633FF" w14:paraId="40E463FB" w14:textId="77777777" w:rsidTr="00966BC8">
        <w:trPr>
          <w:trHeight w:val="397"/>
        </w:trPr>
        <w:tc>
          <w:tcPr>
            <w:tcW w:w="3969" w:type="dxa"/>
            <w:tcBorders>
              <w:top w:val="dotted" w:sz="4" w:space="0" w:color="auto"/>
              <w:left w:val="single" w:sz="4" w:space="0" w:color="auto"/>
              <w:bottom w:val="dotted" w:sz="4" w:space="0" w:color="auto"/>
              <w:right w:val="single" w:sz="4" w:space="0" w:color="auto"/>
            </w:tcBorders>
            <w:noWrap/>
            <w:vAlign w:val="center"/>
            <w:hideMark/>
          </w:tcPr>
          <w:p w14:paraId="662E61E1" w14:textId="77777777" w:rsidR="00086BAE" w:rsidRPr="00D633FF" w:rsidRDefault="00086BAE" w:rsidP="0039319C">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Pregnant Women</w:t>
            </w:r>
          </w:p>
        </w:tc>
        <w:tc>
          <w:tcPr>
            <w:tcW w:w="2551" w:type="dxa"/>
            <w:tcBorders>
              <w:top w:val="dotted" w:sz="4" w:space="0" w:color="auto"/>
              <w:left w:val="single" w:sz="4" w:space="0" w:color="auto"/>
              <w:bottom w:val="dotted" w:sz="4" w:space="0" w:color="auto"/>
              <w:right w:val="single" w:sz="4" w:space="0" w:color="auto"/>
            </w:tcBorders>
            <w:vAlign w:val="center"/>
            <w:hideMark/>
          </w:tcPr>
          <w:p w14:paraId="1C6DD1E0" w14:textId="08351788" w:rsidR="00086BAE" w:rsidRPr="00D633FF" w:rsidRDefault="00086BAE" w:rsidP="0039319C">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Adelaide</w:t>
            </w:r>
          </w:p>
        </w:tc>
        <w:tc>
          <w:tcPr>
            <w:tcW w:w="1587" w:type="dxa"/>
            <w:tcBorders>
              <w:top w:val="dotted" w:sz="4" w:space="0" w:color="auto"/>
              <w:left w:val="single" w:sz="4" w:space="0" w:color="auto"/>
              <w:bottom w:val="dotted" w:sz="4" w:space="0" w:color="auto"/>
              <w:right w:val="single" w:sz="4" w:space="0" w:color="auto"/>
            </w:tcBorders>
            <w:noWrap/>
            <w:vAlign w:val="center"/>
            <w:hideMark/>
          </w:tcPr>
          <w:p w14:paraId="3C194FBF" w14:textId="77777777" w:rsidR="00086BAE" w:rsidRPr="00D633FF" w:rsidRDefault="00086BAE" w:rsidP="00B95A36">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1065</w:t>
            </w:r>
          </w:p>
        </w:tc>
        <w:tc>
          <w:tcPr>
            <w:tcW w:w="2665" w:type="dxa"/>
            <w:tcBorders>
              <w:top w:val="dotted" w:sz="4" w:space="0" w:color="auto"/>
              <w:left w:val="single" w:sz="4" w:space="0" w:color="auto"/>
              <w:bottom w:val="dotted" w:sz="4" w:space="0" w:color="auto"/>
              <w:right w:val="single" w:sz="4" w:space="0" w:color="auto"/>
            </w:tcBorders>
            <w:vAlign w:val="center"/>
            <w:hideMark/>
          </w:tcPr>
          <w:p w14:paraId="32153644" w14:textId="475F5E51" w:rsidR="00086BAE" w:rsidRPr="00D633FF" w:rsidRDefault="00086BAE" w:rsidP="0039319C">
            <w:pPr>
              <w:spacing w:after="0" w:line="276" w:lineRule="auto"/>
              <w:rPr>
                <w:rFonts w:ascii="Calibri" w:eastAsia="Times New Roman" w:hAnsi="Calibri" w:cs="Calibri"/>
                <w:color w:val="242424"/>
                <w:kern w:val="0"/>
                <w:sz w:val="20"/>
                <w:szCs w:val="20"/>
                <w:lang w:eastAsia="en-AU"/>
                <w14:ligatures w14:val="none"/>
              </w:rPr>
            </w:pPr>
            <w:r w:rsidRPr="00D633FF">
              <w:rPr>
                <w:rFonts w:ascii="Calibri" w:eastAsia="Times New Roman" w:hAnsi="Calibri" w:cs="Calibri"/>
                <w:color w:val="242424"/>
                <w:kern w:val="0"/>
                <w:sz w:val="20"/>
                <w:szCs w:val="20"/>
                <w:lang w:eastAsia="en-AU"/>
                <w14:ligatures w14:val="none"/>
              </w:rPr>
              <w:t>72.6 ± 11.90</w:t>
            </w:r>
            <w:r w:rsidRPr="000450F9">
              <w:rPr>
                <w:rFonts w:ascii="Calibri" w:eastAsia="Times New Roman" w:hAnsi="Calibri" w:cs="Calibri"/>
                <w:color w:val="242424"/>
                <w:kern w:val="0"/>
                <w:sz w:val="20"/>
                <w:szCs w:val="20"/>
                <w:lang w:eastAsia="en-AU"/>
                <w14:ligatures w14:val="none"/>
              </w:rPr>
              <w:t xml:space="preserve"># </w:t>
            </w:r>
            <w:r w:rsidRPr="00D633FF">
              <w:rPr>
                <w:rFonts w:ascii="Calibri" w:eastAsia="Times New Roman" w:hAnsi="Calibri" w:cs="Calibri"/>
                <w:color w:val="242424"/>
                <w:kern w:val="0"/>
                <w:sz w:val="20"/>
                <w:szCs w:val="20"/>
                <w:lang w:eastAsia="en-AU"/>
                <w14:ligatures w14:val="none"/>
              </w:rPr>
              <w:br/>
              <w:t xml:space="preserve">(0.919 </w:t>
            </w:r>
            <w:r w:rsidRPr="00D633FF">
              <w:rPr>
                <w:rFonts w:ascii="Calibri" w:eastAsia="Times New Roman" w:hAnsi="Calibri" w:cs="Calibri"/>
                <w:color w:val="000000"/>
                <w:kern w:val="0"/>
                <w:sz w:val="20"/>
                <w:szCs w:val="20"/>
                <w:lang w:eastAsia="en-AU"/>
                <w14:ligatures w14:val="none"/>
              </w:rPr>
              <w:t>± 0.151 µmol/L)</w:t>
            </w:r>
          </w:p>
        </w:tc>
        <w:tc>
          <w:tcPr>
            <w:tcW w:w="2973" w:type="dxa"/>
            <w:tcBorders>
              <w:top w:val="dotted" w:sz="4" w:space="0" w:color="auto"/>
              <w:left w:val="single" w:sz="4" w:space="0" w:color="auto"/>
              <w:bottom w:val="dotted" w:sz="4" w:space="0" w:color="auto"/>
              <w:right w:val="single" w:sz="4" w:space="0" w:color="auto"/>
            </w:tcBorders>
            <w:shd w:val="clear" w:color="000000" w:fill="FFFFFF"/>
            <w:noWrap/>
            <w:vAlign w:val="center"/>
            <w:hideMark/>
          </w:tcPr>
          <w:p w14:paraId="243C85C4" w14:textId="0AB95DD1" w:rsidR="00086BAE" w:rsidRPr="00D633FF" w:rsidRDefault="00F41A14" w:rsidP="0039319C">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noProof/>
                <w:color w:val="000000"/>
                <w:kern w:val="0"/>
                <w:sz w:val="20"/>
                <w:szCs w:val="20"/>
                <w:lang w:eastAsia="en-AU"/>
                <w14:ligatures w14:val="none"/>
              </w:rPr>
              <w:t>Wilson et al. (2018)</w:t>
            </w:r>
          </w:p>
        </w:tc>
      </w:tr>
      <w:tr w:rsidR="00F565BF" w:rsidRPr="00D633FF" w14:paraId="08ADC060" w14:textId="77777777" w:rsidTr="00966BC8">
        <w:trPr>
          <w:trHeight w:val="397"/>
        </w:trPr>
        <w:tc>
          <w:tcPr>
            <w:tcW w:w="3969" w:type="dxa"/>
            <w:tcBorders>
              <w:top w:val="dotted" w:sz="4" w:space="0" w:color="auto"/>
              <w:left w:val="single" w:sz="4" w:space="0" w:color="auto"/>
              <w:bottom w:val="dotted" w:sz="4" w:space="0" w:color="auto"/>
              <w:right w:val="single" w:sz="4" w:space="0" w:color="auto"/>
            </w:tcBorders>
            <w:vAlign w:val="center"/>
            <w:hideMark/>
          </w:tcPr>
          <w:p w14:paraId="14DC5B5E" w14:textId="77777777" w:rsidR="00086BAE" w:rsidRPr="00D633FF" w:rsidRDefault="00086BAE" w:rsidP="0039319C">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Pregnant Women (multiple micronutrient supplement)</w:t>
            </w:r>
          </w:p>
        </w:tc>
        <w:tc>
          <w:tcPr>
            <w:tcW w:w="2551" w:type="dxa"/>
            <w:tcBorders>
              <w:top w:val="dotted" w:sz="4" w:space="0" w:color="auto"/>
              <w:left w:val="single" w:sz="4" w:space="0" w:color="auto"/>
              <w:bottom w:val="dotted" w:sz="4" w:space="0" w:color="auto"/>
              <w:right w:val="single" w:sz="4" w:space="0" w:color="auto"/>
            </w:tcBorders>
            <w:vAlign w:val="center"/>
            <w:hideMark/>
          </w:tcPr>
          <w:p w14:paraId="64A9EE0D" w14:textId="63967D87" w:rsidR="00086BAE" w:rsidRPr="00D633FF" w:rsidRDefault="00086BAE" w:rsidP="0039319C">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Southeast Queensland</w:t>
            </w:r>
          </w:p>
        </w:tc>
        <w:tc>
          <w:tcPr>
            <w:tcW w:w="1587" w:type="dxa"/>
            <w:tcBorders>
              <w:top w:val="dotted" w:sz="4" w:space="0" w:color="auto"/>
              <w:left w:val="single" w:sz="4" w:space="0" w:color="auto"/>
              <w:bottom w:val="dotted" w:sz="4" w:space="0" w:color="auto"/>
              <w:right w:val="single" w:sz="4" w:space="0" w:color="auto"/>
            </w:tcBorders>
            <w:noWrap/>
            <w:vAlign w:val="center"/>
            <w:hideMark/>
          </w:tcPr>
          <w:p w14:paraId="661E5ECF" w14:textId="77777777" w:rsidR="00086BAE" w:rsidRPr="00D633FF" w:rsidRDefault="00086BAE" w:rsidP="00B95A36">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84</w:t>
            </w:r>
          </w:p>
        </w:tc>
        <w:tc>
          <w:tcPr>
            <w:tcW w:w="2665" w:type="dxa"/>
            <w:tcBorders>
              <w:top w:val="dotted" w:sz="4" w:space="0" w:color="auto"/>
              <w:left w:val="single" w:sz="4" w:space="0" w:color="auto"/>
              <w:bottom w:val="dotted" w:sz="4" w:space="0" w:color="auto"/>
              <w:right w:val="single" w:sz="4" w:space="0" w:color="auto"/>
            </w:tcBorders>
            <w:noWrap/>
            <w:vAlign w:val="center"/>
            <w:hideMark/>
          </w:tcPr>
          <w:p w14:paraId="36280F3B" w14:textId="77777777" w:rsidR="00086BAE" w:rsidRPr="00D633FF" w:rsidRDefault="00086BAE" w:rsidP="0039319C">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75.5</w:t>
            </w:r>
          </w:p>
        </w:tc>
        <w:tc>
          <w:tcPr>
            <w:tcW w:w="2973" w:type="dxa"/>
            <w:tcBorders>
              <w:top w:val="dotted" w:sz="4" w:space="0" w:color="auto"/>
              <w:left w:val="single" w:sz="4" w:space="0" w:color="auto"/>
              <w:bottom w:val="dotted" w:sz="4" w:space="0" w:color="auto"/>
              <w:right w:val="single" w:sz="4" w:space="0" w:color="auto"/>
            </w:tcBorders>
            <w:shd w:val="clear" w:color="000000" w:fill="FFFFFF"/>
            <w:noWrap/>
            <w:vAlign w:val="center"/>
          </w:tcPr>
          <w:p w14:paraId="70D724DA" w14:textId="3E90AF77" w:rsidR="00086BAE" w:rsidRPr="00D633FF" w:rsidRDefault="00F41A14" w:rsidP="0039319C">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noProof/>
                <w:color w:val="000000"/>
                <w:kern w:val="0"/>
                <w:sz w:val="20"/>
                <w:szCs w:val="20"/>
                <w:lang w:eastAsia="en-AU"/>
                <w14:ligatures w14:val="none"/>
              </w:rPr>
              <w:t>McAlpine et al. (2019)</w:t>
            </w:r>
          </w:p>
        </w:tc>
      </w:tr>
      <w:tr w:rsidR="00F565BF" w:rsidRPr="00D633FF" w14:paraId="070D22C7" w14:textId="77777777" w:rsidTr="00966BC8">
        <w:trPr>
          <w:trHeight w:val="397"/>
        </w:trPr>
        <w:tc>
          <w:tcPr>
            <w:tcW w:w="3969" w:type="dxa"/>
            <w:tcBorders>
              <w:top w:val="dotted" w:sz="4" w:space="0" w:color="auto"/>
              <w:left w:val="single" w:sz="4" w:space="0" w:color="auto"/>
              <w:bottom w:val="dotted" w:sz="4" w:space="0" w:color="auto"/>
              <w:right w:val="single" w:sz="4" w:space="0" w:color="auto"/>
            </w:tcBorders>
            <w:vAlign w:val="center"/>
            <w:hideMark/>
          </w:tcPr>
          <w:p w14:paraId="0CB9DC0C" w14:textId="702738E8" w:rsidR="00086BAE" w:rsidRPr="00D633FF" w:rsidRDefault="00086BAE" w:rsidP="0039319C">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Pregnant Women (no supplement)</w:t>
            </w:r>
          </w:p>
        </w:tc>
        <w:tc>
          <w:tcPr>
            <w:tcW w:w="2551" w:type="dxa"/>
            <w:tcBorders>
              <w:top w:val="dotted" w:sz="4" w:space="0" w:color="auto"/>
              <w:left w:val="single" w:sz="4" w:space="0" w:color="auto"/>
              <w:bottom w:val="dotted" w:sz="4" w:space="0" w:color="auto"/>
              <w:right w:val="single" w:sz="4" w:space="0" w:color="auto"/>
            </w:tcBorders>
            <w:vAlign w:val="center"/>
            <w:hideMark/>
          </w:tcPr>
          <w:p w14:paraId="513B828A" w14:textId="2B1A1D23" w:rsidR="00086BAE" w:rsidRPr="00D633FF" w:rsidRDefault="00086BAE" w:rsidP="0039319C">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Southeast Queensland</w:t>
            </w:r>
          </w:p>
        </w:tc>
        <w:tc>
          <w:tcPr>
            <w:tcW w:w="1587" w:type="dxa"/>
            <w:tcBorders>
              <w:top w:val="dotted" w:sz="4" w:space="0" w:color="auto"/>
              <w:left w:val="single" w:sz="4" w:space="0" w:color="auto"/>
              <w:bottom w:val="dotted" w:sz="4" w:space="0" w:color="auto"/>
              <w:right w:val="single" w:sz="4" w:space="0" w:color="auto"/>
            </w:tcBorders>
            <w:noWrap/>
            <w:vAlign w:val="center"/>
            <w:hideMark/>
          </w:tcPr>
          <w:p w14:paraId="730BBB3A" w14:textId="77777777" w:rsidR="00086BAE" w:rsidRPr="00D633FF" w:rsidRDefault="00086BAE" w:rsidP="00B95A36">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43</w:t>
            </w:r>
          </w:p>
        </w:tc>
        <w:tc>
          <w:tcPr>
            <w:tcW w:w="2665" w:type="dxa"/>
            <w:tcBorders>
              <w:top w:val="dotted" w:sz="4" w:space="0" w:color="auto"/>
              <w:left w:val="single" w:sz="4" w:space="0" w:color="auto"/>
              <w:bottom w:val="dotted" w:sz="4" w:space="0" w:color="auto"/>
              <w:right w:val="single" w:sz="4" w:space="0" w:color="auto"/>
            </w:tcBorders>
            <w:noWrap/>
            <w:vAlign w:val="center"/>
            <w:hideMark/>
          </w:tcPr>
          <w:p w14:paraId="241A8AC5" w14:textId="77777777" w:rsidR="00086BAE" w:rsidRPr="00D633FF" w:rsidRDefault="00086BAE" w:rsidP="0039319C">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74.1</w:t>
            </w:r>
          </w:p>
        </w:tc>
        <w:tc>
          <w:tcPr>
            <w:tcW w:w="2973" w:type="dxa"/>
            <w:tcBorders>
              <w:top w:val="dotted" w:sz="4" w:space="0" w:color="auto"/>
              <w:left w:val="single" w:sz="4" w:space="0" w:color="auto"/>
              <w:bottom w:val="dotted" w:sz="4" w:space="0" w:color="auto"/>
              <w:right w:val="single" w:sz="4" w:space="0" w:color="auto"/>
            </w:tcBorders>
            <w:shd w:val="clear" w:color="000000" w:fill="FFFFFF"/>
            <w:noWrap/>
            <w:vAlign w:val="center"/>
            <w:hideMark/>
          </w:tcPr>
          <w:p w14:paraId="28595B37" w14:textId="68ECBA64" w:rsidR="00086BAE" w:rsidRPr="00D633FF" w:rsidRDefault="00F41A14" w:rsidP="0039319C">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noProof/>
                <w:color w:val="000000"/>
                <w:kern w:val="0"/>
                <w:sz w:val="20"/>
                <w:szCs w:val="20"/>
                <w:lang w:eastAsia="en-AU"/>
                <w14:ligatures w14:val="none"/>
              </w:rPr>
              <w:t>McAlpine et al. (2019)</w:t>
            </w:r>
          </w:p>
        </w:tc>
      </w:tr>
      <w:tr w:rsidR="00F565BF" w:rsidRPr="00D633FF" w14:paraId="266A9726" w14:textId="77777777" w:rsidTr="00966BC8">
        <w:trPr>
          <w:trHeight w:val="397"/>
        </w:trPr>
        <w:tc>
          <w:tcPr>
            <w:tcW w:w="3969" w:type="dxa"/>
            <w:tcBorders>
              <w:top w:val="dotted" w:sz="4" w:space="0" w:color="auto"/>
              <w:left w:val="single" w:sz="4" w:space="0" w:color="auto"/>
              <w:bottom w:val="dotted" w:sz="4" w:space="0" w:color="auto"/>
              <w:right w:val="single" w:sz="4" w:space="0" w:color="auto"/>
            </w:tcBorders>
            <w:vAlign w:val="center"/>
          </w:tcPr>
          <w:p w14:paraId="1ECB863F" w14:textId="1EBA7C2B" w:rsidR="00086BAE" w:rsidRPr="00D633FF" w:rsidRDefault="006654A3" w:rsidP="0039319C">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Newborn i</w:t>
            </w:r>
            <w:r w:rsidR="00086BAE" w:rsidRPr="00D633FF">
              <w:rPr>
                <w:rFonts w:ascii="Calibri" w:eastAsia="Times New Roman" w:hAnsi="Calibri" w:cs="Calibri"/>
                <w:color w:val="000000"/>
                <w:kern w:val="0"/>
                <w:sz w:val="20"/>
                <w:szCs w:val="20"/>
                <w:lang w:eastAsia="en-AU"/>
                <w14:ligatures w14:val="none"/>
              </w:rPr>
              <w:t>nfants (preterm)</w:t>
            </w:r>
          </w:p>
        </w:tc>
        <w:tc>
          <w:tcPr>
            <w:tcW w:w="2551" w:type="dxa"/>
            <w:tcBorders>
              <w:top w:val="dotted" w:sz="4" w:space="0" w:color="auto"/>
              <w:left w:val="single" w:sz="4" w:space="0" w:color="auto"/>
              <w:bottom w:val="dotted" w:sz="4" w:space="0" w:color="auto"/>
              <w:right w:val="single" w:sz="4" w:space="0" w:color="auto"/>
            </w:tcBorders>
            <w:vAlign w:val="center"/>
          </w:tcPr>
          <w:p w14:paraId="00E9E65F" w14:textId="2FE03772" w:rsidR="00086BAE" w:rsidRPr="00D633FF" w:rsidRDefault="00086BAE" w:rsidP="0039319C">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Adelaide</w:t>
            </w:r>
          </w:p>
        </w:tc>
        <w:tc>
          <w:tcPr>
            <w:tcW w:w="1587" w:type="dxa"/>
            <w:tcBorders>
              <w:top w:val="dotted" w:sz="4" w:space="0" w:color="auto"/>
              <w:left w:val="single" w:sz="4" w:space="0" w:color="auto"/>
              <w:bottom w:val="dotted" w:sz="4" w:space="0" w:color="auto"/>
              <w:right w:val="single" w:sz="4" w:space="0" w:color="auto"/>
            </w:tcBorders>
            <w:noWrap/>
            <w:vAlign w:val="center"/>
          </w:tcPr>
          <w:p w14:paraId="283788EE" w14:textId="7F8C9730" w:rsidR="00086BAE" w:rsidRPr="00D633FF" w:rsidRDefault="00086BAE" w:rsidP="00B95A36">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 xml:space="preserve">90 </w:t>
            </w:r>
          </w:p>
        </w:tc>
        <w:tc>
          <w:tcPr>
            <w:tcW w:w="2665" w:type="dxa"/>
            <w:tcBorders>
              <w:top w:val="dotted" w:sz="4" w:space="0" w:color="auto"/>
              <w:left w:val="single" w:sz="4" w:space="0" w:color="auto"/>
              <w:bottom w:val="dotted" w:sz="4" w:space="0" w:color="auto"/>
              <w:right w:val="single" w:sz="4" w:space="0" w:color="auto"/>
            </w:tcBorders>
            <w:noWrap/>
            <w:vAlign w:val="center"/>
          </w:tcPr>
          <w:p w14:paraId="758CD1B3" w14:textId="0A52A5C8" w:rsidR="00086BAE" w:rsidRPr="00D633FF" w:rsidRDefault="00086BAE" w:rsidP="0039319C">
            <w:pPr>
              <w:spacing w:after="0" w:line="276" w:lineRule="auto"/>
              <w:rPr>
                <w:rFonts w:ascii="Calibri" w:eastAsia="Times New Roman" w:hAnsi="Calibri" w:cs="Calibri"/>
                <w:color w:val="242424"/>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 xml:space="preserve">29 </w:t>
            </w:r>
            <w:r w:rsidRPr="00D633FF">
              <w:rPr>
                <w:rFonts w:ascii="Calibri" w:eastAsia="Times New Roman" w:hAnsi="Calibri" w:cs="Calibri"/>
                <w:color w:val="242424"/>
                <w:kern w:val="0"/>
                <w:sz w:val="20"/>
                <w:szCs w:val="20"/>
                <w:lang w:eastAsia="en-AU"/>
                <w14:ligatures w14:val="none"/>
              </w:rPr>
              <w:t xml:space="preserve">± 14 </w:t>
            </w:r>
          </w:p>
        </w:tc>
        <w:tc>
          <w:tcPr>
            <w:tcW w:w="2973" w:type="dxa"/>
            <w:tcBorders>
              <w:top w:val="dotted" w:sz="4" w:space="0" w:color="auto"/>
              <w:left w:val="single" w:sz="4" w:space="0" w:color="auto"/>
              <w:bottom w:val="dotted" w:sz="4" w:space="0" w:color="auto"/>
              <w:right w:val="single" w:sz="4" w:space="0" w:color="auto"/>
            </w:tcBorders>
            <w:shd w:val="clear" w:color="000000" w:fill="FFFFFF"/>
            <w:noWrap/>
            <w:vAlign w:val="center"/>
          </w:tcPr>
          <w:p w14:paraId="10765369" w14:textId="03A3A645" w:rsidR="00086BAE" w:rsidRPr="00D633FF" w:rsidRDefault="00F41A14" w:rsidP="0039319C">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noProof/>
                <w:color w:val="000000"/>
                <w:kern w:val="0"/>
                <w:sz w:val="20"/>
                <w:szCs w:val="20"/>
                <w:lang w:eastAsia="en-AU"/>
                <w14:ligatures w14:val="none"/>
              </w:rPr>
              <w:t>Daniels et al. (2000)</w:t>
            </w:r>
            <w:r w:rsidR="0091322A" w:rsidRPr="00D633FF" w:rsidDel="0091322A">
              <w:rPr>
                <w:rFonts w:ascii="Calibri" w:eastAsia="Times New Roman" w:hAnsi="Calibri" w:cs="Calibri"/>
                <w:color w:val="000000"/>
                <w:kern w:val="0"/>
                <w:sz w:val="20"/>
                <w:szCs w:val="20"/>
                <w:lang w:eastAsia="en-AU"/>
                <w14:ligatures w14:val="none"/>
              </w:rPr>
              <w:t xml:space="preserve"> </w:t>
            </w:r>
          </w:p>
        </w:tc>
      </w:tr>
      <w:tr w:rsidR="008B48EF" w:rsidRPr="00D633FF" w14:paraId="765822A7" w14:textId="77777777" w:rsidTr="00151DAD">
        <w:trPr>
          <w:trHeight w:val="397"/>
        </w:trPr>
        <w:tc>
          <w:tcPr>
            <w:tcW w:w="3969" w:type="dxa"/>
            <w:tcBorders>
              <w:top w:val="dotted" w:sz="4" w:space="0" w:color="auto"/>
              <w:left w:val="single" w:sz="4" w:space="0" w:color="auto"/>
              <w:bottom w:val="single" w:sz="4" w:space="0" w:color="auto"/>
              <w:right w:val="single" w:sz="4" w:space="0" w:color="auto"/>
            </w:tcBorders>
            <w:vAlign w:val="center"/>
          </w:tcPr>
          <w:p w14:paraId="459D19A0" w14:textId="3AE10653" w:rsidR="00086BAE" w:rsidRPr="00D633FF" w:rsidRDefault="006654A3" w:rsidP="0039319C">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Newborn i</w:t>
            </w:r>
            <w:r w:rsidR="00086BAE" w:rsidRPr="00D633FF">
              <w:rPr>
                <w:rFonts w:ascii="Calibri" w:eastAsia="Times New Roman" w:hAnsi="Calibri" w:cs="Calibri"/>
                <w:color w:val="000000"/>
                <w:kern w:val="0"/>
                <w:sz w:val="20"/>
                <w:szCs w:val="20"/>
                <w:lang w:eastAsia="en-AU"/>
                <w14:ligatures w14:val="none"/>
              </w:rPr>
              <w:t>nfants (term)</w:t>
            </w:r>
          </w:p>
        </w:tc>
        <w:tc>
          <w:tcPr>
            <w:tcW w:w="2551" w:type="dxa"/>
            <w:tcBorders>
              <w:top w:val="dotted" w:sz="4" w:space="0" w:color="auto"/>
              <w:left w:val="single" w:sz="4" w:space="0" w:color="auto"/>
              <w:bottom w:val="single" w:sz="4" w:space="0" w:color="auto"/>
              <w:right w:val="single" w:sz="4" w:space="0" w:color="auto"/>
            </w:tcBorders>
            <w:vAlign w:val="center"/>
          </w:tcPr>
          <w:p w14:paraId="36ECEE82" w14:textId="5AF80EBE" w:rsidR="00086BAE" w:rsidRPr="00D633FF" w:rsidRDefault="00086BAE" w:rsidP="0039319C">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Adelaide</w:t>
            </w:r>
          </w:p>
        </w:tc>
        <w:tc>
          <w:tcPr>
            <w:tcW w:w="1587" w:type="dxa"/>
            <w:tcBorders>
              <w:top w:val="dotted" w:sz="4" w:space="0" w:color="auto"/>
              <w:left w:val="single" w:sz="4" w:space="0" w:color="auto"/>
              <w:bottom w:val="single" w:sz="4" w:space="0" w:color="auto"/>
              <w:right w:val="single" w:sz="4" w:space="0" w:color="auto"/>
            </w:tcBorders>
            <w:noWrap/>
            <w:vAlign w:val="center"/>
          </w:tcPr>
          <w:p w14:paraId="3A86D3D5" w14:textId="0563D667" w:rsidR="00086BAE" w:rsidRPr="00D633FF" w:rsidRDefault="00086BAE" w:rsidP="00B95A36">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48</w:t>
            </w:r>
          </w:p>
        </w:tc>
        <w:tc>
          <w:tcPr>
            <w:tcW w:w="2665" w:type="dxa"/>
            <w:tcBorders>
              <w:top w:val="dotted" w:sz="4" w:space="0" w:color="auto"/>
              <w:left w:val="single" w:sz="4" w:space="0" w:color="auto"/>
              <w:bottom w:val="single" w:sz="4" w:space="0" w:color="auto"/>
              <w:right w:val="single" w:sz="4" w:space="0" w:color="auto"/>
            </w:tcBorders>
            <w:noWrap/>
            <w:vAlign w:val="center"/>
          </w:tcPr>
          <w:p w14:paraId="779A8111" w14:textId="77777777" w:rsidR="00086BAE" w:rsidRPr="00D633FF" w:rsidRDefault="00086BAE" w:rsidP="0039319C">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242424"/>
                <w:kern w:val="0"/>
                <w:sz w:val="20"/>
                <w:szCs w:val="20"/>
                <w:lang w:eastAsia="en-AU"/>
                <w14:ligatures w14:val="none"/>
              </w:rPr>
              <w:t>33</w:t>
            </w:r>
            <w:r w:rsidRPr="00D633FF">
              <w:rPr>
                <w:rFonts w:ascii="Calibri" w:eastAsia="Times New Roman" w:hAnsi="Calibri" w:cs="Calibri"/>
                <w:color w:val="000000"/>
                <w:kern w:val="0"/>
                <w:sz w:val="20"/>
                <w:szCs w:val="20"/>
                <w:lang w:eastAsia="en-AU"/>
                <w14:ligatures w14:val="none"/>
              </w:rPr>
              <w:t xml:space="preserve"> </w:t>
            </w:r>
            <w:r w:rsidRPr="00D633FF">
              <w:rPr>
                <w:rFonts w:ascii="Calibri" w:eastAsia="Times New Roman" w:hAnsi="Calibri" w:cs="Calibri"/>
                <w:color w:val="242424"/>
                <w:kern w:val="0"/>
                <w:sz w:val="20"/>
                <w:szCs w:val="20"/>
                <w:lang w:eastAsia="en-AU"/>
                <w14:ligatures w14:val="none"/>
              </w:rPr>
              <w:t xml:space="preserve">± 11 </w:t>
            </w:r>
          </w:p>
        </w:tc>
        <w:tc>
          <w:tcPr>
            <w:tcW w:w="2973" w:type="dxa"/>
            <w:tcBorders>
              <w:top w:val="dotted" w:sz="4" w:space="0" w:color="auto"/>
              <w:left w:val="single" w:sz="4" w:space="0" w:color="auto"/>
              <w:bottom w:val="single" w:sz="4" w:space="0" w:color="auto"/>
              <w:right w:val="single" w:sz="4" w:space="0" w:color="auto"/>
            </w:tcBorders>
            <w:vAlign w:val="center"/>
          </w:tcPr>
          <w:p w14:paraId="61796DB7" w14:textId="6E0D8B11" w:rsidR="00086BAE" w:rsidRPr="00D633FF" w:rsidRDefault="00F41A14" w:rsidP="0039319C">
            <w:pPr>
              <w:spacing w:after="0" w:line="276"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noProof/>
                <w:color w:val="000000"/>
                <w:kern w:val="0"/>
                <w:sz w:val="20"/>
                <w:szCs w:val="20"/>
                <w:lang w:eastAsia="en-AU"/>
                <w14:ligatures w14:val="none"/>
              </w:rPr>
              <w:t>Daniels et al. (2000)</w:t>
            </w:r>
            <w:r w:rsidR="0091322A" w:rsidRPr="00D633FF">
              <w:rPr>
                <w:rFonts w:ascii="Calibri" w:eastAsia="Times New Roman" w:hAnsi="Calibri" w:cs="Calibri"/>
                <w:color w:val="000000"/>
                <w:kern w:val="0"/>
                <w:sz w:val="20"/>
                <w:szCs w:val="20"/>
                <w:lang w:eastAsia="en-AU"/>
                <w14:ligatures w14:val="none"/>
              </w:rPr>
              <w:t xml:space="preserve"> </w:t>
            </w:r>
          </w:p>
        </w:tc>
      </w:tr>
    </w:tbl>
    <w:p w14:paraId="6FCE105A" w14:textId="388F880D" w:rsidR="00322093" w:rsidRPr="00877F06" w:rsidRDefault="00E4509C" w:rsidP="00B07CC4">
      <w:pPr>
        <w:spacing w:after="120"/>
        <w:rPr>
          <w:rFonts w:ascii="Calibri" w:hAnsi="Calibri" w:cs="Calibri"/>
          <w:b/>
          <w:bCs/>
          <w:i/>
          <w:iCs/>
          <w:color w:val="0E2841" w:themeColor="text2"/>
          <w:sz w:val="18"/>
          <w:szCs w:val="18"/>
        </w:rPr>
      </w:pPr>
      <w:r w:rsidRPr="000450F9">
        <w:rPr>
          <w:rStyle w:val="FootnoteTextChar"/>
          <w:i/>
          <w:iCs/>
        </w:rPr>
        <w:t>#</w:t>
      </w:r>
      <w:r w:rsidRPr="000450F9">
        <w:rPr>
          <w:rStyle w:val="FootnoteTextChar"/>
          <w:i/>
          <w:iCs/>
          <w:sz w:val="18"/>
          <w:szCs w:val="18"/>
        </w:rPr>
        <w:t xml:space="preserve"> </w:t>
      </w:r>
      <w:r w:rsidRPr="00C21461">
        <w:rPr>
          <w:rStyle w:val="FootnoteTextChar"/>
          <w:i/>
          <w:iCs/>
          <w:sz w:val="18"/>
          <w:szCs w:val="18"/>
        </w:rPr>
        <w:t xml:space="preserve">mean and standard deviation (SD) reported in </w:t>
      </w:r>
      <w:proofErr w:type="spellStart"/>
      <w:r w:rsidRPr="00C21461">
        <w:rPr>
          <w:rStyle w:val="FootnoteTextChar"/>
          <w:i/>
          <w:iCs/>
          <w:sz w:val="18"/>
          <w:szCs w:val="18"/>
        </w:rPr>
        <w:t>μmol</w:t>
      </w:r>
      <w:proofErr w:type="spellEnd"/>
      <w:r w:rsidRPr="00C21461">
        <w:rPr>
          <w:rStyle w:val="FootnoteTextChar"/>
          <w:i/>
          <w:iCs/>
          <w:sz w:val="18"/>
          <w:szCs w:val="18"/>
        </w:rPr>
        <w:t>/L were converted to µg/L using the selenium atomic mass (78.96).</w:t>
      </w:r>
      <w:r w:rsidR="00307694" w:rsidRPr="00C21461">
        <w:rPr>
          <w:rFonts w:ascii="Calibri" w:hAnsi="Calibri" w:cs="Calibri"/>
        </w:rPr>
        <w:br w:type="page"/>
      </w:r>
      <w:bookmarkStart w:id="41" w:name="_Ref199412432"/>
      <w:r w:rsidR="00322093" w:rsidRPr="00877F06">
        <w:rPr>
          <w:rFonts w:ascii="Calibri" w:hAnsi="Calibri" w:cs="Calibri"/>
          <w:b/>
          <w:bCs/>
          <w:i/>
          <w:iCs/>
          <w:color w:val="0E2841" w:themeColor="text2"/>
          <w:sz w:val="18"/>
          <w:szCs w:val="18"/>
        </w:rPr>
        <w:lastRenderedPageBreak/>
        <w:t xml:space="preserve">Table </w:t>
      </w:r>
      <w:r w:rsidR="00322093" w:rsidRPr="00877F06">
        <w:rPr>
          <w:rFonts w:ascii="Calibri" w:hAnsi="Calibri" w:cs="Calibri"/>
          <w:b/>
          <w:bCs/>
          <w:i/>
          <w:iCs/>
          <w:color w:val="0E2841" w:themeColor="text2"/>
          <w:sz w:val="18"/>
          <w:szCs w:val="18"/>
        </w:rPr>
        <w:fldChar w:fldCharType="begin"/>
      </w:r>
      <w:r w:rsidR="00322093" w:rsidRPr="00877F06">
        <w:rPr>
          <w:rFonts w:ascii="Calibri" w:hAnsi="Calibri" w:cs="Calibri"/>
          <w:b/>
          <w:bCs/>
          <w:i/>
          <w:iCs/>
          <w:color w:val="0E2841" w:themeColor="text2"/>
          <w:sz w:val="18"/>
          <w:szCs w:val="18"/>
        </w:rPr>
        <w:instrText xml:space="preserve"> SEQ Table \* ARABIC </w:instrText>
      </w:r>
      <w:r w:rsidR="00322093" w:rsidRPr="00877F06">
        <w:rPr>
          <w:rFonts w:ascii="Calibri" w:hAnsi="Calibri" w:cs="Calibri"/>
          <w:b/>
          <w:bCs/>
          <w:i/>
          <w:iCs/>
          <w:color w:val="0E2841" w:themeColor="text2"/>
          <w:sz w:val="18"/>
          <w:szCs w:val="18"/>
        </w:rPr>
        <w:fldChar w:fldCharType="separate"/>
      </w:r>
      <w:r w:rsidR="00CB6915" w:rsidRPr="00877F06">
        <w:rPr>
          <w:rFonts w:ascii="Calibri" w:hAnsi="Calibri" w:cs="Calibri"/>
          <w:b/>
          <w:bCs/>
          <w:i/>
          <w:iCs/>
          <w:color w:val="0E2841" w:themeColor="text2"/>
          <w:sz w:val="18"/>
          <w:szCs w:val="18"/>
        </w:rPr>
        <w:t>7</w:t>
      </w:r>
      <w:r w:rsidR="00322093" w:rsidRPr="00877F06">
        <w:rPr>
          <w:rFonts w:ascii="Calibri" w:hAnsi="Calibri" w:cs="Calibri"/>
          <w:b/>
          <w:bCs/>
          <w:i/>
          <w:iCs/>
          <w:color w:val="0E2841" w:themeColor="text2"/>
          <w:sz w:val="18"/>
          <w:szCs w:val="18"/>
        </w:rPr>
        <w:fldChar w:fldCharType="end"/>
      </w:r>
      <w:bookmarkEnd w:id="41"/>
      <w:r w:rsidR="00322093" w:rsidRPr="00877F06">
        <w:rPr>
          <w:rFonts w:ascii="Calibri" w:hAnsi="Calibri" w:cs="Calibri"/>
          <w:b/>
          <w:bCs/>
          <w:i/>
          <w:iCs/>
          <w:color w:val="0E2841" w:themeColor="text2"/>
          <w:sz w:val="18"/>
          <w:szCs w:val="18"/>
        </w:rPr>
        <w:t>. Plasma/serum selenium status of various population groups in New Zealand</w:t>
      </w:r>
      <w:r w:rsidR="00BD30B6">
        <w:rPr>
          <w:rFonts w:ascii="Calibri" w:hAnsi="Calibri" w:cs="Calibri"/>
          <w:b/>
          <w:bCs/>
          <w:i/>
          <w:iCs/>
          <w:color w:val="0E2841" w:themeColor="text2"/>
          <w:sz w:val="18"/>
          <w:szCs w:val="18"/>
        </w:rPr>
        <w:t xml:space="preserve"> (</w:t>
      </w:r>
      <w:r w:rsidR="00322093" w:rsidRPr="00877F06">
        <w:rPr>
          <w:rFonts w:ascii="Calibri" w:hAnsi="Calibri" w:cs="Calibri"/>
          <w:b/>
          <w:bCs/>
          <w:i/>
          <w:iCs/>
          <w:color w:val="0E2841" w:themeColor="text2"/>
          <w:sz w:val="18"/>
          <w:szCs w:val="18"/>
        </w:rPr>
        <w:t>µg/L</w:t>
      </w:r>
      <w:r w:rsidR="00BD30B6">
        <w:rPr>
          <w:rFonts w:ascii="Calibri" w:hAnsi="Calibri" w:cs="Calibri"/>
          <w:b/>
          <w:bCs/>
          <w:i/>
          <w:iCs/>
          <w:color w:val="0E2841" w:themeColor="text2"/>
          <w:sz w:val="18"/>
          <w:szCs w:val="18"/>
        </w:rPr>
        <w:t>)</w:t>
      </w:r>
      <w:r w:rsidR="00322093" w:rsidRPr="00877F06">
        <w:rPr>
          <w:rFonts w:ascii="Calibri" w:hAnsi="Calibri" w:cs="Calibri"/>
          <w:b/>
          <w:bCs/>
          <w:i/>
          <w:iCs/>
          <w:color w:val="0E2841" w:themeColor="text2"/>
          <w:sz w:val="18"/>
          <w:szCs w:val="18"/>
        </w:rPr>
        <w:t xml:space="preserve"> </w:t>
      </w:r>
    </w:p>
    <w:tbl>
      <w:tblPr>
        <w:tblW w:w="13319" w:type="dxa"/>
        <w:tblLook w:val="04A0" w:firstRow="1" w:lastRow="0" w:firstColumn="1" w:lastColumn="0" w:noHBand="0" w:noVBand="1"/>
      </w:tblPr>
      <w:tblGrid>
        <w:gridCol w:w="3969"/>
        <w:gridCol w:w="2551"/>
        <w:gridCol w:w="1587"/>
        <w:gridCol w:w="2661"/>
        <w:gridCol w:w="2551"/>
      </w:tblGrid>
      <w:tr w:rsidR="00124CB6" w:rsidRPr="00D633FF" w14:paraId="520CCE19" w14:textId="77777777" w:rsidTr="00281C3B">
        <w:trPr>
          <w:trHeight w:val="607"/>
        </w:trPr>
        <w:tc>
          <w:tcPr>
            <w:tcW w:w="3969" w:type="dxa"/>
            <w:tcBorders>
              <w:top w:val="single" w:sz="4" w:space="0" w:color="auto"/>
              <w:left w:val="single" w:sz="4" w:space="0" w:color="auto"/>
              <w:bottom w:val="single" w:sz="4" w:space="0" w:color="auto"/>
            </w:tcBorders>
            <w:shd w:val="clear" w:color="000000" w:fill="DAE9F8"/>
            <w:noWrap/>
            <w:vAlign w:val="center"/>
            <w:hideMark/>
          </w:tcPr>
          <w:p w14:paraId="4AF45A09" w14:textId="77777777" w:rsidR="00124CB6" w:rsidRPr="00D633FF" w:rsidRDefault="00124CB6" w:rsidP="00EA0488">
            <w:pPr>
              <w:spacing w:after="0" w:line="240" w:lineRule="auto"/>
              <w:rPr>
                <w:rFonts w:ascii="Calibri" w:eastAsia="Times New Roman" w:hAnsi="Calibri" w:cs="Calibri"/>
                <w:b/>
                <w:bCs/>
                <w:color w:val="000000"/>
                <w:kern w:val="0"/>
                <w:sz w:val="18"/>
                <w:szCs w:val="18"/>
                <w:lang w:eastAsia="en-AU"/>
                <w14:ligatures w14:val="none"/>
              </w:rPr>
            </w:pPr>
            <w:r w:rsidRPr="00D633FF">
              <w:rPr>
                <w:rFonts w:ascii="Calibri" w:eastAsia="Times New Roman" w:hAnsi="Calibri" w:cs="Calibri"/>
                <w:b/>
                <w:bCs/>
                <w:color w:val="000000"/>
                <w:kern w:val="0"/>
                <w:sz w:val="18"/>
                <w:szCs w:val="18"/>
                <w:lang w:eastAsia="en-AU"/>
                <w14:ligatures w14:val="none"/>
              </w:rPr>
              <w:t>Population group</w:t>
            </w:r>
          </w:p>
        </w:tc>
        <w:tc>
          <w:tcPr>
            <w:tcW w:w="2551" w:type="dxa"/>
            <w:tcBorders>
              <w:top w:val="single" w:sz="4" w:space="0" w:color="auto"/>
              <w:left w:val="nil"/>
              <w:bottom w:val="single" w:sz="4" w:space="0" w:color="auto"/>
            </w:tcBorders>
            <w:shd w:val="clear" w:color="000000" w:fill="DAE9F8"/>
            <w:vAlign w:val="center"/>
            <w:hideMark/>
          </w:tcPr>
          <w:p w14:paraId="1B2EDF31" w14:textId="77777777" w:rsidR="00124CB6" w:rsidRPr="00D633FF" w:rsidRDefault="00124CB6" w:rsidP="00EA0488">
            <w:pPr>
              <w:spacing w:after="0" w:line="240" w:lineRule="auto"/>
              <w:rPr>
                <w:rFonts w:ascii="Calibri" w:eastAsia="Times New Roman" w:hAnsi="Calibri" w:cs="Calibri"/>
                <w:b/>
                <w:bCs/>
                <w:color w:val="000000"/>
                <w:kern w:val="0"/>
                <w:sz w:val="18"/>
                <w:szCs w:val="18"/>
                <w:lang w:eastAsia="en-AU"/>
                <w14:ligatures w14:val="none"/>
              </w:rPr>
            </w:pPr>
            <w:r w:rsidRPr="00D633FF">
              <w:rPr>
                <w:rFonts w:ascii="Calibri" w:eastAsia="Times New Roman" w:hAnsi="Calibri" w:cs="Calibri"/>
                <w:b/>
                <w:bCs/>
                <w:color w:val="000000"/>
                <w:kern w:val="0"/>
                <w:sz w:val="18"/>
                <w:szCs w:val="18"/>
                <w:lang w:eastAsia="en-AU"/>
                <w14:ligatures w14:val="none"/>
              </w:rPr>
              <w:t>Region</w:t>
            </w:r>
          </w:p>
        </w:tc>
        <w:tc>
          <w:tcPr>
            <w:tcW w:w="1587" w:type="dxa"/>
            <w:tcBorders>
              <w:top w:val="single" w:sz="4" w:space="0" w:color="auto"/>
              <w:left w:val="nil"/>
              <w:bottom w:val="single" w:sz="4" w:space="0" w:color="auto"/>
            </w:tcBorders>
            <w:shd w:val="clear" w:color="000000" w:fill="DAE9F8"/>
            <w:noWrap/>
            <w:vAlign w:val="center"/>
            <w:hideMark/>
          </w:tcPr>
          <w:p w14:paraId="70351F0F" w14:textId="77777777" w:rsidR="00124CB6" w:rsidRPr="00D633FF" w:rsidRDefault="00124CB6" w:rsidP="00EA0488">
            <w:pPr>
              <w:spacing w:after="0" w:line="240" w:lineRule="auto"/>
              <w:rPr>
                <w:rFonts w:ascii="Calibri" w:eastAsia="Times New Roman" w:hAnsi="Calibri" w:cs="Calibri"/>
                <w:b/>
                <w:bCs/>
                <w:color w:val="000000"/>
                <w:kern w:val="0"/>
                <w:sz w:val="18"/>
                <w:szCs w:val="18"/>
                <w:lang w:eastAsia="en-AU"/>
                <w14:ligatures w14:val="none"/>
              </w:rPr>
            </w:pPr>
            <w:r w:rsidRPr="00D633FF">
              <w:rPr>
                <w:rFonts w:ascii="Calibri" w:eastAsia="Times New Roman" w:hAnsi="Calibri" w:cs="Calibri"/>
                <w:b/>
                <w:bCs/>
                <w:color w:val="000000"/>
                <w:kern w:val="0"/>
                <w:sz w:val="18"/>
                <w:szCs w:val="18"/>
                <w:lang w:eastAsia="en-AU"/>
                <w14:ligatures w14:val="none"/>
              </w:rPr>
              <w:t>Sample size (n)</w:t>
            </w:r>
          </w:p>
        </w:tc>
        <w:tc>
          <w:tcPr>
            <w:tcW w:w="2661" w:type="dxa"/>
            <w:tcBorders>
              <w:top w:val="single" w:sz="4" w:space="0" w:color="auto"/>
              <w:left w:val="nil"/>
              <w:bottom w:val="single" w:sz="4" w:space="0" w:color="auto"/>
            </w:tcBorders>
            <w:shd w:val="clear" w:color="000000" w:fill="DAE9F8"/>
            <w:vAlign w:val="center"/>
            <w:hideMark/>
          </w:tcPr>
          <w:p w14:paraId="40F56E7F" w14:textId="75535E23" w:rsidR="00124CB6" w:rsidRPr="00D633FF" w:rsidRDefault="00124CB6" w:rsidP="00EA0488">
            <w:pPr>
              <w:spacing w:after="0" w:line="240" w:lineRule="auto"/>
              <w:rPr>
                <w:rFonts w:ascii="Calibri" w:eastAsia="Times New Roman" w:hAnsi="Calibri" w:cs="Calibri"/>
                <w:b/>
                <w:bCs/>
                <w:color w:val="000000"/>
                <w:kern w:val="0"/>
                <w:sz w:val="18"/>
                <w:szCs w:val="18"/>
                <w:lang w:eastAsia="en-AU"/>
                <w14:ligatures w14:val="none"/>
              </w:rPr>
            </w:pPr>
            <w:r w:rsidRPr="00D633FF">
              <w:rPr>
                <w:rFonts w:ascii="Calibri" w:eastAsia="Times New Roman" w:hAnsi="Calibri" w:cs="Calibri"/>
                <w:b/>
                <w:bCs/>
                <w:color w:val="000000"/>
                <w:kern w:val="0"/>
                <w:sz w:val="18"/>
                <w:szCs w:val="18"/>
                <w:lang w:eastAsia="en-AU"/>
                <w14:ligatures w14:val="none"/>
              </w:rPr>
              <w:t xml:space="preserve">Mean serum/plasma </w:t>
            </w:r>
            <w:r w:rsidR="00C82A79" w:rsidRPr="00D633FF">
              <w:rPr>
                <w:rFonts w:ascii="Calibri" w:eastAsia="Times New Roman" w:hAnsi="Calibri" w:cs="Calibri"/>
                <w:b/>
                <w:bCs/>
                <w:color w:val="000000"/>
                <w:kern w:val="0"/>
                <w:sz w:val="18"/>
                <w:szCs w:val="18"/>
                <w:lang w:eastAsia="en-AU"/>
                <w14:ligatures w14:val="none"/>
              </w:rPr>
              <w:t>Se</w:t>
            </w:r>
            <w:r w:rsidRPr="00D633FF">
              <w:rPr>
                <w:rFonts w:ascii="Calibri" w:eastAsia="Times New Roman" w:hAnsi="Calibri" w:cs="Calibri"/>
                <w:b/>
                <w:bCs/>
                <w:color w:val="000000"/>
                <w:kern w:val="0"/>
                <w:sz w:val="18"/>
                <w:szCs w:val="18"/>
                <w:lang w:eastAsia="en-AU"/>
                <w14:ligatures w14:val="none"/>
              </w:rPr>
              <w:t xml:space="preserve"> concentration ± SD</w:t>
            </w:r>
            <w:r w:rsidR="00C82A79" w:rsidRPr="00D633FF">
              <w:rPr>
                <w:rFonts w:ascii="Calibri" w:eastAsia="Times New Roman" w:hAnsi="Calibri" w:cs="Calibri"/>
                <w:b/>
                <w:bCs/>
                <w:color w:val="000000"/>
                <w:kern w:val="0"/>
                <w:sz w:val="18"/>
                <w:szCs w:val="18"/>
                <w:lang w:eastAsia="en-AU"/>
                <w14:ligatures w14:val="none"/>
              </w:rPr>
              <w:t xml:space="preserve"> </w:t>
            </w:r>
            <w:r w:rsidR="00C82A79" w:rsidRPr="00D633FF">
              <w:rPr>
                <w:rFonts w:ascii="Calibri" w:eastAsia="Times New Roman" w:hAnsi="Calibri" w:cs="Calibri"/>
                <w:b/>
                <w:color w:val="000000"/>
                <w:kern w:val="0"/>
                <w:sz w:val="18"/>
                <w:szCs w:val="18"/>
                <w:lang w:eastAsia="en-AU"/>
                <w14:ligatures w14:val="none"/>
              </w:rPr>
              <w:t>(µg/L)</w:t>
            </w:r>
          </w:p>
        </w:tc>
        <w:tc>
          <w:tcPr>
            <w:tcW w:w="2551" w:type="dxa"/>
            <w:tcBorders>
              <w:top w:val="single" w:sz="4" w:space="0" w:color="auto"/>
              <w:left w:val="nil"/>
              <w:bottom w:val="single" w:sz="4" w:space="0" w:color="auto"/>
              <w:right w:val="single" w:sz="4" w:space="0" w:color="auto"/>
            </w:tcBorders>
            <w:shd w:val="clear" w:color="000000" w:fill="DAE9F8"/>
            <w:noWrap/>
            <w:vAlign w:val="center"/>
            <w:hideMark/>
          </w:tcPr>
          <w:p w14:paraId="75AEE825" w14:textId="77777777" w:rsidR="00124CB6" w:rsidRPr="00D633FF" w:rsidRDefault="00124CB6" w:rsidP="00EA0488">
            <w:pPr>
              <w:spacing w:after="0" w:line="240" w:lineRule="auto"/>
              <w:rPr>
                <w:rFonts w:ascii="Calibri" w:eastAsia="Times New Roman" w:hAnsi="Calibri" w:cs="Calibri"/>
                <w:b/>
                <w:bCs/>
                <w:color w:val="000000"/>
                <w:kern w:val="0"/>
                <w:sz w:val="18"/>
                <w:szCs w:val="18"/>
                <w:lang w:eastAsia="en-AU"/>
                <w14:ligatures w14:val="none"/>
              </w:rPr>
            </w:pPr>
            <w:r w:rsidRPr="00D633FF">
              <w:rPr>
                <w:rFonts w:ascii="Calibri" w:eastAsia="Times New Roman" w:hAnsi="Calibri" w:cs="Calibri"/>
                <w:b/>
                <w:bCs/>
                <w:color w:val="000000"/>
                <w:kern w:val="0"/>
                <w:sz w:val="18"/>
                <w:szCs w:val="18"/>
                <w:lang w:eastAsia="en-AU"/>
                <w14:ligatures w14:val="none"/>
              </w:rPr>
              <w:t>Study</w:t>
            </w:r>
          </w:p>
        </w:tc>
      </w:tr>
      <w:tr w:rsidR="00281C3B" w:rsidRPr="00D633FF" w14:paraId="28D2DC5B" w14:textId="77777777" w:rsidTr="00281C3B">
        <w:trPr>
          <w:trHeight w:val="283"/>
        </w:trPr>
        <w:tc>
          <w:tcPr>
            <w:tcW w:w="3969" w:type="dxa"/>
            <w:tcBorders>
              <w:top w:val="single" w:sz="4" w:space="0" w:color="auto"/>
              <w:left w:val="single" w:sz="4" w:space="0" w:color="auto"/>
              <w:bottom w:val="single" w:sz="4" w:space="0" w:color="auto"/>
            </w:tcBorders>
            <w:shd w:val="clear" w:color="auto" w:fill="C1E4F5" w:themeFill="accent1" w:themeFillTint="33"/>
            <w:noWrap/>
            <w:vAlign w:val="center"/>
          </w:tcPr>
          <w:p w14:paraId="6E9687DC" w14:textId="77777777" w:rsidR="00281C3B" w:rsidRPr="00D633FF" w:rsidRDefault="00281C3B"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b/>
                <w:bCs/>
                <w:color w:val="000000"/>
                <w:kern w:val="0"/>
                <w:sz w:val="18"/>
                <w:szCs w:val="18"/>
                <w:lang w:eastAsia="en-AU"/>
                <w14:ligatures w14:val="none"/>
              </w:rPr>
              <w:t>General Population</w:t>
            </w:r>
          </w:p>
        </w:tc>
        <w:tc>
          <w:tcPr>
            <w:tcW w:w="2551" w:type="dxa"/>
            <w:tcBorders>
              <w:top w:val="single" w:sz="4" w:space="0" w:color="auto"/>
              <w:bottom w:val="single" w:sz="4" w:space="0" w:color="auto"/>
            </w:tcBorders>
            <w:shd w:val="clear" w:color="auto" w:fill="C1E4F5" w:themeFill="accent1" w:themeFillTint="33"/>
            <w:vAlign w:val="center"/>
          </w:tcPr>
          <w:p w14:paraId="1FE7048D" w14:textId="77777777" w:rsidR="00281C3B" w:rsidRPr="00D633FF" w:rsidRDefault="00281C3B" w:rsidP="00EA0488">
            <w:pPr>
              <w:spacing w:after="0" w:line="240" w:lineRule="auto"/>
              <w:rPr>
                <w:rFonts w:ascii="Calibri" w:eastAsia="Times New Roman" w:hAnsi="Calibri" w:cs="Calibri"/>
                <w:color w:val="000000"/>
                <w:kern w:val="0"/>
                <w:sz w:val="18"/>
                <w:szCs w:val="18"/>
                <w:lang w:eastAsia="en-AU"/>
                <w14:ligatures w14:val="none"/>
              </w:rPr>
            </w:pPr>
          </w:p>
        </w:tc>
        <w:tc>
          <w:tcPr>
            <w:tcW w:w="1587" w:type="dxa"/>
            <w:tcBorders>
              <w:top w:val="single" w:sz="4" w:space="0" w:color="auto"/>
              <w:bottom w:val="single" w:sz="4" w:space="0" w:color="auto"/>
            </w:tcBorders>
            <w:shd w:val="clear" w:color="auto" w:fill="C1E4F5" w:themeFill="accent1" w:themeFillTint="33"/>
            <w:vAlign w:val="center"/>
          </w:tcPr>
          <w:p w14:paraId="7CA651FC" w14:textId="77777777" w:rsidR="00281C3B" w:rsidRPr="00D633FF" w:rsidRDefault="00281C3B" w:rsidP="00EA0488">
            <w:pPr>
              <w:spacing w:after="0" w:line="240" w:lineRule="auto"/>
              <w:rPr>
                <w:rFonts w:ascii="Calibri" w:eastAsia="Times New Roman" w:hAnsi="Calibri" w:cs="Calibri"/>
                <w:color w:val="000000"/>
                <w:kern w:val="0"/>
                <w:sz w:val="18"/>
                <w:szCs w:val="18"/>
                <w:lang w:eastAsia="en-AU"/>
                <w14:ligatures w14:val="none"/>
              </w:rPr>
            </w:pPr>
          </w:p>
        </w:tc>
        <w:tc>
          <w:tcPr>
            <w:tcW w:w="2661" w:type="dxa"/>
            <w:tcBorders>
              <w:top w:val="single" w:sz="4" w:space="0" w:color="auto"/>
              <w:bottom w:val="single" w:sz="4" w:space="0" w:color="auto"/>
            </w:tcBorders>
            <w:shd w:val="clear" w:color="auto" w:fill="C1E4F5" w:themeFill="accent1" w:themeFillTint="33"/>
            <w:vAlign w:val="center"/>
          </w:tcPr>
          <w:p w14:paraId="13A43CAA" w14:textId="77777777" w:rsidR="00281C3B" w:rsidRPr="00D633FF" w:rsidRDefault="00281C3B" w:rsidP="00EA0488">
            <w:pPr>
              <w:spacing w:after="0" w:line="240" w:lineRule="auto"/>
              <w:rPr>
                <w:rFonts w:ascii="Calibri" w:eastAsia="Times New Roman" w:hAnsi="Calibri" w:cs="Calibri"/>
                <w:color w:val="000000"/>
                <w:kern w:val="0"/>
                <w:sz w:val="18"/>
                <w:szCs w:val="18"/>
                <w:lang w:eastAsia="en-AU"/>
                <w14:ligatures w14:val="none"/>
              </w:rPr>
            </w:pPr>
          </w:p>
        </w:tc>
        <w:tc>
          <w:tcPr>
            <w:tcW w:w="2551" w:type="dxa"/>
            <w:tcBorders>
              <w:top w:val="single" w:sz="4" w:space="0" w:color="auto"/>
              <w:bottom w:val="single" w:sz="4" w:space="0" w:color="auto"/>
              <w:right w:val="single" w:sz="4" w:space="0" w:color="auto"/>
            </w:tcBorders>
            <w:shd w:val="clear" w:color="auto" w:fill="C1E4F5" w:themeFill="accent1" w:themeFillTint="33"/>
            <w:vAlign w:val="center"/>
          </w:tcPr>
          <w:p w14:paraId="75070189" w14:textId="483D313B" w:rsidR="00281C3B" w:rsidRPr="00D633FF" w:rsidRDefault="00281C3B" w:rsidP="00EA0488">
            <w:pPr>
              <w:spacing w:after="0" w:line="240" w:lineRule="auto"/>
              <w:rPr>
                <w:rFonts w:ascii="Calibri" w:eastAsia="Times New Roman" w:hAnsi="Calibri" w:cs="Calibri"/>
                <w:color w:val="000000"/>
                <w:kern w:val="0"/>
                <w:sz w:val="18"/>
                <w:szCs w:val="18"/>
                <w:lang w:eastAsia="en-AU"/>
                <w14:ligatures w14:val="none"/>
              </w:rPr>
            </w:pPr>
          </w:p>
        </w:tc>
      </w:tr>
      <w:tr w:rsidR="00124CB6" w:rsidRPr="00D633FF" w14:paraId="6C84E316" w14:textId="77777777" w:rsidTr="00281C3B">
        <w:trPr>
          <w:trHeight w:val="397"/>
        </w:trPr>
        <w:tc>
          <w:tcPr>
            <w:tcW w:w="3969" w:type="dxa"/>
            <w:tcBorders>
              <w:top w:val="single" w:sz="4" w:space="0" w:color="auto"/>
              <w:left w:val="single" w:sz="4" w:space="0" w:color="auto"/>
              <w:bottom w:val="dotted" w:sz="4" w:space="0" w:color="auto"/>
              <w:right w:val="single" w:sz="4" w:space="0" w:color="auto"/>
            </w:tcBorders>
            <w:noWrap/>
            <w:vAlign w:val="center"/>
          </w:tcPr>
          <w:p w14:paraId="602D208F" w14:textId="2D73E704" w:rsidR="00124CB6" w:rsidRPr="00D633FF" w:rsidRDefault="00124CB6"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Adults</w:t>
            </w:r>
          </w:p>
        </w:tc>
        <w:tc>
          <w:tcPr>
            <w:tcW w:w="2551" w:type="dxa"/>
            <w:tcBorders>
              <w:top w:val="single" w:sz="4" w:space="0" w:color="auto"/>
              <w:left w:val="single" w:sz="4" w:space="0" w:color="auto"/>
              <w:bottom w:val="dotted" w:sz="4" w:space="0" w:color="auto"/>
              <w:right w:val="single" w:sz="4" w:space="0" w:color="auto"/>
            </w:tcBorders>
            <w:vAlign w:val="center"/>
          </w:tcPr>
          <w:p w14:paraId="3E46E7CA" w14:textId="1241D91C" w:rsidR="00124CB6" w:rsidRPr="00D633FF" w:rsidRDefault="00124CB6"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New Zealand</w:t>
            </w:r>
          </w:p>
        </w:tc>
        <w:tc>
          <w:tcPr>
            <w:tcW w:w="1587" w:type="dxa"/>
            <w:tcBorders>
              <w:top w:val="single" w:sz="4" w:space="0" w:color="auto"/>
              <w:left w:val="single" w:sz="4" w:space="0" w:color="auto"/>
              <w:bottom w:val="dotted" w:sz="4" w:space="0" w:color="auto"/>
              <w:right w:val="single" w:sz="4" w:space="0" w:color="auto"/>
            </w:tcBorders>
            <w:noWrap/>
            <w:vAlign w:val="center"/>
          </w:tcPr>
          <w:p w14:paraId="4137020E" w14:textId="111C1BB8" w:rsidR="00124CB6" w:rsidRPr="00D633FF" w:rsidRDefault="00124CB6"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52</w:t>
            </w:r>
          </w:p>
        </w:tc>
        <w:tc>
          <w:tcPr>
            <w:tcW w:w="2661" w:type="dxa"/>
            <w:tcBorders>
              <w:top w:val="single" w:sz="4" w:space="0" w:color="auto"/>
              <w:left w:val="single" w:sz="4" w:space="0" w:color="auto"/>
              <w:bottom w:val="dotted" w:sz="4" w:space="0" w:color="auto"/>
              <w:right w:val="single" w:sz="4" w:space="0" w:color="auto"/>
            </w:tcBorders>
            <w:vAlign w:val="center"/>
          </w:tcPr>
          <w:p w14:paraId="7656AC79" w14:textId="0C3BA826" w:rsidR="00124CB6" w:rsidRPr="00D633FF" w:rsidRDefault="00124CB6" w:rsidP="00A92E06">
            <w:pPr>
              <w:spacing w:after="0" w:line="276"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66.3 ± 11.1</w:t>
            </w:r>
            <w:r w:rsidRPr="00D633FF">
              <w:rPr>
                <w:rFonts w:ascii="Calibri" w:eastAsia="Times New Roman" w:hAnsi="Calibri" w:cs="Calibri"/>
                <w:color w:val="000000"/>
                <w:kern w:val="0"/>
                <w:sz w:val="18"/>
                <w:szCs w:val="18"/>
                <w:lang w:eastAsia="en-AU"/>
                <w14:ligatures w14:val="none"/>
              </w:rPr>
              <w:br/>
              <w:t>(0.84 ± 0.14 µmol/L)</w:t>
            </w:r>
          </w:p>
        </w:tc>
        <w:tc>
          <w:tcPr>
            <w:tcW w:w="2551" w:type="dxa"/>
            <w:tcBorders>
              <w:top w:val="single" w:sz="4" w:space="0" w:color="auto"/>
              <w:left w:val="single" w:sz="4" w:space="0" w:color="auto"/>
              <w:bottom w:val="dotted" w:sz="4" w:space="0" w:color="auto"/>
              <w:right w:val="single" w:sz="4" w:space="0" w:color="auto"/>
            </w:tcBorders>
            <w:noWrap/>
            <w:vAlign w:val="center"/>
          </w:tcPr>
          <w:p w14:paraId="4DB9D09D" w14:textId="08DBF0EF" w:rsidR="00124CB6" w:rsidRPr="00D633FF" w:rsidRDefault="00F41A14"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noProof/>
                <w:color w:val="000000"/>
                <w:kern w:val="0"/>
                <w:sz w:val="18"/>
                <w:szCs w:val="18"/>
                <w:lang w:eastAsia="en-AU"/>
                <w14:ligatures w14:val="none"/>
              </w:rPr>
              <w:t>Duffield et al. (1999)</w:t>
            </w:r>
          </w:p>
        </w:tc>
      </w:tr>
      <w:tr w:rsidR="00124CB6" w:rsidRPr="00D633FF" w14:paraId="701CB1C3" w14:textId="77777777" w:rsidTr="00281C3B">
        <w:trPr>
          <w:trHeight w:val="397"/>
        </w:trPr>
        <w:tc>
          <w:tcPr>
            <w:tcW w:w="3969" w:type="dxa"/>
            <w:tcBorders>
              <w:top w:val="dotted" w:sz="4" w:space="0" w:color="auto"/>
              <w:left w:val="single" w:sz="4" w:space="0" w:color="auto"/>
              <w:bottom w:val="single" w:sz="4" w:space="0" w:color="auto"/>
              <w:right w:val="single" w:sz="4" w:space="0" w:color="auto"/>
            </w:tcBorders>
            <w:noWrap/>
            <w:vAlign w:val="center"/>
            <w:hideMark/>
          </w:tcPr>
          <w:p w14:paraId="1CFC80B6" w14:textId="77777777" w:rsidR="00124CB6" w:rsidRPr="00D633FF" w:rsidRDefault="00124CB6"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Adults</w:t>
            </w:r>
          </w:p>
        </w:tc>
        <w:tc>
          <w:tcPr>
            <w:tcW w:w="2551" w:type="dxa"/>
            <w:tcBorders>
              <w:top w:val="dotted" w:sz="4" w:space="0" w:color="auto"/>
              <w:left w:val="single" w:sz="4" w:space="0" w:color="auto"/>
              <w:bottom w:val="single" w:sz="4" w:space="0" w:color="auto"/>
              <w:right w:val="single" w:sz="4" w:space="0" w:color="auto"/>
            </w:tcBorders>
            <w:vAlign w:val="center"/>
            <w:hideMark/>
          </w:tcPr>
          <w:p w14:paraId="1DE28A61" w14:textId="77777777" w:rsidR="00124CB6" w:rsidRPr="00D633FF" w:rsidRDefault="00124CB6"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New Zealand</w:t>
            </w:r>
          </w:p>
        </w:tc>
        <w:tc>
          <w:tcPr>
            <w:tcW w:w="1587" w:type="dxa"/>
            <w:tcBorders>
              <w:top w:val="dotted" w:sz="4" w:space="0" w:color="auto"/>
              <w:left w:val="single" w:sz="4" w:space="0" w:color="auto"/>
              <w:bottom w:val="single" w:sz="4" w:space="0" w:color="auto"/>
              <w:right w:val="single" w:sz="4" w:space="0" w:color="auto"/>
            </w:tcBorders>
            <w:noWrap/>
            <w:vAlign w:val="center"/>
            <w:hideMark/>
          </w:tcPr>
          <w:p w14:paraId="16E370ED" w14:textId="77777777" w:rsidR="00124CB6" w:rsidRPr="00D633FF" w:rsidRDefault="00124CB6"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449</w:t>
            </w:r>
          </w:p>
        </w:tc>
        <w:tc>
          <w:tcPr>
            <w:tcW w:w="2661" w:type="dxa"/>
            <w:tcBorders>
              <w:top w:val="dotted" w:sz="4" w:space="0" w:color="auto"/>
              <w:left w:val="single" w:sz="4" w:space="0" w:color="auto"/>
              <w:bottom w:val="single" w:sz="4" w:space="0" w:color="auto"/>
              <w:right w:val="single" w:sz="4" w:space="0" w:color="auto"/>
            </w:tcBorders>
            <w:vAlign w:val="center"/>
            <w:hideMark/>
          </w:tcPr>
          <w:p w14:paraId="55E2FF14" w14:textId="77777777" w:rsidR="00124CB6" w:rsidRPr="00D633FF" w:rsidRDefault="00124CB6" w:rsidP="00A92E06">
            <w:pPr>
              <w:spacing w:after="0" w:line="276"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 xml:space="preserve">81.3 ± 18.9# </w:t>
            </w:r>
          </w:p>
          <w:p w14:paraId="2E6FE4BA" w14:textId="6F021CF6" w:rsidR="00124CB6" w:rsidRPr="00D633FF" w:rsidRDefault="00124CB6" w:rsidP="00A92E06">
            <w:pPr>
              <w:spacing w:after="0" w:line="276"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(1.03 ±</w:t>
            </w:r>
            <w:r w:rsidR="00A92E06" w:rsidRPr="00D633FF">
              <w:rPr>
                <w:rFonts w:ascii="Calibri" w:eastAsia="Times New Roman" w:hAnsi="Calibri" w:cs="Calibri"/>
                <w:color w:val="000000"/>
                <w:kern w:val="0"/>
                <w:sz w:val="18"/>
                <w:szCs w:val="18"/>
                <w:lang w:eastAsia="en-AU"/>
                <w14:ligatures w14:val="none"/>
              </w:rPr>
              <w:t xml:space="preserve"> </w:t>
            </w:r>
            <w:r w:rsidRPr="00D633FF">
              <w:rPr>
                <w:rFonts w:ascii="Calibri" w:eastAsia="Times New Roman" w:hAnsi="Calibri" w:cs="Calibri"/>
                <w:color w:val="000000"/>
                <w:kern w:val="0"/>
                <w:sz w:val="18"/>
                <w:szCs w:val="18"/>
                <w:lang w:eastAsia="en-AU"/>
                <w14:ligatures w14:val="none"/>
              </w:rPr>
              <w:t>0.</w:t>
            </w:r>
            <w:r w:rsidR="007743D8" w:rsidRPr="00D633FF">
              <w:rPr>
                <w:rFonts w:ascii="Calibri" w:eastAsia="Times New Roman" w:hAnsi="Calibri" w:cs="Calibri"/>
                <w:color w:val="000000"/>
                <w:kern w:val="0"/>
                <w:sz w:val="18"/>
                <w:szCs w:val="18"/>
                <w:lang w:eastAsia="en-AU"/>
                <w14:ligatures w14:val="none"/>
              </w:rPr>
              <w:t>24 µmol</w:t>
            </w:r>
            <w:r w:rsidRPr="00D633FF">
              <w:rPr>
                <w:rFonts w:ascii="Calibri" w:eastAsia="Times New Roman" w:hAnsi="Calibri" w:cs="Calibri"/>
                <w:color w:val="000000"/>
                <w:kern w:val="0"/>
                <w:sz w:val="18"/>
                <w:szCs w:val="18"/>
                <w:lang w:eastAsia="en-AU"/>
                <w14:ligatures w14:val="none"/>
              </w:rPr>
              <w:t>/L)</w:t>
            </w:r>
          </w:p>
        </w:tc>
        <w:tc>
          <w:tcPr>
            <w:tcW w:w="2551" w:type="dxa"/>
            <w:tcBorders>
              <w:top w:val="dotted" w:sz="4" w:space="0" w:color="auto"/>
              <w:left w:val="single" w:sz="4" w:space="0" w:color="auto"/>
              <w:bottom w:val="single" w:sz="4" w:space="0" w:color="auto"/>
              <w:right w:val="single" w:sz="4" w:space="0" w:color="auto"/>
            </w:tcBorders>
            <w:noWrap/>
            <w:vAlign w:val="center"/>
            <w:hideMark/>
          </w:tcPr>
          <w:p w14:paraId="30E22E73" w14:textId="491BCB64" w:rsidR="00124CB6" w:rsidRPr="00D633FF" w:rsidRDefault="00F41A14"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noProof/>
                <w:color w:val="000000"/>
                <w:kern w:val="0"/>
                <w:sz w:val="18"/>
                <w:szCs w:val="18"/>
                <w:lang w:eastAsia="en-AU"/>
                <w14:ligatures w14:val="none"/>
              </w:rPr>
              <w:t>McLachlan (2003)</w:t>
            </w:r>
          </w:p>
        </w:tc>
      </w:tr>
      <w:tr w:rsidR="00281C3B" w:rsidRPr="00D633FF" w14:paraId="16D86153" w14:textId="77777777" w:rsidTr="00281C3B">
        <w:trPr>
          <w:trHeight w:val="283"/>
        </w:trPr>
        <w:tc>
          <w:tcPr>
            <w:tcW w:w="3969" w:type="dxa"/>
            <w:tcBorders>
              <w:top w:val="single" w:sz="4" w:space="0" w:color="auto"/>
              <w:left w:val="single" w:sz="4" w:space="0" w:color="auto"/>
              <w:bottom w:val="single" w:sz="4" w:space="0" w:color="auto"/>
            </w:tcBorders>
            <w:shd w:val="clear" w:color="auto" w:fill="C1E4F5" w:themeFill="accent1" w:themeFillTint="33"/>
            <w:noWrap/>
            <w:vAlign w:val="center"/>
          </w:tcPr>
          <w:p w14:paraId="1570D22A" w14:textId="77777777" w:rsidR="00281C3B" w:rsidRPr="00D633FF" w:rsidRDefault="00281C3B"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b/>
                <w:bCs/>
                <w:color w:val="000000"/>
                <w:kern w:val="0"/>
                <w:sz w:val="18"/>
                <w:szCs w:val="18"/>
                <w:lang w:eastAsia="en-AU"/>
                <w14:ligatures w14:val="none"/>
              </w:rPr>
              <w:t>Specific Populations</w:t>
            </w:r>
          </w:p>
        </w:tc>
        <w:tc>
          <w:tcPr>
            <w:tcW w:w="2551" w:type="dxa"/>
            <w:tcBorders>
              <w:top w:val="single" w:sz="4" w:space="0" w:color="auto"/>
              <w:bottom w:val="single" w:sz="4" w:space="0" w:color="auto"/>
            </w:tcBorders>
            <w:shd w:val="clear" w:color="auto" w:fill="C1E4F5" w:themeFill="accent1" w:themeFillTint="33"/>
            <w:vAlign w:val="center"/>
          </w:tcPr>
          <w:p w14:paraId="243B6369" w14:textId="77777777" w:rsidR="00281C3B" w:rsidRPr="00D633FF" w:rsidRDefault="00281C3B" w:rsidP="00EA0488">
            <w:pPr>
              <w:spacing w:after="0" w:line="240" w:lineRule="auto"/>
              <w:rPr>
                <w:rFonts w:ascii="Calibri" w:eastAsia="Times New Roman" w:hAnsi="Calibri" w:cs="Calibri"/>
                <w:color w:val="000000"/>
                <w:kern w:val="0"/>
                <w:sz w:val="18"/>
                <w:szCs w:val="18"/>
                <w:lang w:eastAsia="en-AU"/>
                <w14:ligatures w14:val="none"/>
              </w:rPr>
            </w:pPr>
          </w:p>
        </w:tc>
        <w:tc>
          <w:tcPr>
            <w:tcW w:w="1587" w:type="dxa"/>
            <w:tcBorders>
              <w:top w:val="single" w:sz="4" w:space="0" w:color="auto"/>
              <w:bottom w:val="single" w:sz="4" w:space="0" w:color="auto"/>
            </w:tcBorders>
            <w:shd w:val="clear" w:color="auto" w:fill="C1E4F5" w:themeFill="accent1" w:themeFillTint="33"/>
            <w:vAlign w:val="center"/>
          </w:tcPr>
          <w:p w14:paraId="156177EE" w14:textId="77777777" w:rsidR="00281C3B" w:rsidRPr="00D633FF" w:rsidRDefault="00281C3B" w:rsidP="00EA0488">
            <w:pPr>
              <w:spacing w:after="0" w:line="240" w:lineRule="auto"/>
              <w:rPr>
                <w:rFonts w:ascii="Calibri" w:eastAsia="Times New Roman" w:hAnsi="Calibri" w:cs="Calibri"/>
                <w:color w:val="000000"/>
                <w:kern w:val="0"/>
                <w:sz w:val="18"/>
                <w:szCs w:val="18"/>
                <w:lang w:eastAsia="en-AU"/>
                <w14:ligatures w14:val="none"/>
              </w:rPr>
            </w:pPr>
          </w:p>
        </w:tc>
        <w:tc>
          <w:tcPr>
            <w:tcW w:w="2661" w:type="dxa"/>
            <w:tcBorders>
              <w:top w:val="single" w:sz="4" w:space="0" w:color="auto"/>
              <w:bottom w:val="single" w:sz="4" w:space="0" w:color="auto"/>
            </w:tcBorders>
            <w:shd w:val="clear" w:color="auto" w:fill="C1E4F5" w:themeFill="accent1" w:themeFillTint="33"/>
            <w:vAlign w:val="center"/>
          </w:tcPr>
          <w:p w14:paraId="5742B58F" w14:textId="77777777" w:rsidR="00281C3B" w:rsidRPr="00D633FF" w:rsidRDefault="00281C3B" w:rsidP="00EA0488">
            <w:pPr>
              <w:spacing w:after="0" w:line="240" w:lineRule="auto"/>
              <w:rPr>
                <w:rFonts w:ascii="Calibri" w:eastAsia="Times New Roman" w:hAnsi="Calibri" w:cs="Calibri"/>
                <w:color w:val="000000"/>
                <w:kern w:val="0"/>
                <w:sz w:val="18"/>
                <w:szCs w:val="18"/>
                <w:lang w:eastAsia="en-AU"/>
                <w14:ligatures w14:val="none"/>
              </w:rPr>
            </w:pPr>
          </w:p>
        </w:tc>
        <w:tc>
          <w:tcPr>
            <w:tcW w:w="2551" w:type="dxa"/>
            <w:tcBorders>
              <w:top w:val="single" w:sz="4" w:space="0" w:color="auto"/>
              <w:bottom w:val="single" w:sz="4" w:space="0" w:color="auto"/>
              <w:right w:val="single" w:sz="4" w:space="0" w:color="auto"/>
            </w:tcBorders>
            <w:shd w:val="clear" w:color="auto" w:fill="C1E4F5" w:themeFill="accent1" w:themeFillTint="33"/>
            <w:vAlign w:val="center"/>
          </w:tcPr>
          <w:p w14:paraId="65194E29" w14:textId="244C1290" w:rsidR="00281C3B" w:rsidRPr="00D633FF" w:rsidRDefault="00281C3B" w:rsidP="00EA0488">
            <w:pPr>
              <w:spacing w:after="0" w:line="240" w:lineRule="auto"/>
              <w:rPr>
                <w:rFonts w:ascii="Calibri" w:eastAsia="Times New Roman" w:hAnsi="Calibri" w:cs="Calibri"/>
                <w:color w:val="000000"/>
                <w:kern w:val="0"/>
                <w:sz w:val="18"/>
                <w:szCs w:val="18"/>
                <w:lang w:eastAsia="en-AU"/>
                <w14:ligatures w14:val="none"/>
              </w:rPr>
            </w:pPr>
          </w:p>
        </w:tc>
      </w:tr>
      <w:tr w:rsidR="00124CB6" w:rsidRPr="00D633FF" w14:paraId="393E8A85" w14:textId="77777777" w:rsidTr="00281C3B">
        <w:trPr>
          <w:trHeight w:val="397"/>
        </w:trPr>
        <w:tc>
          <w:tcPr>
            <w:tcW w:w="3969" w:type="dxa"/>
            <w:tcBorders>
              <w:top w:val="single" w:sz="4" w:space="0" w:color="auto"/>
              <w:left w:val="single" w:sz="4" w:space="0" w:color="auto"/>
              <w:bottom w:val="dotted" w:sz="4" w:space="0" w:color="auto"/>
              <w:right w:val="single" w:sz="4" w:space="0" w:color="auto"/>
            </w:tcBorders>
            <w:noWrap/>
            <w:vAlign w:val="center"/>
          </w:tcPr>
          <w:p w14:paraId="5577C47B" w14:textId="78243D77" w:rsidR="00124CB6" w:rsidRPr="00D633FF" w:rsidRDefault="00124CB6"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Breastfed Infants (6-12 months)</w:t>
            </w:r>
          </w:p>
        </w:tc>
        <w:tc>
          <w:tcPr>
            <w:tcW w:w="2551" w:type="dxa"/>
            <w:tcBorders>
              <w:top w:val="single" w:sz="4" w:space="0" w:color="auto"/>
              <w:left w:val="single" w:sz="4" w:space="0" w:color="auto"/>
              <w:bottom w:val="dotted" w:sz="4" w:space="0" w:color="auto"/>
              <w:right w:val="single" w:sz="4" w:space="0" w:color="auto"/>
            </w:tcBorders>
            <w:vAlign w:val="center"/>
          </w:tcPr>
          <w:p w14:paraId="6EB99219" w14:textId="2156EE7A" w:rsidR="00124CB6" w:rsidRPr="00D633FF" w:rsidRDefault="00124CB6"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South Island, New Zealand</w:t>
            </w:r>
          </w:p>
        </w:tc>
        <w:tc>
          <w:tcPr>
            <w:tcW w:w="1587" w:type="dxa"/>
            <w:tcBorders>
              <w:top w:val="single" w:sz="4" w:space="0" w:color="auto"/>
              <w:left w:val="single" w:sz="4" w:space="0" w:color="auto"/>
              <w:bottom w:val="dotted" w:sz="4" w:space="0" w:color="auto"/>
              <w:right w:val="single" w:sz="4" w:space="0" w:color="auto"/>
            </w:tcBorders>
            <w:noWrap/>
            <w:vAlign w:val="center"/>
          </w:tcPr>
          <w:p w14:paraId="6026CD1B" w14:textId="1F0775B2" w:rsidR="00124CB6" w:rsidRPr="00D633FF" w:rsidRDefault="00124CB6"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22</w:t>
            </w:r>
          </w:p>
        </w:tc>
        <w:tc>
          <w:tcPr>
            <w:tcW w:w="2661" w:type="dxa"/>
            <w:tcBorders>
              <w:top w:val="single" w:sz="4" w:space="0" w:color="auto"/>
              <w:left w:val="single" w:sz="4" w:space="0" w:color="auto"/>
              <w:bottom w:val="dotted" w:sz="4" w:space="0" w:color="auto"/>
              <w:right w:val="single" w:sz="4" w:space="0" w:color="auto"/>
            </w:tcBorders>
            <w:noWrap/>
            <w:vAlign w:val="center"/>
          </w:tcPr>
          <w:p w14:paraId="06594390" w14:textId="77777777" w:rsidR="00124CB6" w:rsidRPr="00D633FF" w:rsidRDefault="00124CB6" w:rsidP="00A92E06">
            <w:pPr>
              <w:spacing w:after="0" w:line="276"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54.5 ± 21#</w:t>
            </w:r>
          </w:p>
          <w:p w14:paraId="4B9760BF" w14:textId="648E4D3D" w:rsidR="00124CB6" w:rsidRPr="00D633FF" w:rsidRDefault="00124CB6" w:rsidP="00A92E06">
            <w:pPr>
              <w:spacing w:after="0" w:line="276"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(0.69 ± 0.27 µmol/L)</w:t>
            </w:r>
          </w:p>
        </w:tc>
        <w:tc>
          <w:tcPr>
            <w:tcW w:w="2551" w:type="dxa"/>
            <w:tcBorders>
              <w:top w:val="single" w:sz="4" w:space="0" w:color="auto"/>
              <w:left w:val="single" w:sz="4" w:space="0" w:color="auto"/>
              <w:bottom w:val="dotted" w:sz="4" w:space="0" w:color="auto"/>
              <w:right w:val="single" w:sz="4" w:space="0" w:color="auto"/>
            </w:tcBorders>
            <w:noWrap/>
            <w:vAlign w:val="center"/>
          </w:tcPr>
          <w:p w14:paraId="5C1C0026" w14:textId="415CBBDB" w:rsidR="00124CB6" w:rsidRPr="00D633FF" w:rsidRDefault="00F41A14"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noProof/>
                <w:color w:val="000000"/>
                <w:kern w:val="0"/>
                <w:sz w:val="18"/>
                <w:szCs w:val="18"/>
                <w:lang w:eastAsia="en-AU"/>
                <w14:ligatures w14:val="none"/>
              </w:rPr>
              <w:t>McLachlan et al. (2004)</w:t>
            </w:r>
          </w:p>
        </w:tc>
      </w:tr>
      <w:tr w:rsidR="00124CB6" w:rsidRPr="00D633FF" w14:paraId="755DA822" w14:textId="77777777" w:rsidTr="00817A7A">
        <w:trPr>
          <w:trHeight w:val="397"/>
        </w:trPr>
        <w:tc>
          <w:tcPr>
            <w:tcW w:w="3969" w:type="dxa"/>
            <w:tcBorders>
              <w:top w:val="dotted" w:sz="4" w:space="0" w:color="auto"/>
              <w:left w:val="single" w:sz="4" w:space="0" w:color="auto"/>
              <w:bottom w:val="dotted" w:sz="4" w:space="0" w:color="auto"/>
              <w:right w:val="single" w:sz="4" w:space="0" w:color="auto"/>
            </w:tcBorders>
            <w:noWrap/>
            <w:vAlign w:val="center"/>
          </w:tcPr>
          <w:p w14:paraId="2955EEE4" w14:textId="36AA6DC6" w:rsidR="00124CB6" w:rsidRPr="00D633FF" w:rsidRDefault="00124CB6"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Non-breast-fed Toddlers (12-24 months)</w:t>
            </w:r>
          </w:p>
        </w:tc>
        <w:tc>
          <w:tcPr>
            <w:tcW w:w="2551" w:type="dxa"/>
            <w:tcBorders>
              <w:top w:val="dotted" w:sz="4" w:space="0" w:color="auto"/>
              <w:left w:val="single" w:sz="4" w:space="0" w:color="auto"/>
              <w:bottom w:val="dotted" w:sz="4" w:space="0" w:color="auto"/>
              <w:right w:val="single" w:sz="4" w:space="0" w:color="auto"/>
            </w:tcBorders>
            <w:vAlign w:val="center"/>
          </w:tcPr>
          <w:p w14:paraId="60BA72CC" w14:textId="5688FFC2" w:rsidR="00124CB6" w:rsidRPr="00D633FF" w:rsidRDefault="00124CB6"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South Island, New Zealand</w:t>
            </w:r>
          </w:p>
        </w:tc>
        <w:tc>
          <w:tcPr>
            <w:tcW w:w="1587" w:type="dxa"/>
            <w:tcBorders>
              <w:top w:val="dotted" w:sz="4" w:space="0" w:color="auto"/>
              <w:left w:val="single" w:sz="4" w:space="0" w:color="auto"/>
              <w:bottom w:val="dotted" w:sz="4" w:space="0" w:color="auto"/>
              <w:right w:val="single" w:sz="4" w:space="0" w:color="auto"/>
            </w:tcBorders>
            <w:noWrap/>
            <w:vAlign w:val="center"/>
          </w:tcPr>
          <w:p w14:paraId="6BD2F15F" w14:textId="60C8A74A" w:rsidR="00124CB6" w:rsidRPr="00D633FF" w:rsidRDefault="00124CB6"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91</w:t>
            </w:r>
          </w:p>
        </w:tc>
        <w:tc>
          <w:tcPr>
            <w:tcW w:w="2661" w:type="dxa"/>
            <w:tcBorders>
              <w:top w:val="dotted" w:sz="4" w:space="0" w:color="auto"/>
              <w:left w:val="single" w:sz="4" w:space="0" w:color="auto"/>
              <w:bottom w:val="dotted" w:sz="4" w:space="0" w:color="auto"/>
              <w:right w:val="single" w:sz="4" w:space="0" w:color="auto"/>
            </w:tcBorders>
            <w:noWrap/>
            <w:vAlign w:val="center"/>
          </w:tcPr>
          <w:p w14:paraId="3A99A77B" w14:textId="77777777" w:rsidR="00124CB6" w:rsidRPr="00D633FF" w:rsidRDefault="00124CB6" w:rsidP="00A92E06">
            <w:pPr>
              <w:spacing w:after="0" w:line="276"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45.0 ± 13.4#</w:t>
            </w:r>
          </w:p>
          <w:p w14:paraId="1682AD9E" w14:textId="14F573C5" w:rsidR="00124CB6" w:rsidRPr="00D633FF" w:rsidRDefault="00124CB6" w:rsidP="00A92E06">
            <w:pPr>
              <w:spacing w:after="0" w:line="276"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(0.57 ± 0.17 µmol/L)</w:t>
            </w:r>
          </w:p>
        </w:tc>
        <w:tc>
          <w:tcPr>
            <w:tcW w:w="2551" w:type="dxa"/>
            <w:tcBorders>
              <w:top w:val="dotted" w:sz="4" w:space="0" w:color="auto"/>
              <w:left w:val="single" w:sz="4" w:space="0" w:color="auto"/>
              <w:bottom w:val="dotted" w:sz="4" w:space="0" w:color="auto"/>
              <w:right w:val="single" w:sz="4" w:space="0" w:color="auto"/>
            </w:tcBorders>
            <w:noWrap/>
            <w:vAlign w:val="center"/>
          </w:tcPr>
          <w:p w14:paraId="1AD4EB90" w14:textId="7E096510" w:rsidR="00124CB6" w:rsidRPr="00D633FF" w:rsidRDefault="00F41A14"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noProof/>
                <w:color w:val="000000"/>
                <w:kern w:val="0"/>
                <w:sz w:val="18"/>
                <w:szCs w:val="18"/>
                <w:lang w:eastAsia="en-AU"/>
                <w14:ligatures w14:val="none"/>
              </w:rPr>
              <w:t>McLachlan et al. (2004)</w:t>
            </w:r>
          </w:p>
        </w:tc>
      </w:tr>
      <w:tr w:rsidR="00124CB6" w:rsidRPr="00D633FF" w14:paraId="7FABD5CC" w14:textId="77777777" w:rsidTr="00817A7A">
        <w:trPr>
          <w:trHeight w:val="397"/>
        </w:trPr>
        <w:tc>
          <w:tcPr>
            <w:tcW w:w="3969" w:type="dxa"/>
            <w:tcBorders>
              <w:top w:val="dotted" w:sz="4" w:space="0" w:color="auto"/>
              <w:left w:val="single" w:sz="4" w:space="0" w:color="auto"/>
              <w:bottom w:val="dotted" w:sz="4" w:space="0" w:color="auto"/>
              <w:right w:val="single" w:sz="4" w:space="0" w:color="auto"/>
            </w:tcBorders>
            <w:noWrap/>
            <w:vAlign w:val="center"/>
          </w:tcPr>
          <w:p w14:paraId="21EC1860" w14:textId="7E34AAA3" w:rsidR="00124CB6" w:rsidRPr="00D633FF" w:rsidRDefault="00124CB6"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Toddlers (12 months)</w:t>
            </w:r>
          </w:p>
        </w:tc>
        <w:tc>
          <w:tcPr>
            <w:tcW w:w="2551" w:type="dxa"/>
            <w:tcBorders>
              <w:top w:val="dotted" w:sz="4" w:space="0" w:color="auto"/>
              <w:left w:val="single" w:sz="4" w:space="0" w:color="auto"/>
              <w:bottom w:val="dotted" w:sz="4" w:space="0" w:color="auto"/>
              <w:right w:val="single" w:sz="4" w:space="0" w:color="auto"/>
            </w:tcBorders>
            <w:vAlign w:val="center"/>
          </w:tcPr>
          <w:p w14:paraId="796FDD2F" w14:textId="458329DF" w:rsidR="00124CB6" w:rsidRPr="00D633FF" w:rsidRDefault="00124CB6"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New Zealand</w:t>
            </w:r>
          </w:p>
        </w:tc>
        <w:tc>
          <w:tcPr>
            <w:tcW w:w="1587" w:type="dxa"/>
            <w:tcBorders>
              <w:top w:val="dotted" w:sz="4" w:space="0" w:color="auto"/>
              <w:left w:val="single" w:sz="4" w:space="0" w:color="auto"/>
              <w:bottom w:val="dotted" w:sz="4" w:space="0" w:color="auto"/>
              <w:right w:val="single" w:sz="4" w:space="0" w:color="auto"/>
            </w:tcBorders>
            <w:noWrap/>
            <w:vAlign w:val="center"/>
          </w:tcPr>
          <w:p w14:paraId="53854AC2" w14:textId="53EA3730" w:rsidR="00124CB6" w:rsidRPr="00D633FF" w:rsidRDefault="00124CB6"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51</w:t>
            </w:r>
          </w:p>
        </w:tc>
        <w:tc>
          <w:tcPr>
            <w:tcW w:w="2661" w:type="dxa"/>
            <w:tcBorders>
              <w:top w:val="dotted" w:sz="4" w:space="0" w:color="auto"/>
              <w:left w:val="single" w:sz="4" w:space="0" w:color="auto"/>
              <w:bottom w:val="dotted" w:sz="4" w:space="0" w:color="auto"/>
              <w:right w:val="single" w:sz="4" w:space="0" w:color="auto"/>
            </w:tcBorders>
            <w:noWrap/>
            <w:vAlign w:val="center"/>
          </w:tcPr>
          <w:p w14:paraId="14DE6627" w14:textId="77777777" w:rsidR="00124CB6" w:rsidRPr="00D633FF" w:rsidRDefault="00124CB6" w:rsidP="00A92E06">
            <w:pPr>
              <w:spacing w:after="0" w:line="276"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64.0 ± 13.4#</w:t>
            </w:r>
          </w:p>
          <w:p w14:paraId="3B91E9E4" w14:textId="256B8013" w:rsidR="00124CB6" w:rsidRPr="00D633FF" w:rsidRDefault="00124CB6" w:rsidP="00A92E06">
            <w:pPr>
              <w:spacing w:after="0" w:line="276"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(0.81 ± 0.17 µmol/L)</w:t>
            </w:r>
          </w:p>
        </w:tc>
        <w:tc>
          <w:tcPr>
            <w:tcW w:w="2551" w:type="dxa"/>
            <w:tcBorders>
              <w:top w:val="dotted" w:sz="4" w:space="0" w:color="auto"/>
              <w:left w:val="single" w:sz="4" w:space="0" w:color="auto"/>
              <w:bottom w:val="dotted" w:sz="4" w:space="0" w:color="auto"/>
              <w:right w:val="single" w:sz="4" w:space="0" w:color="auto"/>
            </w:tcBorders>
            <w:noWrap/>
            <w:vAlign w:val="center"/>
          </w:tcPr>
          <w:p w14:paraId="49488F3C" w14:textId="58E162A0" w:rsidR="00124CB6" w:rsidRPr="00D633FF" w:rsidRDefault="00F41A14"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noProof/>
                <w:color w:val="000000"/>
                <w:kern w:val="0"/>
                <w:sz w:val="18"/>
                <w:szCs w:val="18"/>
                <w:lang w:eastAsia="en-AU"/>
                <w14:ligatures w14:val="none"/>
              </w:rPr>
              <w:t>Daniels et al. (2023)</w:t>
            </w:r>
          </w:p>
        </w:tc>
      </w:tr>
      <w:tr w:rsidR="00124CB6" w:rsidRPr="00D633FF" w14:paraId="1418F42A" w14:textId="77777777" w:rsidTr="00817A7A">
        <w:trPr>
          <w:trHeight w:val="397"/>
        </w:trPr>
        <w:tc>
          <w:tcPr>
            <w:tcW w:w="3969" w:type="dxa"/>
            <w:tcBorders>
              <w:top w:val="dotted" w:sz="4" w:space="0" w:color="auto"/>
              <w:left w:val="single" w:sz="4" w:space="0" w:color="auto"/>
              <w:bottom w:val="dotted" w:sz="4" w:space="0" w:color="auto"/>
              <w:right w:val="single" w:sz="4" w:space="0" w:color="auto"/>
            </w:tcBorders>
            <w:noWrap/>
            <w:vAlign w:val="center"/>
            <w:hideMark/>
          </w:tcPr>
          <w:p w14:paraId="4F356F9A" w14:textId="77777777" w:rsidR="00124CB6" w:rsidRPr="00D633FF" w:rsidRDefault="00124CB6"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Children (5-14 years)</w:t>
            </w:r>
          </w:p>
        </w:tc>
        <w:tc>
          <w:tcPr>
            <w:tcW w:w="2551" w:type="dxa"/>
            <w:tcBorders>
              <w:top w:val="dotted" w:sz="4" w:space="0" w:color="auto"/>
              <w:left w:val="single" w:sz="4" w:space="0" w:color="auto"/>
              <w:bottom w:val="dotted" w:sz="4" w:space="0" w:color="auto"/>
              <w:right w:val="single" w:sz="4" w:space="0" w:color="auto"/>
            </w:tcBorders>
            <w:vAlign w:val="center"/>
            <w:hideMark/>
          </w:tcPr>
          <w:p w14:paraId="50074847" w14:textId="77777777" w:rsidR="00124CB6" w:rsidRPr="00D633FF" w:rsidRDefault="00124CB6"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New Zealand</w:t>
            </w:r>
          </w:p>
        </w:tc>
        <w:tc>
          <w:tcPr>
            <w:tcW w:w="1587" w:type="dxa"/>
            <w:tcBorders>
              <w:top w:val="dotted" w:sz="4" w:space="0" w:color="auto"/>
              <w:left w:val="single" w:sz="4" w:space="0" w:color="auto"/>
              <w:bottom w:val="dotted" w:sz="4" w:space="0" w:color="auto"/>
              <w:right w:val="single" w:sz="4" w:space="0" w:color="auto"/>
            </w:tcBorders>
            <w:noWrap/>
            <w:vAlign w:val="center"/>
            <w:hideMark/>
          </w:tcPr>
          <w:p w14:paraId="426CBAC3" w14:textId="77777777" w:rsidR="00124CB6" w:rsidRPr="00D633FF" w:rsidRDefault="00124CB6"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1547</w:t>
            </w:r>
          </w:p>
        </w:tc>
        <w:tc>
          <w:tcPr>
            <w:tcW w:w="2661" w:type="dxa"/>
            <w:tcBorders>
              <w:top w:val="dotted" w:sz="4" w:space="0" w:color="auto"/>
              <w:left w:val="single" w:sz="4" w:space="0" w:color="auto"/>
              <w:bottom w:val="dotted" w:sz="4" w:space="0" w:color="auto"/>
              <w:right w:val="single" w:sz="4" w:space="0" w:color="auto"/>
            </w:tcBorders>
            <w:noWrap/>
            <w:vAlign w:val="center"/>
            <w:hideMark/>
          </w:tcPr>
          <w:p w14:paraId="68557C4E" w14:textId="77777777" w:rsidR="00B60A38" w:rsidRPr="00D633FF" w:rsidRDefault="00124CB6" w:rsidP="00A92E06">
            <w:pPr>
              <w:spacing w:after="0" w:line="276" w:lineRule="auto"/>
              <w:rPr>
                <w:rFonts w:ascii="Calibri" w:eastAsia="Times New Roman" w:hAnsi="Calibri" w:cs="Calibri"/>
                <w:i/>
                <w:iCs/>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75.8</w:t>
            </w:r>
            <w:r w:rsidRPr="00D633FF">
              <w:rPr>
                <w:rFonts w:ascii="Calibri" w:eastAsia="Times New Roman" w:hAnsi="Calibri" w:cs="Calibri"/>
                <w:i/>
                <w:iCs/>
                <w:color w:val="000000"/>
                <w:kern w:val="0"/>
                <w:sz w:val="18"/>
                <w:szCs w:val="18"/>
                <w:lang w:eastAsia="en-AU"/>
                <w14:ligatures w14:val="none"/>
              </w:rPr>
              <w:t>#</w:t>
            </w:r>
          </w:p>
          <w:p w14:paraId="6045A50D" w14:textId="3A06C35F" w:rsidR="00124CB6" w:rsidRPr="00D633FF" w:rsidRDefault="00124CB6" w:rsidP="00A92E06">
            <w:pPr>
              <w:spacing w:after="0" w:line="276" w:lineRule="auto"/>
              <w:rPr>
                <w:rFonts w:ascii="Calibri" w:eastAsia="Times New Roman" w:hAnsi="Calibri" w:cs="Calibri"/>
                <w:i/>
                <w:iCs/>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(0.96 µmol/L)</w:t>
            </w:r>
          </w:p>
        </w:tc>
        <w:tc>
          <w:tcPr>
            <w:tcW w:w="2551" w:type="dxa"/>
            <w:tcBorders>
              <w:top w:val="dotted" w:sz="4" w:space="0" w:color="auto"/>
              <w:left w:val="single" w:sz="4" w:space="0" w:color="auto"/>
              <w:bottom w:val="dotted" w:sz="4" w:space="0" w:color="auto"/>
              <w:right w:val="single" w:sz="4" w:space="0" w:color="auto"/>
            </w:tcBorders>
            <w:noWrap/>
            <w:vAlign w:val="center"/>
            <w:hideMark/>
          </w:tcPr>
          <w:p w14:paraId="424960F2" w14:textId="7410D8B4" w:rsidR="00124CB6" w:rsidRPr="00D633FF" w:rsidRDefault="00F41A14"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noProof/>
                <w:color w:val="000000"/>
                <w:kern w:val="0"/>
                <w:sz w:val="18"/>
                <w:szCs w:val="18"/>
                <w:lang w:eastAsia="en-AU"/>
                <w14:ligatures w14:val="none"/>
              </w:rPr>
              <w:t>Thomson et al. (2007)</w:t>
            </w:r>
          </w:p>
        </w:tc>
      </w:tr>
      <w:tr w:rsidR="00124CB6" w:rsidRPr="00D633FF" w14:paraId="77FAD6D2" w14:textId="77777777" w:rsidTr="00817A7A">
        <w:trPr>
          <w:trHeight w:val="397"/>
        </w:trPr>
        <w:tc>
          <w:tcPr>
            <w:tcW w:w="3969" w:type="dxa"/>
            <w:tcBorders>
              <w:top w:val="dotted" w:sz="4" w:space="0" w:color="auto"/>
              <w:left w:val="single" w:sz="4" w:space="0" w:color="auto"/>
              <w:bottom w:val="dotted" w:sz="4" w:space="0" w:color="auto"/>
              <w:right w:val="single" w:sz="4" w:space="0" w:color="auto"/>
            </w:tcBorders>
            <w:noWrap/>
            <w:vAlign w:val="center"/>
            <w:hideMark/>
          </w:tcPr>
          <w:p w14:paraId="1C5BB757" w14:textId="77777777" w:rsidR="00124CB6" w:rsidRPr="00D633FF" w:rsidRDefault="00124CB6"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Māori Children (5-14 years)</w:t>
            </w:r>
          </w:p>
        </w:tc>
        <w:tc>
          <w:tcPr>
            <w:tcW w:w="2551" w:type="dxa"/>
            <w:tcBorders>
              <w:top w:val="dotted" w:sz="4" w:space="0" w:color="auto"/>
              <w:left w:val="single" w:sz="4" w:space="0" w:color="auto"/>
              <w:bottom w:val="dotted" w:sz="4" w:space="0" w:color="auto"/>
              <w:right w:val="single" w:sz="4" w:space="0" w:color="auto"/>
            </w:tcBorders>
            <w:vAlign w:val="center"/>
            <w:hideMark/>
          </w:tcPr>
          <w:p w14:paraId="05955468" w14:textId="77777777" w:rsidR="00124CB6" w:rsidRPr="00D633FF" w:rsidRDefault="00124CB6"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New Zealand</w:t>
            </w:r>
          </w:p>
        </w:tc>
        <w:tc>
          <w:tcPr>
            <w:tcW w:w="1587" w:type="dxa"/>
            <w:tcBorders>
              <w:top w:val="dotted" w:sz="4" w:space="0" w:color="auto"/>
              <w:left w:val="single" w:sz="4" w:space="0" w:color="auto"/>
              <w:bottom w:val="dotted" w:sz="4" w:space="0" w:color="auto"/>
              <w:right w:val="single" w:sz="4" w:space="0" w:color="auto"/>
            </w:tcBorders>
            <w:noWrap/>
            <w:vAlign w:val="center"/>
            <w:hideMark/>
          </w:tcPr>
          <w:p w14:paraId="4CD3DE6A" w14:textId="77777777" w:rsidR="00124CB6" w:rsidRPr="00D633FF" w:rsidRDefault="00124CB6"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444</w:t>
            </w:r>
          </w:p>
        </w:tc>
        <w:tc>
          <w:tcPr>
            <w:tcW w:w="2661" w:type="dxa"/>
            <w:tcBorders>
              <w:top w:val="dotted" w:sz="4" w:space="0" w:color="auto"/>
              <w:left w:val="single" w:sz="4" w:space="0" w:color="auto"/>
              <w:bottom w:val="dotted" w:sz="4" w:space="0" w:color="auto"/>
              <w:right w:val="single" w:sz="4" w:space="0" w:color="auto"/>
            </w:tcBorders>
            <w:noWrap/>
            <w:vAlign w:val="center"/>
            <w:hideMark/>
          </w:tcPr>
          <w:p w14:paraId="26057718" w14:textId="77777777" w:rsidR="00B60A38" w:rsidRPr="00D633FF" w:rsidRDefault="00124CB6" w:rsidP="00A92E06">
            <w:pPr>
              <w:spacing w:after="0" w:line="276"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75.8#</w:t>
            </w:r>
            <w:r w:rsidR="007743D8" w:rsidRPr="00D633FF">
              <w:rPr>
                <w:rFonts w:ascii="Calibri" w:eastAsia="Times New Roman" w:hAnsi="Calibri" w:cs="Calibri"/>
                <w:color w:val="000000"/>
                <w:kern w:val="0"/>
                <w:sz w:val="18"/>
                <w:szCs w:val="18"/>
                <w:lang w:eastAsia="en-AU"/>
                <w14:ligatures w14:val="none"/>
              </w:rPr>
              <w:t xml:space="preserve"> </w:t>
            </w:r>
          </w:p>
          <w:p w14:paraId="77087108" w14:textId="7E267FE5" w:rsidR="00124CB6" w:rsidRPr="00D633FF" w:rsidRDefault="00124CB6" w:rsidP="00A92E06">
            <w:pPr>
              <w:spacing w:after="0" w:line="276"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(0.96 µmol/L)</w:t>
            </w:r>
          </w:p>
        </w:tc>
        <w:tc>
          <w:tcPr>
            <w:tcW w:w="2551" w:type="dxa"/>
            <w:tcBorders>
              <w:top w:val="dotted" w:sz="4" w:space="0" w:color="auto"/>
              <w:left w:val="single" w:sz="4" w:space="0" w:color="auto"/>
              <w:bottom w:val="dotted" w:sz="4" w:space="0" w:color="auto"/>
              <w:right w:val="single" w:sz="4" w:space="0" w:color="auto"/>
            </w:tcBorders>
            <w:noWrap/>
            <w:vAlign w:val="center"/>
            <w:hideMark/>
          </w:tcPr>
          <w:p w14:paraId="07558C7A" w14:textId="1FCB5C62" w:rsidR="00124CB6" w:rsidRPr="00D633FF" w:rsidRDefault="00F41A14"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noProof/>
                <w:color w:val="000000"/>
                <w:kern w:val="0"/>
                <w:sz w:val="18"/>
                <w:szCs w:val="18"/>
                <w:lang w:eastAsia="en-AU"/>
                <w14:ligatures w14:val="none"/>
              </w:rPr>
              <w:t>Thomson et al. (2007)</w:t>
            </w:r>
          </w:p>
        </w:tc>
      </w:tr>
      <w:tr w:rsidR="00124CB6" w:rsidRPr="00D633FF" w14:paraId="2B57276B" w14:textId="77777777" w:rsidTr="00817A7A">
        <w:trPr>
          <w:trHeight w:val="397"/>
        </w:trPr>
        <w:tc>
          <w:tcPr>
            <w:tcW w:w="3969" w:type="dxa"/>
            <w:tcBorders>
              <w:top w:val="dotted" w:sz="4" w:space="0" w:color="auto"/>
              <w:left w:val="single" w:sz="4" w:space="0" w:color="auto"/>
              <w:bottom w:val="dotted" w:sz="4" w:space="0" w:color="auto"/>
              <w:right w:val="single" w:sz="4" w:space="0" w:color="auto"/>
            </w:tcBorders>
            <w:noWrap/>
            <w:vAlign w:val="center"/>
            <w:hideMark/>
          </w:tcPr>
          <w:p w14:paraId="6D102076" w14:textId="77777777" w:rsidR="00124CB6" w:rsidRPr="00D633FF" w:rsidRDefault="00124CB6"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Pasifika Children (5-14 years)</w:t>
            </w:r>
          </w:p>
        </w:tc>
        <w:tc>
          <w:tcPr>
            <w:tcW w:w="2551" w:type="dxa"/>
            <w:tcBorders>
              <w:top w:val="dotted" w:sz="4" w:space="0" w:color="auto"/>
              <w:left w:val="single" w:sz="4" w:space="0" w:color="auto"/>
              <w:bottom w:val="dotted" w:sz="4" w:space="0" w:color="auto"/>
              <w:right w:val="single" w:sz="4" w:space="0" w:color="auto"/>
            </w:tcBorders>
            <w:vAlign w:val="center"/>
            <w:hideMark/>
          </w:tcPr>
          <w:p w14:paraId="1EBA378B" w14:textId="77777777" w:rsidR="00124CB6" w:rsidRPr="00D633FF" w:rsidRDefault="00124CB6"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New Zealand</w:t>
            </w:r>
          </w:p>
        </w:tc>
        <w:tc>
          <w:tcPr>
            <w:tcW w:w="1587" w:type="dxa"/>
            <w:tcBorders>
              <w:top w:val="dotted" w:sz="4" w:space="0" w:color="auto"/>
              <w:left w:val="single" w:sz="4" w:space="0" w:color="auto"/>
              <w:bottom w:val="dotted" w:sz="4" w:space="0" w:color="auto"/>
              <w:right w:val="single" w:sz="4" w:space="0" w:color="auto"/>
            </w:tcBorders>
            <w:noWrap/>
            <w:vAlign w:val="center"/>
            <w:hideMark/>
          </w:tcPr>
          <w:p w14:paraId="68F19FE4" w14:textId="77777777" w:rsidR="00124CB6" w:rsidRPr="00D633FF" w:rsidRDefault="00124CB6"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652</w:t>
            </w:r>
          </w:p>
        </w:tc>
        <w:tc>
          <w:tcPr>
            <w:tcW w:w="2661" w:type="dxa"/>
            <w:tcBorders>
              <w:top w:val="dotted" w:sz="4" w:space="0" w:color="auto"/>
              <w:left w:val="single" w:sz="4" w:space="0" w:color="auto"/>
              <w:bottom w:val="dotted" w:sz="4" w:space="0" w:color="auto"/>
              <w:right w:val="single" w:sz="4" w:space="0" w:color="auto"/>
            </w:tcBorders>
            <w:noWrap/>
            <w:vAlign w:val="center"/>
            <w:hideMark/>
          </w:tcPr>
          <w:p w14:paraId="5CB7BE93" w14:textId="77777777" w:rsidR="00B60A38" w:rsidRPr="00D633FF" w:rsidRDefault="00124CB6" w:rsidP="00A92E06">
            <w:pPr>
              <w:spacing w:after="0" w:line="276"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81.3#</w:t>
            </w:r>
            <w:r w:rsidR="007743D8" w:rsidRPr="00D633FF">
              <w:rPr>
                <w:rFonts w:ascii="Calibri" w:eastAsia="Times New Roman" w:hAnsi="Calibri" w:cs="Calibri"/>
                <w:color w:val="000000"/>
                <w:kern w:val="0"/>
                <w:sz w:val="18"/>
                <w:szCs w:val="18"/>
                <w:lang w:eastAsia="en-AU"/>
                <w14:ligatures w14:val="none"/>
              </w:rPr>
              <w:t xml:space="preserve"> </w:t>
            </w:r>
          </w:p>
          <w:p w14:paraId="188FEA36" w14:textId="088B2283" w:rsidR="00124CB6" w:rsidRPr="00D633FF" w:rsidRDefault="00124CB6" w:rsidP="00A92E06">
            <w:pPr>
              <w:spacing w:after="0" w:line="276"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(1.03 µmol/L)</w:t>
            </w:r>
          </w:p>
        </w:tc>
        <w:tc>
          <w:tcPr>
            <w:tcW w:w="2551" w:type="dxa"/>
            <w:tcBorders>
              <w:top w:val="dotted" w:sz="4" w:space="0" w:color="auto"/>
              <w:left w:val="single" w:sz="4" w:space="0" w:color="auto"/>
              <w:bottom w:val="dotted" w:sz="4" w:space="0" w:color="auto"/>
              <w:right w:val="single" w:sz="4" w:space="0" w:color="auto"/>
            </w:tcBorders>
            <w:noWrap/>
            <w:vAlign w:val="center"/>
            <w:hideMark/>
          </w:tcPr>
          <w:p w14:paraId="298340BC" w14:textId="521A1069" w:rsidR="00124CB6" w:rsidRPr="00D633FF" w:rsidRDefault="00F41A14"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noProof/>
                <w:color w:val="000000"/>
                <w:kern w:val="0"/>
                <w:sz w:val="18"/>
                <w:szCs w:val="18"/>
                <w:lang w:eastAsia="en-AU"/>
                <w14:ligatures w14:val="none"/>
              </w:rPr>
              <w:t>Thomson et al. (2007)</w:t>
            </w:r>
          </w:p>
        </w:tc>
      </w:tr>
      <w:tr w:rsidR="00124CB6" w:rsidRPr="00D633FF" w14:paraId="4C22C8CE" w14:textId="77777777" w:rsidTr="00817A7A">
        <w:trPr>
          <w:trHeight w:val="397"/>
        </w:trPr>
        <w:tc>
          <w:tcPr>
            <w:tcW w:w="3969" w:type="dxa"/>
            <w:tcBorders>
              <w:top w:val="dotted" w:sz="4" w:space="0" w:color="auto"/>
              <w:left w:val="single" w:sz="4" w:space="0" w:color="auto"/>
              <w:bottom w:val="dotted" w:sz="4" w:space="0" w:color="auto"/>
              <w:right w:val="single" w:sz="4" w:space="0" w:color="auto"/>
            </w:tcBorders>
            <w:vAlign w:val="center"/>
            <w:hideMark/>
          </w:tcPr>
          <w:p w14:paraId="498FF369" w14:textId="77777777" w:rsidR="00124CB6" w:rsidRPr="00D633FF" w:rsidRDefault="00124CB6"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New Zealand European Children (5-14 years)</w:t>
            </w:r>
          </w:p>
        </w:tc>
        <w:tc>
          <w:tcPr>
            <w:tcW w:w="2551" w:type="dxa"/>
            <w:tcBorders>
              <w:top w:val="dotted" w:sz="4" w:space="0" w:color="auto"/>
              <w:left w:val="single" w:sz="4" w:space="0" w:color="auto"/>
              <w:bottom w:val="dotted" w:sz="4" w:space="0" w:color="auto"/>
              <w:right w:val="single" w:sz="4" w:space="0" w:color="auto"/>
            </w:tcBorders>
            <w:vAlign w:val="center"/>
            <w:hideMark/>
          </w:tcPr>
          <w:p w14:paraId="3279DE2F" w14:textId="77777777" w:rsidR="00124CB6" w:rsidRPr="00D633FF" w:rsidRDefault="00124CB6"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New Zealand</w:t>
            </w:r>
          </w:p>
        </w:tc>
        <w:tc>
          <w:tcPr>
            <w:tcW w:w="1587" w:type="dxa"/>
            <w:tcBorders>
              <w:top w:val="dotted" w:sz="4" w:space="0" w:color="auto"/>
              <w:left w:val="single" w:sz="4" w:space="0" w:color="auto"/>
              <w:bottom w:val="dotted" w:sz="4" w:space="0" w:color="auto"/>
              <w:right w:val="single" w:sz="4" w:space="0" w:color="auto"/>
            </w:tcBorders>
            <w:noWrap/>
            <w:vAlign w:val="center"/>
            <w:hideMark/>
          </w:tcPr>
          <w:p w14:paraId="084D7F27" w14:textId="77777777" w:rsidR="00124CB6" w:rsidRPr="00D633FF" w:rsidRDefault="00124CB6"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451</w:t>
            </w:r>
          </w:p>
        </w:tc>
        <w:tc>
          <w:tcPr>
            <w:tcW w:w="2661" w:type="dxa"/>
            <w:tcBorders>
              <w:top w:val="dotted" w:sz="4" w:space="0" w:color="auto"/>
              <w:left w:val="single" w:sz="4" w:space="0" w:color="auto"/>
              <w:bottom w:val="dotted" w:sz="4" w:space="0" w:color="auto"/>
              <w:right w:val="single" w:sz="4" w:space="0" w:color="auto"/>
            </w:tcBorders>
            <w:noWrap/>
            <w:vAlign w:val="center"/>
            <w:hideMark/>
          </w:tcPr>
          <w:p w14:paraId="7D9D50E0" w14:textId="77777777" w:rsidR="00B60A38" w:rsidRPr="00D633FF" w:rsidRDefault="00124CB6" w:rsidP="00A92E06">
            <w:pPr>
              <w:spacing w:after="0" w:line="276"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75.0#</w:t>
            </w:r>
            <w:r w:rsidR="007743D8" w:rsidRPr="00D633FF">
              <w:rPr>
                <w:rFonts w:ascii="Calibri" w:eastAsia="Times New Roman" w:hAnsi="Calibri" w:cs="Calibri"/>
                <w:color w:val="000000"/>
                <w:kern w:val="0"/>
                <w:sz w:val="18"/>
                <w:szCs w:val="18"/>
                <w:lang w:eastAsia="en-AU"/>
                <w14:ligatures w14:val="none"/>
              </w:rPr>
              <w:t xml:space="preserve"> </w:t>
            </w:r>
          </w:p>
          <w:p w14:paraId="2013B8FC" w14:textId="71379D60" w:rsidR="00124CB6" w:rsidRPr="00D633FF" w:rsidRDefault="00124CB6" w:rsidP="00A92E06">
            <w:pPr>
              <w:spacing w:after="0" w:line="276"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(0.95 µmol/L)</w:t>
            </w:r>
          </w:p>
        </w:tc>
        <w:tc>
          <w:tcPr>
            <w:tcW w:w="2551" w:type="dxa"/>
            <w:tcBorders>
              <w:top w:val="dotted" w:sz="4" w:space="0" w:color="auto"/>
              <w:left w:val="single" w:sz="4" w:space="0" w:color="auto"/>
              <w:bottom w:val="dotted" w:sz="4" w:space="0" w:color="auto"/>
              <w:right w:val="single" w:sz="4" w:space="0" w:color="auto"/>
            </w:tcBorders>
            <w:noWrap/>
            <w:vAlign w:val="center"/>
            <w:hideMark/>
          </w:tcPr>
          <w:p w14:paraId="05489257" w14:textId="26948957" w:rsidR="00124CB6" w:rsidRPr="00D633FF" w:rsidRDefault="00F41A14"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noProof/>
                <w:color w:val="000000"/>
                <w:kern w:val="0"/>
                <w:sz w:val="18"/>
                <w:szCs w:val="18"/>
                <w:lang w:eastAsia="en-AU"/>
                <w14:ligatures w14:val="none"/>
              </w:rPr>
              <w:t>Thomson et al. (2007)</w:t>
            </w:r>
          </w:p>
        </w:tc>
      </w:tr>
      <w:tr w:rsidR="00124CB6" w:rsidRPr="00D633FF" w14:paraId="3897598D" w14:textId="77777777" w:rsidTr="00817A7A">
        <w:trPr>
          <w:trHeight w:val="397"/>
        </w:trPr>
        <w:tc>
          <w:tcPr>
            <w:tcW w:w="3969" w:type="dxa"/>
            <w:tcBorders>
              <w:top w:val="dotted" w:sz="4" w:space="0" w:color="auto"/>
              <w:left w:val="single" w:sz="4" w:space="0" w:color="auto"/>
              <w:bottom w:val="dotted" w:sz="4" w:space="0" w:color="auto"/>
              <w:right w:val="single" w:sz="4" w:space="0" w:color="auto"/>
            </w:tcBorders>
            <w:vAlign w:val="center"/>
            <w:hideMark/>
          </w:tcPr>
          <w:p w14:paraId="177B1859" w14:textId="3F920765" w:rsidR="00124CB6" w:rsidRPr="00D633FF" w:rsidRDefault="00E958CC"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Pregnant Women</w:t>
            </w:r>
            <w:r w:rsidR="004A0FA5" w:rsidRPr="00D633FF">
              <w:rPr>
                <w:rFonts w:ascii="Calibri" w:eastAsia="Times New Roman" w:hAnsi="Calibri" w:cs="Calibri"/>
                <w:color w:val="000000"/>
                <w:kern w:val="0"/>
                <w:sz w:val="18"/>
                <w:szCs w:val="18"/>
                <w:lang w:eastAsia="en-AU"/>
                <w14:ligatures w14:val="none"/>
              </w:rPr>
              <w:t xml:space="preserve"> (including those who are also breastfeeding)</w:t>
            </w:r>
          </w:p>
        </w:tc>
        <w:tc>
          <w:tcPr>
            <w:tcW w:w="2551" w:type="dxa"/>
            <w:tcBorders>
              <w:top w:val="dotted" w:sz="4" w:space="0" w:color="auto"/>
              <w:left w:val="single" w:sz="4" w:space="0" w:color="auto"/>
              <w:bottom w:val="dotted" w:sz="4" w:space="0" w:color="auto"/>
              <w:right w:val="single" w:sz="4" w:space="0" w:color="auto"/>
            </w:tcBorders>
            <w:vAlign w:val="center"/>
            <w:hideMark/>
          </w:tcPr>
          <w:p w14:paraId="6861CEB1" w14:textId="77777777" w:rsidR="00124CB6" w:rsidRPr="00D633FF" w:rsidRDefault="00124CB6"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South Island, New Zealand</w:t>
            </w:r>
          </w:p>
        </w:tc>
        <w:tc>
          <w:tcPr>
            <w:tcW w:w="1587" w:type="dxa"/>
            <w:tcBorders>
              <w:top w:val="dotted" w:sz="4" w:space="0" w:color="auto"/>
              <w:left w:val="single" w:sz="4" w:space="0" w:color="auto"/>
              <w:bottom w:val="dotted" w:sz="4" w:space="0" w:color="auto"/>
              <w:right w:val="single" w:sz="4" w:space="0" w:color="auto"/>
            </w:tcBorders>
            <w:noWrap/>
            <w:vAlign w:val="center"/>
            <w:hideMark/>
          </w:tcPr>
          <w:p w14:paraId="0B435DA1" w14:textId="77777777" w:rsidR="00124CB6" w:rsidRPr="00D633FF" w:rsidRDefault="00124CB6"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30</w:t>
            </w:r>
          </w:p>
        </w:tc>
        <w:tc>
          <w:tcPr>
            <w:tcW w:w="2661" w:type="dxa"/>
            <w:tcBorders>
              <w:top w:val="dotted" w:sz="4" w:space="0" w:color="auto"/>
              <w:left w:val="single" w:sz="4" w:space="0" w:color="auto"/>
              <w:bottom w:val="dotted" w:sz="4" w:space="0" w:color="auto"/>
              <w:right w:val="single" w:sz="4" w:space="0" w:color="auto"/>
            </w:tcBorders>
            <w:vAlign w:val="center"/>
            <w:hideMark/>
          </w:tcPr>
          <w:p w14:paraId="0DD29A5E" w14:textId="77777777" w:rsidR="00124CB6" w:rsidRPr="00D633FF" w:rsidRDefault="00124CB6" w:rsidP="00A92E06">
            <w:pPr>
              <w:spacing w:after="0" w:line="276"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58.4 ± 11.8#</w:t>
            </w:r>
          </w:p>
          <w:p w14:paraId="326BB099" w14:textId="0EB19687" w:rsidR="00124CB6" w:rsidRPr="00D633FF" w:rsidRDefault="00124CB6" w:rsidP="00A92E06">
            <w:pPr>
              <w:spacing w:after="0" w:line="276"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(0.74 ± 0.15 µmol/L)</w:t>
            </w:r>
          </w:p>
        </w:tc>
        <w:tc>
          <w:tcPr>
            <w:tcW w:w="2551" w:type="dxa"/>
            <w:tcBorders>
              <w:top w:val="dotted" w:sz="4" w:space="0" w:color="auto"/>
              <w:left w:val="single" w:sz="4" w:space="0" w:color="auto"/>
              <w:bottom w:val="dotted" w:sz="4" w:space="0" w:color="auto"/>
              <w:right w:val="single" w:sz="4" w:space="0" w:color="auto"/>
            </w:tcBorders>
            <w:noWrap/>
            <w:vAlign w:val="center"/>
            <w:hideMark/>
          </w:tcPr>
          <w:p w14:paraId="2A8E852A" w14:textId="4E3BFF27" w:rsidR="00124CB6" w:rsidRPr="00D633FF" w:rsidRDefault="00F41A14"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noProof/>
                <w:color w:val="000000"/>
                <w:kern w:val="0"/>
                <w:sz w:val="18"/>
                <w:szCs w:val="18"/>
                <w:lang w:eastAsia="en-AU"/>
                <w14:ligatures w14:val="none"/>
              </w:rPr>
              <w:t>McLachlan et al. (2004)</w:t>
            </w:r>
          </w:p>
        </w:tc>
      </w:tr>
      <w:tr w:rsidR="00124CB6" w:rsidRPr="00D633FF" w14:paraId="12FA38C2" w14:textId="77777777" w:rsidTr="00817A7A">
        <w:trPr>
          <w:trHeight w:val="397"/>
        </w:trPr>
        <w:tc>
          <w:tcPr>
            <w:tcW w:w="3969" w:type="dxa"/>
            <w:tcBorders>
              <w:top w:val="dotted" w:sz="4" w:space="0" w:color="auto"/>
              <w:left w:val="single" w:sz="4" w:space="0" w:color="auto"/>
              <w:bottom w:val="dotted" w:sz="4" w:space="0" w:color="auto"/>
              <w:right w:val="single" w:sz="4" w:space="0" w:color="auto"/>
            </w:tcBorders>
            <w:vAlign w:val="center"/>
            <w:hideMark/>
          </w:tcPr>
          <w:p w14:paraId="21534007" w14:textId="77777777" w:rsidR="00124CB6" w:rsidRPr="00D633FF" w:rsidRDefault="00124CB6"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Breastfeeding Women</w:t>
            </w:r>
          </w:p>
        </w:tc>
        <w:tc>
          <w:tcPr>
            <w:tcW w:w="2551" w:type="dxa"/>
            <w:tcBorders>
              <w:top w:val="dotted" w:sz="4" w:space="0" w:color="auto"/>
              <w:left w:val="single" w:sz="4" w:space="0" w:color="auto"/>
              <w:bottom w:val="dotted" w:sz="4" w:space="0" w:color="auto"/>
              <w:right w:val="single" w:sz="4" w:space="0" w:color="auto"/>
            </w:tcBorders>
            <w:vAlign w:val="center"/>
            <w:hideMark/>
          </w:tcPr>
          <w:p w14:paraId="11CC232A" w14:textId="77777777" w:rsidR="00124CB6" w:rsidRPr="00D633FF" w:rsidRDefault="00124CB6"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South Island, New Zealand</w:t>
            </w:r>
          </w:p>
        </w:tc>
        <w:tc>
          <w:tcPr>
            <w:tcW w:w="1587" w:type="dxa"/>
            <w:tcBorders>
              <w:top w:val="dotted" w:sz="4" w:space="0" w:color="auto"/>
              <w:left w:val="single" w:sz="4" w:space="0" w:color="auto"/>
              <w:bottom w:val="dotted" w:sz="4" w:space="0" w:color="auto"/>
              <w:right w:val="single" w:sz="4" w:space="0" w:color="auto"/>
            </w:tcBorders>
            <w:noWrap/>
            <w:vAlign w:val="center"/>
            <w:hideMark/>
          </w:tcPr>
          <w:p w14:paraId="5F6DB4D5" w14:textId="77777777" w:rsidR="00124CB6" w:rsidRPr="00D633FF" w:rsidRDefault="00124CB6"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74</w:t>
            </w:r>
          </w:p>
        </w:tc>
        <w:tc>
          <w:tcPr>
            <w:tcW w:w="2661" w:type="dxa"/>
            <w:tcBorders>
              <w:top w:val="dotted" w:sz="4" w:space="0" w:color="auto"/>
              <w:left w:val="single" w:sz="4" w:space="0" w:color="auto"/>
              <w:bottom w:val="dotted" w:sz="4" w:space="0" w:color="auto"/>
              <w:right w:val="single" w:sz="4" w:space="0" w:color="auto"/>
            </w:tcBorders>
            <w:vAlign w:val="center"/>
            <w:hideMark/>
          </w:tcPr>
          <w:p w14:paraId="4427E7B7" w14:textId="77777777" w:rsidR="00124CB6" w:rsidRPr="00D633FF" w:rsidRDefault="00124CB6" w:rsidP="00A92E06">
            <w:pPr>
              <w:spacing w:after="0" w:line="276"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74.2 ± 12.6#</w:t>
            </w:r>
          </w:p>
          <w:p w14:paraId="0EBF4086" w14:textId="2F8E962B" w:rsidR="00124CB6" w:rsidRPr="00D633FF" w:rsidRDefault="00124CB6" w:rsidP="00A92E06">
            <w:pPr>
              <w:spacing w:after="0" w:line="276"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(0.94 ± 0.16 µmol/L)</w:t>
            </w:r>
          </w:p>
        </w:tc>
        <w:tc>
          <w:tcPr>
            <w:tcW w:w="2551" w:type="dxa"/>
            <w:tcBorders>
              <w:top w:val="dotted" w:sz="4" w:space="0" w:color="auto"/>
              <w:left w:val="single" w:sz="4" w:space="0" w:color="auto"/>
              <w:bottom w:val="dotted" w:sz="4" w:space="0" w:color="auto"/>
              <w:right w:val="single" w:sz="4" w:space="0" w:color="auto"/>
            </w:tcBorders>
            <w:noWrap/>
            <w:vAlign w:val="center"/>
            <w:hideMark/>
          </w:tcPr>
          <w:p w14:paraId="5BACE5D6" w14:textId="1F5D82C3" w:rsidR="00124CB6" w:rsidRPr="00D633FF" w:rsidRDefault="00F41A14"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noProof/>
                <w:color w:val="000000"/>
                <w:kern w:val="0"/>
                <w:sz w:val="18"/>
                <w:szCs w:val="18"/>
                <w:lang w:eastAsia="en-AU"/>
                <w14:ligatures w14:val="none"/>
              </w:rPr>
              <w:t>McLachlan et al. (2004)</w:t>
            </w:r>
          </w:p>
        </w:tc>
      </w:tr>
      <w:tr w:rsidR="00124CB6" w:rsidRPr="00D633FF" w14:paraId="6C12E59B" w14:textId="77777777" w:rsidTr="00817A7A">
        <w:trPr>
          <w:trHeight w:val="340"/>
        </w:trPr>
        <w:tc>
          <w:tcPr>
            <w:tcW w:w="3969" w:type="dxa"/>
            <w:tcBorders>
              <w:top w:val="dotted" w:sz="4" w:space="0" w:color="auto"/>
              <w:left w:val="single" w:sz="4" w:space="0" w:color="auto"/>
              <w:bottom w:val="dotted" w:sz="4" w:space="0" w:color="auto"/>
              <w:right w:val="single" w:sz="4" w:space="0" w:color="auto"/>
            </w:tcBorders>
            <w:vAlign w:val="center"/>
            <w:hideMark/>
          </w:tcPr>
          <w:p w14:paraId="2460212D" w14:textId="1444D367" w:rsidR="00124CB6" w:rsidRPr="00D633FF" w:rsidRDefault="00124CB6"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Breastfeeding Women (3</w:t>
            </w:r>
            <w:r w:rsidR="00775898" w:rsidRPr="00D633FF">
              <w:rPr>
                <w:rFonts w:ascii="Calibri" w:eastAsia="Times New Roman" w:hAnsi="Calibri" w:cs="Calibri"/>
                <w:color w:val="000000"/>
                <w:kern w:val="0"/>
                <w:sz w:val="18"/>
                <w:szCs w:val="18"/>
                <w:lang w:eastAsia="en-AU"/>
                <w14:ligatures w14:val="none"/>
              </w:rPr>
              <w:t xml:space="preserve"> </w:t>
            </w:r>
            <w:r w:rsidRPr="00D633FF">
              <w:rPr>
                <w:rFonts w:ascii="Calibri" w:eastAsia="Times New Roman" w:hAnsi="Calibri" w:cs="Calibri"/>
                <w:color w:val="000000"/>
                <w:kern w:val="0"/>
                <w:sz w:val="18"/>
                <w:szCs w:val="18"/>
                <w:lang w:eastAsia="en-AU"/>
                <w14:ligatures w14:val="none"/>
              </w:rPr>
              <w:t xml:space="preserve">months postpartum) </w:t>
            </w:r>
          </w:p>
        </w:tc>
        <w:tc>
          <w:tcPr>
            <w:tcW w:w="2551" w:type="dxa"/>
            <w:tcBorders>
              <w:top w:val="dotted" w:sz="4" w:space="0" w:color="auto"/>
              <w:left w:val="single" w:sz="4" w:space="0" w:color="auto"/>
              <w:bottom w:val="dotted" w:sz="4" w:space="0" w:color="auto"/>
              <w:right w:val="single" w:sz="4" w:space="0" w:color="auto"/>
            </w:tcBorders>
            <w:vAlign w:val="center"/>
            <w:hideMark/>
          </w:tcPr>
          <w:p w14:paraId="16E585C1" w14:textId="77777777" w:rsidR="00124CB6" w:rsidRPr="00D633FF" w:rsidRDefault="00124CB6"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New Zealand</w:t>
            </w:r>
          </w:p>
        </w:tc>
        <w:tc>
          <w:tcPr>
            <w:tcW w:w="1587" w:type="dxa"/>
            <w:tcBorders>
              <w:top w:val="dotted" w:sz="4" w:space="0" w:color="auto"/>
              <w:left w:val="single" w:sz="4" w:space="0" w:color="auto"/>
              <w:bottom w:val="dotted" w:sz="4" w:space="0" w:color="auto"/>
              <w:right w:val="single" w:sz="4" w:space="0" w:color="auto"/>
            </w:tcBorders>
            <w:noWrap/>
            <w:vAlign w:val="center"/>
            <w:hideMark/>
          </w:tcPr>
          <w:p w14:paraId="7E48FEBF" w14:textId="77777777" w:rsidR="00124CB6" w:rsidRPr="00D633FF" w:rsidRDefault="00124CB6"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25</w:t>
            </w:r>
          </w:p>
        </w:tc>
        <w:tc>
          <w:tcPr>
            <w:tcW w:w="2661" w:type="dxa"/>
            <w:tcBorders>
              <w:top w:val="dotted" w:sz="4" w:space="0" w:color="auto"/>
              <w:left w:val="single" w:sz="4" w:space="0" w:color="auto"/>
              <w:bottom w:val="dotted" w:sz="4" w:space="0" w:color="auto"/>
              <w:right w:val="single" w:sz="4" w:space="0" w:color="auto"/>
            </w:tcBorders>
            <w:vAlign w:val="center"/>
            <w:hideMark/>
          </w:tcPr>
          <w:p w14:paraId="5161EA16" w14:textId="5707B3A8" w:rsidR="00124CB6" w:rsidRPr="00D633FF" w:rsidRDefault="00A92E06"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 xml:space="preserve">92.8 ± </w:t>
            </w:r>
            <w:r w:rsidR="00124CB6" w:rsidRPr="00D633FF">
              <w:rPr>
                <w:rFonts w:ascii="Calibri" w:eastAsia="Times New Roman" w:hAnsi="Calibri" w:cs="Calibri"/>
                <w:color w:val="000000"/>
                <w:kern w:val="0"/>
                <w:sz w:val="18"/>
                <w:szCs w:val="18"/>
                <w:lang w:eastAsia="en-AU"/>
                <w14:ligatures w14:val="none"/>
              </w:rPr>
              <w:t>3.7</w:t>
            </w:r>
          </w:p>
        </w:tc>
        <w:tc>
          <w:tcPr>
            <w:tcW w:w="2551" w:type="dxa"/>
            <w:tcBorders>
              <w:top w:val="dotted" w:sz="4" w:space="0" w:color="auto"/>
              <w:left w:val="single" w:sz="4" w:space="0" w:color="auto"/>
              <w:bottom w:val="dotted" w:sz="4" w:space="0" w:color="auto"/>
              <w:right w:val="single" w:sz="4" w:space="0" w:color="auto"/>
            </w:tcBorders>
            <w:noWrap/>
            <w:vAlign w:val="center"/>
            <w:hideMark/>
          </w:tcPr>
          <w:p w14:paraId="195EFCBF" w14:textId="707D66DE" w:rsidR="00124CB6" w:rsidRPr="00D633FF" w:rsidRDefault="00F41A14"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noProof/>
                <w:color w:val="000000"/>
                <w:kern w:val="0"/>
                <w:sz w:val="18"/>
                <w:szCs w:val="18"/>
                <w:lang w:eastAsia="en-AU"/>
                <w14:ligatures w14:val="none"/>
              </w:rPr>
              <w:t>Jin et al. (2020)</w:t>
            </w:r>
            <w:r w:rsidR="00124CB6" w:rsidRPr="00D633FF">
              <w:rPr>
                <w:rFonts w:ascii="Calibri" w:eastAsia="Times New Roman" w:hAnsi="Calibri" w:cs="Calibri"/>
                <w:color w:val="000000"/>
                <w:kern w:val="0"/>
                <w:sz w:val="18"/>
                <w:szCs w:val="18"/>
                <w:lang w:eastAsia="en-AU"/>
                <w14:ligatures w14:val="none"/>
              </w:rPr>
              <w:t xml:space="preserve"> </w:t>
            </w:r>
          </w:p>
        </w:tc>
      </w:tr>
      <w:tr w:rsidR="00124CB6" w:rsidRPr="00D633FF" w14:paraId="47DE1405" w14:textId="77777777" w:rsidTr="00817A7A">
        <w:trPr>
          <w:trHeight w:val="340"/>
        </w:trPr>
        <w:tc>
          <w:tcPr>
            <w:tcW w:w="3969" w:type="dxa"/>
            <w:tcBorders>
              <w:top w:val="dotted" w:sz="4" w:space="0" w:color="auto"/>
              <w:left w:val="single" w:sz="4" w:space="0" w:color="auto"/>
              <w:bottom w:val="dotted" w:sz="4" w:space="0" w:color="auto"/>
              <w:right w:val="single" w:sz="4" w:space="0" w:color="auto"/>
            </w:tcBorders>
            <w:vAlign w:val="center"/>
            <w:hideMark/>
          </w:tcPr>
          <w:p w14:paraId="2BFF4A52" w14:textId="7B1FD7DB" w:rsidR="00124CB6" w:rsidRPr="00D633FF" w:rsidRDefault="00124CB6"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 xml:space="preserve">Breastfeeding Women (6 months postpartum) </w:t>
            </w:r>
          </w:p>
        </w:tc>
        <w:tc>
          <w:tcPr>
            <w:tcW w:w="2551" w:type="dxa"/>
            <w:tcBorders>
              <w:top w:val="dotted" w:sz="4" w:space="0" w:color="auto"/>
              <w:left w:val="single" w:sz="4" w:space="0" w:color="auto"/>
              <w:bottom w:val="dotted" w:sz="4" w:space="0" w:color="auto"/>
              <w:right w:val="single" w:sz="4" w:space="0" w:color="auto"/>
            </w:tcBorders>
            <w:vAlign w:val="center"/>
            <w:hideMark/>
          </w:tcPr>
          <w:p w14:paraId="7BD2EB8D" w14:textId="77777777" w:rsidR="00124CB6" w:rsidRPr="00D633FF" w:rsidRDefault="00124CB6"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New Zealand</w:t>
            </w:r>
          </w:p>
        </w:tc>
        <w:tc>
          <w:tcPr>
            <w:tcW w:w="1587" w:type="dxa"/>
            <w:tcBorders>
              <w:top w:val="dotted" w:sz="4" w:space="0" w:color="auto"/>
              <w:left w:val="single" w:sz="4" w:space="0" w:color="auto"/>
              <w:bottom w:val="dotted" w:sz="4" w:space="0" w:color="auto"/>
              <w:right w:val="single" w:sz="4" w:space="0" w:color="auto"/>
            </w:tcBorders>
            <w:noWrap/>
            <w:vAlign w:val="center"/>
            <w:hideMark/>
          </w:tcPr>
          <w:p w14:paraId="65A3702A" w14:textId="77777777" w:rsidR="00124CB6" w:rsidRPr="00D633FF" w:rsidRDefault="00124CB6"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24</w:t>
            </w:r>
          </w:p>
        </w:tc>
        <w:tc>
          <w:tcPr>
            <w:tcW w:w="2661" w:type="dxa"/>
            <w:tcBorders>
              <w:top w:val="dotted" w:sz="4" w:space="0" w:color="auto"/>
              <w:left w:val="single" w:sz="4" w:space="0" w:color="auto"/>
              <w:bottom w:val="dotted" w:sz="4" w:space="0" w:color="auto"/>
              <w:right w:val="single" w:sz="4" w:space="0" w:color="auto"/>
            </w:tcBorders>
            <w:vAlign w:val="center"/>
            <w:hideMark/>
          </w:tcPr>
          <w:p w14:paraId="4A12E37C" w14:textId="19BE3974" w:rsidR="00124CB6" w:rsidRPr="00D633FF" w:rsidRDefault="00124CB6"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106.0 ± 3.5</w:t>
            </w:r>
          </w:p>
        </w:tc>
        <w:tc>
          <w:tcPr>
            <w:tcW w:w="2551" w:type="dxa"/>
            <w:tcBorders>
              <w:top w:val="dotted" w:sz="4" w:space="0" w:color="auto"/>
              <w:left w:val="single" w:sz="4" w:space="0" w:color="auto"/>
              <w:bottom w:val="dotted" w:sz="4" w:space="0" w:color="auto"/>
              <w:right w:val="single" w:sz="4" w:space="0" w:color="auto"/>
            </w:tcBorders>
            <w:noWrap/>
            <w:vAlign w:val="center"/>
            <w:hideMark/>
          </w:tcPr>
          <w:p w14:paraId="1567BD83" w14:textId="00599D69" w:rsidR="00124CB6" w:rsidRPr="00D633FF" w:rsidRDefault="00F41A14"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noProof/>
                <w:color w:val="000000"/>
                <w:kern w:val="0"/>
                <w:sz w:val="18"/>
                <w:szCs w:val="18"/>
                <w:lang w:eastAsia="en-AU"/>
                <w14:ligatures w14:val="none"/>
              </w:rPr>
              <w:t>Jin et al. (2020)</w:t>
            </w:r>
          </w:p>
        </w:tc>
      </w:tr>
      <w:tr w:rsidR="00124CB6" w:rsidRPr="00D633FF" w14:paraId="6AFE2E44" w14:textId="77777777" w:rsidTr="00817A7A">
        <w:trPr>
          <w:trHeight w:val="340"/>
        </w:trPr>
        <w:tc>
          <w:tcPr>
            <w:tcW w:w="3969" w:type="dxa"/>
            <w:tcBorders>
              <w:top w:val="dotted" w:sz="4" w:space="0" w:color="auto"/>
              <w:left w:val="single" w:sz="4" w:space="0" w:color="auto"/>
              <w:bottom w:val="dotted" w:sz="4" w:space="0" w:color="auto"/>
              <w:right w:val="single" w:sz="4" w:space="0" w:color="auto"/>
            </w:tcBorders>
            <w:vAlign w:val="center"/>
            <w:hideMark/>
          </w:tcPr>
          <w:p w14:paraId="2DB2DDF5" w14:textId="5726A828" w:rsidR="00124CB6" w:rsidRPr="00D633FF" w:rsidRDefault="00124CB6"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 xml:space="preserve">Breastfeeding Women (12 months postpartum) </w:t>
            </w:r>
          </w:p>
        </w:tc>
        <w:tc>
          <w:tcPr>
            <w:tcW w:w="2551" w:type="dxa"/>
            <w:tcBorders>
              <w:top w:val="dotted" w:sz="4" w:space="0" w:color="auto"/>
              <w:left w:val="single" w:sz="4" w:space="0" w:color="auto"/>
              <w:bottom w:val="dotted" w:sz="4" w:space="0" w:color="auto"/>
              <w:right w:val="single" w:sz="4" w:space="0" w:color="auto"/>
            </w:tcBorders>
            <w:vAlign w:val="center"/>
            <w:hideMark/>
          </w:tcPr>
          <w:p w14:paraId="41F9C730" w14:textId="77777777" w:rsidR="00124CB6" w:rsidRPr="00D633FF" w:rsidRDefault="00124CB6"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New Zealand</w:t>
            </w:r>
          </w:p>
        </w:tc>
        <w:tc>
          <w:tcPr>
            <w:tcW w:w="1587" w:type="dxa"/>
            <w:tcBorders>
              <w:top w:val="dotted" w:sz="4" w:space="0" w:color="auto"/>
              <w:left w:val="single" w:sz="4" w:space="0" w:color="auto"/>
              <w:bottom w:val="dotted" w:sz="4" w:space="0" w:color="auto"/>
              <w:right w:val="single" w:sz="4" w:space="0" w:color="auto"/>
            </w:tcBorders>
            <w:noWrap/>
            <w:vAlign w:val="center"/>
            <w:hideMark/>
          </w:tcPr>
          <w:p w14:paraId="265B4558" w14:textId="77777777" w:rsidR="00124CB6" w:rsidRPr="00D633FF" w:rsidRDefault="00124CB6"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25</w:t>
            </w:r>
          </w:p>
        </w:tc>
        <w:tc>
          <w:tcPr>
            <w:tcW w:w="2661" w:type="dxa"/>
            <w:tcBorders>
              <w:top w:val="dotted" w:sz="4" w:space="0" w:color="auto"/>
              <w:left w:val="single" w:sz="4" w:space="0" w:color="auto"/>
              <w:bottom w:val="dotted" w:sz="4" w:space="0" w:color="auto"/>
              <w:right w:val="single" w:sz="4" w:space="0" w:color="auto"/>
            </w:tcBorders>
            <w:vAlign w:val="center"/>
            <w:hideMark/>
          </w:tcPr>
          <w:p w14:paraId="168010B2" w14:textId="77777777" w:rsidR="00124CB6" w:rsidRPr="00D633FF" w:rsidRDefault="00124CB6"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123.7 ± 14.5</w:t>
            </w:r>
          </w:p>
        </w:tc>
        <w:tc>
          <w:tcPr>
            <w:tcW w:w="2551" w:type="dxa"/>
            <w:tcBorders>
              <w:top w:val="dotted" w:sz="4" w:space="0" w:color="auto"/>
              <w:left w:val="single" w:sz="4" w:space="0" w:color="auto"/>
              <w:bottom w:val="dotted" w:sz="4" w:space="0" w:color="auto"/>
              <w:right w:val="single" w:sz="4" w:space="0" w:color="auto"/>
            </w:tcBorders>
            <w:noWrap/>
            <w:vAlign w:val="center"/>
            <w:hideMark/>
          </w:tcPr>
          <w:p w14:paraId="78839529" w14:textId="1EBB8336" w:rsidR="00124CB6" w:rsidRPr="00D633FF" w:rsidRDefault="00F41A14"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noProof/>
                <w:color w:val="000000"/>
                <w:kern w:val="0"/>
                <w:sz w:val="18"/>
                <w:szCs w:val="18"/>
                <w:lang w:eastAsia="en-AU"/>
                <w14:ligatures w14:val="none"/>
              </w:rPr>
              <w:t>Jin et al. (2020)</w:t>
            </w:r>
          </w:p>
        </w:tc>
      </w:tr>
      <w:tr w:rsidR="00124CB6" w:rsidRPr="00D633FF" w14:paraId="2BEFD9F9" w14:textId="77777777" w:rsidTr="00817A7A">
        <w:trPr>
          <w:trHeight w:val="397"/>
        </w:trPr>
        <w:tc>
          <w:tcPr>
            <w:tcW w:w="3969" w:type="dxa"/>
            <w:tcBorders>
              <w:top w:val="dotted" w:sz="4" w:space="0" w:color="auto"/>
              <w:left w:val="single" w:sz="4" w:space="0" w:color="auto"/>
              <w:bottom w:val="single" w:sz="4" w:space="0" w:color="auto"/>
              <w:right w:val="single" w:sz="4" w:space="0" w:color="auto"/>
            </w:tcBorders>
            <w:vAlign w:val="center"/>
            <w:hideMark/>
          </w:tcPr>
          <w:p w14:paraId="3441E7F5" w14:textId="77777777" w:rsidR="00124CB6" w:rsidRPr="00D633FF" w:rsidRDefault="00124CB6"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Older Women (mean age 74.9 years)</w:t>
            </w:r>
          </w:p>
        </w:tc>
        <w:tc>
          <w:tcPr>
            <w:tcW w:w="2551" w:type="dxa"/>
            <w:tcBorders>
              <w:top w:val="dotted" w:sz="4" w:space="0" w:color="auto"/>
              <w:left w:val="single" w:sz="4" w:space="0" w:color="auto"/>
              <w:bottom w:val="single" w:sz="4" w:space="0" w:color="auto"/>
              <w:right w:val="single" w:sz="4" w:space="0" w:color="auto"/>
            </w:tcBorders>
            <w:vAlign w:val="center"/>
            <w:hideMark/>
          </w:tcPr>
          <w:p w14:paraId="5F6C6237" w14:textId="77777777" w:rsidR="00124CB6" w:rsidRPr="00D633FF" w:rsidRDefault="00124CB6"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Dunedin, New Zealand</w:t>
            </w:r>
          </w:p>
        </w:tc>
        <w:tc>
          <w:tcPr>
            <w:tcW w:w="1587" w:type="dxa"/>
            <w:tcBorders>
              <w:top w:val="dotted" w:sz="4" w:space="0" w:color="auto"/>
              <w:left w:val="single" w:sz="4" w:space="0" w:color="auto"/>
              <w:bottom w:val="single" w:sz="4" w:space="0" w:color="auto"/>
              <w:right w:val="single" w:sz="4" w:space="0" w:color="auto"/>
            </w:tcBorders>
            <w:noWrap/>
            <w:vAlign w:val="center"/>
            <w:hideMark/>
          </w:tcPr>
          <w:p w14:paraId="5C00CB5E" w14:textId="77777777" w:rsidR="00124CB6" w:rsidRPr="00D633FF" w:rsidRDefault="00124CB6"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103</w:t>
            </w:r>
          </w:p>
        </w:tc>
        <w:tc>
          <w:tcPr>
            <w:tcW w:w="2661" w:type="dxa"/>
            <w:tcBorders>
              <w:top w:val="dotted" w:sz="4" w:space="0" w:color="auto"/>
              <w:left w:val="single" w:sz="4" w:space="0" w:color="auto"/>
              <w:bottom w:val="single" w:sz="4" w:space="0" w:color="auto"/>
              <w:right w:val="single" w:sz="4" w:space="0" w:color="auto"/>
            </w:tcBorders>
            <w:vAlign w:val="center"/>
            <w:hideMark/>
          </w:tcPr>
          <w:p w14:paraId="079BB5DC" w14:textId="77777777" w:rsidR="00124CB6" w:rsidRPr="00D633FF" w:rsidRDefault="00124CB6" w:rsidP="00A92E06">
            <w:pPr>
              <w:spacing w:after="0" w:line="276"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71.1 ± 19.7#</w:t>
            </w:r>
          </w:p>
          <w:p w14:paraId="2586CADD" w14:textId="682AB171" w:rsidR="00124CB6" w:rsidRPr="00D633FF" w:rsidRDefault="00124CB6" w:rsidP="00A92E06">
            <w:pPr>
              <w:spacing w:after="0" w:line="276"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color w:val="000000"/>
                <w:kern w:val="0"/>
                <w:sz w:val="18"/>
                <w:szCs w:val="18"/>
                <w:lang w:eastAsia="en-AU"/>
                <w14:ligatures w14:val="none"/>
              </w:rPr>
              <w:t>(0.90 ±0.25 µmol/L)</w:t>
            </w:r>
          </w:p>
        </w:tc>
        <w:tc>
          <w:tcPr>
            <w:tcW w:w="2551" w:type="dxa"/>
            <w:tcBorders>
              <w:top w:val="dotted" w:sz="4" w:space="0" w:color="auto"/>
              <w:left w:val="single" w:sz="4" w:space="0" w:color="auto"/>
              <w:bottom w:val="single" w:sz="4" w:space="0" w:color="auto"/>
              <w:right w:val="single" w:sz="4" w:space="0" w:color="auto"/>
            </w:tcBorders>
            <w:noWrap/>
            <w:vAlign w:val="center"/>
            <w:hideMark/>
          </w:tcPr>
          <w:p w14:paraId="79D999D8" w14:textId="31DBA7BF" w:rsidR="00124CB6" w:rsidRPr="00D633FF" w:rsidRDefault="00F41A14" w:rsidP="00EA0488">
            <w:pPr>
              <w:spacing w:after="0" w:line="240" w:lineRule="auto"/>
              <w:rPr>
                <w:rFonts w:ascii="Calibri" w:eastAsia="Times New Roman" w:hAnsi="Calibri" w:cs="Calibri"/>
                <w:color w:val="000000"/>
                <w:kern w:val="0"/>
                <w:sz w:val="18"/>
                <w:szCs w:val="18"/>
                <w:lang w:eastAsia="en-AU"/>
                <w14:ligatures w14:val="none"/>
              </w:rPr>
            </w:pPr>
            <w:r w:rsidRPr="00D633FF">
              <w:rPr>
                <w:rFonts w:ascii="Calibri" w:eastAsia="Times New Roman" w:hAnsi="Calibri" w:cs="Calibri"/>
                <w:noProof/>
                <w:color w:val="000000"/>
                <w:kern w:val="0"/>
                <w:sz w:val="18"/>
                <w:szCs w:val="18"/>
                <w:lang w:eastAsia="en-AU"/>
                <w14:ligatures w14:val="none"/>
              </w:rPr>
              <w:t>De Jong et al. (2001)</w:t>
            </w:r>
          </w:p>
        </w:tc>
      </w:tr>
    </w:tbl>
    <w:p w14:paraId="0AE22A1C" w14:textId="77777777" w:rsidR="00352A0A" w:rsidRDefault="00877F06" w:rsidP="00764BA4">
      <w:pPr>
        <w:rPr>
          <w:rStyle w:val="FootnoteTextChar"/>
          <w:i/>
          <w:iCs/>
          <w:sz w:val="18"/>
          <w:szCs w:val="18"/>
        </w:rPr>
      </w:pPr>
      <w:r w:rsidRPr="000450F9">
        <w:rPr>
          <w:rStyle w:val="FootnoteTextChar"/>
          <w:i/>
          <w:iCs/>
        </w:rPr>
        <w:t>#</w:t>
      </w:r>
      <w:r w:rsidRPr="000450F9">
        <w:rPr>
          <w:rStyle w:val="FootnoteTextChar"/>
          <w:i/>
          <w:iCs/>
          <w:sz w:val="18"/>
          <w:szCs w:val="18"/>
        </w:rPr>
        <w:t xml:space="preserve"> </w:t>
      </w:r>
      <w:r w:rsidRPr="00C21461">
        <w:rPr>
          <w:rStyle w:val="FootnoteTextChar"/>
          <w:i/>
          <w:iCs/>
          <w:sz w:val="18"/>
          <w:szCs w:val="18"/>
        </w:rPr>
        <w:t xml:space="preserve">mean and standard deviation (SD) reported in </w:t>
      </w:r>
      <w:proofErr w:type="spellStart"/>
      <w:r w:rsidRPr="00C21461">
        <w:rPr>
          <w:rStyle w:val="FootnoteTextChar"/>
          <w:i/>
          <w:iCs/>
          <w:sz w:val="18"/>
          <w:szCs w:val="18"/>
        </w:rPr>
        <w:t>μmol</w:t>
      </w:r>
      <w:proofErr w:type="spellEnd"/>
      <w:r w:rsidRPr="00C21461">
        <w:rPr>
          <w:rStyle w:val="FootnoteTextChar"/>
          <w:i/>
          <w:iCs/>
          <w:sz w:val="18"/>
          <w:szCs w:val="18"/>
        </w:rPr>
        <w:t>/L were converted to µg/L using the selenium atomic mass (78.96).</w:t>
      </w:r>
    </w:p>
    <w:p w14:paraId="59DAA3B4" w14:textId="4E2B8570" w:rsidR="00877F06" w:rsidRPr="00D633FF" w:rsidRDefault="00877F06" w:rsidP="00764BA4">
      <w:pPr>
        <w:rPr>
          <w:rFonts w:ascii="Calibri" w:hAnsi="Calibri" w:cs="Calibri"/>
        </w:rPr>
        <w:sectPr w:rsidR="00877F06" w:rsidRPr="00D633FF" w:rsidSect="00215CE4">
          <w:footnotePr>
            <w:pos w:val="beneathText"/>
          </w:footnotePr>
          <w:pgSz w:w="16838" w:h="11906" w:orient="landscape"/>
          <w:pgMar w:top="1134" w:right="1440" w:bottom="1440" w:left="1440" w:header="709" w:footer="709" w:gutter="0"/>
          <w:cols w:space="708"/>
          <w:docGrid w:linePitch="360"/>
        </w:sectPr>
      </w:pPr>
    </w:p>
    <w:p w14:paraId="502D17B9" w14:textId="4638FB09" w:rsidR="002010BC" w:rsidRPr="00D633FF" w:rsidRDefault="00784757" w:rsidP="00B90E99">
      <w:pPr>
        <w:pStyle w:val="Heading3"/>
        <w:rPr>
          <w:rFonts w:ascii="Calibri" w:hAnsi="Calibri" w:cs="Calibri"/>
        </w:rPr>
      </w:pPr>
      <w:bookmarkStart w:id="42" w:name="_Toc218527968"/>
      <w:r w:rsidRPr="00D633FF">
        <w:rPr>
          <w:rFonts w:ascii="Calibri" w:hAnsi="Calibri" w:cs="Calibri"/>
        </w:rPr>
        <w:lastRenderedPageBreak/>
        <w:t>New Zealand</w:t>
      </w:r>
      <w:bookmarkEnd w:id="42"/>
    </w:p>
    <w:p w14:paraId="08A3D6E6" w14:textId="2961B9C4" w:rsidR="0064287C" w:rsidRPr="00D633FF" w:rsidRDefault="0064287C" w:rsidP="00A024AD">
      <w:pPr>
        <w:spacing w:line="360" w:lineRule="auto"/>
        <w:rPr>
          <w:rFonts w:ascii="Calibri" w:hAnsi="Calibri" w:cs="Calibri"/>
        </w:rPr>
      </w:pPr>
      <w:r w:rsidRPr="00D633FF">
        <w:rPr>
          <w:rFonts w:ascii="Calibri" w:hAnsi="Calibri" w:cs="Calibri"/>
        </w:rPr>
        <w:t>The selenium status of the general population in New Zealand has historically been lower compared to other countries, primarily due to the low selenium content in New Zealand soils</w:t>
      </w:r>
      <w:r w:rsidR="00516912">
        <w:rPr>
          <w:rFonts w:ascii="Calibri" w:hAnsi="Calibri" w:cs="Calibri"/>
        </w:rPr>
        <w:t xml:space="preserve"> </w:t>
      </w:r>
      <w:r w:rsidR="00F41A14" w:rsidRPr="00D633FF">
        <w:rPr>
          <w:rFonts w:ascii="Calibri" w:hAnsi="Calibri" w:cs="Calibri"/>
          <w:noProof/>
        </w:rPr>
        <w:t>(Thomson et al. 2007)</w:t>
      </w:r>
      <w:r w:rsidR="00BF4C2D" w:rsidRPr="00D633FF">
        <w:rPr>
          <w:rFonts w:ascii="Calibri" w:hAnsi="Calibri" w:cs="Calibri"/>
        </w:rPr>
        <w:t>.</w:t>
      </w:r>
      <w:r w:rsidRPr="00D633FF">
        <w:rPr>
          <w:rFonts w:ascii="Calibri" w:hAnsi="Calibri" w:cs="Calibri"/>
        </w:rPr>
        <w:t xml:space="preserve"> </w:t>
      </w:r>
      <w:r w:rsidR="00047CC5" w:rsidRPr="00D633FF">
        <w:rPr>
          <w:rFonts w:ascii="Calibri" w:hAnsi="Calibri" w:cs="Calibri"/>
        </w:rPr>
        <w:t>Although limited data are available, s</w:t>
      </w:r>
      <w:r w:rsidRPr="00D633FF">
        <w:rPr>
          <w:rFonts w:ascii="Calibri" w:hAnsi="Calibri" w:cs="Calibri"/>
        </w:rPr>
        <w:t xml:space="preserve">tudies </w:t>
      </w:r>
      <w:r w:rsidR="00047CC5" w:rsidRPr="00D633FF">
        <w:rPr>
          <w:rFonts w:ascii="Calibri" w:hAnsi="Calibri" w:cs="Calibri"/>
        </w:rPr>
        <w:t xml:space="preserve">in adults suggest that selenium levels </w:t>
      </w:r>
      <w:r w:rsidR="00311A2B" w:rsidRPr="00D633FF">
        <w:rPr>
          <w:rFonts w:ascii="Calibri" w:hAnsi="Calibri" w:cs="Calibri"/>
        </w:rPr>
        <w:t xml:space="preserve">remain </w:t>
      </w:r>
      <w:r w:rsidRPr="00D633FF">
        <w:rPr>
          <w:rFonts w:ascii="Calibri" w:hAnsi="Calibri" w:cs="Calibri"/>
        </w:rPr>
        <w:t xml:space="preserve">below the internationally accepted minimum level for the maximisation of </w:t>
      </w:r>
      <w:proofErr w:type="spellStart"/>
      <w:r w:rsidR="00751CA5" w:rsidRPr="00D633FF">
        <w:rPr>
          <w:rFonts w:ascii="Calibri" w:hAnsi="Calibri" w:cs="Calibri"/>
        </w:rPr>
        <w:t>GPx</w:t>
      </w:r>
      <w:proofErr w:type="spellEnd"/>
      <w:r w:rsidRPr="00D633FF">
        <w:rPr>
          <w:rFonts w:ascii="Calibri" w:hAnsi="Calibri" w:cs="Calibri"/>
        </w:rPr>
        <w:t xml:space="preserve"> activity in plasma</w:t>
      </w:r>
      <w:r w:rsidR="00C50841" w:rsidRPr="00D633FF">
        <w:rPr>
          <w:rFonts w:ascii="Calibri" w:hAnsi="Calibri" w:cs="Calibri"/>
        </w:rPr>
        <w:t xml:space="preserve"> (</w:t>
      </w:r>
      <w:r w:rsidRPr="00D633FF">
        <w:rPr>
          <w:rFonts w:ascii="Calibri" w:hAnsi="Calibri" w:cs="Calibri"/>
        </w:rPr>
        <w:t>100 µg/L</w:t>
      </w:r>
      <w:r w:rsidR="00EF038C" w:rsidRPr="00D633FF">
        <w:rPr>
          <w:rFonts w:ascii="Calibri" w:hAnsi="Calibri" w:cs="Calibri"/>
        </w:rPr>
        <w:t xml:space="preserve">; </w:t>
      </w:r>
      <w:r w:rsidR="00B55980" w:rsidRPr="00D633FF">
        <w:rPr>
          <w:rFonts w:ascii="Calibri" w:hAnsi="Calibri" w:cs="Calibri"/>
        </w:rPr>
        <w:fldChar w:fldCharType="begin" w:fldLock="1"/>
      </w:r>
      <w:r w:rsidR="00B55980" w:rsidRPr="00D633FF">
        <w:rPr>
          <w:rFonts w:ascii="Calibri" w:hAnsi="Calibri" w:cs="Calibri"/>
        </w:rPr>
        <w:instrText xml:space="preserve"> REF _Ref199412432 \h </w:instrText>
      </w:r>
      <w:r w:rsidR="00D633FF">
        <w:rPr>
          <w:rFonts w:ascii="Calibri" w:hAnsi="Calibri" w:cs="Calibri"/>
        </w:rPr>
        <w:instrText xml:space="preserve"> \* MERGEFORMAT </w:instrText>
      </w:r>
      <w:r w:rsidR="00B55980" w:rsidRPr="00D633FF">
        <w:rPr>
          <w:rFonts w:ascii="Calibri" w:hAnsi="Calibri" w:cs="Calibri"/>
        </w:rPr>
      </w:r>
      <w:r w:rsidR="00B55980" w:rsidRPr="00D633FF">
        <w:rPr>
          <w:rFonts w:ascii="Calibri" w:hAnsi="Calibri" w:cs="Calibri"/>
        </w:rPr>
        <w:fldChar w:fldCharType="separate"/>
      </w:r>
      <w:r w:rsidR="005F51E8" w:rsidRPr="00D633FF">
        <w:rPr>
          <w:rFonts w:ascii="Calibri" w:hAnsi="Calibri" w:cs="Calibri"/>
        </w:rPr>
        <w:t xml:space="preserve">Table </w:t>
      </w:r>
      <w:r w:rsidR="005F51E8" w:rsidRPr="00D633FF">
        <w:rPr>
          <w:rFonts w:ascii="Calibri" w:hAnsi="Calibri" w:cs="Calibri"/>
          <w:noProof/>
        </w:rPr>
        <w:t>6</w:t>
      </w:r>
      <w:r w:rsidR="00B55980" w:rsidRPr="00D633FF">
        <w:rPr>
          <w:rFonts w:ascii="Calibri" w:hAnsi="Calibri" w:cs="Calibri"/>
        </w:rPr>
        <w:fldChar w:fldCharType="end"/>
      </w:r>
      <w:r w:rsidR="00197389" w:rsidRPr="00D633FF">
        <w:rPr>
          <w:rFonts w:ascii="Calibri" w:hAnsi="Calibri" w:cs="Calibri"/>
        </w:rPr>
        <w:t>)</w:t>
      </w:r>
      <w:r w:rsidRPr="00D633FF">
        <w:rPr>
          <w:rFonts w:ascii="Calibri" w:hAnsi="Calibri" w:cs="Calibri"/>
        </w:rPr>
        <w:t xml:space="preserve">. </w:t>
      </w:r>
      <w:r w:rsidR="00B31A81" w:rsidRPr="00D633FF">
        <w:rPr>
          <w:rFonts w:ascii="Calibri" w:hAnsi="Calibri" w:cs="Calibri"/>
        </w:rPr>
        <w:t>This suggests that there may be an increased risk of selenium deficiency among the New Zealand population.</w:t>
      </w:r>
    </w:p>
    <w:p w14:paraId="69BC44A5" w14:textId="6E445B8C" w:rsidR="00107E37" w:rsidRPr="00D633FF" w:rsidRDefault="00F41A14" w:rsidP="000D6234">
      <w:pPr>
        <w:spacing w:line="360" w:lineRule="auto"/>
        <w:rPr>
          <w:rFonts w:ascii="Calibri" w:hAnsi="Calibri" w:cs="Calibri"/>
        </w:rPr>
      </w:pPr>
      <w:r w:rsidRPr="00D633FF">
        <w:rPr>
          <w:rFonts w:ascii="Calibri" w:hAnsi="Calibri" w:cs="Calibri"/>
          <w:noProof/>
        </w:rPr>
        <w:t>Thomson et al. (2007)</w:t>
      </w:r>
      <w:r w:rsidR="000D6234" w:rsidRPr="00D633FF">
        <w:rPr>
          <w:rFonts w:ascii="Calibri" w:hAnsi="Calibri" w:cs="Calibri"/>
        </w:rPr>
        <w:t xml:space="preserve"> </w:t>
      </w:r>
      <w:r w:rsidR="00107E37" w:rsidRPr="00D633FF">
        <w:rPr>
          <w:rFonts w:ascii="Calibri" w:hAnsi="Calibri" w:cs="Calibri"/>
        </w:rPr>
        <w:t xml:space="preserve">found a higher selenium status of Pacific (Samoan, Tongan, Cook Island </w:t>
      </w:r>
      <w:proofErr w:type="spellStart"/>
      <w:r w:rsidR="00107E37" w:rsidRPr="00D633FF">
        <w:rPr>
          <w:rFonts w:ascii="Calibri" w:hAnsi="Calibri" w:cs="Calibri"/>
        </w:rPr>
        <w:t>Mäori</w:t>
      </w:r>
      <w:proofErr w:type="spellEnd"/>
      <w:r w:rsidR="00107E37" w:rsidRPr="00D633FF">
        <w:rPr>
          <w:rFonts w:ascii="Calibri" w:hAnsi="Calibri" w:cs="Calibri"/>
        </w:rPr>
        <w:t>, Niuean, Tokelauan, Fijian) children than of M</w:t>
      </w:r>
      <w:r w:rsidR="00B02117" w:rsidRPr="00D633FF">
        <w:rPr>
          <w:rFonts w:ascii="Calibri" w:eastAsia="Times New Roman" w:hAnsi="Calibri" w:cs="Calibri"/>
        </w:rPr>
        <w:t>ā</w:t>
      </w:r>
      <w:r w:rsidR="00107E37" w:rsidRPr="00D633FF">
        <w:rPr>
          <w:rFonts w:ascii="Calibri" w:hAnsi="Calibri" w:cs="Calibri"/>
        </w:rPr>
        <w:t xml:space="preserve">ori and NZEO (New Zealand European and Other) children. This is likely due to a combination of dietary </w:t>
      </w:r>
      <w:r w:rsidR="0044120A" w:rsidRPr="00D633FF">
        <w:rPr>
          <w:rFonts w:ascii="Calibri" w:hAnsi="Calibri" w:cs="Calibri"/>
        </w:rPr>
        <w:t>factors</w:t>
      </w:r>
      <w:r w:rsidR="00107E37" w:rsidRPr="00D633FF">
        <w:rPr>
          <w:rFonts w:ascii="Calibri" w:hAnsi="Calibri" w:cs="Calibri"/>
        </w:rPr>
        <w:t xml:space="preserve"> and </w:t>
      </w:r>
      <w:r w:rsidR="00954B5A" w:rsidRPr="00D633FF">
        <w:rPr>
          <w:rFonts w:ascii="Calibri" w:hAnsi="Calibri" w:cs="Calibri"/>
        </w:rPr>
        <w:t xml:space="preserve">geographic differences in food supply owing to the </w:t>
      </w:r>
      <w:r w:rsidR="00107E37" w:rsidRPr="00D633FF">
        <w:rPr>
          <w:rFonts w:ascii="Calibri" w:hAnsi="Calibri" w:cs="Calibri"/>
        </w:rPr>
        <w:t xml:space="preserve">importation of Australian wheat in the upper North Island, which is where </w:t>
      </w:r>
      <w:r w:rsidR="00732108" w:rsidRPr="00D633FF">
        <w:rPr>
          <w:rFonts w:ascii="Calibri" w:hAnsi="Calibri" w:cs="Calibri"/>
        </w:rPr>
        <w:t>most</w:t>
      </w:r>
      <w:r w:rsidR="00107E37" w:rsidRPr="00D633FF">
        <w:rPr>
          <w:rFonts w:ascii="Calibri" w:hAnsi="Calibri" w:cs="Calibri"/>
        </w:rPr>
        <w:t xml:space="preserve"> Pacific children live. </w:t>
      </w:r>
    </w:p>
    <w:p w14:paraId="7D88990E" w14:textId="0E9160F1" w:rsidR="00B4155F" w:rsidRPr="00D633FF" w:rsidRDefault="00B52B53" w:rsidP="00A62838">
      <w:pPr>
        <w:pStyle w:val="Heading2"/>
        <w:spacing w:line="360" w:lineRule="auto"/>
        <w:rPr>
          <w:rFonts w:ascii="Calibri" w:hAnsi="Calibri" w:cs="Calibri"/>
        </w:rPr>
      </w:pPr>
      <w:bookmarkStart w:id="43" w:name="_Toc218527969"/>
      <w:r w:rsidRPr="00D633FF">
        <w:rPr>
          <w:rFonts w:ascii="Calibri" w:hAnsi="Calibri" w:cs="Calibri"/>
        </w:rPr>
        <w:t xml:space="preserve">Key health </w:t>
      </w:r>
      <w:r w:rsidR="00B4155F" w:rsidRPr="00D633FF">
        <w:rPr>
          <w:rFonts w:ascii="Calibri" w:hAnsi="Calibri" w:cs="Calibri"/>
        </w:rPr>
        <w:t>outcomes of relevance</w:t>
      </w:r>
      <w:r w:rsidR="002060AA" w:rsidRPr="00D633FF">
        <w:rPr>
          <w:rFonts w:ascii="Calibri" w:hAnsi="Calibri" w:cs="Calibri"/>
        </w:rPr>
        <w:t xml:space="preserve"> </w:t>
      </w:r>
      <w:r w:rsidRPr="00D633FF">
        <w:rPr>
          <w:rFonts w:ascii="Calibri" w:hAnsi="Calibri" w:cs="Calibri"/>
        </w:rPr>
        <w:t>for</w:t>
      </w:r>
      <w:r w:rsidR="002060AA" w:rsidRPr="00D633FF">
        <w:rPr>
          <w:rFonts w:ascii="Calibri" w:hAnsi="Calibri" w:cs="Calibri"/>
        </w:rPr>
        <w:t xml:space="preserve"> Australia and New Zealand</w:t>
      </w:r>
      <w:bookmarkEnd w:id="43"/>
      <w:r w:rsidRPr="00D633FF">
        <w:rPr>
          <w:rFonts w:ascii="Calibri" w:hAnsi="Calibri" w:cs="Calibri"/>
        </w:rPr>
        <w:t xml:space="preserve"> </w:t>
      </w:r>
    </w:p>
    <w:p w14:paraId="48D98214" w14:textId="2EE85CC7" w:rsidR="00CE51A7" w:rsidRPr="00D633FF" w:rsidRDefault="00CE51A7" w:rsidP="00A62838">
      <w:pPr>
        <w:spacing w:line="360" w:lineRule="auto"/>
        <w:rPr>
          <w:rFonts w:ascii="Calibri" w:hAnsi="Calibri" w:cs="Calibri"/>
        </w:rPr>
      </w:pPr>
      <w:r w:rsidRPr="00D633FF">
        <w:rPr>
          <w:rFonts w:ascii="Calibri" w:hAnsi="Calibri" w:cs="Calibri"/>
        </w:rPr>
        <w:t>Excessive selenium consumption can lead to significant health issues</w:t>
      </w:r>
      <w:r w:rsidR="00AE26B2" w:rsidRPr="00D633FF">
        <w:rPr>
          <w:rFonts w:ascii="Calibri" w:hAnsi="Calibri" w:cs="Calibri"/>
        </w:rPr>
        <w:t>,</w:t>
      </w:r>
      <w:r w:rsidRPr="00D633FF">
        <w:rPr>
          <w:rFonts w:ascii="Calibri" w:hAnsi="Calibri" w:cs="Calibri"/>
        </w:rPr>
        <w:t xml:space="preserve"> as discussed earlier</w:t>
      </w:r>
      <w:r w:rsidR="006C6461" w:rsidRPr="00D633FF">
        <w:rPr>
          <w:rFonts w:ascii="Calibri" w:hAnsi="Calibri" w:cs="Calibri"/>
        </w:rPr>
        <w:t xml:space="preserve"> in this report. Chro</w:t>
      </w:r>
      <w:r w:rsidR="001A4882" w:rsidRPr="00D633FF">
        <w:rPr>
          <w:rFonts w:ascii="Calibri" w:hAnsi="Calibri" w:cs="Calibri"/>
        </w:rPr>
        <w:t xml:space="preserve">nic </w:t>
      </w:r>
      <w:r w:rsidR="006C6461" w:rsidRPr="00D633FF">
        <w:rPr>
          <w:rFonts w:ascii="Calibri" w:hAnsi="Calibri" w:cs="Calibri"/>
        </w:rPr>
        <w:t>high selenium intake</w:t>
      </w:r>
      <w:r w:rsidR="001A4882" w:rsidRPr="00D633FF">
        <w:rPr>
          <w:rFonts w:ascii="Calibri" w:hAnsi="Calibri" w:cs="Calibri"/>
        </w:rPr>
        <w:t xml:space="preserve"> can lead to persistent health problems like alopecia, fatigue, and neurological issues</w:t>
      </w:r>
      <w:r w:rsidR="006D48DB" w:rsidRPr="00D633FF">
        <w:rPr>
          <w:rFonts w:ascii="Calibri" w:hAnsi="Calibri" w:cs="Calibri"/>
        </w:rPr>
        <w:t xml:space="preserve"> </w:t>
      </w:r>
      <w:r w:rsidR="00F41A14" w:rsidRPr="00D633FF">
        <w:rPr>
          <w:rFonts w:ascii="Calibri" w:hAnsi="Calibri" w:cs="Calibri"/>
          <w:noProof/>
        </w:rPr>
        <w:t>(Lippman et al. 2009)</w:t>
      </w:r>
      <w:r w:rsidR="006D48DB" w:rsidRPr="00D633FF">
        <w:rPr>
          <w:rFonts w:ascii="Calibri" w:hAnsi="Calibri" w:cs="Calibri"/>
        </w:rPr>
        <w:t>.</w:t>
      </w:r>
      <w:r w:rsidR="001A4882" w:rsidRPr="00D633FF">
        <w:rPr>
          <w:rFonts w:ascii="Calibri" w:hAnsi="Calibri" w:cs="Calibri"/>
        </w:rPr>
        <w:t xml:space="preserve"> </w:t>
      </w:r>
      <w:r w:rsidRPr="00D633FF">
        <w:rPr>
          <w:rFonts w:ascii="Calibri" w:hAnsi="Calibri" w:cs="Calibri"/>
        </w:rPr>
        <w:t>Acute selenium poisoning can cause symptoms such as nausea, vomiting, diarrh</w:t>
      </w:r>
      <w:r w:rsidR="00E77282" w:rsidRPr="00D633FF">
        <w:rPr>
          <w:rFonts w:ascii="Calibri" w:hAnsi="Calibri" w:cs="Calibri"/>
        </w:rPr>
        <w:t>o</w:t>
      </w:r>
      <w:r w:rsidRPr="00D633FF">
        <w:rPr>
          <w:rFonts w:ascii="Calibri" w:hAnsi="Calibri" w:cs="Calibri"/>
        </w:rPr>
        <w:t>ea, hair loss, brittle nails, skin rashes, fatigue, and irritability</w:t>
      </w:r>
      <w:r w:rsidR="00872A6D" w:rsidRPr="00D633FF">
        <w:rPr>
          <w:rFonts w:ascii="Calibri" w:hAnsi="Calibri" w:cs="Calibri"/>
        </w:rPr>
        <w:t xml:space="preserve"> </w:t>
      </w:r>
      <w:r w:rsidR="00F41A14" w:rsidRPr="00D633FF">
        <w:rPr>
          <w:rFonts w:ascii="Calibri" w:hAnsi="Calibri" w:cs="Calibri"/>
          <w:noProof/>
        </w:rPr>
        <w:t>(Alexander &amp; Olsen 2023)</w:t>
      </w:r>
      <w:r w:rsidR="00872A6D" w:rsidRPr="00D633FF">
        <w:rPr>
          <w:rFonts w:ascii="Calibri" w:hAnsi="Calibri" w:cs="Calibri"/>
        </w:rPr>
        <w:t>.</w:t>
      </w:r>
      <w:r w:rsidR="00AE26B2" w:rsidRPr="00D633FF">
        <w:rPr>
          <w:rFonts w:ascii="Calibri" w:hAnsi="Calibri" w:cs="Calibri"/>
        </w:rPr>
        <w:t xml:space="preserve"> </w:t>
      </w:r>
      <w:r w:rsidRPr="00D633FF">
        <w:rPr>
          <w:rFonts w:ascii="Calibri" w:hAnsi="Calibri" w:cs="Calibri"/>
        </w:rPr>
        <w:t>In severe cases, it can result in neurological damage, respiratory distress, and cardiocirculatory failure</w:t>
      </w:r>
      <w:r w:rsidR="00872A6D" w:rsidRPr="00D633FF">
        <w:rPr>
          <w:rFonts w:ascii="Calibri" w:hAnsi="Calibri" w:cs="Calibri"/>
        </w:rPr>
        <w:t xml:space="preserve"> </w:t>
      </w:r>
      <w:r w:rsidR="00A94E07" w:rsidRPr="00D633FF">
        <w:rPr>
          <w:rFonts w:ascii="Calibri" w:hAnsi="Calibri" w:cs="Calibri"/>
        </w:rPr>
        <w:t>however these cases are rare</w:t>
      </w:r>
      <w:r w:rsidR="003E462C" w:rsidRPr="00D633FF">
        <w:rPr>
          <w:rFonts w:ascii="Calibri" w:hAnsi="Calibri" w:cs="Calibri"/>
        </w:rPr>
        <w:t>,</w:t>
      </w:r>
      <w:r w:rsidR="00A94E07" w:rsidRPr="00D633FF">
        <w:rPr>
          <w:rFonts w:ascii="Calibri" w:hAnsi="Calibri" w:cs="Calibri"/>
        </w:rPr>
        <w:t xml:space="preserve"> with</w:t>
      </w:r>
      <w:r w:rsidR="001D1212" w:rsidRPr="00D633FF">
        <w:rPr>
          <w:rFonts w:ascii="Calibri" w:hAnsi="Calibri" w:cs="Calibri"/>
        </w:rPr>
        <w:t xml:space="preserve"> </w:t>
      </w:r>
      <w:r w:rsidR="00F41A14" w:rsidRPr="00D633FF">
        <w:rPr>
          <w:rFonts w:ascii="Calibri" w:hAnsi="Calibri" w:cs="Calibri"/>
          <w:noProof/>
        </w:rPr>
        <w:t>Gasmi et al. (1997)</w:t>
      </w:r>
      <w:r w:rsidR="00A94E07" w:rsidRPr="00D633FF">
        <w:rPr>
          <w:rFonts w:ascii="Calibri" w:hAnsi="Calibri" w:cs="Calibri"/>
        </w:rPr>
        <w:t xml:space="preserve"> </w:t>
      </w:r>
      <w:r w:rsidR="006E56C4" w:rsidRPr="00D633FF">
        <w:rPr>
          <w:rFonts w:ascii="Calibri" w:hAnsi="Calibri" w:cs="Calibri"/>
        </w:rPr>
        <w:t xml:space="preserve">citing only 18 documented cases </w:t>
      </w:r>
      <w:r w:rsidR="00D856C0" w:rsidRPr="00D633FF">
        <w:rPr>
          <w:rFonts w:ascii="Calibri" w:hAnsi="Calibri" w:cs="Calibri"/>
        </w:rPr>
        <w:t xml:space="preserve">globally </w:t>
      </w:r>
      <w:r w:rsidR="006E56C4" w:rsidRPr="00D633FF">
        <w:rPr>
          <w:rFonts w:ascii="Calibri" w:hAnsi="Calibri" w:cs="Calibri"/>
        </w:rPr>
        <w:t xml:space="preserve">before 1997, half of them fatal, generally </w:t>
      </w:r>
      <w:proofErr w:type="gramStart"/>
      <w:r w:rsidR="006E56C4" w:rsidRPr="00D633FF">
        <w:rPr>
          <w:rFonts w:ascii="Calibri" w:hAnsi="Calibri" w:cs="Calibri"/>
        </w:rPr>
        <w:t>as a result of</w:t>
      </w:r>
      <w:proofErr w:type="gramEnd"/>
      <w:r w:rsidR="006E56C4" w:rsidRPr="00D633FF">
        <w:rPr>
          <w:rFonts w:ascii="Calibri" w:hAnsi="Calibri" w:cs="Calibri"/>
        </w:rPr>
        <w:t xml:space="preserve"> cardiocirculatory failure and or pulmonary oedema</w:t>
      </w:r>
      <w:r w:rsidR="0079436B" w:rsidRPr="00D633FF">
        <w:rPr>
          <w:rFonts w:ascii="Calibri" w:hAnsi="Calibri" w:cs="Calibri"/>
        </w:rPr>
        <w:t>.</w:t>
      </w:r>
      <w:r w:rsidR="006E56C4" w:rsidRPr="00D633FF">
        <w:rPr>
          <w:rFonts w:ascii="Calibri" w:hAnsi="Calibri" w:cs="Calibri"/>
        </w:rPr>
        <w:t xml:space="preserve"> </w:t>
      </w:r>
      <w:r w:rsidR="007D5FAD" w:rsidRPr="00D633FF">
        <w:rPr>
          <w:rFonts w:ascii="Calibri" w:hAnsi="Calibri" w:cs="Calibri"/>
        </w:rPr>
        <w:t xml:space="preserve">The </w:t>
      </w:r>
      <w:r w:rsidR="005402BD" w:rsidRPr="00D633FF">
        <w:rPr>
          <w:rFonts w:ascii="Calibri" w:hAnsi="Calibri" w:cs="Calibri"/>
        </w:rPr>
        <w:t>largest</w:t>
      </w:r>
      <w:r w:rsidR="007D5FAD" w:rsidRPr="00D633FF">
        <w:rPr>
          <w:rFonts w:ascii="Calibri" w:hAnsi="Calibri" w:cs="Calibri"/>
        </w:rPr>
        <w:t xml:space="preserve"> </w:t>
      </w:r>
      <w:r w:rsidR="005402BD" w:rsidRPr="00D633FF">
        <w:rPr>
          <w:rFonts w:ascii="Calibri" w:hAnsi="Calibri" w:cs="Calibri"/>
        </w:rPr>
        <w:t>case</w:t>
      </w:r>
      <w:r w:rsidR="00566277" w:rsidRPr="00D633FF">
        <w:rPr>
          <w:rFonts w:ascii="Calibri" w:hAnsi="Calibri" w:cs="Calibri"/>
        </w:rPr>
        <w:t xml:space="preserve"> of selenium toxicity in the </w:t>
      </w:r>
      <w:r w:rsidR="00D7088E" w:rsidRPr="00D633FF">
        <w:rPr>
          <w:rFonts w:ascii="Calibri" w:hAnsi="Calibri" w:cs="Calibri"/>
        </w:rPr>
        <w:t>U</w:t>
      </w:r>
      <w:r w:rsidR="00457A71" w:rsidRPr="00D633FF">
        <w:rPr>
          <w:rFonts w:ascii="Calibri" w:hAnsi="Calibri" w:cs="Calibri"/>
        </w:rPr>
        <w:t xml:space="preserve">nited </w:t>
      </w:r>
      <w:r w:rsidR="00D7088E" w:rsidRPr="00D633FF">
        <w:rPr>
          <w:rFonts w:ascii="Calibri" w:hAnsi="Calibri" w:cs="Calibri"/>
        </w:rPr>
        <w:t>S</w:t>
      </w:r>
      <w:r w:rsidR="00457A71" w:rsidRPr="00D633FF">
        <w:rPr>
          <w:rFonts w:ascii="Calibri" w:hAnsi="Calibri" w:cs="Calibri"/>
        </w:rPr>
        <w:t>tates of America</w:t>
      </w:r>
      <w:r w:rsidR="00D7088E" w:rsidRPr="00D633FF">
        <w:rPr>
          <w:rFonts w:ascii="Calibri" w:hAnsi="Calibri" w:cs="Calibri"/>
        </w:rPr>
        <w:t xml:space="preserve"> </w:t>
      </w:r>
      <w:r w:rsidR="00C2155D" w:rsidRPr="00D633FF">
        <w:rPr>
          <w:rFonts w:ascii="Calibri" w:hAnsi="Calibri" w:cs="Calibri"/>
        </w:rPr>
        <w:t xml:space="preserve">was due to </w:t>
      </w:r>
      <w:r w:rsidR="002B34E5" w:rsidRPr="00D633FF">
        <w:rPr>
          <w:rFonts w:ascii="Calibri" w:hAnsi="Calibri" w:cs="Calibri"/>
        </w:rPr>
        <w:t xml:space="preserve">the </w:t>
      </w:r>
      <w:r w:rsidR="00C2155D" w:rsidRPr="00D633FF">
        <w:rPr>
          <w:rFonts w:ascii="Calibri" w:hAnsi="Calibri" w:cs="Calibri"/>
        </w:rPr>
        <w:t xml:space="preserve">misformulation of a dietary supplement </w:t>
      </w:r>
      <w:r w:rsidR="00E814DB" w:rsidRPr="00D633FF">
        <w:rPr>
          <w:rFonts w:ascii="Calibri" w:hAnsi="Calibri" w:cs="Calibri"/>
        </w:rPr>
        <w:t xml:space="preserve">that contained 200 times the </w:t>
      </w:r>
      <w:r w:rsidR="00457A71" w:rsidRPr="00D633FF">
        <w:rPr>
          <w:rFonts w:ascii="Calibri" w:hAnsi="Calibri" w:cs="Calibri"/>
        </w:rPr>
        <w:t>labelled</w:t>
      </w:r>
      <w:r w:rsidR="00E814DB" w:rsidRPr="00D633FF">
        <w:rPr>
          <w:rFonts w:ascii="Calibri" w:hAnsi="Calibri" w:cs="Calibri"/>
        </w:rPr>
        <w:t xml:space="preserve"> concentration of selenium</w:t>
      </w:r>
      <w:r w:rsidR="002B34E5" w:rsidRPr="00D633FF">
        <w:rPr>
          <w:rFonts w:ascii="Calibri" w:hAnsi="Calibri" w:cs="Calibri"/>
        </w:rPr>
        <w:t xml:space="preserve">. The </w:t>
      </w:r>
      <w:r w:rsidR="007F5870" w:rsidRPr="00D633FF">
        <w:rPr>
          <w:rFonts w:ascii="Calibri" w:hAnsi="Calibri" w:cs="Calibri"/>
        </w:rPr>
        <w:t>outbreak affected</w:t>
      </w:r>
      <w:r w:rsidR="00AA11CF" w:rsidRPr="00D633FF">
        <w:rPr>
          <w:rFonts w:ascii="Calibri" w:hAnsi="Calibri" w:cs="Calibri"/>
        </w:rPr>
        <w:t xml:space="preserve"> </w:t>
      </w:r>
      <w:r w:rsidR="001D3587" w:rsidRPr="00D633FF">
        <w:rPr>
          <w:rFonts w:ascii="Calibri" w:hAnsi="Calibri" w:cs="Calibri"/>
        </w:rPr>
        <w:t>201</w:t>
      </w:r>
      <w:r w:rsidR="007F5870" w:rsidRPr="00D633FF">
        <w:rPr>
          <w:rFonts w:ascii="Calibri" w:hAnsi="Calibri" w:cs="Calibri"/>
        </w:rPr>
        <w:t xml:space="preserve"> </w:t>
      </w:r>
      <w:r w:rsidR="001D3587" w:rsidRPr="00D633FF">
        <w:rPr>
          <w:rFonts w:ascii="Calibri" w:hAnsi="Calibri" w:cs="Calibri"/>
        </w:rPr>
        <w:t>people</w:t>
      </w:r>
      <w:r w:rsidR="007F5870" w:rsidRPr="00D633FF">
        <w:rPr>
          <w:rFonts w:ascii="Calibri" w:hAnsi="Calibri" w:cs="Calibri"/>
        </w:rPr>
        <w:t>,</w:t>
      </w:r>
      <w:r w:rsidR="001D3587" w:rsidRPr="00D633FF">
        <w:rPr>
          <w:rFonts w:ascii="Calibri" w:hAnsi="Calibri" w:cs="Calibri"/>
        </w:rPr>
        <w:t xml:space="preserve"> with </w:t>
      </w:r>
      <w:r w:rsidR="00627585" w:rsidRPr="00D633FF">
        <w:rPr>
          <w:rFonts w:ascii="Calibri" w:hAnsi="Calibri" w:cs="Calibri"/>
        </w:rPr>
        <w:t>frequently reported symptoms including diarrhoea, fatigue</w:t>
      </w:r>
      <w:r w:rsidR="007F1D6D" w:rsidRPr="00D633FF">
        <w:rPr>
          <w:rFonts w:ascii="Calibri" w:hAnsi="Calibri" w:cs="Calibri"/>
        </w:rPr>
        <w:t>, hair loss, joint pain, nail discolouration or brittleness</w:t>
      </w:r>
      <w:r w:rsidR="005402BD" w:rsidRPr="00D633FF">
        <w:rPr>
          <w:rFonts w:ascii="Calibri" w:hAnsi="Calibri" w:cs="Calibri"/>
        </w:rPr>
        <w:t>,</w:t>
      </w:r>
      <w:r w:rsidR="007F1D6D" w:rsidRPr="00D633FF">
        <w:rPr>
          <w:rFonts w:ascii="Calibri" w:hAnsi="Calibri" w:cs="Calibri"/>
        </w:rPr>
        <w:t xml:space="preserve"> and nausea</w:t>
      </w:r>
      <w:r w:rsidR="006038F3" w:rsidRPr="00D633FF">
        <w:rPr>
          <w:rFonts w:ascii="Calibri" w:hAnsi="Calibri" w:cs="Calibri"/>
        </w:rPr>
        <w:t>;</w:t>
      </w:r>
      <w:r w:rsidR="007F1D6D" w:rsidRPr="00D633FF">
        <w:rPr>
          <w:rFonts w:ascii="Calibri" w:hAnsi="Calibri" w:cs="Calibri"/>
        </w:rPr>
        <w:t xml:space="preserve"> 1 person </w:t>
      </w:r>
      <w:r w:rsidR="006038F3" w:rsidRPr="00D633FF">
        <w:rPr>
          <w:rFonts w:ascii="Calibri" w:hAnsi="Calibri" w:cs="Calibri"/>
        </w:rPr>
        <w:t xml:space="preserve">was </w:t>
      </w:r>
      <w:r w:rsidR="007F1D6D" w:rsidRPr="00D633FF">
        <w:rPr>
          <w:rFonts w:ascii="Calibri" w:hAnsi="Calibri" w:cs="Calibri"/>
        </w:rPr>
        <w:t>hospitalised</w:t>
      </w:r>
      <w:r w:rsidR="002B34E5" w:rsidRPr="00D633FF">
        <w:rPr>
          <w:rFonts w:ascii="Calibri" w:hAnsi="Calibri" w:cs="Calibri"/>
        </w:rPr>
        <w:t xml:space="preserve"> </w:t>
      </w:r>
      <w:r w:rsidR="00F41A14" w:rsidRPr="00D633FF">
        <w:rPr>
          <w:rFonts w:ascii="Calibri" w:hAnsi="Calibri" w:cs="Calibri"/>
          <w:noProof/>
        </w:rPr>
        <w:t>(MacFarquhar et al. 2010; Morris &amp; Crane 2013)</w:t>
      </w:r>
      <w:r w:rsidR="00F346C8" w:rsidRPr="00D633FF">
        <w:rPr>
          <w:rFonts w:ascii="Calibri" w:hAnsi="Calibri" w:cs="Calibri"/>
        </w:rPr>
        <w:t>.</w:t>
      </w:r>
      <w:r w:rsidR="00D4439F" w:rsidRPr="00D633FF">
        <w:rPr>
          <w:rFonts w:ascii="Calibri" w:hAnsi="Calibri" w:cs="Calibri"/>
        </w:rPr>
        <w:t xml:space="preserve"> </w:t>
      </w:r>
      <w:r w:rsidR="00FF4B33" w:rsidRPr="00D633FF">
        <w:rPr>
          <w:rFonts w:ascii="Calibri" w:hAnsi="Calibri" w:cs="Calibri"/>
        </w:rPr>
        <w:t>In Australia, the only</w:t>
      </w:r>
      <w:r w:rsidRPr="00D633FF">
        <w:rPr>
          <w:rFonts w:ascii="Calibri" w:hAnsi="Calibri" w:cs="Calibri"/>
        </w:rPr>
        <w:t xml:space="preserve"> </w:t>
      </w:r>
      <w:r w:rsidR="00FF4B33" w:rsidRPr="00D633FF">
        <w:rPr>
          <w:rFonts w:ascii="Calibri" w:hAnsi="Calibri" w:cs="Calibri"/>
        </w:rPr>
        <w:t xml:space="preserve">reported case of </w:t>
      </w:r>
      <w:r w:rsidRPr="00D633FF">
        <w:rPr>
          <w:rFonts w:ascii="Calibri" w:hAnsi="Calibri" w:cs="Calibri"/>
        </w:rPr>
        <w:t>accidental death due to the ingestion of a sodium selenite dose that was 10,000 times the recommended daily intake</w:t>
      </w:r>
      <w:r w:rsidR="007E2DC4" w:rsidRPr="00D633FF">
        <w:rPr>
          <w:rFonts w:ascii="Calibri" w:hAnsi="Calibri" w:cs="Calibri"/>
        </w:rPr>
        <w:t xml:space="preserve"> </w:t>
      </w:r>
      <w:r w:rsidR="00F41A14" w:rsidRPr="00D633FF">
        <w:rPr>
          <w:rFonts w:ascii="Calibri" w:hAnsi="Calibri" w:cs="Calibri"/>
          <w:noProof/>
        </w:rPr>
        <w:t>(See et al. 2006)</w:t>
      </w:r>
      <w:r w:rsidR="00837D64" w:rsidRPr="00D633FF">
        <w:rPr>
          <w:rFonts w:ascii="Calibri" w:hAnsi="Calibri" w:cs="Calibri"/>
        </w:rPr>
        <w:t>.</w:t>
      </w:r>
    </w:p>
    <w:p w14:paraId="0D823EBD" w14:textId="1EAAEBE7" w:rsidR="00CE51A7" w:rsidRPr="00D633FF" w:rsidRDefault="00CE51A7" w:rsidP="00A62838">
      <w:pPr>
        <w:spacing w:line="360" w:lineRule="auto"/>
        <w:rPr>
          <w:rFonts w:ascii="Calibri" w:hAnsi="Calibri" w:cs="Calibri"/>
        </w:rPr>
      </w:pPr>
      <w:r w:rsidRPr="00D633FF">
        <w:rPr>
          <w:rFonts w:ascii="Calibri" w:hAnsi="Calibri" w:cs="Calibri"/>
        </w:rPr>
        <w:t>In Australia and New Zealand, the risk of selenium toxicity is relatively low due to the moderate selenium levels in the soil and food supply</w:t>
      </w:r>
      <w:r w:rsidR="00B73FD7" w:rsidRPr="00D633FF">
        <w:rPr>
          <w:rFonts w:ascii="Calibri" w:hAnsi="Calibri" w:cs="Calibri"/>
        </w:rPr>
        <w:t xml:space="preserve"> </w:t>
      </w:r>
      <w:r w:rsidR="00F41A14" w:rsidRPr="00D633FF">
        <w:rPr>
          <w:rFonts w:ascii="Calibri" w:hAnsi="Calibri" w:cs="Calibri"/>
          <w:noProof/>
        </w:rPr>
        <w:t>(Lymbury et al. 2008)</w:t>
      </w:r>
      <w:r w:rsidRPr="00D633FF">
        <w:rPr>
          <w:rFonts w:ascii="Calibri" w:hAnsi="Calibri" w:cs="Calibri"/>
        </w:rPr>
        <w:t>. While certain regions in Australia, such as central Queensland, have selenium-rich soils, the overall dietary selenium intake remains within safe limits for most of the population</w:t>
      </w:r>
      <w:r w:rsidR="007E2DC4" w:rsidRPr="00D633FF">
        <w:rPr>
          <w:rFonts w:ascii="Calibri" w:hAnsi="Calibri" w:cs="Calibri"/>
        </w:rPr>
        <w:t xml:space="preserve"> </w:t>
      </w:r>
      <w:r w:rsidR="00F41A14" w:rsidRPr="00D633FF">
        <w:rPr>
          <w:rFonts w:ascii="Calibri" w:hAnsi="Calibri" w:cs="Calibri"/>
          <w:noProof/>
        </w:rPr>
        <w:t>(Judson &amp; Reuter 1999; Reilly 1996)</w:t>
      </w:r>
      <w:r w:rsidR="00BB7B6F" w:rsidRPr="00D633FF">
        <w:rPr>
          <w:rFonts w:ascii="Calibri" w:hAnsi="Calibri" w:cs="Calibri"/>
        </w:rPr>
        <w:t xml:space="preserve">. </w:t>
      </w:r>
      <w:r w:rsidRPr="00D633FF">
        <w:rPr>
          <w:rFonts w:ascii="Calibri" w:hAnsi="Calibri" w:cs="Calibri"/>
        </w:rPr>
        <w:t xml:space="preserve">In New Zealand, despite generally low soil selenium levels, </w:t>
      </w:r>
      <w:r w:rsidR="00E47622" w:rsidRPr="00D633FF">
        <w:rPr>
          <w:rFonts w:ascii="Calibri" w:hAnsi="Calibri" w:cs="Calibri"/>
        </w:rPr>
        <w:t xml:space="preserve">it has been suggested that </w:t>
      </w:r>
      <w:r w:rsidR="00A133B5" w:rsidRPr="00D633FF">
        <w:rPr>
          <w:rFonts w:ascii="Calibri" w:hAnsi="Calibri" w:cs="Calibri"/>
        </w:rPr>
        <w:t xml:space="preserve">selenium </w:t>
      </w:r>
      <w:r w:rsidRPr="00D633FF">
        <w:rPr>
          <w:rFonts w:ascii="Calibri" w:hAnsi="Calibri" w:cs="Calibri"/>
        </w:rPr>
        <w:t xml:space="preserve">status has improved </w:t>
      </w:r>
      <w:r w:rsidRPr="00D633FF">
        <w:rPr>
          <w:rFonts w:ascii="Calibri" w:hAnsi="Calibri" w:cs="Calibri"/>
        </w:rPr>
        <w:lastRenderedPageBreak/>
        <w:t>through the importation of selenium-rich foods from Australia and other source</w:t>
      </w:r>
      <w:r w:rsidR="00E55D68" w:rsidRPr="00D633FF">
        <w:rPr>
          <w:rFonts w:ascii="Calibri" w:hAnsi="Calibri" w:cs="Calibri"/>
        </w:rPr>
        <w:t xml:space="preserve">s </w:t>
      </w:r>
      <w:r w:rsidR="00F41A14" w:rsidRPr="00D633FF">
        <w:rPr>
          <w:rFonts w:ascii="Calibri" w:hAnsi="Calibri" w:cs="Calibri"/>
          <w:noProof/>
        </w:rPr>
        <w:t>(Thomson 2004; Thomson et al. 2007)</w:t>
      </w:r>
      <w:r w:rsidRPr="00D633FF">
        <w:rPr>
          <w:rFonts w:ascii="Calibri" w:hAnsi="Calibri" w:cs="Calibri"/>
        </w:rPr>
        <w:t xml:space="preserve">. This balanced selenium intake helps mitigate the risk of both deficiency and toxicity, ensuring that the general population in </w:t>
      </w:r>
      <w:r w:rsidR="008B5A46" w:rsidRPr="00D633FF">
        <w:rPr>
          <w:rFonts w:ascii="Calibri" w:hAnsi="Calibri" w:cs="Calibri"/>
        </w:rPr>
        <w:t>Australia and New Zealand</w:t>
      </w:r>
      <w:r w:rsidRPr="00D633FF">
        <w:rPr>
          <w:rFonts w:ascii="Calibri" w:hAnsi="Calibri" w:cs="Calibri"/>
        </w:rPr>
        <w:t xml:space="preserve"> maintains adequate selenium levels without exceeding safe limits.</w:t>
      </w:r>
    </w:p>
    <w:p w14:paraId="4FF18A59" w14:textId="2BE4913E" w:rsidR="00104BC8" w:rsidRPr="00D633FF" w:rsidRDefault="00CE51A7" w:rsidP="00A62838">
      <w:pPr>
        <w:spacing w:line="360" w:lineRule="auto"/>
        <w:rPr>
          <w:rFonts w:ascii="Calibri" w:hAnsi="Calibri" w:cs="Calibri"/>
        </w:rPr>
      </w:pPr>
      <w:r w:rsidRPr="00D633FF">
        <w:rPr>
          <w:rFonts w:ascii="Calibri" w:hAnsi="Calibri" w:cs="Calibri"/>
        </w:rPr>
        <w:t xml:space="preserve">It's also important to note that there </w:t>
      </w:r>
      <w:r w:rsidR="00E50B3C" w:rsidRPr="00D633FF">
        <w:rPr>
          <w:rFonts w:ascii="Calibri" w:hAnsi="Calibri" w:cs="Calibri"/>
        </w:rPr>
        <w:t>is limited evidence</w:t>
      </w:r>
      <w:r w:rsidRPr="00D633FF">
        <w:rPr>
          <w:rFonts w:ascii="Calibri" w:hAnsi="Calibri" w:cs="Calibri"/>
        </w:rPr>
        <w:t xml:space="preserve"> on the rates of chronic selenosis causing </w:t>
      </w:r>
      <w:r w:rsidR="007E2DC4" w:rsidRPr="00D633FF">
        <w:rPr>
          <w:rFonts w:ascii="Calibri" w:hAnsi="Calibri" w:cs="Calibri"/>
        </w:rPr>
        <w:t>alopecia</w:t>
      </w:r>
      <w:r w:rsidRPr="00D633FF">
        <w:rPr>
          <w:rFonts w:ascii="Calibri" w:hAnsi="Calibri" w:cs="Calibri"/>
        </w:rPr>
        <w:t xml:space="preserve"> in Australia and New Zealand</w:t>
      </w:r>
      <w:r w:rsidR="009B32CF" w:rsidRPr="00D633FF">
        <w:rPr>
          <w:rFonts w:ascii="Calibri" w:hAnsi="Calibri" w:cs="Calibri"/>
        </w:rPr>
        <w:t xml:space="preserve"> with t</w:t>
      </w:r>
      <w:r w:rsidR="00EA69BF" w:rsidRPr="00D633FF">
        <w:rPr>
          <w:rFonts w:ascii="Calibri" w:hAnsi="Calibri" w:cs="Calibri"/>
        </w:rPr>
        <w:t xml:space="preserve">he </w:t>
      </w:r>
      <w:r w:rsidR="00F41A14" w:rsidRPr="00D633FF">
        <w:rPr>
          <w:rFonts w:ascii="Calibri" w:hAnsi="Calibri" w:cs="Calibri"/>
          <w:noProof/>
        </w:rPr>
        <w:t>Lippman et al. (2009)</w:t>
      </w:r>
      <w:r w:rsidR="00EA69BF" w:rsidRPr="00D633FF">
        <w:rPr>
          <w:rFonts w:ascii="Calibri" w:hAnsi="Calibri" w:cs="Calibri"/>
        </w:rPr>
        <w:t xml:space="preserve"> </w:t>
      </w:r>
      <w:r w:rsidR="009B32CF" w:rsidRPr="00D633FF">
        <w:rPr>
          <w:rFonts w:ascii="Calibri" w:hAnsi="Calibri" w:cs="Calibri"/>
        </w:rPr>
        <w:t>study being</w:t>
      </w:r>
      <w:r w:rsidR="00EA69BF" w:rsidRPr="00D633FF">
        <w:rPr>
          <w:rFonts w:ascii="Calibri" w:hAnsi="Calibri" w:cs="Calibri"/>
        </w:rPr>
        <w:t xml:space="preserve"> conducted in United States, Canada and Puerto Rico.</w:t>
      </w:r>
      <w:r w:rsidR="00E50B3C" w:rsidRPr="00D633FF">
        <w:rPr>
          <w:rFonts w:ascii="Calibri" w:hAnsi="Calibri" w:cs="Calibri"/>
        </w:rPr>
        <w:t xml:space="preserve"> Part of the </w:t>
      </w:r>
      <w:r w:rsidR="00E35B88" w:rsidRPr="00D633FF">
        <w:rPr>
          <w:rFonts w:ascii="Calibri" w:hAnsi="Calibri" w:cs="Calibri"/>
        </w:rPr>
        <w:t>challenge</w:t>
      </w:r>
      <w:r w:rsidR="00E50B3C" w:rsidRPr="00D633FF">
        <w:rPr>
          <w:rFonts w:ascii="Calibri" w:hAnsi="Calibri" w:cs="Calibri"/>
        </w:rPr>
        <w:t xml:space="preserve"> in assessing high selenium exposure is that there is some evidence to suggest populations can adapt to or tolerate high selenium intakes without showing major clinical symptoms</w:t>
      </w:r>
      <w:r w:rsidR="00C83ADD" w:rsidRPr="00D633FF">
        <w:rPr>
          <w:rFonts w:ascii="Calibri" w:hAnsi="Calibri" w:cs="Calibri"/>
        </w:rPr>
        <w:t xml:space="preserve"> </w:t>
      </w:r>
      <w:r w:rsidR="00F41A14" w:rsidRPr="00D633FF">
        <w:rPr>
          <w:rFonts w:ascii="Calibri" w:hAnsi="Calibri" w:cs="Calibri"/>
          <w:noProof/>
        </w:rPr>
        <w:t>(Fordyce 2012; World Health Organization 1996)</w:t>
      </w:r>
      <w:r w:rsidR="00E50B3C" w:rsidRPr="00D633FF">
        <w:rPr>
          <w:rFonts w:ascii="Calibri" w:hAnsi="Calibri" w:cs="Calibri"/>
        </w:rPr>
        <w:t xml:space="preserve">. </w:t>
      </w:r>
      <w:r w:rsidRPr="00D633FF">
        <w:rPr>
          <w:rFonts w:ascii="Calibri" w:hAnsi="Calibri" w:cs="Calibri"/>
        </w:rPr>
        <w:t>This lack of data makes it challenging to fully understand the prevalence and impact of chronic selenium toxicity in these regions.</w:t>
      </w:r>
      <w:r w:rsidR="007E2DC4" w:rsidRPr="00D633FF">
        <w:rPr>
          <w:rFonts w:ascii="Calibri" w:hAnsi="Calibri" w:cs="Calibri"/>
        </w:rPr>
        <w:t xml:space="preserve"> </w:t>
      </w:r>
      <w:r w:rsidR="00B173BD" w:rsidRPr="00D633FF">
        <w:rPr>
          <w:rFonts w:ascii="Calibri" w:hAnsi="Calibri" w:cs="Calibri"/>
        </w:rPr>
        <w:t xml:space="preserve">Globally, soil selenium levels are highly </w:t>
      </w:r>
      <w:proofErr w:type="gramStart"/>
      <w:r w:rsidR="00B173BD" w:rsidRPr="00D633FF">
        <w:rPr>
          <w:rFonts w:ascii="Calibri" w:hAnsi="Calibri" w:cs="Calibri"/>
        </w:rPr>
        <w:t>variable</w:t>
      </w:r>
      <w:proofErr w:type="gramEnd"/>
      <w:r w:rsidR="00B173BD" w:rsidRPr="00D633FF">
        <w:rPr>
          <w:rFonts w:ascii="Calibri" w:hAnsi="Calibri" w:cs="Calibri"/>
        </w:rPr>
        <w:t xml:space="preserve"> and this is also the case within Australi</w:t>
      </w:r>
      <w:r w:rsidR="00F62021" w:rsidRPr="00D633FF">
        <w:rPr>
          <w:rFonts w:ascii="Calibri" w:hAnsi="Calibri" w:cs="Calibri"/>
        </w:rPr>
        <w:t>a</w:t>
      </w:r>
      <w:r w:rsidR="0078435B" w:rsidRPr="00D633FF">
        <w:rPr>
          <w:rFonts w:ascii="Calibri" w:hAnsi="Calibri" w:cs="Calibri"/>
        </w:rPr>
        <w:t xml:space="preserve"> </w:t>
      </w:r>
      <w:r w:rsidR="00F41A14" w:rsidRPr="00D633FF">
        <w:rPr>
          <w:rFonts w:ascii="Calibri" w:hAnsi="Calibri" w:cs="Calibri"/>
          <w:noProof/>
        </w:rPr>
        <w:t>(Fordyce 2012)</w:t>
      </w:r>
      <w:r w:rsidR="00FA6E40" w:rsidRPr="00D633FF">
        <w:rPr>
          <w:rFonts w:ascii="Calibri" w:hAnsi="Calibri" w:cs="Calibri"/>
        </w:rPr>
        <w:t>.</w:t>
      </w:r>
    </w:p>
    <w:p w14:paraId="2AB969CB" w14:textId="77777777" w:rsidR="00D84C87" w:rsidRPr="00D633FF" w:rsidRDefault="00D84C87">
      <w:pPr>
        <w:rPr>
          <w:rFonts w:ascii="Calibri" w:eastAsiaTheme="majorEastAsia" w:hAnsi="Calibri" w:cs="Calibri"/>
          <w:b/>
          <w:bCs/>
          <w:color w:val="0F4761" w:themeColor="accent1" w:themeShade="BF"/>
          <w:sz w:val="40"/>
          <w:szCs w:val="40"/>
        </w:rPr>
      </w:pPr>
      <w:r w:rsidRPr="00D633FF">
        <w:rPr>
          <w:rFonts w:ascii="Calibri" w:hAnsi="Calibri" w:cs="Calibri"/>
          <w:b/>
          <w:bCs/>
        </w:rPr>
        <w:br w:type="page"/>
      </w:r>
    </w:p>
    <w:p w14:paraId="1A9E4C51" w14:textId="1148A39D" w:rsidR="00923AE9" w:rsidRPr="00D633FF" w:rsidRDefault="00E13774" w:rsidP="00A62838">
      <w:pPr>
        <w:pStyle w:val="Heading1"/>
        <w:spacing w:line="360" w:lineRule="auto"/>
        <w:rPr>
          <w:rFonts w:ascii="Calibri" w:hAnsi="Calibri" w:cs="Calibri"/>
          <w:b/>
          <w:bCs/>
        </w:rPr>
      </w:pPr>
      <w:bookmarkStart w:id="44" w:name="_Toc218527970"/>
      <w:r w:rsidRPr="00D633FF">
        <w:rPr>
          <w:rFonts w:ascii="Calibri" w:hAnsi="Calibri" w:cs="Calibri"/>
          <w:b/>
          <w:bCs/>
        </w:rPr>
        <w:lastRenderedPageBreak/>
        <w:t>Summary of Evidence</w:t>
      </w:r>
      <w:bookmarkEnd w:id="44"/>
    </w:p>
    <w:p w14:paraId="5097FDC3" w14:textId="36B672DC" w:rsidR="00DE7362" w:rsidRPr="00D633FF" w:rsidRDefault="00FF31DA" w:rsidP="00A62838">
      <w:pPr>
        <w:pStyle w:val="Heading2"/>
        <w:spacing w:line="360" w:lineRule="auto"/>
        <w:rPr>
          <w:rFonts w:ascii="Calibri" w:hAnsi="Calibri" w:cs="Calibri"/>
        </w:rPr>
      </w:pPr>
      <w:bookmarkStart w:id="45" w:name="_Toc218527971"/>
      <w:r w:rsidRPr="00D633FF">
        <w:rPr>
          <w:rFonts w:ascii="Calibri" w:hAnsi="Calibri" w:cs="Calibri"/>
        </w:rPr>
        <w:t>I</w:t>
      </w:r>
      <w:r w:rsidR="00462951" w:rsidRPr="00D633FF">
        <w:rPr>
          <w:rFonts w:ascii="Calibri" w:hAnsi="Calibri" w:cs="Calibri"/>
        </w:rPr>
        <w:t>ntake, status and h</w:t>
      </w:r>
      <w:r w:rsidR="002F48ED" w:rsidRPr="00D633FF">
        <w:rPr>
          <w:rFonts w:ascii="Calibri" w:hAnsi="Calibri" w:cs="Calibri"/>
        </w:rPr>
        <w:t xml:space="preserve">ealth </w:t>
      </w:r>
      <w:r w:rsidR="00F26110" w:rsidRPr="00D633FF">
        <w:rPr>
          <w:rFonts w:ascii="Calibri" w:hAnsi="Calibri" w:cs="Calibri"/>
        </w:rPr>
        <w:t>relationships</w:t>
      </w:r>
      <w:bookmarkEnd w:id="45"/>
    </w:p>
    <w:p w14:paraId="520C3370" w14:textId="1552C8D8" w:rsidR="008A147A" w:rsidRPr="00D633FF" w:rsidRDefault="00CE2D01" w:rsidP="008A147A">
      <w:pPr>
        <w:pStyle w:val="Heading3"/>
        <w:rPr>
          <w:rStyle w:val="Heading4Char"/>
          <w:rFonts w:ascii="Calibri" w:hAnsi="Calibri" w:cs="Calibri"/>
        </w:rPr>
      </w:pPr>
      <w:bookmarkStart w:id="46" w:name="_Toc218527972"/>
      <w:r w:rsidRPr="00D633FF">
        <w:rPr>
          <w:rStyle w:val="Heading4Char"/>
          <w:rFonts w:ascii="Calibri" w:hAnsi="Calibri" w:cs="Calibri"/>
        </w:rPr>
        <w:t>Alopecia</w:t>
      </w:r>
      <w:bookmarkEnd w:id="46"/>
    </w:p>
    <w:p w14:paraId="46B80B8B" w14:textId="67ADAE5E" w:rsidR="00BB1C58" w:rsidRPr="00D633FF" w:rsidRDefault="00DE7362" w:rsidP="00BB1C58">
      <w:pPr>
        <w:pStyle w:val="NoSpacing"/>
        <w:spacing w:line="360" w:lineRule="auto"/>
        <w:rPr>
          <w:rFonts w:ascii="Calibri" w:hAnsi="Calibri" w:cs="Calibri"/>
        </w:rPr>
      </w:pPr>
      <w:r w:rsidRPr="00D633FF">
        <w:rPr>
          <w:rFonts w:ascii="Calibri" w:hAnsi="Calibri" w:cs="Calibri"/>
        </w:rPr>
        <w:t>The SELECT</w:t>
      </w:r>
      <w:r w:rsidR="00A83FB9" w:rsidRPr="00D633FF">
        <w:rPr>
          <w:rFonts w:ascii="Calibri" w:hAnsi="Calibri" w:cs="Calibri"/>
        </w:rPr>
        <w:t xml:space="preserve"> study (</w:t>
      </w:r>
      <w:r w:rsidRPr="00D633FF">
        <w:rPr>
          <w:rFonts w:ascii="Calibri" w:hAnsi="Calibri" w:cs="Calibri"/>
        </w:rPr>
        <w:t xml:space="preserve">involving over 8,700 healthy men </w:t>
      </w:r>
      <w:r w:rsidR="00CF2406" w:rsidRPr="00D633FF">
        <w:rPr>
          <w:rFonts w:ascii="Calibri" w:hAnsi="Calibri" w:cs="Calibri"/>
        </w:rPr>
        <w:t xml:space="preserve">per arm, </w:t>
      </w:r>
      <w:r w:rsidRPr="00D633FF">
        <w:rPr>
          <w:rFonts w:ascii="Calibri" w:hAnsi="Calibri" w:cs="Calibri"/>
        </w:rPr>
        <w:t>aged 50 and above</w:t>
      </w:r>
      <w:r w:rsidR="00A83FB9" w:rsidRPr="00D633FF">
        <w:rPr>
          <w:rFonts w:ascii="Calibri" w:hAnsi="Calibri" w:cs="Calibri"/>
        </w:rPr>
        <w:t xml:space="preserve">), </w:t>
      </w:r>
      <w:r w:rsidRPr="00D633FF">
        <w:rPr>
          <w:rFonts w:ascii="Calibri" w:hAnsi="Calibri" w:cs="Calibri"/>
        </w:rPr>
        <w:t xml:space="preserve">investigated the effects of selenium supplementation (200 μg/day) </w:t>
      </w:r>
      <w:r w:rsidR="0051155A" w:rsidRPr="00D633FF">
        <w:rPr>
          <w:rFonts w:ascii="Calibri" w:hAnsi="Calibri" w:cs="Calibri"/>
        </w:rPr>
        <w:t xml:space="preserve">in addition to a background diet (130 μg/day) </w:t>
      </w:r>
      <w:r w:rsidRPr="00D633FF">
        <w:rPr>
          <w:rFonts w:ascii="Calibri" w:hAnsi="Calibri" w:cs="Calibri"/>
        </w:rPr>
        <w:t>over a median of 5.5 years</w:t>
      </w:r>
      <w:r w:rsidR="00F0711D" w:rsidRPr="00D633FF">
        <w:rPr>
          <w:rFonts w:ascii="Calibri" w:hAnsi="Calibri" w:cs="Calibri"/>
        </w:rPr>
        <w:t xml:space="preserve"> </w:t>
      </w:r>
      <w:r w:rsidR="00F41A14" w:rsidRPr="00D633FF">
        <w:rPr>
          <w:rFonts w:ascii="Calibri" w:hAnsi="Calibri" w:cs="Calibri"/>
          <w:noProof/>
        </w:rPr>
        <w:t>(Lippman et al. 2009)</w:t>
      </w:r>
      <w:r w:rsidRPr="00D633FF">
        <w:rPr>
          <w:rFonts w:ascii="Calibri" w:hAnsi="Calibri" w:cs="Calibri"/>
        </w:rPr>
        <w:t>. The study found that selenium intake increased serum selenium levels significantly</w:t>
      </w:r>
      <w:r w:rsidR="007B7A34" w:rsidRPr="00D633FF">
        <w:rPr>
          <w:rFonts w:ascii="Calibri" w:hAnsi="Calibri" w:cs="Calibri"/>
        </w:rPr>
        <w:t>,</w:t>
      </w:r>
      <w:r w:rsidRPr="00D633FF">
        <w:rPr>
          <w:rFonts w:ascii="Calibri" w:hAnsi="Calibri" w:cs="Calibri"/>
        </w:rPr>
        <w:t xml:space="preserve"> compared to the placebo group. The primary endpoint was prostate cancer incidence, with secondary endpoints including other cancers, deaths, and cardiovascular events. Notably, the study reported a significantly increased risk of alopecia and other adverse events such as dermatitis</w:t>
      </w:r>
      <w:r w:rsidR="006D43A6" w:rsidRPr="00D633FF">
        <w:rPr>
          <w:rFonts w:ascii="Calibri" w:hAnsi="Calibri" w:cs="Calibri"/>
        </w:rPr>
        <w:t xml:space="preserve"> (grade 1-2)</w:t>
      </w:r>
      <w:r w:rsidRPr="00D633FF">
        <w:rPr>
          <w:rFonts w:ascii="Calibri" w:hAnsi="Calibri" w:cs="Calibri"/>
        </w:rPr>
        <w:t>, halitosis, fatigue, and nausea in the selenium group.</w:t>
      </w:r>
      <w:r w:rsidR="00E83BDF" w:rsidRPr="00D633FF">
        <w:rPr>
          <w:rFonts w:ascii="Calibri" w:hAnsi="Calibri" w:cs="Calibri"/>
        </w:rPr>
        <w:t xml:space="preserve"> Strengths of the SELECT study were its large sample size (around 8,700 individuals per arm), its controlled setting regarding selenium intake (ﬁxed supplemental dose), the high level of compliance, and its long duration.</w:t>
      </w:r>
      <w:r w:rsidR="00304FD7" w:rsidRPr="00D633FF">
        <w:rPr>
          <w:rFonts w:ascii="Calibri" w:hAnsi="Calibri" w:cs="Calibri"/>
        </w:rPr>
        <w:t xml:space="preserve"> Furthermore, </w:t>
      </w:r>
      <w:r w:rsidR="00BB1C58" w:rsidRPr="00D633FF">
        <w:rPr>
          <w:rFonts w:ascii="Calibri" w:hAnsi="Calibri" w:cs="Calibri"/>
        </w:rPr>
        <w:t>although</w:t>
      </w:r>
      <w:r w:rsidR="00D333FE" w:rsidRPr="00D633FF">
        <w:rPr>
          <w:rFonts w:ascii="Calibri" w:hAnsi="Calibri" w:cs="Calibri"/>
        </w:rPr>
        <w:t xml:space="preserve"> alopecia was a </w:t>
      </w:r>
      <w:r w:rsidR="00BB1C58" w:rsidRPr="00D633FF">
        <w:rPr>
          <w:rFonts w:ascii="Calibri" w:hAnsi="Calibri" w:cs="Calibri"/>
        </w:rPr>
        <w:t>self-reported outcome</w:t>
      </w:r>
      <w:r w:rsidR="007A26CF" w:rsidRPr="00D633FF">
        <w:rPr>
          <w:rFonts w:ascii="Calibri" w:hAnsi="Calibri" w:cs="Calibri"/>
        </w:rPr>
        <w:t xml:space="preserve"> </w:t>
      </w:r>
      <w:r w:rsidR="00CF00F2">
        <w:rPr>
          <w:rFonts w:ascii="Calibri" w:hAnsi="Calibri" w:cs="Calibri"/>
        </w:rPr>
        <w:t>-</w:t>
      </w:r>
      <w:r w:rsidR="007A26CF" w:rsidRPr="00D633FF">
        <w:rPr>
          <w:rFonts w:ascii="Calibri" w:hAnsi="Calibri" w:cs="Calibri"/>
        </w:rPr>
        <w:t xml:space="preserve"> with an attendant </w:t>
      </w:r>
      <w:r w:rsidR="00BB1C58" w:rsidRPr="00D633FF">
        <w:rPr>
          <w:rFonts w:ascii="Calibri" w:hAnsi="Calibri" w:cs="Calibri"/>
        </w:rPr>
        <w:t>risk of bias</w:t>
      </w:r>
      <w:r w:rsidR="007A26CF" w:rsidRPr="00D633FF">
        <w:rPr>
          <w:rFonts w:ascii="Calibri" w:hAnsi="Calibri" w:cs="Calibri"/>
        </w:rPr>
        <w:t xml:space="preserve"> -</w:t>
      </w:r>
      <w:r w:rsidR="00BB1C58" w:rsidRPr="00D633FF">
        <w:rPr>
          <w:rFonts w:ascii="Calibri" w:hAnsi="Calibri" w:cs="Calibri"/>
        </w:rPr>
        <w:t xml:space="preserve"> the set of selenosis symptoms w</w:t>
      </w:r>
      <w:r w:rsidR="00304FD7" w:rsidRPr="00D633FF">
        <w:rPr>
          <w:rFonts w:ascii="Calibri" w:hAnsi="Calibri" w:cs="Calibri"/>
        </w:rPr>
        <w:t>ere</w:t>
      </w:r>
      <w:r w:rsidR="00BB1C58" w:rsidRPr="00D633FF">
        <w:rPr>
          <w:rFonts w:ascii="Calibri" w:hAnsi="Calibri" w:cs="Calibri"/>
        </w:rPr>
        <w:t xml:space="preserve"> developed </w:t>
      </w:r>
      <w:r w:rsidR="00BB1C58" w:rsidRPr="00C77255">
        <w:rPr>
          <w:rFonts w:ascii="Calibri" w:hAnsi="Calibri" w:cs="Calibri"/>
          <w:i/>
          <w:iCs/>
        </w:rPr>
        <w:t>a</w:t>
      </w:r>
      <w:r w:rsidR="005A43D1">
        <w:rPr>
          <w:rFonts w:ascii="Calibri" w:hAnsi="Calibri" w:cs="Calibri"/>
          <w:i/>
          <w:iCs/>
        </w:rPr>
        <w:t xml:space="preserve"> </w:t>
      </w:r>
      <w:r w:rsidR="00BB1C58" w:rsidRPr="00C77255">
        <w:rPr>
          <w:rFonts w:ascii="Calibri" w:hAnsi="Calibri" w:cs="Calibri"/>
          <w:i/>
          <w:iCs/>
        </w:rPr>
        <w:t>priori</w:t>
      </w:r>
      <w:r w:rsidR="00BB1C58" w:rsidRPr="00D633FF">
        <w:rPr>
          <w:rFonts w:ascii="Calibri" w:hAnsi="Calibri" w:cs="Calibri"/>
        </w:rPr>
        <w:t xml:space="preserve">, and </w:t>
      </w:r>
      <w:r w:rsidR="007A26CF" w:rsidRPr="00D633FF">
        <w:rPr>
          <w:rFonts w:ascii="Calibri" w:hAnsi="Calibri" w:cs="Calibri"/>
        </w:rPr>
        <w:t xml:space="preserve">symptoms </w:t>
      </w:r>
      <w:r w:rsidR="00BB1C58" w:rsidRPr="00D633FF">
        <w:rPr>
          <w:rFonts w:ascii="Calibri" w:hAnsi="Calibri" w:cs="Calibri"/>
        </w:rPr>
        <w:t>were monitored using standardised criteria.</w:t>
      </w:r>
    </w:p>
    <w:p w14:paraId="2C22DDBF" w14:textId="77777777" w:rsidR="00BB1C58" w:rsidRPr="00D633FF" w:rsidRDefault="00BB1C58" w:rsidP="00E83BDF">
      <w:pPr>
        <w:pStyle w:val="NoSpacing"/>
        <w:spacing w:line="360" w:lineRule="auto"/>
        <w:rPr>
          <w:rFonts w:ascii="Calibri" w:hAnsi="Calibri" w:cs="Calibri"/>
        </w:rPr>
      </w:pPr>
    </w:p>
    <w:p w14:paraId="35B0C8E8" w14:textId="084CC350" w:rsidR="00DE7362" w:rsidRPr="00D633FF" w:rsidRDefault="0001419A" w:rsidP="006B38D9">
      <w:pPr>
        <w:spacing w:line="360" w:lineRule="auto"/>
        <w:rPr>
          <w:rFonts w:ascii="Calibri" w:hAnsi="Calibri" w:cs="Calibri"/>
        </w:rPr>
      </w:pPr>
      <w:r w:rsidRPr="00D633FF">
        <w:rPr>
          <w:rFonts w:ascii="Calibri" w:hAnsi="Calibri" w:cs="Calibri"/>
        </w:rPr>
        <w:t xml:space="preserve">The EFSA panel concluded that no other studies published after </w:t>
      </w:r>
      <w:r w:rsidR="00F41A14" w:rsidRPr="00D633FF">
        <w:rPr>
          <w:rFonts w:ascii="Calibri" w:hAnsi="Calibri" w:cs="Calibri"/>
          <w:noProof/>
        </w:rPr>
        <w:t>Yang et al. (1989)</w:t>
      </w:r>
      <w:r w:rsidR="007B7A34" w:rsidRPr="00D633FF">
        <w:rPr>
          <w:rFonts w:ascii="Calibri" w:hAnsi="Calibri" w:cs="Calibri"/>
        </w:rPr>
        <w:t>,</w:t>
      </w:r>
      <w:r w:rsidRPr="00D633FF">
        <w:rPr>
          <w:rFonts w:ascii="Calibri" w:hAnsi="Calibri" w:cs="Calibri"/>
        </w:rPr>
        <w:t xml:space="preserve"> which explored selenium toxicity at exposures below 850 μg/day, provided sufficient data to establish a </w:t>
      </w:r>
      <w:r w:rsidR="000F4C5C" w:rsidRPr="00D633FF">
        <w:rPr>
          <w:rFonts w:ascii="Calibri" w:hAnsi="Calibri" w:cs="Calibri"/>
        </w:rPr>
        <w:t>No Adverse Effects Level (</w:t>
      </w:r>
      <w:r w:rsidRPr="00D633FF">
        <w:rPr>
          <w:rFonts w:ascii="Calibri" w:hAnsi="Calibri" w:cs="Calibri"/>
        </w:rPr>
        <w:t>NOAEL</w:t>
      </w:r>
      <w:r w:rsidR="000F4C5C" w:rsidRPr="00D633FF">
        <w:rPr>
          <w:rFonts w:ascii="Calibri" w:hAnsi="Calibri" w:cs="Calibri"/>
        </w:rPr>
        <w:t>)</w:t>
      </w:r>
      <w:r w:rsidRPr="00D633FF">
        <w:rPr>
          <w:rFonts w:ascii="Calibri" w:hAnsi="Calibri" w:cs="Calibri"/>
        </w:rPr>
        <w:t xml:space="preserve">. </w:t>
      </w:r>
      <w:r w:rsidR="00DE7362" w:rsidRPr="00D633FF">
        <w:rPr>
          <w:rFonts w:ascii="Calibri" w:hAnsi="Calibri" w:cs="Calibri"/>
        </w:rPr>
        <w:t xml:space="preserve">The findings from </w:t>
      </w:r>
      <w:r w:rsidR="001B77FC" w:rsidRPr="00D633FF">
        <w:rPr>
          <w:rFonts w:ascii="Calibri" w:hAnsi="Calibri" w:cs="Calibri"/>
        </w:rPr>
        <w:t xml:space="preserve">the SELECT study </w:t>
      </w:r>
      <w:r w:rsidR="00F41A14" w:rsidRPr="00D633FF">
        <w:rPr>
          <w:rFonts w:ascii="Calibri" w:hAnsi="Calibri" w:cs="Calibri"/>
          <w:noProof/>
        </w:rPr>
        <w:t>(Lippman et al. 2009)</w:t>
      </w:r>
      <w:r w:rsidR="00DE7362" w:rsidRPr="00D633FF">
        <w:rPr>
          <w:rFonts w:ascii="Calibri" w:hAnsi="Calibri" w:cs="Calibri"/>
        </w:rPr>
        <w:t xml:space="preserve"> suggest that selenium intakes of around 330 μg/day</w:t>
      </w:r>
      <w:r w:rsidR="00F169E1" w:rsidRPr="00D633FF">
        <w:rPr>
          <w:rFonts w:ascii="Calibri" w:hAnsi="Calibri" w:cs="Calibri"/>
        </w:rPr>
        <w:t xml:space="preserve"> compared to 130</w:t>
      </w:r>
      <w:r w:rsidR="00DE7362" w:rsidRPr="00D633FF">
        <w:rPr>
          <w:rFonts w:ascii="Calibri" w:hAnsi="Calibri" w:cs="Calibri"/>
        </w:rPr>
        <w:t xml:space="preserve"> </w:t>
      </w:r>
      <w:r w:rsidR="00F169E1" w:rsidRPr="00D633FF">
        <w:rPr>
          <w:rFonts w:ascii="Calibri" w:hAnsi="Calibri" w:cs="Calibri"/>
        </w:rPr>
        <w:t xml:space="preserve">μg/day </w:t>
      </w:r>
      <w:r w:rsidR="00DE7362" w:rsidRPr="00D633FF">
        <w:rPr>
          <w:rFonts w:ascii="Calibri" w:hAnsi="Calibri" w:cs="Calibri"/>
        </w:rPr>
        <w:t>can lead to toxicity, challenging the previously identified NOAEL of 850 μg/day</w:t>
      </w:r>
      <w:r w:rsidRPr="00D633FF">
        <w:rPr>
          <w:rFonts w:ascii="Calibri" w:hAnsi="Calibri" w:cs="Calibri"/>
        </w:rPr>
        <w:t xml:space="preserve">. </w:t>
      </w:r>
      <w:r w:rsidR="00DE7362" w:rsidRPr="00D633FF">
        <w:rPr>
          <w:rFonts w:ascii="Calibri" w:hAnsi="Calibri" w:cs="Calibri"/>
        </w:rPr>
        <w:t xml:space="preserve">The EFSA panel highlighted that these results indicate the need to reassess the </w:t>
      </w:r>
      <w:r w:rsidR="008A3419" w:rsidRPr="00D633FF">
        <w:rPr>
          <w:rFonts w:ascii="Calibri" w:hAnsi="Calibri" w:cs="Calibri"/>
        </w:rPr>
        <w:t>UL</w:t>
      </w:r>
      <w:r w:rsidR="00DE7362" w:rsidRPr="00D633FF">
        <w:rPr>
          <w:rFonts w:ascii="Calibri" w:hAnsi="Calibri" w:cs="Calibri"/>
        </w:rPr>
        <w:t xml:space="preserve"> for selenium intake, identifying a </w:t>
      </w:r>
      <w:r w:rsidR="003C741D" w:rsidRPr="00D633FF">
        <w:rPr>
          <w:rFonts w:ascii="Calibri" w:hAnsi="Calibri" w:cs="Calibri"/>
        </w:rPr>
        <w:t>Low</w:t>
      </w:r>
      <w:r w:rsidR="00A23F3F" w:rsidRPr="00D633FF">
        <w:rPr>
          <w:rFonts w:ascii="Calibri" w:hAnsi="Calibri" w:cs="Calibri"/>
        </w:rPr>
        <w:t>est</w:t>
      </w:r>
      <w:r w:rsidR="00F36834" w:rsidRPr="00D633FF">
        <w:rPr>
          <w:rFonts w:ascii="Calibri" w:hAnsi="Calibri" w:cs="Calibri"/>
        </w:rPr>
        <w:t xml:space="preserve"> Observed</w:t>
      </w:r>
      <w:r w:rsidR="003C741D" w:rsidRPr="00D633FF">
        <w:rPr>
          <w:rFonts w:ascii="Calibri" w:hAnsi="Calibri" w:cs="Calibri"/>
        </w:rPr>
        <w:t xml:space="preserve"> Adverse Effect Level (</w:t>
      </w:r>
      <w:r w:rsidR="00DE7362" w:rsidRPr="00D633FF">
        <w:rPr>
          <w:rFonts w:ascii="Calibri" w:hAnsi="Calibri" w:cs="Calibri"/>
        </w:rPr>
        <w:t>LOAEL</w:t>
      </w:r>
      <w:r w:rsidR="003C741D" w:rsidRPr="00D633FF">
        <w:rPr>
          <w:rFonts w:ascii="Calibri" w:hAnsi="Calibri" w:cs="Calibri"/>
        </w:rPr>
        <w:t>)</w:t>
      </w:r>
      <w:r w:rsidR="00DE7362" w:rsidRPr="00D633FF">
        <w:rPr>
          <w:rFonts w:ascii="Calibri" w:hAnsi="Calibri" w:cs="Calibri"/>
        </w:rPr>
        <w:t xml:space="preserve"> of 330 μg/day. This study was chosen for its robust design and large sample size, providing strong evidence of selenium toxicity at higher intake levels</w:t>
      </w:r>
      <w:r w:rsidR="00E73FA1" w:rsidRPr="00D633FF">
        <w:rPr>
          <w:rFonts w:ascii="Calibri" w:hAnsi="Calibri" w:cs="Calibri"/>
        </w:rPr>
        <w:t>, this</w:t>
      </w:r>
      <w:r w:rsidR="00C37DE3" w:rsidRPr="00D633FF">
        <w:rPr>
          <w:rFonts w:ascii="Calibri" w:hAnsi="Calibri" w:cs="Calibri"/>
        </w:rPr>
        <w:t xml:space="preserve"> finding</w:t>
      </w:r>
      <w:r w:rsidR="00DE7362" w:rsidRPr="00D633FF">
        <w:rPr>
          <w:rFonts w:ascii="Calibri" w:hAnsi="Calibri" w:cs="Calibri"/>
        </w:rPr>
        <w:t xml:space="preserve"> was not corroborated by smaller RCTs</w:t>
      </w:r>
      <w:r w:rsidR="00CE2D19" w:rsidRPr="00D633FF">
        <w:rPr>
          <w:rFonts w:ascii="Calibri" w:hAnsi="Calibri" w:cs="Calibri"/>
        </w:rPr>
        <w:t xml:space="preserve"> with similar or h</w:t>
      </w:r>
      <w:r w:rsidR="00362171" w:rsidRPr="00D633FF">
        <w:rPr>
          <w:rFonts w:ascii="Calibri" w:hAnsi="Calibri" w:cs="Calibri"/>
        </w:rPr>
        <w:t>igher selenium intakes</w:t>
      </w:r>
      <w:r w:rsidR="00FB0EED" w:rsidRPr="00D633FF">
        <w:rPr>
          <w:rFonts w:ascii="Calibri" w:hAnsi="Calibri" w:cs="Calibri"/>
        </w:rPr>
        <w:t xml:space="preserve"> </w:t>
      </w:r>
      <w:r w:rsidR="00F41A14" w:rsidRPr="00D633FF">
        <w:rPr>
          <w:rFonts w:ascii="Calibri" w:hAnsi="Calibri" w:cs="Calibri"/>
          <w:noProof/>
        </w:rPr>
        <w:t>(Algotar et al. 2013; Thompson et al. 2016; Winther et al. 2015)</w:t>
      </w:r>
      <w:r w:rsidR="00DE7362" w:rsidRPr="00D633FF">
        <w:rPr>
          <w:rFonts w:ascii="Calibri" w:hAnsi="Calibri" w:cs="Calibri"/>
        </w:rPr>
        <w:t>.</w:t>
      </w:r>
      <w:r w:rsidR="00DD0FA9" w:rsidRPr="00D633FF">
        <w:rPr>
          <w:rFonts w:ascii="Calibri" w:hAnsi="Calibri" w:cs="Calibri"/>
        </w:rPr>
        <w:t xml:space="preserve"> </w:t>
      </w:r>
      <w:r w:rsidR="009B608D" w:rsidRPr="00D633FF">
        <w:rPr>
          <w:rFonts w:ascii="Calibri" w:hAnsi="Calibri" w:cs="Calibri"/>
        </w:rPr>
        <w:t>However,</w:t>
      </w:r>
      <w:r w:rsidR="00DD0FA9" w:rsidRPr="00D633FF">
        <w:rPr>
          <w:rFonts w:ascii="Calibri" w:hAnsi="Calibri" w:cs="Calibri"/>
        </w:rPr>
        <w:t xml:space="preserve"> it was noted that these RCTs had much smaller sample size</w:t>
      </w:r>
      <w:r w:rsidR="00E47815" w:rsidRPr="00D633FF">
        <w:rPr>
          <w:rFonts w:ascii="Calibri" w:hAnsi="Calibri" w:cs="Calibri"/>
        </w:rPr>
        <w:t>s</w:t>
      </w:r>
      <w:r w:rsidR="00DD0FA9" w:rsidRPr="00D633FF">
        <w:rPr>
          <w:rFonts w:ascii="Calibri" w:hAnsi="Calibri" w:cs="Calibri"/>
        </w:rPr>
        <w:t xml:space="preserve"> and no or</w:t>
      </w:r>
      <w:r w:rsidR="00E47815" w:rsidRPr="00D633FF">
        <w:rPr>
          <w:rFonts w:ascii="Calibri" w:hAnsi="Calibri" w:cs="Calibri"/>
        </w:rPr>
        <w:t xml:space="preserve"> minimal</w:t>
      </w:r>
      <w:r w:rsidR="00DD0FA9" w:rsidRPr="00D633FF">
        <w:rPr>
          <w:rFonts w:ascii="Calibri" w:hAnsi="Calibri" w:cs="Calibri"/>
        </w:rPr>
        <w:t xml:space="preserve"> </w:t>
      </w:r>
      <w:r w:rsidR="00E47815" w:rsidRPr="00D633FF">
        <w:rPr>
          <w:rFonts w:ascii="Calibri" w:hAnsi="Calibri" w:cs="Calibri"/>
        </w:rPr>
        <w:t>recording</w:t>
      </w:r>
      <w:r w:rsidR="00DD0FA9" w:rsidRPr="00D633FF">
        <w:rPr>
          <w:rFonts w:ascii="Calibri" w:hAnsi="Calibri" w:cs="Calibri"/>
        </w:rPr>
        <w:t xml:space="preserve"> on how the reported signs and symptoms were </w:t>
      </w:r>
      <w:r w:rsidR="00E47815" w:rsidRPr="00D633FF">
        <w:rPr>
          <w:rFonts w:ascii="Calibri" w:hAnsi="Calibri" w:cs="Calibri"/>
        </w:rPr>
        <w:t>characterised</w:t>
      </w:r>
      <w:r w:rsidR="00DD0FA9" w:rsidRPr="00D633FF">
        <w:rPr>
          <w:rFonts w:ascii="Calibri" w:hAnsi="Calibri" w:cs="Calibri"/>
        </w:rPr>
        <w:t xml:space="preserve"> and monitored. </w:t>
      </w:r>
    </w:p>
    <w:p w14:paraId="2D44D140" w14:textId="77777777" w:rsidR="00D87F96" w:rsidRPr="00D633FF" w:rsidRDefault="00D87F96" w:rsidP="00457A71">
      <w:pPr>
        <w:pStyle w:val="Heading3"/>
        <w:rPr>
          <w:rStyle w:val="Heading4Char"/>
          <w:rFonts w:ascii="Calibri" w:hAnsi="Calibri" w:cs="Calibri"/>
        </w:rPr>
      </w:pPr>
      <w:bookmarkStart w:id="47" w:name="_Toc218527973"/>
      <w:r w:rsidRPr="00D633FF">
        <w:rPr>
          <w:rStyle w:val="Heading4Char"/>
          <w:rFonts w:ascii="Calibri" w:hAnsi="Calibri" w:cs="Calibri"/>
        </w:rPr>
        <w:t>Other health outcomes</w:t>
      </w:r>
      <w:bookmarkEnd w:id="47"/>
    </w:p>
    <w:p w14:paraId="441C42C7" w14:textId="6F6E774F" w:rsidR="00D87F96" w:rsidRPr="00D633FF" w:rsidRDefault="00D87F96" w:rsidP="00D87F96">
      <w:pPr>
        <w:spacing w:line="360" w:lineRule="auto"/>
        <w:rPr>
          <w:rFonts w:ascii="Calibri" w:hAnsi="Calibri" w:cs="Calibri"/>
        </w:rPr>
      </w:pPr>
      <w:r w:rsidRPr="00D633FF">
        <w:rPr>
          <w:rFonts w:ascii="Calibri" w:hAnsi="Calibri" w:cs="Calibri"/>
        </w:rPr>
        <w:t xml:space="preserve">When reviewing the literature to update selenium ULs for Europe, EFSA </w:t>
      </w:r>
      <w:r w:rsidR="00F41A14" w:rsidRPr="00D633FF">
        <w:rPr>
          <w:rFonts w:ascii="Calibri" w:hAnsi="Calibri" w:cs="Calibri"/>
          <w:noProof/>
        </w:rPr>
        <w:t>(2023)</w:t>
      </w:r>
      <w:r w:rsidRPr="00D633FF">
        <w:rPr>
          <w:rFonts w:ascii="Calibri" w:hAnsi="Calibri" w:cs="Calibri"/>
        </w:rPr>
        <w:t xml:space="preserve"> concluded that the available evidence did not support a positive relationship between dietary selenium intake and the risk of all-cause mortality, hypertension, type-2 diabetes, Alzheimer dementia, amyotrophic lateral sclerosis, impaired functional neuropsychological development in children, or thyroid diseases. </w:t>
      </w:r>
      <w:r w:rsidRPr="00D633FF">
        <w:rPr>
          <w:rFonts w:ascii="Calibri" w:hAnsi="Calibri" w:cs="Calibri"/>
        </w:rPr>
        <w:lastRenderedPageBreak/>
        <w:t>Research on the association between selenium and the risk of chronic diseases such as cancer or type 2 diabetes has not shown a clear causal link.</w:t>
      </w:r>
    </w:p>
    <w:p w14:paraId="6478A2BF" w14:textId="77777777" w:rsidR="00D87F96" w:rsidRPr="00D633FF" w:rsidRDefault="00D87F96" w:rsidP="00457A71">
      <w:pPr>
        <w:pStyle w:val="Heading5"/>
        <w:rPr>
          <w:rFonts w:ascii="Calibri" w:hAnsi="Calibri" w:cs="Calibri"/>
        </w:rPr>
      </w:pPr>
      <w:r w:rsidRPr="00D633FF">
        <w:rPr>
          <w:rFonts w:ascii="Calibri" w:hAnsi="Calibri" w:cs="Calibri"/>
        </w:rPr>
        <w:t>Risk of cancer</w:t>
      </w:r>
    </w:p>
    <w:p w14:paraId="03086836" w14:textId="40677D05" w:rsidR="00D87F96" w:rsidRPr="00D633FF" w:rsidRDefault="00D87F96" w:rsidP="00D87F96">
      <w:pPr>
        <w:spacing w:line="360" w:lineRule="auto"/>
        <w:rPr>
          <w:rFonts w:ascii="Calibri" w:hAnsi="Calibri" w:cs="Calibri"/>
        </w:rPr>
      </w:pPr>
      <w:r w:rsidRPr="00D633FF">
        <w:rPr>
          <w:rFonts w:ascii="Calibri" w:hAnsi="Calibri" w:cs="Calibri"/>
        </w:rPr>
        <w:t xml:space="preserve">The Nutritional Prevention of Cancer Trial </w:t>
      </w:r>
      <w:r w:rsidR="00F41A14" w:rsidRPr="00D633FF">
        <w:rPr>
          <w:rFonts w:ascii="Calibri" w:hAnsi="Calibri" w:cs="Calibri"/>
          <w:noProof/>
        </w:rPr>
        <w:t>(Clark et al. 1996; Duffield-Lillico et al. 2003)</w:t>
      </w:r>
      <w:r w:rsidRPr="00D633FF">
        <w:rPr>
          <w:rFonts w:ascii="Calibri" w:hAnsi="Calibri" w:cs="Calibri"/>
        </w:rPr>
        <w:t xml:space="preserve"> concluded that taking 200 µg/day of selenium supplements increased the risk of squamous cell carcinoma and total non-melanoma skin cancer in individuals at high risk for these conditions. However, the study authors suggested that exposure to arsenic-containing pesticides could be a confounding factor. The study also investigated the effects of selenium on other cancer types and found reduced incidences of lung cancer, colorectal cancer, and prostate cancer, especially in men with low baseline selenium levels </w:t>
      </w:r>
      <w:r w:rsidR="00F41A14" w:rsidRPr="00D633FF">
        <w:rPr>
          <w:rFonts w:ascii="Calibri" w:hAnsi="Calibri" w:cs="Calibri"/>
          <w:noProof/>
        </w:rPr>
        <w:t>(Clark et al. 1996; Duffield-Lillico et al. 2003)</w:t>
      </w:r>
      <w:r w:rsidRPr="00D633FF">
        <w:rPr>
          <w:rFonts w:ascii="Calibri" w:hAnsi="Calibri" w:cs="Calibri"/>
        </w:rPr>
        <w:t xml:space="preserve">. </w:t>
      </w:r>
    </w:p>
    <w:p w14:paraId="74928587" w14:textId="0813664A" w:rsidR="00D87F96" w:rsidRPr="00D633FF" w:rsidRDefault="00D87F96" w:rsidP="00D87F96">
      <w:pPr>
        <w:spacing w:line="360" w:lineRule="auto"/>
        <w:rPr>
          <w:rFonts w:ascii="Calibri" w:hAnsi="Calibri" w:cs="Calibri"/>
        </w:rPr>
      </w:pPr>
      <w:r w:rsidRPr="00D633FF">
        <w:rPr>
          <w:rFonts w:ascii="Calibri" w:hAnsi="Calibri" w:cs="Calibri"/>
        </w:rPr>
        <w:t xml:space="preserve">More recently, </w:t>
      </w:r>
      <w:r w:rsidR="00F41A14" w:rsidRPr="00D633FF">
        <w:rPr>
          <w:rFonts w:ascii="Calibri" w:hAnsi="Calibri" w:cs="Calibri"/>
          <w:noProof/>
        </w:rPr>
        <w:t>Vinceti et al. (2018)</w:t>
      </w:r>
      <w:r w:rsidRPr="00D633FF">
        <w:rPr>
          <w:rFonts w:ascii="Calibri" w:hAnsi="Calibri" w:cs="Calibri"/>
        </w:rPr>
        <w:t xml:space="preserve"> published Cochrane review, evaluating the protective effect of selenium intake on cancer risk. The review included 10 RCTs and 70 observational studies, and the findings showed no reduction in the risk of overall cancer or specific cancers. Some RCTs reviewed reported a higher incidence of high‐grade prostate cancer and type 2 diabetes in participants taking selenium. However, these studies did not find clear evidence that baseline selenium status influenced these outcomes. The EFSA panel found that the available body of evidence did not suggest a positive relationship between dietary selenium exposure and risk of skin and prostate cancer </w:t>
      </w:r>
      <w:r w:rsidR="00F41A14" w:rsidRPr="00D633FF">
        <w:rPr>
          <w:rFonts w:ascii="Calibri" w:hAnsi="Calibri" w:cs="Calibri"/>
          <w:noProof/>
        </w:rPr>
        <w:t>(Turck et al. 2023)</w:t>
      </w:r>
      <w:r w:rsidRPr="00D633FF">
        <w:rPr>
          <w:rFonts w:ascii="Calibri" w:hAnsi="Calibri" w:cs="Calibri"/>
        </w:rPr>
        <w:t>.</w:t>
      </w:r>
    </w:p>
    <w:p w14:paraId="341988CD" w14:textId="77777777" w:rsidR="00D87F96" w:rsidRPr="00D633FF" w:rsidRDefault="00D87F96" w:rsidP="00E53791">
      <w:pPr>
        <w:pStyle w:val="Heading5"/>
        <w:rPr>
          <w:rFonts w:ascii="Calibri" w:hAnsi="Calibri" w:cs="Calibri"/>
        </w:rPr>
      </w:pPr>
      <w:r w:rsidRPr="00D633FF">
        <w:rPr>
          <w:rFonts w:ascii="Calibri" w:hAnsi="Calibri" w:cs="Calibri"/>
        </w:rPr>
        <w:t>Type 2 diabetes</w:t>
      </w:r>
    </w:p>
    <w:p w14:paraId="52A1FB82" w14:textId="4290985D" w:rsidR="00D87F96" w:rsidRPr="00D633FF" w:rsidRDefault="00D87F96" w:rsidP="00D87F96">
      <w:pPr>
        <w:spacing w:line="360" w:lineRule="auto"/>
        <w:rPr>
          <w:rFonts w:ascii="Calibri" w:hAnsi="Calibri" w:cs="Calibri"/>
        </w:rPr>
      </w:pPr>
      <w:r w:rsidRPr="00D633FF">
        <w:rPr>
          <w:rFonts w:ascii="Calibri" w:hAnsi="Calibri" w:cs="Calibri"/>
        </w:rPr>
        <w:t xml:space="preserve">Research on the relationship between selenium and type 2 diabetes has shown inconsistencies. Early studies in mice indicated potential benefits of selenium in diabetes management </w:t>
      </w:r>
      <w:r w:rsidR="00F41A14" w:rsidRPr="00D633FF">
        <w:rPr>
          <w:rFonts w:ascii="Calibri" w:hAnsi="Calibri" w:cs="Calibri"/>
          <w:noProof/>
        </w:rPr>
        <w:t>(McNeill et al. 1991; Mueller &amp; Pallauf 2006)</w:t>
      </w:r>
      <w:r w:rsidRPr="00D633FF">
        <w:rPr>
          <w:rFonts w:ascii="Calibri" w:hAnsi="Calibri" w:cs="Calibri"/>
        </w:rPr>
        <w:t>. However, more recent human studies, including two U</w:t>
      </w:r>
      <w:r w:rsidR="00E53791" w:rsidRPr="00D633FF">
        <w:rPr>
          <w:rFonts w:ascii="Calibri" w:hAnsi="Calibri" w:cs="Calibri"/>
        </w:rPr>
        <w:t>nited States of America</w:t>
      </w:r>
      <w:r w:rsidRPr="00D633FF">
        <w:rPr>
          <w:rFonts w:ascii="Calibri" w:hAnsi="Calibri" w:cs="Calibri"/>
        </w:rPr>
        <w:t xml:space="preserve"> RCTs with cancer as the primary endpoint (Nutritional Prevention of Cancer (NPC) and SELECT) revealed mixed results </w:t>
      </w:r>
      <w:r w:rsidR="00F41A14" w:rsidRPr="00D633FF">
        <w:rPr>
          <w:rFonts w:ascii="Calibri" w:hAnsi="Calibri" w:cs="Calibri"/>
          <w:noProof/>
        </w:rPr>
        <w:t>(Lippman et al. 2009; Stranges et al. 2007)</w:t>
      </w:r>
      <w:r w:rsidRPr="00D633FF">
        <w:rPr>
          <w:rFonts w:ascii="Calibri" w:hAnsi="Calibri" w:cs="Calibri"/>
        </w:rPr>
        <w:t xml:space="preserve">. The NPC study found an increased risk of type 2 diabetes with selenium supplementation, particularly in men and those with higher baseline serum selenium levels. Conversely, the SELECT study did not find an increased risk in the supplemented group. Other RCTs also showed no consistent association between selenium supplementation and type 2 diabetes, except in older participants </w:t>
      </w:r>
      <w:r w:rsidR="00F41A14" w:rsidRPr="00D633FF">
        <w:rPr>
          <w:rFonts w:ascii="Calibri" w:hAnsi="Calibri" w:cs="Calibri"/>
          <w:noProof/>
        </w:rPr>
        <w:t>(Thompson et al. 2016)</w:t>
      </w:r>
      <w:r w:rsidRPr="00D633FF">
        <w:rPr>
          <w:rFonts w:ascii="Calibri" w:hAnsi="Calibri" w:cs="Calibri"/>
        </w:rPr>
        <w:t>.</w:t>
      </w:r>
    </w:p>
    <w:p w14:paraId="2B3A9EAB" w14:textId="630EB115" w:rsidR="00D87F96" w:rsidRPr="00D633FF" w:rsidRDefault="00F41A14" w:rsidP="00D87F96">
      <w:pPr>
        <w:spacing w:line="360" w:lineRule="auto"/>
        <w:rPr>
          <w:rFonts w:ascii="Calibri" w:hAnsi="Calibri" w:cs="Calibri"/>
        </w:rPr>
      </w:pPr>
      <w:r w:rsidRPr="00D633FF">
        <w:rPr>
          <w:rFonts w:ascii="Calibri" w:hAnsi="Calibri" w:cs="Calibri"/>
          <w:noProof/>
        </w:rPr>
        <w:t>Vinceti et al. (2018)</w:t>
      </w:r>
      <w:r w:rsidR="00D87F96" w:rsidRPr="00D633FF">
        <w:rPr>
          <w:rFonts w:ascii="Calibri" w:hAnsi="Calibri" w:cs="Calibri"/>
        </w:rPr>
        <w:t xml:space="preserve"> Cochrane review found that all RCTs reviewed that included diabetes as an endpoint showed an increased incidence of type 2 diabetes among selenium-allocated participants. This finding is further supported by results from observational human studies included in the review. The relationship appears nonlinear, with increased risk at higher selenium intake levels above 80 µg/day. Compared to plasma and serum concentrations of 90 µg/L, a value of 160 µg/L produced a </w:t>
      </w:r>
      <w:r w:rsidR="00D87F96" w:rsidRPr="00D633FF">
        <w:rPr>
          <w:rFonts w:ascii="Calibri" w:hAnsi="Calibri" w:cs="Calibri"/>
        </w:rPr>
        <w:lastRenderedPageBreak/>
        <w:t xml:space="preserve">risk ratio of 1.96 for type 2 diabetes. Mechanisms suggested the overexpression of GPx1 or compromised insulin signalling leading to hyperinsulinemia and glycaemia </w:t>
      </w:r>
      <w:r w:rsidRPr="00D633FF">
        <w:rPr>
          <w:rFonts w:ascii="Calibri" w:hAnsi="Calibri" w:cs="Calibri"/>
          <w:noProof/>
        </w:rPr>
        <w:t>(Steinbrenner et al. 2022)</w:t>
      </w:r>
      <w:r w:rsidR="00D87F96" w:rsidRPr="00D633FF">
        <w:rPr>
          <w:rFonts w:ascii="Calibri" w:hAnsi="Calibri" w:cs="Calibri"/>
        </w:rPr>
        <w:t xml:space="preserve">. The Nordic Nutrition Recommendations concluded that the evidence is not consistent enough to establish a causal relationship or to set dietary reference values for selenium based on diabetes risk </w:t>
      </w:r>
      <w:r w:rsidRPr="00D633FF">
        <w:rPr>
          <w:rFonts w:ascii="Calibri" w:hAnsi="Calibri" w:cs="Calibri"/>
          <w:noProof/>
        </w:rPr>
        <w:t>(Alexander &amp; Olsen 2023)</w:t>
      </w:r>
      <w:r w:rsidR="00D87F96" w:rsidRPr="00D633FF">
        <w:rPr>
          <w:rFonts w:ascii="Calibri" w:hAnsi="Calibri" w:cs="Calibri"/>
        </w:rPr>
        <w:t xml:space="preserve">. The 2023 EFSA report reviewed similar studies to the Nordic Nutrition Recommendations </w:t>
      </w:r>
      <w:r w:rsidRPr="00D633FF">
        <w:rPr>
          <w:rFonts w:ascii="Calibri" w:hAnsi="Calibri" w:cs="Calibri"/>
          <w:noProof/>
        </w:rPr>
        <w:t>(Algotar et al. 2013; Lippman et al. 2009; Stranges et al. 2007; Thompson et al. 2016)</w:t>
      </w:r>
      <w:r w:rsidR="00D87F96" w:rsidRPr="00D633FF">
        <w:rPr>
          <w:rFonts w:ascii="Calibri" w:hAnsi="Calibri" w:cs="Calibri"/>
        </w:rPr>
        <w:t xml:space="preserve"> and concluded that there is moderate certainty of a positive and causal relationship between selenium intake and the risk of type 2 diabetes based on RCTs. However, the available evidence from observational studies and information about the mode of action cannot be used to alter the level of certainty in this conclusion. </w:t>
      </w:r>
    </w:p>
    <w:p w14:paraId="6945CF80" w14:textId="77777777" w:rsidR="00DE1B91" w:rsidRPr="00D633FF" w:rsidRDefault="00DE1B91">
      <w:pPr>
        <w:rPr>
          <w:rFonts w:ascii="Calibri" w:eastAsiaTheme="majorEastAsia" w:hAnsi="Calibri" w:cs="Calibri"/>
          <w:b/>
          <w:bCs/>
          <w:color w:val="0F4761" w:themeColor="accent1" w:themeShade="BF"/>
          <w:sz w:val="40"/>
          <w:szCs w:val="40"/>
        </w:rPr>
      </w:pPr>
      <w:r w:rsidRPr="00D633FF">
        <w:rPr>
          <w:rFonts w:ascii="Calibri" w:hAnsi="Calibri" w:cs="Calibri"/>
          <w:b/>
          <w:bCs/>
        </w:rPr>
        <w:br w:type="page"/>
      </w:r>
    </w:p>
    <w:p w14:paraId="010C9278" w14:textId="1C93B2FA" w:rsidR="008D06B5" w:rsidRPr="00D633FF" w:rsidRDefault="0095198C" w:rsidP="00A62838">
      <w:pPr>
        <w:pStyle w:val="Heading1"/>
        <w:spacing w:line="360" w:lineRule="auto"/>
        <w:rPr>
          <w:rFonts w:ascii="Calibri" w:hAnsi="Calibri" w:cs="Calibri"/>
          <w:b/>
          <w:bCs/>
        </w:rPr>
      </w:pPr>
      <w:bookmarkStart w:id="48" w:name="_Toc218527974"/>
      <w:bookmarkStart w:id="49" w:name="_Hlk213258225"/>
      <w:r w:rsidRPr="00D633FF">
        <w:rPr>
          <w:rFonts w:ascii="Calibri" w:hAnsi="Calibri" w:cs="Calibri"/>
          <w:b/>
          <w:bCs/>
        </w:rPr>
        <w:lastRenderedPageBreak/>
        <w:t>Derivation of draft NRVs</w:t>
      </w:r>
      <w:bookmarkEnd w:id="48"/>
    </w:p>
    <w:p w14:paraId="66849462" w14:textId="77777777" w:rsidR="0027119F" w:rsidRPr="00D633FF" w:rsidRDefault="0027119F" w:rsidP="0027119F">
      <w:pPr>
        <w:pStyle w:val="Heading2"/>
        <w:rPr>
          <w:rFonts w:ascii="Calibri" w:hAnsi="Calibri" w:cs="Calibri"/>
        </w:rPr>
      </w:pPr>
      <w:bookmarkStart w:id="50" w:name="_Toc207106849"/>
      <w:bookmarkStart w:id="51" w:name="_Toc218527975"/>
      <w:bookmarkEnd w:id="49"/>
      <w:r w:rsidRPr="00D633FF">
        <w:rPr>
          <w:rFonts w:ascii="Calibri" w:hAnsi="Calibri" w:cs="Calibri"/>
        </w:rPr>
        <w:t>Nutritional adequacy recommendations</w:t>
      </w:r>
      <w:bookmarkEnd w:id="50"/>
      <w:bookmarkEnd w:id="51"/>
    </w:p>
    <w:p w14:paraId="5FCD9443" w14:textId="6707C098" w:rsidR="002738E9" w:rsidRPr="00D633FF" w:rsidRDefault="000622A6" w:rsidP="000622A6">
      <w:pPr>
        <w:spacing w:after="120" w:line="360" w:lineRule="auto"/>
        <w:rPr>
          <w:rFonts w:ascii="Calibri" w:eastAsia="Times New Roman" w:hAnsi="Calibri" w:cs="Calibri"/>
          <w:szCs w:val="20"/>
        </w:rPr>
      </w:pPr>
      <w:bookmarkStart w:id="52" w:name="_Toc207106850"/>
      <w:r w:rsidRPr="00D633FF">
        <w:rPr>
          <w:rFonts w:ascii="Calibri" w:eastAsia="Times New Roman" w:hAnsi="Calibri" w:cs="Calibri"/>
          <w:szCs w:val="20"/>
        </w:rPr>
        <w:t xml:space="preserve">Nutritional adequacy recommendations were not within scope for this review. Consequently, the </w:t>
      </w:r>
      <w:r w:rsidR="007E3D48" w:rsidRPr="00D633FF">
        <w:rPr>
          <w:rFonts w:ascii="Calibri" w:eastAsia="Times New Roman" w:hAnsi="Calibri" w:cs="Calibri"/>
          <w:szCs w:val="20"/>
        </w:rPr>
        <w:t>EAR and RDI</w:t>
      </w:r>
      <w:r w:rsidR="00732302" w:rsidRPr="00D633FF">
        <w:rPr>
          <w:rFonts w:ascii="Calibri" w:eastAsia="Times New Roman" w:hAnsi="Calibri" w:cs="Calibri"/>
          <w:szCs w:val="20"/>
        </w:rPr>
        <w:t xml:space="preserve"> recommendations</w:t>
      </w:r>
      <w:r w:rsidR="007E3D48" w:rsidRPr="00D633FF">
        <w:rPr>
          <w:rFonts w:ascii="Calibri" w:eastAsia="Times New Roman" w:hAnsi="Calibri" w:cs="Calibri"/>
          <w:szCs w:val="20"/>
        </w:rPr>
        <w:t xml:space="preserve"> </w:t>
      </w:r>
      <w:r w:rsidR="003C1A98" w:rsidRPr="00D633FF">
        <w:rPr>
          <w:rFonts w:ascii="Calibri" w:eastAsia="Times New Roman" w:hAnsi="Calibri" w:cs="Calibri"/>
          <w:szCs w:val="20"/>
        </w:rPr>
        <w:t xml:space="preserve">for selenium </w:t>
      </w:r>
      <w:r w:rsidR="00BD39F2">
        <w:rPr>
          <w:rFonts w:ascii="Calibri" w:eastAsia="Times New Roman" w:hAnsi="Calibri" w:cs="Calibri"/>
          <w:szCs w:val="20"/>
        </w:rPr>
        <w:t>-</w:t>
      </w:r>
      <w:r w:rsidR="00732302" w:rsidRPr="00D633FF">
        <w:rPr>
          <w:rFonts w:ascii="Calibri" w:eastAsia="Times New Roman" w:hAnsi="Calibri" w:cs="Calibri"/>
          <w:szCs w:val="20"/>
        </w:rPr>
        <w:t xml:space="preserve"> and the evidence underpinning them - </w:t>
      </w:r>
      <w:r w:rsidR="007F610D" w:rsidRPr="00D633FF">
        <w:rPr>
          <w:rFonts w:ascii="Calibri" w:eastAsia="Times New Roman" w:hAnsi="Calibri" w:cs="Calibri"/>
          <w:szCs w:val="20"/>
        </w:rPr>
        <w:t xml:space="preserve">remain </w:t>
      </w:r>
      <w:r w:rsidR="00EA73F6" w:rsidRPr="00D633FF">
        <w:rPr>
          <w:rFonts w:ascii="Calibri" w:eastAsia="Times New Roman" w:hAnsi="Calibri" w:cs="Calibri"/>
          <w:szCs w:val="20"/>
        </w:rPr>
        <w:t>unchanged</w:t>
      </w:r>
      <w:r w:rsidR="007E3D48" w:rsidRPr="00D633FF">
        <w:rPr>
          <w:rFonts w:ascii="Calibri" w:eastAsia="Times New Roman" w:hAnsi="Calibri" w:cs="Calibri"/>
          <w:szCs w:val="20"/>
        </w:rPr>
        <w:t xml:space="preserve">. </w:t>
      </w:r>
      <w:r w:rsidR="009A5B9E" w:rsidRPr="00D633FF">
        <w:rPr>
          <w:rFonts w:ascii="Calibri" w:eastAsia="Times New Roman" w:hAnsi="Calibri" w:cs="Calibri"/>
          <w:szCs w:val="20"/>
        </w:rPr>
        <w:t xml:space="preserve">However, during this update, </w:t>
      </w:r>
      <w:r w:rsidR="00EB311C" w:rsidRPr="00D633FF">
        <w:rPr>
          <w:rFonts w:ascii="Calibri" w:eastAsia="Times New Roman" w:hAnsi="Calibri" w:cs="Calibri"/>
          <w:szCs w:val="20"/>
        </w:rPr>
        <w:t xml:space="preserve">EAR and RDI recommendations for </w:t>
      </w:r>
      <w:r w:rsidR="00104C1A" w:rsidRPr="00D633FF">
        <w:rPr>
          <w:rFonts w:ascii="Calibri" w:eastAsia="Times New Roman" w:hAnsi="Calibri" w:cs="Calibri"/>
          <w:szCs w:val="20"/>
        </w:rPr>
        <w:t xml:space="preserve">alternative age groupings </w:t>
      </w:r>
      <w:r w:rsidR="00EA73F6" w:rsidRPr="00D633FF">
        <w:rPr>
          <w:rFonts w:ascii="Calibri" w:eastAsia="Times New Roman" w:hAnsi="Calibri" w:cs="Calibri"/>
          <w:szCs w:val="20"/>
        </w:rPr>
        <w:t xml:space="preserve">for children and adolescents </w:t>
      </w:r>
      <w:r w:rsidR="009A5B9E" w:rsidRPr="00D633FF">
        <w:rPr>
          <w:rFonts w:ascii="Calibri" w:eastAsia="Times New Roman" w:hAnsi="Calibri" w:cs="Calibri"/>
          <w:szCs w:val="20"/>
        </w:rPr>
        <w:t>were derived</w:t>
      </w:r>
      <w:r w:rsidR="00EA73F6" w:rsidRPr="00D633FF">
        <w:rPr>
          <w:rFonts w:ascii="Calibri" w:eastAsia="Times New Roman" w:hAnsi="Calibri" w:cs="Calibri"/>
          <w:szCs w:val="20"/>
        </w:rPr>
        <w:t>,</w:t>
      </w:r>
      <w:r w:rsidR="009A5B9E" w:rsidRPr="00D633FF">
        <w:rPr>
          <w:rFonts w:ascii="Calibri" w:eastAsia="Times New Roman" w:hAnsi="Calibri" w:cs="Calibri"/>
          <w:szCs w:val="20"/>
        </w:rPr>
        <w:t xml:space="preserve"> </w:t>
      </w:r>
      <w:r w:rsidR="00104C1A" w:rsidRPr="00D633FF">
        <w:rPr>
          <w:rFonts w:ascii="Calibri" w:eastAsia="Times New Roman" w:hAnsi="Calibri" w:cs="Calibri"/>
          <w:szCs w:val="20"/>
        </w:rPr>
        <w:t xml:space="preserve">to align with </w:t>
      </w:r>
      <w:r w:rsidR="002E019B" w:rsidRPr="00D633FF">
        <w:rPr>
          <w:rFonts w:ascii="Calibri" w:eastAsia="Times New Roman" w:hAnsi="Calibri" w:cs="Calibri"/>
          <w:szCs w:val="20"/>
        </w:rPr>
        <w:t>different educational and developmental stages</w:t>
      </w:r>
      <w:r w:rsidR="00EA73F6" w:rsidRPr="00D633FF">
        <w:rPr>
          <w:rFonts w:ascii="Calibri" w:eastAsia="Times New Roman" w:hAnsi="Calibri" w:cs="Calibri"/>
          <w:szCs w:val="20"/>
        </w:rPr>
        <w:t xml:space="preserve">. These additional age groupings will </w:t>
      </w:r>
      <w:r w:rsidR="009A5B9E" w:rsidRPr="00D633FF">
        <w:rPr>
          <w:rFonts w:ascii="Calibri" w:eastAsia="Times New Roman" w:hAnsi="Calibri" w:cs="Calibri"/>
          <w:szCs w:val="20"/>
        </w:rPr>
        <w:t xml:space="preserve">facilitate </w:t>
      </w:r>
      <w:r w:rsidR="00104C1A" w:rsidRPr="00D633FF">
        <w:rPr>
          <w:rFonts w:ascii="Calibri" w:eastAsia="Times New Roman" w:hAnsi="Calibri" w:cs="Calibri"/>
          <w:szCs w:val="20"/>
        </w:rPr>
        <w:t xml:space="preserve">reporting against </w:t>
      </w:r>
      <w:r w:rsidR="00EA73F6" w:rsidRPr="00D633FF">
        <w:rPr>
          <w:rFonts w:ascii="Calibri" w:eastAsia="Times New Roman" w:hAnsi="Calibri" w:cs="Calibri"/>
          <w:szCs w:val="20"/>
        </w:rPr>
        <w:t>national survey data</w:t>
      </w:r>
      <w:r w:rsidR="00A87125" w:rsidRPr="00D633FF">
        <w:rPr>
          <w:rFonts w:ascii="Calibri" w:eastAsia="Times New Roman" w:hAnsi="Calibri" w:cs="Calibri"/>
          <w:szCs w:val="20"/>
        </w:rPr>
        <w:t>.</w:t>
      </w:r>
      <w:r w:rsidR="007F610D" w:rsidRPr="00D633FF">
        <w:rPr>
          <w:rFonts w:ascii="Calibri" w:eastAsia="Times New Roman" w:hAnsi="Calibri" w:cs="Calibri"/>
          <w:szCs w:val="20"/>
        </w:rPr>
        <w:t xml:space="preserve"> </w:t>
      </w:r>
    </w:p>
    <w:p w14:paraId="755B3264" w14:textId="2ECEEF0B" w:rsidR="007F610D" w:rsidRPr="00D633FF" w:rsidRDefault="008A7273" w:rsidP="000622A6">
      <w:pPr>
        <w:spacing w:after="120" w:line="360" w:lineRule="auto"/>
        <w:rPr>
          <w:rFonts w:ascii="Calibri" w:eastAsia="Times New Roman" w:hAnsi="Calibri" w:cs="Calibri"/>
          <w:szCs w:val="20"/>
        </w:rPr>
      </w:pPr>
      <w:r w:rsidRPr="00D633FF">
        <w:rPr>
          <w:rFonts w:ascii="Calibri" w:eastAsia="Times New Roman" w:hAnsi="Calibri" w:cs="Calibri"/>
          <w:szCs w:val="20"/>
        </w:rPr>
        <w:t>Weighted EAR</w:t>
      </w:r>
      <w:r w:rsidR="00215CE4" w:rsidRPr="00D633FF">
        <w:rPr>
          <w:rFonts w:ascii="Calibri" w:eastAsia="Times New Roman" w:hAnsi="Calibri" w:cs="Calibri"/>
          <w:szCs w:val="20"/>
        </w:rPr>
        <w:t xml:space="preserve">s were derived for each of the additional age groups </w:t>
      </w:r>
      <w:r w:rsidRPr="00D633FF">
        <w:rPr>
          <w:rFonts w:ascii="Calibri" w:eastAsia="Times New Roman" w:hAnsi="Calibri" w:cs="Calibri"/>
          <w:szCs w:val="20"/>
        </w:rPr>
        <w:t>using the formula:</w:t>
      </w:r>
    </w:p>
    <w:p w14:paraId="484EA23F" w14:textId="4E8781E8" w:rsidR="00CA110D" w:rsidRPr="00D633FF" w:rsidRDefault="00D15B4F" w:rsidP="00AF1105">
      <w:pPr>
        <w:pBdr>
          <w:top w:val="single" w:sz="4" w:space="1" w:color="FFC000"/>
          <w:left w:val="single" w:sz="4" w:space="4" w:color="FFC000"/>
          <w:bottom w:val="single" w:sz="4" w:space="1" w:color="FFC000"/>
          <w:right w:val="single" w:sz="4" w:space="4" w:color="FFC000"/>
        </w:pBdr>
        <w:spacing w:after="120" w:line="360" w:lineRule="auto"/>
        <w:rPr>
          <w:rFonts w:ascii="Calibri" w:hAnsi="Calibri" w:cs="Calibri"/>
          <w:sz w:val="20"/>
          <w:szCs w:val="20"/>
        </w:rPr>
      </w:pPr>
      <m:oMathPara>
        <m:oMath>
          <m:r>
            <m:rPr>
              <m:nor/>
            </m:rPr>
            <w:rPr>
              <w:rFonts w:ascii="Cambria Math" w:hAnsi="Cambria Math" w:cs="Calibri"/>
              <w:sz w:val="20"/>
              <w:szCs w:val="20"/>
            </w:rPr>
            <m:t xml:space="preserve">EAR New age= </m:t>
          </m:r>
          <m:f>
            <m:fPr>
              <m:ctrlPr>
                <w:rPr>
                  <w:rFonts w:ascii="Cambria Math" w:hAnsi="Cambria Math" w:cs="Calibri"/>
                  <w:i/>
                  <w:sz w:val="20"/>
                  <w:szCs w:val="20"/>
                </w:rPr>
              </m:ctrlPr>
            </m:fPr>
            <m:num>
              <m:d>
                <m:dPr>
                  <m:ctrlPr>
                    <w:rPr>
                      <w:rFonts w:ascii="Cambria Math" w:hAnsi="Cambria Math" w:cs="Calibri"/>
                      <w:i/>
                      <w:sz w:val="20"/>
                      <w:szCs w:val="20"/>
                    </w:rPr>
                  </m:ctrlPr>
                </m:dPr>
                <m:e>
                  <m:sSub>
                    <m:sSubPr>
                      <m:ctrlPr>
                        <w:rPr>
                          <w:rFonts w:ascii="Cambria Math" w:hAnsi="Cambria Math" w:cs="Calibri"/>
                          <w:i/>
                          <w:sz w:val="20"/>
                          <w:szCs w:val="20"/>
                        </w:rPr>
                      </m:ctrlPr>
                    </m:sSubPr>
                    <m:e>
                      <m:r>
                        <m:rPr>
                          <m:nor/>
                        </m:rPr>
                        <w:rPr>
                          <w:rFonts w:ascii="Cambria Math" w:hAnsi="Cambria Math" w:cs="Calibri"/>
                          <w:sz w:val="20"/>
                          <w:szCs w:val="20"/>
                        </w:rPr>
                        <m:t>EAR</m:t>
                      </m:r>
                    </m:e>
                    <m:sub>
                      <m:r>
                        <m:rPr>
                          <m:nor/>
                        </m:rPr>
                        <w:rPr>
                          <w:rFonts w:ascii="Cambria Math" w:hAnsi="Cambria Math" w:cs="Calibri"/>
                          <w:sz w:val="20"/>
                          <w:szCs w:val="20"/>
                        </w:rPr>
                        <m:t>2006 Age Group 1</m:t>
                      </m:r>
                    </m:sub>
                  </m:sSub>
                  <m:r>
                    <m:rPr>
                      <m:nor/>
                    </m:rPr>
                    <w:rPr>
                      <w:rFonts w:ascii="Cambria Math" w:hAnsi="Cambria Math" w:cs="Calibri"/>
                      <w:sz w:val="20"/>
                      <w:szCs w:val="20"/>
                    </w:rPr>
                    <m:t xml:space="preserve"> × Years of Overlap</m:t>
                  </m:r>
                </m:e>
              </m:d>
              <m:r>
                <m:rPr>
                  <m:nor/>
                </m:rPr>
                <w:rPr>
                  <w:rFonts w:ascii="Cambria Math" w:hAnsi="Cambria Math" w:cs="Calibri"/>
                  <w:sz w:val="20"/>
                  <w:szCs w:val="20"/>
                </w:rPr>
                <m:t>+</m:t>
              </m:r>
              <m:d>
                <m:dPr>
                  <m:ctrlPr>
                    <w:rPr>
                      <w:rFonts w:ascii="Cambria Math" w:hAnsi="Cambria Math" w:cs="Calibri"/>
                      <w:i/>
                      <w:sz w:val="20"/>
                      <w:szCs w:val="20"/>
                    </w:rPr>
                  </m:ctrlPr>
                </m:dPr>
                <m:e>
                  <m:sSub>
                    <m:sSubPr>
                      <m:ctrlPr>
                        <w:rPr>
                          <w:rFonts w:ascii="Cambria Math" w:hAnsi="Cambria Math" w:cs="Calibri"/>
                          <w:i/>
                          <w:sz w:val="20"/>
                          <w:szCs w:val="20"/>
                        </w:rPr>
                      </m:ctrlPr>
                    </m:sSubPr>
                    <m:e>
                      <m:r>
                        <m:rPr>
                          <m:nor/>
                        </m:rPr>
                        <w:rPr>
                          <w:rFonts w:ascii="Cambria Math" w:hAnsi="Cambria Math" w:cs="Calibri"/>
                          <w:sz w:val="20"/>
                          <w:szCs w:val="20"/>
                        </w:rPr>
                        <m:t>EAR</m:t>
                      </m:r>
                    </m:e>
                    <m:sub>
                      <m:r>
                        <m:rPr>
                          <m:nor/>
                        </m:rPr>
                        <w:rPr>
                          <w:rFonts w:ascii="Cambria Math" w:hAnsi="Cambria Math" w:cs="Calibri"/>
                          <w:sz w:val="20"/>
                          <w:szCs w:val="20"/>
                        </w:rPr>
                        <m:t>2006 Age Group 2</m:t>
                      </m:r>
                    </m:sub>
                  </m:sSub>
                  <m:r>
                    <m:rPr>
                      <m:nor/>
                    </m:rPr>
                    <w:rPr>
                      <w:rFonts w:ascii="Cambria Math" w:hAnsi="Cambria Math" w:cs="Calibri"/>
                      <w:sz w:val="20"/>
                      <w:szCs w:val="20"/>
                    </w:rPr>
                    <m:t xml:space="preserve"> ×Years of Overlap</m:t>
                  </m:r>
                </m:e>
              </m:d>
            </m:num>
            <m:den>
              <m:r>
                <m:rPr>
                  <m:nor/>
                </m:rPr>
                <w:rPr>
                  <w:rFonts w:ascii="Cambria Math" w:hAnsi="Cambria Math" w:cs="Calibri"/>
                  <w:sz w:val="20"/>
                  <w:szCs w:val="20"/>
                </w:rPr>
                <m:t>Total No. Years in New Age Group</m:t>
              </m:r>
            </m:den>
          </m:f>
        </m:oMath>
      </m:oMathPara>
    </w:p>
    <w:p w14:paraId="26F57EEE" w14:textId="32F85DFD" w:rsidR="00D06BE6" w:rsidRPr="00D633FF" w:rsidRDefault="00D06BE6" w:rsidP="00D06BE6">
      <w:pPr>
        <w:spacing w:after="120" w:line="360" w:lineRule="auto"/>
        <w:rPr>
          <w:rFonts w:ascii="Calibri" w:eastAsia="Times New Roman" w:hAnsi="Calibri" w:cs="Calibri"/>
          <w:szCs w:val="20"/>
        </w:rPr>
      </w:pPr>
      <w:r w:rsidRPr="00D633FF">
        <w:rPr>
          <w:rFonts w:ascii="Calibri" w:eastAsia="Times New Roman" w:hAnsi="Calibri" w:cs="Calibri"/>
          <w:szCs w:val="20"/>
        </w:rPr>
        <w:t xml:space="preserve">For example, to calculate </w:t>
      </w:r>
      <w:r w:rsidR="00454898" w:rsidRPr="00D633FF">
        <w:rPr>
          <w:rFonts w:ascii="Calibri" w:eastAsia="Times New Roman" w:hAnsi="Calibri" w:cs="Calibri"/>
          <w:szCs w:val="20"/>
        </w:rPr>
        <w:t xml:space="preserve">the EAR </w:t>
      </w:r>
      <w:r w:rsidRPr="00D633FF">
        <w:rPr>
          <w:rFonts w:ascii="Calibri" w:eastAsia="Times New Roman" w:hAnsi="Calibri" w:cs="Calibri"/>
          <w:szCs w:val="20"/>
        </w:rPr>
        <w:t xml:space="preserve">for children aged 5 to under 12 years (a </w:t>
      </w:r>
      <w:proofErr w:type="gramStart"/>
      <w:r w:rsidRPr="00D633FF">
        <w:rPr>
          <w:rFonts w:ascii="Calibri" w:eastAsia="Times New Roman" w:hAnsi="Calibri" w:cs="Calibri"/>
          <w:szCs w:val="20"/>
        </w:rPr>
        <w:t>7 year</w:t>
      </w:r>
      <w:proofErr w:type="gramEnd"/>
      <w:r w:rsidRPr="00D633FF">
        <w:rPr>
          <w:rFonts w:ascii="Calibri" w:eastAsia="Times New Roman" w:hAnsi="Calibri" w:cs="Calibri"/>
          <w:szCs w:val="20"/>
        </w:rPr>
        <w:t xml:space="preserve"> age grouping)</w:t>
      </w:r>
      <w:r w:rsidR="00454898" w:rsidRPr="00D633FF">
        <w:rPr>
          <w:rFonts w:ascii="Calibri" w:eastAsia="Times New Roman" w:hAnsi="Calibri" w:cs="Calibri"/>
          <w:szCs w:val="20"/>
        </w:rPr>
        <w:t xml:space="preserve">, a weighted average calculation would use the EAR for </w:t>
      </w:r>
      <w:r w:rsidRPr="00D633FF">
        <w:rPr>
          <w:rFonts w:ascii="Calibri" w:eastAsia="Times New Roman" w:hAnsi="Calibri" w:cs="Calibri"/>
          <w:szCs w:val="20"/>
        </w:rPr>
        <w:t>the following age groups</w:t>
      </w:r>
      <w:r w:rsidR="00454898" w:rsidRPr="00D633FF">
        <w:rPr>
          <w:rFonts w:ascii="Calibri" w:eastAsia="Times New Roman" w:hAnsi="Calibri" w:cs="Calibri"/>
          <w:szCs w:val="20"/>
        </w:rPr>
        <w:t>:</w:t>
      </w:r>
    </w:p>
    <w:p w14:paraId="614DF40F" w14:textId="2B001932" w:rsidR="00717695" w:rsidRPr="00D633FF" w:rsidRDefault="00D06BE6" w:rsidP="008D15E1">
      <w:pPr>
        <w:pStyle w:val="ListParagraph"/>
        <w:numPr>
          <w:ilvl w:val="0"/>
          <w:numId w:val="49"/>
        </w:numPr>
        <w:spacing w:after="120" w:line="360" w:lineRule="auto"/>
        <w:rPr>
          <w:rFonts w:ascii="Calibri" w:eastAsia="Times New Roman" w:hAnsi="Calibri" w:cs="Calibri"/>
          <w:szCs w:val="20"/>
        </w:rPr>
      </w:pPr>
      <w:r w:rsidRPr="00D633FF">
        <w:rPr>
          <w:rFonts w:ascii="Calibri" w:eastAsia="Times New Roman" w:hAnsi="Calibri" w:cs="Calibri"/>
          <w:szCs w:val="20"/>
        </w:rPr>
        <w:t xml:space="preserve">4 to under 9 years age group (4 </w:t>
      </w:r>
      <w:r w:rsidR="000D6103" w:rsidRPr="00D633FF">
        <w:rPr>
          <w:rFonts w:ascii="Calibri" w:eastAsia="Times New Roman" w:hAnsi="Calibri" w:cs="Calibri"/>
          <w:szCs w:val="20"/>
        </w:rPr>
        <w:t xml:space="preserve">years out </w:t>
      </w:r>
      <w:r w:rsidRPr="00D633FF">
        <w:rPr>
          <w:rFonts w:ascii="Calibri" w:eastAsia="Times New Roman" w:hAnsi="Calibri" w:cs="Calibri"/>
          <w:szCs w:val="20"/>
        </w:rPr>
        <w:t xml:space="preserve">of the </w:t>
      </w:r>
      <w:r w:rsidR="000D6103" w:rsidRPr="00D633FF">
        <w:rPr>
          <w:rFonts w:ascii="Calibri" w:eastAsia="Times New Roman" w:hAnsi="Calibri" w:cs="Calibri"/>
          <w:szCs w:val="20"/>
        </w:rPr>
        <w:t xml:space="preserve">total </w:t>
      </w:r>
      <w:proofErr w:type="gramStart"/>
      <w:r w:rsidRPr="00D633FF">
        <w:rPr>
          <w:rFonts w:ascii="Calibri" w:eastAsia="Times New Roman" w:hAnsi="Calibri" w:cs="Calibri"/>
          <w:szCs w:val="20"/>
        </w:rPr>
        <w:t>7 year</w:t>
      </w:r>
      <w:proofErr w:type="gramEnd"/>
      <w:r w:rsidRPr="00D633FF">
        <w:rPr>
          <w:rFonts w:ascii="Calibri" w:eastAsia="Times New Roman" w:hAnsi="Calibri" w:cs="Calibri"/>
          <w:szCs w:val="20"/>
        </w:rPr>
        <w:t xml:space="preserve"> span fall within this group)</w:t>
      </w:r>
    </w:p>
    <w:p w14:paraId="050529EF" w14:textId="6291E2FF" w:rsidR="00D06BE6" w:rsidRDefault="00D06BE6" w:rsidP="008D15E1">
      <w:pPr>
        <w:pStyle w:val="ListParagraph"/>
        <w:numPr>
          <w:ilvl w:val="0"/>
          <w:numId w:val="49"/>
        </w:numPr>
        <w:spacing w:after="120" w:line="360" w:lineRule="auto"/>
        <w:rPr>
          <w:rFonts w:ascii="Calibri" w:eastAsia="Times New Roman" w:hAnsi="Calibri" w:cs="Calibri"/>
          <w:szCs w:val="20"/>
        </w:rPr>
      </w:pPr>
      <w:r w:rsidRPr="00D633FF">
        <w:rPr>
          <w:rFonts w:ascii="Calibri" w:eastAsia="Times New Roman" w:hAnsi="Calibri" w:cs="Calibri"/>
          <w:szCs w:val="20"/>
        </w:rPr>
        <w:t xml:space="preserve">9 to under 14 years age group (3 </w:t>
      </w:r>
      <w:r w:rsidR="000D6103" w:rsidRPr="00D633FF">
        <w:rPr>
          <w:rFonts w:ascii="Calibri" w:eastAsia="Times New Roman" w:hAnsi="Calibri" w:cs="Calibri"/>
          <w:szCs w:val="20"/>
        </w:rPr>
        <w:t xml:space="preserve">years out of </w:t>
      </w:r>
      <w:r w:rsidRPr="00D633FF">
        <w:rPr>
          <w:rFonts w:ascii="Calibri" w:eastAsia="Times New Roman" w:hAnsi="Calibri" w:cs="Calibri"/>
          <w:szCs w:val="20"/>
        </w:rPr>
        <w:t xml:space="preserve">the </w:t>
      </w:r>
      <w:r w:rsidR="000D6103" w:rsidRPr="00D633FF">
        <w:rPr>
          <w:rFonts w:ascii="Calibri" w:eastAsia="Times New Roman" w:hAnsi="Calibri" w:cs="Calibri"/>
          <w:szCs w:val="20"/>
        </w:rPr>
        <w:t xml:space="preserve">total </w:t>
      </w:r>
      <w:proofErr w:type="gramStart"/>
      <w:r w:rsidRPr="00D633FF">
        <w:rPr>
          <w:rFonts w:ascii="Calibri" w:eastAsia="Times New Roman" w:hAnsi="Calibri" w:cs="Calibri"/>
          <w:szCs w:val="20"/>
        </w:rPr>
        <w:t>7 year</w:t>
      </w:r>
      <w:proofErr w:type="gramEnd"/>
      <w:r w:rsidRPr="00D633FF">
        <w:rPr>
          <w:rFonts w:ascii="Calibri" w:eastAsia="Times New Roman" w:hAnsi="Calibri" w:cs="Calibri"/>
          <w:szCs w:val="20"/>
        </w:rPr>
        <w:t xml:space="preserve"> span fall within this group)</w:t>
      </w:r>
    </w:p>
    <w:p w14:paraId="3F0FDAD0" w14:textId="26CEA113" w:rsidR="0088758E" w:rsidRDefault="005B259F" w:rsidP="009A28AC">
      <w:pPr>
        <w:pBdr>
          <w:top w:val="single" w:sz="4" w:space="1" w:color="FFC000"/>
          <w:left w:val="single" w:sz="4" w:space="4" w:color="FFC000"/>
          <w:bottom w:val="single" w:sz="4" w:space="1" w:color="FFC000"/>
          <w:right w:val="single" w:sz="4" w:space="4" w:color="FFC000"/>
        </w:pBdr>
        <w:spacing w:after="120" w:line="360" w:lineRule="auto"/>
        <w:rPr>
          <w:rFonts w:ascii="Calibri" w:eastAsia="Times New Roman" w:hAnsi="Calibri" w:cs="Calibri"/>
          <w:szCs w:val="20"/>
        </w:rPr>
      </w:pPr>
      <m:oMathPara>
        <m:oMath>
          <m:sSub>
            <m:sSubPr>
              <m:ctrlPr>
                <w:rPr>
                  <w:rFonts w:ascii="Cambria Math" w:eastAsia="Times New Roman" w:hAnsi="Cambria Math" w:cs="Cambria Math"/>
                  <w:szCs w:val="20"/>
                </w:rPr>
              </m:ctrlPr>
            </m:sSubPr>
            <m:e>
              <m:r>
                <m:rPr>
                  <m:nor/>
                </m:rPr>
                <w:rPr>
                  <w:rFonts w:ascii="Cambria Math" w:eastAsia="Times New Roman" w:hAnsi="Cambria Math" w:cs="Cambria Math"/>
                  <w:szCs w:val="20"/>
                </w:rPr>
                <m:t xml:space="preserve">EAR </m:t>
              </m:r>
            </m:e>
            <m:sub>
              <m:r>
                <m:rPr>
                  <m:nor/>
                </m:rPr>
                <w:rPr>
                  <w:rFonts w:ascii="Cambria Math" w:eastAsia="Times New Roman" w:hAnsi="Cambria Math" w:cs="Cambria Math"/>
                  <w:szCs w:val="20"/>
                </w:rPr>
                <m:t>5 to under 12 years</m:t>
              </m:r>
            </m:sub>
          </m:sSub>
          <m:r>
            <m:rPr>
              <m:nor/>
            </m:rPr>
            <w:rPr>
              <w:rFonts w:ascii="Cambria Math" w:eastAsia="Times New Roman" w:hAnsi="Cambria Math" w:cs="Cambria Math"/>
              <w:szCs w:val="20"/>
            </w:rPr>
            <m:t>=</m:t>
          </m:r>
          <m:f>
            <m:fPr>
              <m:ctrlPr>
                <w:rPr>
                  <w:rFonts w:ascii="Cambria Math" w:eastAsia="Times New Roman" w:hAnsi="Cambria Math" w:cs="Calibri"/>
                  <w:szCs w:val="20"/>
                </w:rPr>
              </m:ctrlPr>
            </m:fPr>
            <m:num>
              <m:d>
                <m:dPr>
                  <m:ctrlPr>
                    <w:rPr>
                      <w:rFonts w:ascii="Cambria Math" w:eastAsia="Times New Roman" w:hAnsi="Cambria Math" w:cs="Cambria Math"/>
                      <w:szCs w:val="20"/>
                    </w:rPr>
                  </m:ctrlPr>
                </m:dPr>
                <m:e>
                  <m:sSub>
                    <m:sSubPr>
                      <m:ctrlPr>
                        <w:rPr>
                          <w:rFonts w:ascii="Cambria Math" w:eastAsia="Times New Roman" w:hAnsi="Cambria Math" w:cs="Calibri"/>
                          <w:szCs w:val="20"/>
                        </w:rPr>
                      </m:ctrlPr>
                    </m:sSubPr>
                    <m:e>
                      <m:r>
                        <m:rPr>
                          <m:nor/>
                        </m:rPr>
                        <w:rPr>
                          <w:rFonts w:ascii="Cambria Math" w:eastAsia="Times New Roman" w:hAnsi="Cambria Math" w:cs="Calibri"/>
                          <w:szCs w:val="20"/>
                        </w:rPr>
                        <m:t>EAR</m:t>
                      </m:r>
                    </m:e>
                    <m:sub>
                      <m:r>
                        <m:rPr>
                          <m:nor/>
                        </m:rPr>
                        <w:rPr>
                          <w:rFonts w:ascii="Cambria Math" w:eastAsia="Times New Roman" w:hAnsi="Cambria Math" w:cs="Calibri"/>
                          <w:szCs w:val="20"/>
                        </w:rPr>
                        <m:t>4 to under 9 years</m:t>
                      </m:r>
                    </m:sub>
                  </m:sSub>
                  <m:r>
                    <m:rPr>
                      <m:nor/>
                    </m:rPr>
                    <w:rPr>
                      <w:rFonts w:ascii="Cambria Math" w:eastAsia="Times New Roman" w:hAnsi="Cambria Math" w:cs="Calibri"/>
                      <w:szCs w:val="20"/>
                    </w:rPr>
                    <m:t xml:space="preserve"> ×4</m:t>
                  </m:r>
                </m:e>
              </m:d>
              <m:r>
                <m:rPr>
                  <m:nor/>
                </m:rPr>
                <w:rPr>
                  <w:rFonts w:ascii="Cambria Math" w:eastAsia="Times New Roman" w:hAnsi="Cambria Math" w:cs="Cambria Math"/>
                  <w:szCs w:val="20"/>
                </w:rPr>
                <m:t>+(</m:t>
              </m:r>
              <m:sSub>
                <m:sSubPr>
                  <m:ctrlPr>
                    <w:rPr>
                      <w:rFonts w:ascii="Cambria Math" w:eastAsia="Times New Roman" w:hAnsi="Cambria Math" w:cs="Cambria Math"/>
                      <w:i/>
                      <w:szCs w:val="20"/>
                    </w:rPr>
                  </m:ctrlPr>
                </m:sSubPr>
                <m:e>
                  <m:r>
                    <m:rPr>
                      <m:nor/>
                    </m:rPr>
                    <w:rPr>
                      <w:rFonts w:ascii="Cambria Math" w:eastAsia="Times New Roman" w:hAnsi="Cambria Math" w:cs="Cambria Math"/>
                      <w:szCs w:val="20"/>
                    </w:rPr>
                    <m:t>EAR</m:t>
                  </m:r>
                </m:e>
                <m:sub>
                  <m:r>
                    <m:rPr>
                      <m:nor/>
                    </m:rPr>
                    <w:rPr>
                      <w:rFonts w:ascii="Cambria Math" w:eastAsia="Times New Roman" w:hAnsi="Cambria Math" w:cs="Cambria Math"/>
                      <w:szCs w:val="20"/>
                    </w:rPr>
                    <m:t>9 to under 13 years</m:t>
                  </m:r>
                </m:sub>
              </m:sSub>
              <m:r>
                <m:rPr>
                  <m:nor/>
                </m:rPr>
                <w:rPr>
                  <w:rFonts w:ascii="Cambria Math" w:eastAsia="Times New Roman" w:hAnsi="Cambria Math" w:cs="Cambria Math"/>
                  <w:szCs w:val="20"/>
                </w:rPr>
                <m:t xml:space="preserve"> ×3)</m:t>
              </m:r>
            </m:num>
            <m:den>
              <m:r>
                <m:rPr>
                  <m:nor/>
                </m:rPr>
                <w:rPr>
                  <w:rFonts w:ascii="Cambria Math" w:eastAsia="Times New Roman" w:hAnsi="Cambria Math" w:cs="Cambria Math"/>
                  <w:szCs w:val="20"/>
                </w:rPr>
                <m:t>7</m:t>
              </m:r>
            </m:den>
          </m:f>
        </m:oMath>
      </m:oMathPara>
    </w:p>
    <w:p w14:paraId="463F4248" w14:textId="4D026781" w:rsidR="00FD1E56" w:rsidRPr="00D633FF" w:rsidRDefault="00FD1E56" w:rsidP="000622A6">
      <w:pPr>
        <w:spacing w:after="120" w:line="360" w:lineRule="auto"/>
        <w:rPr>
          <w:rFonts w:ascii="Calibri" w:eastAsia="Times New Roman" w:hAnsi="Calibri" w:cs="Calibri"/>
          <w:szCs w:val="20"/>
        </w:rPr>
      </w:pPr>
      <w:r w:rsidRPr="00D633FF">
        <w:rPr>
          <w:rFonts w:ascii="Calibri" w:eastAsia="Times New Roman" w:hAnsi="Calibri" w:cs="Calibri"/>
          <w:szCs w:val="20"/>
        </w:rPr>
        <w:t>Calculated EARs were then rounded</w:t>
      </w:r>
      <w:r w:rsidR="00D32434" w:rsidRPr="00D633FF">
        <w:rPr>
          <w:rFonts w:ascii="Calibri" w:eastAsia="Times New Roman" w:hAnsi="Calibri" w:cs="Calibri"/>
          <w:szCs w:val="20"/>
        </w:rPr>
        <w:t xml:space="preserve"> and the RDI calculated using a coefficient of variation</w:t>
      </w:r>
      <w:r w:rsidR="00D32FC9" w:rsidRPr="00D633FF">
        <w:rPr>
          <w:rFonts w:ascii="Calibri" w:eastAsia="Times New Roman" w:hAnsi="Calibri" w:cs="Calibri"/>
          <w:szCs w:val="20"/>
        </w:rPr>
        <w:t xml:space="preserve"> (CV) of 10%</w:t>
      </w:r>
      <w:r w:rsidR="00D32434" w:rsidRPr="00D633FF">
        <w:rPr>
          <w:rFonts w:ascii="Calibri" w:eastAsia="Times New Roman" w:hAnsi="Calibri" w:cs="Calibri"/>
          <w:szCs w:val="20"/>
        </w:rPr>
        <w:t>.</w:t>
      </w:r>
      <w:r w:rsidR="00FA3887" w:rsidRPr="00D633FF">
        <w:rPr>
          <w:rFonts w:ascii="Calibri" w:eastAsia="Times New Roman" w:hAnsi="Calibri" w:cs="Calibri"/>
          <w:szCs w:val="20"/>
        </w:rPr>
        <w:t xml:space="preserve"> </w:t>
      </w:r>
      <w:r w:rsidR="00215CE4" w:rsidRPr="00D633FF">
        <w:rPr>
          <w:rFonts w:ascii="Calibri" w:eastAsia="Times New Roman" w:hAnsi="Calibri" w:cs="Calibri"/>
          <w:szCs w:val="20"/>
        </w:rPr>
        <w:fldChar w:fldCharType="begin" w:fldLock="1"/>
      </w:r>
      <w:r w:rsidR="00215CE4" w:rsidRPr="00D633FF">
        <w:rPr>
          <w:rFonts w:ascii="Calibri" w:eastAsia="Times New Roman" w:hAnsi="Calibri" w:cs="Calibri"/>
          <w:szCs w:val="20"/>
        </w:rPr>
        <w:instrText xml:space="preserve"> REF _Ref213168432 \h </w:instrText>
      </w:r>
      <w:r w:rsidR="00D633FF">
        <w:rPr>
          <w:rFonts w:ascii="Calibri" w:eastAsia="Times New Roman" w:hAnsi="Calibri" w:cs="Calibri"/>
          <w:szCs w:val="20"/>
        </w:rPr>
        <w:instrText xml:space="preserve"> \* MERGEFORMAT </w:instrText>
      </w:r>
      <w:r w:rsidR="00215CE4" w:rsidRPr="00D633FF">
        <w:rPr>
          <w:rFonts w:ascii="Calibri" w:eastAsia="Times New Roman" w:hAnsi="Calibri" w:cs="Calibri"/>
          <w:szCs w:val="20"/>
        </w:rPr>
      </w:r>
      <w:r w:rsidR="00215CE4" w:rsidRPr="00D633FF">
        <w:rPr>
          <w:rFonts w:ascii="Calibri" w:eastAsia="Times New Roman" w:hAnsi="Calibri" w:cs="Calibri"/>
          <w:szCs w:val="20"/>
        </w:rPr>
        <w:fldChar w:fldCharType="separate"/>
      </w:r>
      <w:r w:rsidR="00215CE4" w:rsidRPr="00D633FF">
        <w:rPr>
          <w:rFonts w:ascii="Calibri" w:hAnsi="Calibri" w:cs="Calibri"/>
        </w:rPr>
        <w:t xml:space="preserve">Table </w:t>
      </w:r>
      <w:r w:rsidR="00215CE4" w:rsidRPr="00D633FF">
        <w:rPr>
          <w:rFonts w:ascii="Calibri" w:hAnsi="Calibri" w:cs="Calibri"/>
          <w:noProof/>
        </w:rPr>
        <w:t>8</w:t>
      </w:r>
      <w:r w:rsidR="00215CE4" w:rsidRPr="00D633FF">
        <w:rPr>
          <w:rFonts w:ascii="Calibri" w:eastAsia="Times New Roman" w:hAnsi="Calibri" w:cs="Calibri"/>
          <w:szCs w:val="20"/>
        </w:rPr>
        <w:fldChar w:fldCharType="end"/>
      </w:r>
      <w:r w:rsidR="00215CE4" w:rsidRPr="00D633FF">
        <w:rPr>
          <w:rFonts w:ascii="Calibri" w:eastAsia="Times New Roman" w:hAnsi="Calibri" w:cs="Calibri"/>
          <w:szCs w:val="20"/>
        </w:rPr>
        <w:t xml:space="preserve"> shows the calculated and rounded EAR and RDIs derived for new </w:t>
      </w:r>
      <w:r w:rsidR="00E83805" w:rsidRPr="00D633FF">
        <w:rPr>
          <w:rFonts w:ascii="Calibri" w:eastAsia="Times New Roman" w:hAnsi="Calibri" w:cs="Calibri"/>
          <w:szCs w:val="20"/>
        </w:rPr>
        <w:t xml:space="preserve">‘additional </w:t>
      </w:r>
      <w:r w:rsidR="00215CE4" w:rsidRPr="00D633FF">
        <w:rPr>
          <w:rFonts w:ascii="Calibri" w:eastAsia="Times New Roman" w:hAnsi="Calibri" w:cs="Calibri"/>
          <w:szCs w:val="20"/>
        </w:rPr>
        <w:t xml:space="preserve">age </w:t>
      </w:r>
      <w:proofErr w:type="gramStart"/>
      <w:r w:rsidR="00215CE4" w:rsidRPr="00D633FF">
        <w:rPr>
          <w:rFonts w:ascii="Calibri" w:eastAsia="Times New Roman" w:hAnsi="Calibri" w:cs="Calibri"/>
          <w:szCs w:val="20"/>
        </w:rPr>
        <w:t>groups</w:t>
      </w:r>
      <w:r w:rsidR="00E83805" w:rsidRPr="00D633FF">
        <w:rPr>
          <w:rFonts w:ascii="Calibri" w:eastAsia="Times New Roman" w:hAnsi="Calibri" w:cs="Calibri"/>
          <w:szCs w:val="20"/>
        </w:rPr>
        <w:t>’</w:t>
      </w:r>
      <w:proofErr w:type="gramEnd"/>
      <w:r w:rsidR="00215CE4" w:rsidRPr="00D633FF">
        <w:rPr>
          <w:rFonts w:ascii="Calibri" w:eastAsia="Times New Roman" w:hAnsi="Calibri" w:cs="Calibri"/>
          <w:szCs w:val="20"/>
        </w:rPr>
        <w:t>.</w:t>
      </w:r>
    </w:p>
    <w:p w14:paraId="0335A02C" w14:textId="77777777" w:rsidR="000450F9" w:rsidRDefault="000450F9" w:rsidP="004C78DC">
      <w:pPr>
        <w:pStyle w:val="Caption"/>
        <w:keepNext/>
        <w:rPr>
          <w:rFonts w:ascii="Calibri" w:hAnsi="Calibri" w:cs="Calibri"/>
          <w:b/>
          <w:bCs/>
        </w:rPr>
      </w:pPr>
      <w:bookmarkStart w:id="53" w:name="_Ref213168432"/>
    </w:p>
    <w:p w14:paraId="73259CF2" w14:textId="38467CFC" w:rsidR="00215CE4" w:rsidRPr="000450F9" w:rsidRDefault="00215CE4" w:rsidP="00B07CC4">
      <w:pPr>
        <w:pStyle w:val="Caption"/>
        <w:keepNext/>
        <w:spacing w:after="120"/>
        <w:rPr>
          <w:rFonts w:ascii="Calibri" w:hAnsi="Calibri" w:cs="Calibri"/>
          <w:b/>
          <w:bCs/>
        </w:rPr>
      </w:pPr>
      <w:r w:rsidRPr="000450F9">
        <w:rPr>
          <w:rFonts w:ascii="Calibri" w:hAnsi="Calibri" w:cs="Calibri"/>
          <w:b/>
          <w:bCs/>
        </w:rPr>
        <w:t xml:space="preserve">Table </w:t>
      </w:r>
      <w:r w:rsidRPr="000450F9">
        <w:rPr>
          <w:rFonts w:ascii="Calibri" w:hAnsi="Calibri" w:cs="Calibri"/>
          <w:b/>
          <w:bCs/>
        </w:rPr>
        <w:fldChar w:fldCharType="begin"/>
      </w:r>
      <w:r w:rsidRPr="000450F9">
        <w:rPr>
          <w:rFonts w:ascii="Calibri" w:hAnsi="Calibri" w:cs="Calibri"/>
          <w:b/>
          <w:bCs/>
        </w:rPr>
        <w:instrText xml:space="preserve"> SEQ Table \* ARABIC </w:instrText>
      </w:r>
      <w:r w:rsidRPr="000450F9">
        <w:rPr>
          <w:rFonts w:ascii="Calibri" w:hAnsi="Calibri" w:cs="Calibri"/>
          <w:b/>
          <w:bCs/>
        </w:rPr>
        <w:fldChar w:fldCharType="separate"/>
      </w:r>
      <w:r w:rsidR="00CB6915" w:rsidRPr="000450F9">
        <w:rPr>
          <w:rFonts w:ascii="Calibri" w:hAnsi="Calibri" w:cs="Calibri"/>
          <w:b/>
          <w:bCs/>
          <w:noProof/>
        </w:rPr>
        <w:t>8</w:t>
      </w:r>
      <w:r w:rsidRPr="000450F9">
        <w:rPr>
          <w:rFonts w:ascii="Calibri" w:hAnsi="Calibri" w:cs="Calibri"/>
          <w:b/>
          <w:bCs/>
        </w:rPr>
        <w:fldChar w:fldCharType="end"/>
      </w:r>
      <w:bookmarkEnd w:id="53"/>
      <w:r w:rsidR="000450F9">
        <w:rPr>
          <w:rFonts w:ascii="Calibri" w:hAnsi="Calibri" w:cs="Calibri"/>
          <w:b/>
          <w:bCs/>
        </w:rPr>
        <w:t>.</w:t>
      </w:r>
      <w:r w:rsidRPr="000450F9">
        <w:rPr>
          <w:rFonts w:ascii="Calibri" w:hAnsi="Calibri" w:cs="Calibri"/>
          <w:b/>
          <w:bCs/>
        </w:rPr>
        <w:t xml:space="preserve"> EAR and RDI calculations for additional age groups</w:t>
      </w:r>
    </w:p>
    <w:tbl>
      <w:tblPr>
        <w:tblStyle w:val="TableGrid"/>
        <w:tblW w:w="9072"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3293"/>
        <w:gridCol w:w="1444"/>
        <w:gridCol w:w="1445"/>
        <w:gridCol w:w="1445"/>
        <w:gridCol w:w="1445"/>
      </w:tblGrid>
      <w:tr w:rsidR="006A57EE" w:rsidRPr="00D633FF" w14:paraId="01FA5347" w14:textId="31BC6F34" w:rsidTr="00AA3DB1">
        <w:tc>
          <w:tcPr>
            <w:tcW w:w="3293" w:type="dxa"/>
            <w:shd w:val="clear" w:color="auto" w:fill="156082"/>
            <w:vAlign w:val="bottom"/>
          </w:tcPr>
          <w:p w14:paraId="20083AD6" w14:textId="47ADA40E" w:rsidR="006A57EE" w:rsidRPr="00D633FF" w:rsidRDefault="006A57EE" w:rsidP="001356C2">
            <w:pPr>
              <w:rPr>
                <w:rFonts w:ascii="Calibri" w:hAnsi="Calibri" w:cs="Calibri"/>
                <w:b/>
                <w:bCs/>
                <w:color w:val="FFFFFF" w:themeColor="background1"/>
              </w:rPr>
            </w:pPr>
            <w:r w:rsidRPr="00D633FF">
              <w:rPr>
                <w:rFonts w:ascii="Calibri" w:hAnsi="Calibri" w:cs="Calibri"/>
                <w:b/>
                <w:bCs/>
                <w:color w:val="FFFFFF" w:themeColor="background1"/>
              </w:rPr>
              <w:t>Age</w:t>
            </w:r>
          </w:p>
        </w:tc>
        <w:tc>
          <w:tcPr>
            <w:tcW w:w="1444" w:type="dxa"/>
            <w:shd w:val="clear" w:color="auto" w:fill="156082"/>
          </w:tcPr>
          <w:p w14:paraId="11445D3B" w14:textId="147C1CEA" w:rsidR="006A57EE" w:rsidRPr="00D633FF" w:rsidRDefault="006A57EE" w:rsidP="001952D6">
            <w:pPr>
              <w:jc w:val="center"/>
              <w:rPr>
                <w:rFonts w:ascii="Calibri" w:hAnsi="Calibri" w:cs="Calibri"/>
                <w:b/>
                <w:bCs/>
                <w:color w:val="FFFFFF" w:themeColor="background1"/>
              </w:rPr>
            </w:pPr>
            <w:proofErr w:type="spellStart"/>
            <w:r w:rsidRPr="00D633FF">
              <w:rPr>
                <w:rFonts w:ascii="Calibri" w:hAnsi="Calibri" w:cs="Calibri"/>
                <w:b/>
                <w:bCs/>
                <w:color w:val="FFFFFF" w:themeColor="background1"/>
              </w:rPr>
              <w:t>EAR</w:t>
            </w:r>
            <w:r w:rsidRPr="00D633FF">
              <w:rPr>
                <w:rFonts w:ascii="Calibri" w:hAnsi="Calibri" w:cs="Calibri"/>
                <w:b/>
                <w:bCs/>
                <w:color w:val="FFFFFF" w:themeColor="background1"/>
                <w:vertAlign w:val="subscript"/>
              </w:rPr>
              <w:t>calculated</w:t>
            </w:r>
            <w:proofErr w:type="spellEnd"/>
            <w:r w:rsidRPr="00D633FF">
              <w:rPr>
                <w:rFonts w:ascii="Calibri" w:hAnsi="Calibri" w:cs="Calibri"/>
                <w:b/>
                <w:bCs/>
                <w:color w:val="FFFFFF" w:themeColor="background1"/>
                <w:vertAlign w:val="subscript"/>
              </w:rPr>
              <w:t xml:space="preserve"> </w:t>
            </w:r>
          </w:p>
          <w:p w14:paraId="1F50AD1A" w14:textId="29922CC8" w:rsidR="006A57EE" w:rsidRPr="00D633FF" w:rsidRDefault="006A57EE" w:rsidP="001952D6">
            <w:pPr>
              <w:jc w:val="center"/>
              <w:rPr>
                <w:rFonts w:ascii="Calibri" w:hAnsi="Calibri" w:cs="Calibri"/>
                <w:b/>
                <w:bCs/>
                <w:color w:val="FFFFFF" w:themeColor="background1"/>
              </w:rPr>
            </w:pPr>
            <w:r w:rsidRPr="00D633FF">
              <w:rPr>
                <w:rFonts w:ascii="Calibri" w:hAnsi="Calibri" w:cs="Calibri"/>
                <w:b/>
                <w:bCs/>
                <w:color w:val="FFFFFF" w:themeColor="background1"/>
              </w:rPr>
              <w:t>(µg/day)</w:t>
            </w:r>
          </w:p>
        </w:tc>
        <w:tc>
          <w:tcPr>
            <w:tcW w:w="1445" w:type="dxa"/>
            <w:shd w:val="clear" w:color="auto" w:fill="156082"/>
          </w:tcPr>
          <w:p w14:paraId="76C5F410" w14:textId="6C9232E4" w:rsidR="006A57EE" w:rsidRPr="00D633FF" w:rsidRDefault="006A57EE" w:rsidP="001952D6">
            <w:pPr>
              <w:jc w:val="center"/>
              <w:rPr>
                <w:rFonts w:ascii="Calibri" w:hAnsi="Calibri" w:cs="Calibri"/>
                <w:b/>
                <w:bCs/>
                <w:color w:val="FFFFFF" w:themeColor="background1"/>
              </w:rPr>
            </w:pPr>
            <w:proofErr w:type="spellStart"/>
            <w:r w:rsidRPr="00D633FF">
              <w:rPr>
                <w:rFonts w:ascii="Calibri" w:hAnsi="Calibri" w:cs="Calibri"/>
                <w:b/>
                <w:bCs/>
                <w:color w:val="FFFFFF" w:themeColor="background1"/>
              </w:rPr>
              <w:t>EAR</w:t>
            </w:r>
            <w:r w:rsidRPr="00D633FF">
              <w:rPr>
                <w:rFonts w:ascii="Calibri" w:hAnsi="Calibri" w:cs="Calibri"/>
                <w:b/>
                <w:bCs/>
                <w:color w:val="FFFFFF" w:themeColor="background1"/>
                <w:vertAlign w:val="subscript"/>
              </w:rPr>
              <w:t>Rounded</w:t>
            </w:r>
            <w:proofErr w:type="spellEnd"/>
          </w:p>
          <w:p w14:paraId="2330FF3A" w14:textId="77777777" w:rsidR="006A57EE" w:rsidRPr="00D633FF" w:rsidRDefault="006A57EE" w:rsidP="001952D6">
            <w:pPr>
              <w:jc w:val="center"/>
              <w:rPr>
                <w:rFonts w:ascii="Calibri" w:hAnsi="Calibri" w:cs="Calibri"/>
                <w:b/>
                <w:bCs/>
                <w:color w:val="FFFFFF" w:themeColor="background1"/>
              </w:rPr>
            </w:pPr>
            <w:r w:rsidRPr="00D633FF">
              <w:rPr>
                <w:rFonts w:ascii="Calibri" w:hAnsi="Calibri" w:cs="Calibri"/>
                <w:b/>
                <w:bCs/>
                <w:color w:val="FFFFFF" w:themeColor="background1"/>
              </w:rPr>
              <w:t>(µg/day)</w:t>
            </w:r>
          </w:p>
        </w:tc>
        <w:tc>
          <w:tcPr>
            <w:tcW w:w="1445" w:type="dxa"/>
            <w:shd w:val="clear" w:color="auto" w:fill="156082"/>
          </w:tcPr>
          <w:p w14:paraId="04E41984" w14:textId="4A0D741B" w:rsidR="006A57EE" w:rsidRPr="00D633FF" w:rsidRDefault="006A57EE" w:rsidP="001952D6">
            <w:pPr>
              <w:jc w:val="center"/>
              <w:rPr>
                <w:rFonts w:ascii="Calibri" w:hAnsi="Calibri" w:cs="Calibri"/>
                <w:b/>
                <w:bCs/>
                <w:color w:val="FFFFFF" w:themeColor="background1"/>
              </w:rPr>
            </w:pPr>
            <w:proofErr w:type="spellStart"/>
            <w:r w:rsidRPr="00D633FF">
              <w:rPr>
                <w:rFonts w:ascii="Calibri" w:hAnsi="Calibri" w:cs="Calibri"/>
                <w:b/>
                <w:bCs/>
                <w:color w:val="FFFFFF" w:themeColor="background1"/>
              </w:rPr>
              <w:t>RDI</w:t>
            </w:r>
            <w:r w:rsidRPr="00D633FF">
              <w:rPr>
                <w:rFonts w:ascii="Calibri" w:hAnsi="Calibri" w:cs="Calibri"/>
                <w:b/>
                <w:bCs/>
                <w:color w:val="FFFFFF" w:themeColor="background1"/>
                <w:vertAlign w:val="subscript"/>
              </w:rPr>
              <w:t>Calculated</w:t>
            </w:r>
            <w:proofErr w:type="spellEnd"/>
          </w:p>
          <w:p w14:paraId="5CA6CA55" w14:textId="67718EA6" w:rsidR="006A57EE" w:rsidRPr="00D633FF" w:rsidRDefault="006A57EE" w:rsidP="001952D6">
            <w:pPr>
              <w:jc w:val="center"/>
              <w:rPr>
                <w:rFonts w:ascii="Calibri" w:hAnsi="Calibri" w:cs="Calibri"/>
                <w:b/>
                <w:bCs/>
                <w:color w:val="FFFFFF" w:themeColor="background1"/>
              </w:rPr>
            </w:pPr>
            <w:r w:rsidRPr="00D633FF">
              <w:rPr>
                <w:rFonts w:ascii="Calibri" w:hAnsi="Calibri" w:cs="Calibri"/>
                <w:b/>
                <w:bCs/>
                <w:color w:val="FFFFFF" w:themeColor="background1"/>
              </w:rPr>
              <w:t>(µg/day)</w:t>
            </w:r>
          </w:p>
        </w:tc>
        <w:tc>
          <w:tcPr>
            <w:tcW w:w="1445" w:type="dxa"/>
            <w:shd w:val="clear" w:color="auto" w:fill="156082" w:themeFill="accent1"/>
          </w:tcPr>
          <w:p w14:paraId="29BC1FD3" w14:textId="28D7FBC1" w:rsidR="006A57EE" w:rsidRPr="00D633FF" w:rsidRDefault="006A57EE" w:rsidP="001952D6">
            <w:pPr>
              <w:jc w:val="center"/>
              <w:rPr>
                <w:rFonts w:ascii="Calibri" w:hAnsi="Calibri" w:cs="Calibri"/>
                <w:b/>
                <w:bCs/>
                <w:color w:val="FFFFFF" w:themeColor="background1"/>
              </w:rPr>
            </w:pPr>
            <w:proofErr w:type="spellStart"/>
            <w:r w:rsidRPr="00D633FF">
              <w:rPr>
                <w:rFonts w:ascii="Calibri" w:hAnsi="Calibri" w:cs="Calibri"/>
                <w:b/>
                <w:bCs/>
                <w:color w:val="FFFFFF" w:themeColor="background1"/>
              </w:rPr>
              <w:t>RDI</w:t>
            </w:r>
            <w:r w:rsidRPr="00D633FF">
              <w:rPr>
                <w:rFonts w:ascii="Calibri" w:hAnsi="Calibri" w:cs="Calibri"/>
                <w:b/>
                <w:bCs/>
                <w:color w:val="FFFFFF" w:themeColor="background1"/>
                <w:vertAlign w:val="subscript"/>
              </w:rPr>
              <w:t>Rounded</w:t>
            </w:r>
            <w:proofErr w:type="spellEnd"/>
          </w:p>
          <w:p w14:paraId="311DADA2" w14:textId="77777777" w:rsidR="006A57EE" w:rsidRPr="00D633FF" w:rsidRDefault="006A57EE" w:rsidP="001952D6">
            <w:pPr>
              <w:jc w:val="center"/>
              <w:rPr>
                <w:rFonts w:ascii="Calibri" w:hAnsi="Calibri" w:cs="Calibri"/>
                <w:b/>
                <w:bCs/>
                <w:color w:val="FFFFFF" w:themeColor="background1"/>
              </w:rPr>
            </w:pPr>
            <w:r w:rsidRPr="00D633FF">
              <w:rPr>
                <w:rFonts w:ascii="Calibri" w:hAnsi="Calibri" w:cs="Calibri"/>
                <w:b/>
                <w:bCs/>
                <w:color w:val="FFFFFF" w:themeColor="background1"/>
              </w:rPr>
              <w:t>(µg/day)</w:t>
            </w:r>
          </w:p>
        </w:tc>
      </w:tr>
      <w:tr w:rsidR="006A57EE" w:rsidRPr="00D633FF" w14:paraId="4EFDFF37" w14:textId="79C57DC6" w:rsidTr="00AA3DB1">
        <w:tc>
          <w:tcPr>
            <w:tcW w:w="3293" w:type="dxa"/>
          </w:tcPr>
          <w:p w14:paraId="18799315" w14:textId="426B76EE" w:rsidR="006A57EE" w:rsidRPr="00D633FF" w:rsidRDefault="006A57EE" w:rsidP="001952D6">
            <w:pPr>
              <w:rPr>
                <w:rFonts w:ascii="Calibri" w:hAnsi="Calibri" w:cs="Calibri"/>
              </w:rPr>
            </w:pPr>
            <w:r w:rsidRPr="00D633FF">
              <w:rPr>
                <w:rFonts w:ascii="Calibri" w:hAnsi="Calibri" w:cs="Calibri"/>
              </w:rPr>
              <w:t>12 to under 24 months</w:t>
            </w:r>
          </w:p>
        </w:tc>
        <w:tc>
          <w:tcPr>
            <w:tcW w:w="1444" w:type="dxa"/>
          </w:tcPr>
          <w:p w14:paraId="4A1C806B" w14:textId="613425B7" w:rsidR="006A57EE" w:rsidRPr="00D633FF" w:rsidRDefault="006A57EE" w:rsidP="001952D6">
            <w:pPr>
              <w:jc w:val="center"/>
              <w:rPr>
                <w:rFonts w:ascii="Calibri" w:hAnsi="Calibri" w:cs="Calibri"/>
              </w:rPr>
            </w:pPr>
            <w:r w:rsidRPr="00D633FF">
              <w:rPr>
                <w:rFonts w:ascii="Calibri" w:hAnsi="Calibri" w:cs="Calibri"/>
              </w:rPr>
              <w:t>N/A</w:t>
            </w:r>
          </w:p>
        </w:tc>
        <w:tc>
          <w:tcPr>
            <w:tcW w:w="1445" w:type="dxa"/>
          </w:tcPr>
          <w:p w14:paraId="0B0C5D7B" w14:textId="5D3EB7C2" w:rsidR="006A57EE" w:rsidRPr="00D633FF" w:rsidRDefault="006A57EE" w:rsidP="001952D6">
            <w:pPr>
              <w:jc w:val="center"/>
              <w:rPr>
                <w:rFonts w:ascii="Calibri" w:hAnsi="Calibri" w:cs="Calibri"/>
              </w:rPr>
            </w:pPr>
            <w:r w:rsidRPr="00D633FF">
              <w:rPr>
                <w:rFonts w:ascii="Calibri" w:hAnsi="Calibri" w:cs="Calibri"/>
              </w:rPr>
              <w:t>20</w:t>
            </w:r>
          </w:p>
        </w:tc>
        <w:tc>
          <w:tcPr>
            <w:tcW w:w="1445" w:type="dxa"/>
          </w:tcPr>
          <w:p w14:paraId="2DC1FE20" w14:textId="47A68A1E" w:rsidR="006A57EE" w:rsidRPr="00D633FF" w:rsidRDefault="006A57EE" w:rsidP="001952D6">
            <w:pPr>
              <w:jc w:val="center"/>
              <w:rPr>
                <w:rFonts w:ascii="Calibri" w:hAnsi="Calibri" w:cs="Calibri"/>
              </w:rPr>
            </w:pPr>
            <w:r w:rsidRPr="00D633FF">
              <w:rPr>
                <w:rFonts w:ascii="Calibri" w:hAnsi="Calibri" w:cs="Calibri"/>
              </w:rPr>
              <w:t>N/A</w:t>
            </w:r>
          </w:p>
        </w:tc>
        <w:tc>
          <w:tcPr>
            <w:tcW w:w="1445" w:type="dxa"/>
          </w:tcPr>
          <w:p w14:paraId="746AEAC8" w14:textId="5C5B1859" w:rsidR="006A57EE" w:rsidRPr="00D633FF" w:rsidRDefault="006A57EE" w:rsidP="001952D6">
            <w:pPr>
              <w:jc w:val="center"/>
              <w:rPr>
                <w:rFonts w:ascii="Calibri" w:hAnsi="Calibri" w:cs="Calibri"/>
              </w:rPr>
            </w:pPr>
            <w:r w:rsidRPr="00D633FF">
              <w:rPr>
                <w:rFonts w:ascii="Calibri" w:hAnsi="Calibri" w:cs="Calibri"/>
              </w:rPr>
              <w:t>25</w:t>
            </w:r>
          </w:p>
        </w:tc>
      </w:tr>
      <w:tr w:rsidR="006A57EE" w:rsidRPr="00D633FF" w14:paraId="5D8387F0" w14:textId="5CA0BF68" w:rsidTr="00AA3DB1">
        <w:tc>
          <w:tcPr>
            <w:tcW w:w="3293" w:type="dxa"/>
          </w:tcPr>
          <w:p w14:paraId="60DB65D8" w14:textId="123CA9B8" w:rsidR="006A57EE" w:rsidRPr="00D633FF" w:rsidRDefault="006A57EE" w:rsidP="001952D6">
            <w:pPr>
              <w:rPr>
                <w:rFonts w:ascii="Calibri" w:hAnsi="Calibri" w:cs="Calibri"/>
              </w:rPr>
            </w:pPr>
            <w:r w:rsidRPr="00D633FF">
              <w:rPr>
                <w:rFonts w:ascii="Calibri" w:hAnsi="Calibri" w:cs="Calibri"/>
              </w:rPr>
              <w:t>2 to under 5 years</w:t>
            </w:r>
          </w:p>
        </w:tc>
        <w:tc>
          <w:tcPr>
            <w:tcW w:w="1444" w:type="dxa"/>
          </w:tcPr>
          <w:p w14:paraId="66301383" w14:textId="60CFCC42" w:rsidR="006A57EE" w:rsidRPr="00D633FF" w:rsidRDefault="006A57EE" w:rsidP="001952D6">
            <w:pPr>
              <w:jc w:val="center"/>
              <w:rPr>
                <w:rFonts w:ascii="Calibri" w:hAnsi="Calibri" w:cs="Calibri"/>
              </w:rPr>
            </w:pPr>
            <w:r w:rsidRPr="00D633FF">
              <w:rPr>
                <w:rFonts w:ascii="Calibri" w:hAnsi="Calibri" w:cs="Calibri"/>
              </w:rPr>
              <w:t>21.7</w:t>
            </w:r>
          </w:p>
        </w:tc>
        <w:tc>
          <w:tcPr>
            <w:tcW w:w="1445" w:type="dxa"/>
          </w:tcPr>
          <w:p w14:paraId="5BDF010F" w14:textId="22D09B84" w:rsidR="006A57EE" w:rsidRPr="00D633FF" w:rsidRDefault="006A57EE" w:rsidP="001952D6">
            <w:pPr>
              <w:jc w:val="center"/>
              <w:rPr>
                <w:rFonts w:ascii="Calibri" w:hAnsi="Calibri" w:cs="Calibri"/>
              </w:rPr>
            </w:pPr>
            <w:r w:rsidRPr="00D633FF">
              <w:rPr>
                <w:rFonts w:ascii="Calibri" w:hAnsi="Calibri" w:cs="Calibri"/>
              </w:rPr>
              <w:t>20</w:t>
            </w:r>
          </w:p>
        </w:tc>
        <w:tc>
          <w:tcPr>
            <w:tcW w:w="1445" w:type="dxa"/>
          </w:tcPr>
          <w:p w14:paraId="51A30DBC" w14:textId="0AAB81A0" w:rsidR="006A57EE" w:rsidRPr="00D633FF" w:rsidRDefault="006A57EE" w:rsidP="001952D6">
            <w:pPr>
              <w:jc w:val="center"/>
              <w:rPr>
                <w:rFonts w:ascii="Calibri" w:hAnsi="Calibri" w:cs="Calibri"/>
              </w:rPr>
            </w:pPr>
            <w:r w:rsidRPr="00D633FF">
              <w:rPr>
                <w:rFonts w:ascii="Calibri" w:hAnsi="Calibri" w:cs="Calibri"/>
              </w:rPr>
              <w:t>24</w:t>
            </w:r>
          </w:p>
        </w:tc>
        <w:tc>
          <w:tcPr>
            <w:tcW w:w="1445" w:type="dxa"/>
          </w:tcPr>
          <w:p w14:paraId="15388FD7" w14:textId="6CFFDB5A" w:rsidR="006A57EE" w:rsidRPr="00D633FF" w:rsidRDefault="006A57EE" w:rsidP="001952D6">
            <w:pPr>
              <w:jc w:val="center"/>
              <w:rPr>
                <w:rFonts w:ascii="Calibri" w:hAnsi="Calibri" w:cs="Calibri"/>
              </w:rPr>
            </w:pPr>
            <w:r w:rsidRPr="00D633FF">
              <w:rPr>
                <w:rFonts w:ascii="Calibri" w:hAnsi="Calibri" w:cs="Calibri"/>
              </w:rPr>
              <w:t>25</w:t>
            </w:r>
          </w:p>
        </w:tc>
      </w:tr>
      <w:tr w:rsidR="006A57EE" w:rsidRPr="00D633FF" w14:paraId="2FF57960" w14:textId="61321328" w:rsidTr="00AA3DB1">
        <w:tc>
          <w:tcPr>
            <w:tcW w:w="3293" w:type="dxa"/>
          </w:tcPr>
          <w:p w14:paraId="7D88AA23" w14:textId="6947250C" w:rsidR="006A57EE" w:rsidRPr="00D633FF" w:rsidRDefault="006A57EE" w:rsidP="001952D6">
            <w:pPr>
              <w:rPr>
                <w:rFonts w:ascii="Calibri" w:hAnsi="Calibri" w:cs="Calibri"/>
              </w:rPr>
            </w:pPr>
            <w:r w:rsidRPr="00D633FF">
              <w:rPr>
                <w:rFonts w:ascii="Calibri" w:hAnsi="Calibri" w:cs="Calibri"/>
              </w:rPr>
              <w:t>5 to under 12 years</w:t>
            </w:r>
          </w:p>
        </w:tc>
        <w:tc>
          <w:tcPr>
            <w:tcW w:w="1444" w:type="dxa"/>
          </w:tcPr>
          <w:p w14:paraId="236EA402" w14:textId="653FDADC" w:rsidR="006A57EE" w:rsidRPr="00D633FF" w:rsidRDefault="006A57EE" w:rsidP="001952D6">
            <w:pPr>
              <w:jc w:val="center"/>
              <w:rPr>
                <w:rFonts w:ascii="Calibri" w:hAnsi="Calibri" w:cs="Calibri"/>
              </w:rPr>
            </w:pPr>
            <w:r w:rsidRPr="00D633FF">
              <w:rPr>
                <w:rFonts w:ascii="Calibri" w:hAnsi="Calibri" w:cs="Calibri"/>
              </w:rPr>
              <w:t>31.4</w:t>
            </w:r>
          </w:p>
        </w:tc>
        <w:tc>
          <w:tcPr>
            <w:tcW w:w="1445" w:type="dxa"/>
          </w:tcPr>
          <w:p w14:paraId="7EF40E40" w14:textId="5EBAA769" w:rsidR="006A57EE" w:rsidRPr="00D633FF" w:rsidRDefault="006A57EE" w:rsidP="001952D6">
            <w:pPr>
              <w:jc w:val="center"/>
              <w:rPr>
                <w:rFonts w:ascii="Calibri" w:hAnsi="Calibri" w:cs="Calibri"/>
              </w:rPr>
            </w:pPr>
            <w:r w:rsidRPr="00D633FF">
              <w:rPr>
                <w:rFonts w:ascii="Calibri" w:hAnsi="Calibri" w:cs="Calibri"/>
              </w:rPr>
              <w:t>30</w:t>
            </w:r>
          </w:p>
        </w:tc>
        <w:tc>
          <w:tcPr>
            <w:tcW w:w="1445" w:type="dxa"/>
          </w:tcPr>
          <w:p w14:paraId="3E87AA9A" w14:textId="2CF7CF7E" w:rsidR="006A57EE" w:rsidRPr="00D633FF" w:rsidRDefault="006A57EE" w:rsidP="001952D6">
            <w:pPr>
              <w:jc w:val="center"/>
              <w:rPr>
                <w:rFonts w:ascii="Calibri" w:hAnsi="Calibri" w:cs="Calibri"/>
              </w:rPr>
            </w:pPr>
            <w:r w:rsidRPr="00D633FF">
              <w:rPr>
                <w:rFonts w:ascii="Calibri" w:hAnsi="Calibri" w:cs="Calibri"/>
              </w:rPr>
              <w:t>36</w:t>
            </w:r>
          </w:p>
        </w:tc>
        <w:tc>
          <w:tcPr>
            <w:tcW w:w="1445" w:type="dxa"/>
          </w:tcPr>
          <w:p w14:paraId="73D3B218" w14:textId="148402E6" w:rsidR="006A57EE" w:rsidRPr="00D633FF" w:rsidRDefault="006A57EE" w:rsidP="001952D6">
            <w:pPr>
              <w:jc w:val="center"/>
              <w:rPr>
                <w:rFonts w:ascii="Calibri" w:hAnsi="Calibri" w:cs="Calibri"/>
              </w:rPr>
            </w:pPr>
            <w:r w:rsidRPr="00D633FF">
              <w:rPr>
                <w:rFonts w:ascii="Calibri" w:hAnsi="Calibri" w:cs="Calibri"/>
              </w:rPr>
              <w:t>40</w:t>
            </w:r>
          </w:p>
        </w:tc>
      </w:tr>
      <w:tr w:rsidR="006A57EE" w:rsidRPr="00D633FF" w14:paraId="0FF3A1B3" w14:textId="1809FD74" w:rsidTr="00AA3DB1">
        <w:tc>
          <w:tcPr>
            <w:tcW w:w="3293" w:type="dxa"/>
            <w:shd w:val="clear" w:color="auto" w:fill="DAE9F7" w:themeFill="text2" w:themeFillTint="1A"/>
          </w:tcPr>
          <w:p w14:paraId="23BEDC6D" w14:textId="3EBA3129" w:rsidR="006A57EE" w:rsidRPr="00D633FF" w:rsidRDefault="006A57EE" w:rsidP="001952D6">
            <w:pPr>
              <w:rPr>
                <w:rFonts w:ascii="Calibri" w:hAnsi="Calibri" w:cs="Calibri"/>
              </w:rPr>
            </w:pPr>
            <w:r w:rsidRPr="00D633FF">
              <w:rPr>
                <w:rFonts w:ascii="Calibri" w:hAnsi="Calibri" w:cs="Calibri"/>
              </w:rPr>
              <w:t>Males 12 to under 18 years</w:t>
            </w:r>
          </w:p>
        </w:tc>
        <w:tc>
          <w:tcPr>
            <w:tcW w:w="1444" w:type="dxa"/>
            <w:shd w:val="clear" w:color="auto" w:fill="DAE9F7" w:themeFill="text2" w:themeFillTint="1A"/>
          </w:tcPr>
          <w:p w14:paraId="46D18A71" w14:textId="01C9D76D" w:rsidR="006A57EE" w:rsidRPr="00D633FF" w:rsidRDefault="006A57EE" w:rsidP="001952D6">
            <w:pPr>
              <w:jc w:val="center"/>
              <w:rPr>
                <w:rFonts w:ascii="Calibri" w:hAnsi="Calibri" w:cs="Calibri"/>
              </w:rPr>
            </w:pPr>
            <w:r w:rsidRPr="00D633FF">
              <w:rPr>
                <w:rFonts w:ascii="Calibri" w:hAnsi="Calibri" w:cs="Calibri"/>
              </w:rPr>
              <w:t>53.3</w:t>
            </w:r>
          </w:p>
        </w:tc>
        <w:tc>
          <w:tcPr>
            <w:tcW w:w="1445" w:type="dxa"/>
            <w:shd w:val="clear" w:color="auto" w:fill="DAE9F7" w:themeFill="text2" w:themeFillTint="1A"/>
          </w:tcPr>
          <w:p w14:paraId="6C1B184A" w14:textId="73680E0C" w:rsidR="006A57EE" w:rsidRPr="00D633FF" w:rsidRDefault="006A57EE" w:rsidP="001952D6">
            <w:pPr>
              <w:jc w:val="center"/>
              <w:rPr>
                <w:rFonts w:ascii="Calibri" w:hAnsi="Calibri" w:cs="Calibri"/>
              </w:rPr>
            </w:pPr>
            <w:r w:rsidRPr="00D633FF">
              <w:rPr>
                <w:rFonts w:ascii="Calibri" w:hAnsi="Calibri" w:cs="Calibri"/>
              </w:rPr>
              <w:t>55</w:t>
            </w:r>
          </w:p>
        </w:tc>
        <w:tc>
          <w:tcPr>
            <w:tcW w:w="1445" w:type="dxa"/>
            <w:shd w:val="clear" w:color="auto" w:fill="DAE9F7" w:themeFill="text2" w:themeFillTint="1A"/>
          </w:tcPr>
          <w:p w14:paraId="50F46BC7" w14:textId="76B9A3FD" w:rsidR="006A57EE" w:rsidRPr="00D633FF" w:rsidRDefault="006A57EE" w:rsidP="001952D6">
            <w:pPr>
              <w:jc w:val="center"/>
              <w:rPr>
                <w:rFonts w:ascii="Calibri" w:hAnsi="Calibri" w:cs="Calibri"/>
              </w:rPr>
            </w:pPr>
            <w:r w:rsidRPr="00D633FF">
              <w:rPr>
                <w:rFonts w:ascii="Calibri" w:hAnsi="Calibri" w:cs="Calibri"/>
              </w:rPr>
              <w:t>66</w:t>
            </w:r>
          </w:p>
        </w:tc>
        <w:tc>
          <w:tcPr>
            <w:tcW w:w="1445" w:type="dxa"/>
            <w:shd w:val="clear" w:color="auto" w:fill="DAE9F7" w:themeFill="text2" w:themeFillTint="1A"/>
          </w:tcPr>
          <w:p w14:paraId="667FAECA" w14:textId="5E59E457" w:rsidR="006A57EE" w:rsidRPr="00D633FF" w:rsidRDefault="006A57EE" w:rsidP="001952D6">
            <w:pPr>
              <w:jc w:val="center"/>
              <w:rPr>
                <w:rFonts w:ascii="Calibri" w:hAnsi="Calibri" w:cs="Calibri"/>
              </w:rPr>
            </w:pPr>
            <w:r w:rsidRPr="00D633FF">
              <w:rPr>
                <w:rFonts w:ascii="Calibri" w:hAnsi="Calibri" w:cs="Calibri"/>
              </w:rPr>
              <w:t>65</w:t>
            </w:r>
          </w:p>
        </w:tc>
      </w:tr>
      <w:tr w:rsidR="006A57EE" w:rsidRPr="00D633FF" w14:paraId="761C069B" w14:textId="3308C934" w:rsidTr="00AA3DB1">
        <w:tc>
          <w:tcPr>
            <w:tcW w:w="3293" w:type="dxa"/>
            <w:shd w:val="clear" w:color="auto" w:fill="F2CEED" w:themeFill="accent5" w:themeFillTint="33"/>
          </w:tcPr>
          <w:p w14:paraId="5B5508B6" w14:textId="2CD28399" w:rsidR="006A57EE" w:rsidRPr="00D633FF" w:rsidRDefault="006A57EE" w:rsidP="001952D6">
            <w:pPr>
              <w:rPr>
                <w:rFonts w:ascii="Calibri" w:hAnsi="Calibri" w:cs="Calibri"/>
              </w:rPr>
            </w:pPr>
            <w:r w:rsidRPr="00D633FF">
              <w:rPr>
                <w:rFonts w:ascii="Calibri" w:hAnsi="Calibri" w:cs="Calibri"/>
              </w:rPr>
              <w:t>Females 12 to under 18 years</w:t>
            </w:r>
          </w:p>
        </w:tc>
        <w:tc>
          <w:tcPr>
            <w:tcW w:w="1444" w:type="dxa"/>
            <w:shd w:val="clear" w:color="auto" w:fill="F2CEED" w:themeFill="accent5" w:themeFillTint="33"/>
          </w:tcPr>
          <w:p w14:paraId="1178AE8E" w14:textId="01267B13" w:rsidR="006A57EE" w:rsidRPr="00D633FF" w:rsidRDefault="006A57EE" w:rsidP="001952D6">
            <w:pPr>
              <w:jc w:val="center"/>
              <w:rPr>
                <w:rFonts w:ascii="Calibri" w:hAnsi="Calibri" w:cs="Calibri"/>
              </w:rPr>
            </w:pPr>
            <w:r w:rsidRPr="00D633FF">
              <w:rPr>
                <w:rFonts w:ascii="Calibri" w:hAnsi="Calibri" w:cs="Calibri"/>
              </w:rPr>
              <w:t>46.7</w:t>
            </w:r>
          </w:p>
        </w:tc>
        <w:tc>
          <w:tcPr>
            <w:tcW w:w="1445" w:type="dxa"/>
            <w:shd w:val="clear" w:color="auto" w:fill="F2CEED" w:themeFill="accent5" w:themeFillTint="33"/>
          </w:tcPr>
          <w:p w14:paraId="683C228E" w14:textId="7F751972" w:rsidR="006A57EE" w:rsidRPr="00D633FF" w:rsidRDefault="006A57EE" w:rsidP="001952D6">
            <w:pPr>
              <w:jc w:val="center"/>
              <w:rPr>
                <w:rFonts w:ascii="Calibri" w:hAnsi="Calibri" w:cs="Calibri"/>
              </w:rPr>
            </w:pPr>
            <w:r w:rsidRPr="00D633FF">
              <w:rPr>
                <w:rFonts w:ascii="Calibri" w:hAnsi="Calibri" w:cs="Calibri"/>
              </w:rPr>
              <w:t>45</w:t>
            </w:r>
          </w:p>
        </w:tc>
        <w:tc>
          <w:tcPr>
            <w:tcW w:w="1445" w:type="dxa"/>
            <w:shd w:val="clear" w:color="auto" w:fill="F2CEED" w:themeFill="accent5" w:themeFillTint="33"/>
          </w:tcPr>
          <w:p w14:paraId="535C882B" w14:textId="07654C6D" w:rsidR="006A57EE" w:rsidRPr="00D633FF" w:rsidRDefault="006A57EE" w:rsidP="001952D6">
            <w:pPr>
              <w:jc w:val="center"/>
              <w:rPr>
                <w:rFonts w:ascii="Calibri" w:hAnsi="Calibri" w:cs="Calibri"/>
              </w:rPr>
            </w:pPr>
            <w:r w:rsidRPr="00D633FF">
              <w:rPr>
                <w:rFonts w:ascii="Calibri" w:hAnsi="Calibri" w:cs="Calibri"/>
              </w:rPr>
              <w:t>54</w:t>
            </w:r>
          </w:p>
        </w:tc>
        <w:tc>
          <w:tcPr>
            <w:tcW w:w="1445" w:type="dxa"/>
            <w:shd w:val="clear" w:color="auto" w:fill="F2CEED" w:themeFill="accent5" w:themeFillTint="33"/>
          </w:tcPr>
          <w:p w14:paraId="660685C3" w14:textId="300437EB" w:rsidR="006A57EE" w:rsidRPr="00D633FF" w:rsidRDefault="006A57EE" w:rsidP="001952D6">
            <w:pPr>
              <w:jc w:val="center"/>
              <w:rPr>
                <w:rFonts w:ascii="Calibri" w:hAnsi="Calibri" w:cs="Calibri"/>
              </w:rPr>
            </w:pPr>
            <w:r w:rsidRPr="00D633FF">
              <w:rPr>
                <w:rFonts w:ascii="Calibri" w:hAnsi="Calibri" w:cs="Calibri"/>
              </w:rPr>
              <w:t>55</w:t>
            </w:r>
          </w:p>
        </w:tc>
      </w:tr>
    </w:tbl>
    <w:p w14:paraId="2A8A6B81" w14:textId="77777777" w:rsidR="00E83805" w:rsidRPr="00D633FF" w:rsidRDefault="00E83805" w:rsidP="0027119F">
      <w:pPr>
        <w:spacing w:before="120" w:after="0" w:line="240" w:lineRule="atLeast"/>
        <w:rPr>
          <w:rFonts w:ascii="Calibri" w:eastAsia="Times New Roman" w:hAnsi="Calibri" w:cs="Calibri"/>
          <w:szCs w:val="20"/>
        </w:rPr>
      </w:pPr>
    </w:p>
    <w:p w14:paraId="597BC11A" w14:textId="3A5E2018" w:rsidR="0027119F" w:rsidRPr="00D633FF" w:rsidRDefault="008A7273" w:rsidP="002A3FDC">
      <w:pPr>
        <w:spacing w:after="120" w:line="360" w:lineRule="auto"/>
        <w:rPr>
          <w:rFonts w:ascii="Calibri" w:eastAsiaTheme="majorEastAsia" w:hAnsi="Calibri" w:cs="Calibri"/>
          <w:color w:val="0F4761" w:themeColor="accent1" w:themeShade="BF"/>
          <w:sz w:val="32"/>
          <w:szCs w:val="32"/>
        </w:rPr>
      </w:pPr>
      <w:r w:rsidRPr="00D633FF">
        <w:rPr>
          <w:rFonts w:ascii="Calibri" w:eastAsia="Times New Roman" w:hAnsi="Calibri" w:cs="Calibri"/>
          <w:szCs w:val="20"/>
        </w:rPr>
        <w:t xml:space="preserve">Further information about age groupings and associated reference weights used in calculations is presented in the Methodological Framework for the Review of Nutrient Reference Values (NHMRC 2025). </w:t>
      </w:r>
      <w:bookmarkEnd w:id="52"/>
      <w:r w:rsidR="0027119F" w:rsidRPr="00D633FF">
        <w:rPr>
          <w:rFonts w:ascii="Calibri" w:hAnsi="Calibri" w:cs="Calibri"/>
        </w:rPr>
        <w:br w:type="page"/>
      </w:r>
    </w:p>
    <w:p w14:paraId="3C696CA8" w14:textId="404E95CC" w:rsidR="00E13774" w:rsidRPr="00D633FF" w:rsidRDefault="00E13774" w:rsidP="00A62838">
      <w:pPr>
        <w:pStyle w:val="Heading2"/>
        <w:spacing w:line="360" w:lineRule="auto"/>
        <w:rPr>
          <w:rFonts w:ascii="Calibri" w:hAnsi="Calibri" w:cs="Calibri"/>
        </w:rPr>
      </w:pPr>
      <w:bookmarkStart w:id="54" w:name="_Toc218527976"/>
      <w:r w:rsidRPr="00D633FF">
        <w:rPr>
          <w:rFonts w:ascii="Calibri" w:hAnsi="Calibri" w:cs="Calibri"/>
        </w:rPr>
        <w:lastRenderedPageBreak/>
        <w:t>Upper l</w:t>
      </w:r>
      <w:r w:rsidR="006E010E" w:rsidRPr="00D633FF">
        <w:rPr>
          <w:rFonts w:ascii="Calibri" w:hAnsi="Calibri" w:cs="Calibri"/>
        </w:rPr>
        <w:t>evel</w:t>
      </w:r>
      <w:r w:rsidR="00B3261A" w:rsidRPr="00D633FF">
        <w:rPr>
          <w:rFonts w:ascii="Calibri" w:hAnsi="Calibri" w:cs="Calibri"/>
        </w:rPr>
        <w:t xml:space="preserve"> </w:t>
      </w:r>
      <w:r w:rsidR="002A5702" w:rsidRPr="00D633FF">
        <w:rPr>
          <w:rFonts w:ascii="Calibri" w:hAnsi="Calibri" w:cs="Calibri"/>
        </w:rPr>
        <w:t>(UL)</w:t>
      </w:r>
      <w:bookmarkEnd w:id="54"/>
    </w:p>
    <w:p w14:paraId="575C86F0" w14:textId="4EACD3FB" w:rsidR="0022113E" w:rsidRPr="00D633FF" w:rsidRDefault="00C56C7A" w:rsidP="001E7C2D">
      <w:pPr>
        <w:spacing w:line="360" w:lineRule="auto"/>
        <w:rPr>
          <w:rFonts w:ascii="Calibri" w:eastAsia="Times New Roman" w:hAnsi="Calibri" w:cs="Calibri"/>
          <w:szCs w:val="20"/>
        </w:rPr>
      </w:pPr>
      <w:bookmarkStart w:id="55" w:name="_Toc204170931"/>
      <w:r w:rsidRPr="00D633FF">
        <w:rPr>
          <w:rFonts w:ascii="Calibri" w:eastAsia="Times New Roman" w:hAnsi="Calibri" w:cs="Calibri"/>
          <w:szCs w:val="20"/>
        </w:rPr>
        <w:t>U</w:t>
      </w:r>
      <w:r w:rsidR="00D0088E" w:rsidRPr="00D633FF">
        <w:rPr>
          <w:rFonts w:ascii="Calibri" w:eastAsia="Times New Roman" w:hAnsi="Calibri" w:cs="Calibri"/>
          <w:szCs w:val="20"/>
        </w:rPr>
        <w:t>pdat</w:t>
      </w:r>
      <w:r w:rsidRPr="00D633FF">
        <w:rPr>
          <w:rFonts w:ascii="Calibri" w:eastAsia="Times New Roman" w:hAnsi="Calibri" w:cs="Calibri"/>
          <w:szCs w:val="20"/>
        </w:rPr>
        <w:t xml:space="preserve">ing </w:t>
      </w:r>
      <w:r w:rsidR="004F1E90" w:rsidRPr="00D633FF">
        <w:rPr>
          <w:rFonts w:ascii="Calibri" w:eastAsia="Times New Roman" w:hAnsi="Calibri" w:cs="Calibri"/>
          <w:szCs w:val="20"/>
        </w:rPr>
        <w:t xml:space="preserve">the </w:t>
      </w:r>
      <w:r w:rsidRPr="00D633FF">
        <w:rPr>
          <w:rFonts w:ascii="Calibri" w:eastAsia="Times New Roman" w:hAnsi="Calibri" w:cs="Calibri"/>
          <w:szCs w:val="20"/>
        </w:rPr>
        <w:t>NHMRC</w:t>
      </w:r>
      <w:r w:rsidR="00D0088E" w:rsidRPr="00D633FF">
        <w:rPr>
          <w:rFonts w:ascii="Calibri" w:eastAsia="Times New Roman" w:hAnsi="Calibri" w:cs="Calibri"/>
          <w:szCs w:val="20"/>
        </w:rPr>
        <w:t xml:space="preserve"> selenium UL </w:t>
      </w:r>
      <w:r w:rsidR="004F1E90" w:rsidRPr="00D633FF">
        <w:rPr>
          <w:rFonts w:ascii="Calibri" w:eastAsia="Times New Roman" w:hAnsi="Calibri" w:cs="Calibri"/>
          <w:szCs w:val="20"/>
        </w:rPr>
        <w:t>involved adapting</w:t>
      </w:r>
      <w:r w:rsidR="00710C9E" w:rsidRPr="00D633FF">
        <w:rPr>
          <w:rFonts w:ascii="Calibri" w:eastAsia="Times New Roman" w:hAnsi="Calibri" w:cs="Calibri"/>
          <w:szCs w:val="20"/>
        </w:rPr>
        <w:t xml:space="preserve"> </w:t>
      </w:r>
      <w:r w:rsidR="00A556B8" w:rsidRPr="00D633FF">
        <w:rPr>
          <w:rFonts w:ascii="Calibri" w:eastAsia="Times New Roman" w:hAnsi="Calibri" w:cs="Calibri"/>
          <w:szCs w:val="20"/>
        </w:rPr>
        <w:t xml:space="preserve">EFSAs 2023 selenium UL </w:t>
      </w:r>
      <w:r w:rsidR="00F41A14" w:rsidRPr="00D633FF">
        <w:rPr>
          <w:rFonts w:ascii="Calibri" w:eastAsia="Times New Roman" w:hAnsi="Calibri" w:cs="Calibri"/>
          <w:noProof/>
          <w:szCs w:val="20"/>
        </w:rPr>
        <w:t>(EFSA 2023)</w:t>
      </w:r>
      <w:r w:rsidR="00BF2443" w:rsidRPr="00D633FF">
        <w:rPr>
          <w:rFonts w:ascii="Calibri" w:eastAsia="Times New Roman" w:hAnsi="Calibri" w:cs="Calibri"/>
          <w:szCs w:val="20"/>
        </w:rPr>
        <w:t xml:space="preserve"> </w:t>
      </w:r>
      <w:r w:rsidR="00A556B8" w:rsidRPr="00D633FF">
        <w:rPr>
          <w:rFonts w:ascii="Calibri" w:eastAsia="Times New Roman" w:hAnsi="Calibri" w:cs="Calibri"/>
          <w:szCs w:val="20"/>
        </w:rPr>
        <w:t>to the Australia New Ze</w:t>
      </w:r>
      <w:r w:rsidR="008D3964" w:rsidRPr="00D633FF">
        <w:rPr>
          <w:rFonts w:ascii="Calibri" w:eastAsia="Times New Roman" w:hAnsi="Calibri" w:cs="Calibri"/>
          <w:szCs w:val="20"/>
        </w:rPr>
        <w:t>a</w:t>
      </w:r>
      <w:r w:rsidR="00A556B8" w:rsidRPr="00D633FF">
        <w:rPr>
          <w:rFonts w:ascii="Calibri" w:eastAsia="Times New Roman" w:hAnsi="Calibri" w:cs="Calibri"/>
          <w:szCs w:val="20"/>
        </w:rPr>
        <w:t xml:space="preserve">land context </w:t>
      </w:r>
      <w:r w:rsidR="006C1268" w:rsidRPr="00D633FF">
        <w:rPr>
          <w:rFonts w:ascii="Calibri" w:eastAsia="Times New Roman" w:hAnsi="Calibri" w:cs="Calibri"/>
          <w:szCs w:val="20"/>
        </w:rPr>
        <w:t xml:space="preserve">through a GRADE </w:t>
      </w:r>
      <w:r w:rsidR="006B47C5" w:rsidRPr="00D633FF">
        <w:rPr>
          <w:rFonts w:ascii="Calibri" w:eastAsia="Times New Roman" w:hAnsi="Calibri" w:cs="Calibri"/>
          <w:szCs w:val="20"/>
        </w:rPr>
        <w:t>E</w:t>
      </w:r>
      <w:r w:rsidR="006C1268" w:rsidRPr="00D633FF">
        <w:rPr>
          <w:rFonts w:ascii="Calibri" w:eastAsia="Times New Roman" w:hAnsi="Calibri" w:cs="Calibri"/>
          <w:szCs w:val="20"/>
        </w:rPr>
        <w:t>vidence-to-</w:t>
      </w:r>
      <w:r w:rsidR="006B47C5" w:rsidRPr="00D633FF">
        <w:rPr>
          <w:rFonts w:ascii="Calibri" w:eastAsia="Times New Roman" w:hAnsi="Calibri" w:cs="Calibri"/>
          <w:szCs w:val="20"/>
        </w:rPr>
        <w:t>D</w:t>
      </w:r>
      <w:r w:rsidR="006C1268" w:rsidRPr="00D633FF">
        <w:rPr>
          <w:rFonts w:ascii="Calibri" w:eastAsia="Times New Roman" w:hAnsi="Calibri" w:cs="Calibri"/>
          <w:szCs w:val="20"/>
        </w:rPr>
        <w:t>ecision process</w:t>
      </w:r>
      <w:r w:rsidR="00B4508B" w:rsidRPr="00D633FF">
        <w:rPr>
          <w:rFonts w:ascii="Calibri" w:eastAsia="Times New Roman" w:hAnsi="Calibri" w:cs="Calibri"/>
          <w:szCs w:val="20"/>
        </w:rPr>
        <w:t xml:space="preserve"> (see </w:t>
      </w:r>
      <w:r w:rsidR="00FA674E" w:rsidRPr="00D633FF">
        <w:rPr>
          <w:rFonts w:ascii="Calibri" w:eastAsia="Times New Roman" w:hAnsi="Calibri" w:cs="Calibri"/>
          <w:szCs w:val="20"/>
        </w:rPr>
        <w:t>‘</w:t>
      </w:r>
      <w:r w:rsidR="00B4508B" w:rsidRPr="00D633FF">
        <w:rPr>
          <w:rFonts w:ascii="Calibri" w:eastAsia="Times New Roman" w:hAnsi="Calibri" w:cs="Calibri"/>
        </w:rPr>
        <w:fldChar w:fldCharType="begin" w:fldLock="1"/>
      </w:r>
      <w:r w:rsidR="00B4508B" w:rsidRPr="00D633FF">
        <w:rPr>
          <w:rFonts w:ascii="Calibri" w:eastAsia="Times New Roman" w:hAnsi="Calibri" w:cs="Calibri"/>
        </w:rPr>
        <w:instrText xml:space="preserve"> REF _Ref207294784 \h  \* MERGEFORMAT </w:instrText>
      </w:r>
      <w:r w:rsidR="00B4508B" w:rsidRPr="00D633FF">
        <w:rPr>
          <w:rFonts w:ascii="Calibri" w:eastAsia="Times New Roman" w:hAnsi="Calibri" w:cs="Calibri"/>
        </w:rPr>
      </w:r>
      <w:r w:rsidR="00B4508B" w:rsidRPr="00D633FF">
        <w:rPr>
          <w:rFonts w:ascii="Calibri" w:eastAsia="Times New Roman" w:hAnsi="Calibri" w:cs="Calibri"/>
        </w:rPr>
        <w:fldChar w:fldCharType="separate"/>
      </w:r>
      <w:r w:rsidR="00B4508B" w:rsidRPr="00D633FF">
        <w:rPr>
          <w:rFonts w:ascii="Calibri" w:hAnsi="Calibri" w:cs="Calibri"/>
        </w:rPr>
        <w:t>Rationale for prioritising this update</w:t>
      </w:r>
      <w:r w:rsidR="00B4508B" w:rsidRPr="00D633FF">
        <w:rPr>
          <w:rFonts w:ascii="Calibri" w:eastAsia="Times New Roman" w:hAnsi="Calibri" w:cs="Calibri"/>
        </w:rPr>
        <w:fldChar w:fldCharType="end"/>
      </w:r>
      <w:r w:rsidR="00FA674E" w:rsidRPr="00D633FF">
        <w:rPr>
          <w:rFonts w:ascii="Calibri" w:eastAsia="Times New Roman" w:hAnsi="Calibri" w:cs="Calibri"/>
        </w:rPr>
        <w:t>’</w:t>
      </w:r>
      <w:r w:rsidR="00B4508B" w:rsidRPr="00D633FF">
        <w:rPr>
          <w:rFonts w:ascii="Calibri" w:eastAsia="Times New Roman" w:hAnsi="Calibri" w:cs="Calibri"/>
          <w:szCs w:val="20"/>
        </w:rPr>
        <w:t>)</w:t>
      </w:r>
      <w:r w:rsidR="00071856" w:rsidRPr="00D633FF">
        <w:rPr>
          <w:rFonts w:ascii="Calibri" w:eastAsia="Times New Roman" w:hAnsi="Calibri" w:cs="Calibri"/>
          <w:szCs w:val="20"/>
        </w:rPr>
        <w:t xml:space="preserve">. </w:t>
      </w:r>
      <w:r w:rsidR="00C60B82" w:rsidRPr="00D633FF">
        <w:rPr>
          <w:rFonts w:ascii="Calibri" w:eastAsia="Times New Roman" w:hAnsi="Calibri" w:cs="Calibri"/>
          <w:szCs w:val="20"/>
        </w:rPr>
        <w:t>The</w:t>
      </w:r>
      <w:r w:rsidR="00071856" w:rsidRPr="00D633FF">
        <w:rPr>
          <w:rFonts w:ascii="Calibri" w:eastAsia="Times New Roman" w:hAnsi="Calibri" w:cs="Calibri"/>
          <w:szCs w:val="20"/>
        </w:rPr>
        <w:t xml:space="preserve"> process </w:t>
      </w:r>
      <w:r w:rsidR="006E6F58" w:rsidRPr="00D633FF">
        <w:rPr>
          <w:rFonts w:ascii="Calibri" w:eastAsia="Times New Roman" w:hAnsi="Calibri" w:cs="Calibri"/>
          <w:szCs w:val="20"/>
        </w:rPr>
        <w:t>involved guidance from</w:t>
      </w:r>
      <w:r w:rsidR="00A319BA" w:rsidRPr="00D633FF">
        <w:rPr>
          <w:rFonts w:ascii="Calibri" w:eastAsia="Times New Roman" w:hAnsi="Calibri" w:cs="Calibri"/>
          <w:szCs w:val="20"/>
        </w:rPr>
        <w:t xml:space="preserve"> the</w:t>
      </w:r>
      <w:r w:rsidR="00B808D6" w:rsidRPr="00D633FF">
        <w:rPr>
          <w:rFonts w:ascii="Calibri" w:eastAsia="Times New Roman" w:hAnsi="Calibri" w:cs="Calibri"/>
          <w:szCs w:val="20"/>
        </w:rPr>
        <w:t xml:space="preserve"> Steering Group Advisory Committee (</w:t>
      </w:r>
      <w:r w:rsidR="00071856" w:rsidRPr="00D633FF">
        <w:rPr>
          <w:rFonts w:ascii="Calibri" w:eastAsia="Times New Roman" w:hAnsi="Calibri" w:cs="Calibri"/>
          <w:szCs w:val="20"/>
        </w:rPr>
        <w:t>NRV derivation methodological experts</w:t>
      </w:r>
      <w:r w:rsidR="00A319BA" w:rsidRPr="00D633FF">
        <w:rPr>
          <w:rFonts w:ascii="Calibri" w:eastAsia="Times New Roman" w:hAnsi="Calibri" w:cs="Calibri"/>
          <w:szCs w:val="20"/>
        </w:rPr>
        <w:t xml:space="preserve"> and selenium nutrition experts</w:t>
      </w:r>
      <w:r w:rsidR="00B808D6" w:rsidRPr="00D633FF">
        <w:rPr>
          <w:rFonts w:ascii="Calibri" w:eastAsia="Times New Roman" w:hAnsi="Calibri" w:cs="Calibri"/>
          <w:szCs w:val="20"/>
        </w:rPr>
        <w:t xml:space="preserve">) </w:t>
      </w:r>
      <w:r w:rsidR="007A3EEC" w:rsidRPr="00D633FF">
        <w:rPr>
          <w:rFonts w:ascii="Calibri" w:eastAsia="Times New Roman" w:hAnsi="Calibri" w:cs="Calibri"/>
          <w:szCs w:val="20"/>
        </w:rPr>
        <w:t xml:space="preserve">and was </w:t>
      </w:r>
      <w:r w:rsidR="00A319BA" w:rsidRPr="00D633FF">
        <w:rPr>
          <w:rFonts w:ascii="Calibri" w:eastAsia="Times New Roman" w:hAnsi="Calibri" w:cs="Calibri"/>
          <w:szCs w:val="20"/>
        </w:rPr>
        <w:t xml:space="preserve">based on </w:t>
      </w:r>
      <w:r w:rsidR="00C60B82" w:rsidRPr="00D633FF">
        <w:rPr>
          <w:rFonts w:ascii="Calibri" w:eastAsia="Times New Roman" w:hAnsi="Calibri" w:cs="Calibri"/>
          <w:szCs w:val="20"/>
        </w:rPr>
        <w:t xml:space="preserve">methods outlined in the </w:t>
      </w:r>
      <w:r w:rsidR="00E17E7E" w:rsidRPr="00D633FF">
        <w:rPr>
          <w:rFonts w:ascii="Calibri" w:eastAsia="Times New Roman" w:hAnsi="Calibri" w:cs="Calibri"/>
          <w:szCs w:val="20"/>
        </w:rPr>
        <w:t xml:space="preserve">revised </w:t>
      </w:r>
      <w:r w:rsidR="00A04B15" w:rsidRPr="00D633FF">
        <w:rPr>
          <w:rFonts w:ascii="Calibri" w:hAnsi="Calibri" w:cs="Calibri"/>
        </w:rPr>
        <w:t>NHMRC Methodological Framework for the Review of Nutrient Reference Values</w:t>
      </w:r>
      <w:r w:rsidR="00EE51B5" w:rsidRPr="00D633FF">
        <w:rPr>
          <w:rFonts w:ascii="Calibri" w:hAnsi="Calibri" w:cs="Calibri"/>
        </w:rPr>
        <w:t xml:space="preserve"> </w:t>
      </w:r>
      <w:r w:rsidR="00F41A14" w:rsidRPr="00D633FF">
        <w:rPr>
          <w:rFonts w:ascii="Calibri" w:hAnsi="Calibri" w:cs="Calibri"/>
          <w:noProof/>
        </w:rPr>
        <w:t>(</w:t>
      </w:r>
      <w:r w:rsidR="004F6727" w:rsidRPr="00D633FF">
        <w:rPr>
          <w:rFonts w:ascii="Calibri" w:hAnsi="Calibri" w:cs="Calibri"/>
          <w:noProof/>
        </w:rPr>
        <w:t>NHMRC 2025b</w:t>
      </w:r>
      <w:r w:rsidR="00F41A14" w:rsidRPr="00D633FF">
        <w:rPr>
          <w:rFonts w:ascii="Calibri" w:hAnsi="Calibri" w:cs="Calibri"/>
          <w:noProof/>
        </w:rPr>
        <w:t>)</w:t>
      </w:r>
      <w:r w:rsidR="00A556B8" w:rsidRPr="00D633FF">
        <w:rPr>
          <w:rFonts w:ascii="Calibri" w:eastAsia="Times New Roman" w:hAnsi="Calibri" w:cs="Calibri"/>
          <w:szCs w:val="20"/>
        </w:rPr>
        <w:t xml:space="preserve">. </w:t>
      </w:r>
      <w:r w:rsidR="007A5072" w:rsidRPr="00D633FF">
        <w:rPr>
          <w:rFonts w:ascii="Calibri" w:hAnsi="Calibri" w:cs="Calibri"/>
        </w:rPr>
        <w:t xml:space="preserve">The NHMRC Steering Group Advisory Committee assessed the updated EFSA selenium UL against </w:t>
      </w:r>
      <w:r w:rsidR="00916659" w:rsidRPr="00D633FF">
        <w:rPr>
          <w:rFonts w:ascii="Calibri" w:hAnsi="Calibri" w:cs="Calibri"/>
        </w:rPr>
        <w:t>administrative and technical</w:t>
      </w:r>
      <w:r w:rsidR="007A5072" w:rsidRPr="00D633FF">
        <w:rPr>
          <w:rFonts w:ascii="Calibri" w:hAnsi="Calibri" w:cs="Calibri"/>
        </w:rPr>
        <w:t xml:space="preserve"> criteria and found it suitable for adopting or adapting to the Australian and New Zealand context (</w:t>
      </w:r>
      <w:r w:rsidR="007A5072" w:rsidRPr="00D633FF">
        <w:rPr>
          <w:rFonts w:ascii="Calibri" w:hAnsi="Calibri" w:cs="Calibri"/>
          <w:i/>
          <w:iCs/>
        </w:rPr>
        <w:fldChar w:fldCharType="begin" w:fldLock="1"/>
      </w:r>
      <w:r w:rsidR="007A5072" w:rsidRPr="00D633FF">
        <w:rPr>
          <w:rFonts w:ascii="Calibri" w:hAnsi="Calibri" w:cs="Calibri"/>
          <w:i/>
          <w:iCs/>
        </w:rPr>
        <w:instrText xml:space="preserve"> REF _Ref207103684 \h </w:instrText>
      </w:r>
      <w:r w:rsidR="001E7C2D" w:rsidRPr="00D633FF">
        <w:rPr>
          <w:rFonts w:ascii="Calibri" w:hAnsi="Calibri" w:cs="Calibri"/>
          <w:i/>
          <w:iCs/>
        </w:rPr>
        <w:instrText xml:space="preserve"> \* MERGEFORMAT </w:instrText>
      </w:r>
      <w:r w:rsidR="007A5072" w:rsidRPr="00D633FF">
        <w:rPr>
          <w:rFonts w:ascii="Calibri" w:hAnsi="Calibri" w:cs="Calibri"/>
          <w:i/>
          <w:iCs/>
        </w:rPr>
      </w:r>
      <w:r w:rsidR="007A5072" w:rsidRPr="00D633FF">
        <w:rPr>
          <w:rFonts w:ascii="Calibri" w:hAnsi="Calibri" w:cs="Calibri"/>
          <w:i/>
          <w:iCs/>
        </w:rPr>
        <w:fldChar w:fldCharType="separate"/>
      </w:r>
      <w:r w:rsidR="007A5072" w:rsidRPr="00D633FF">
        <w:rPr>
          <w:rFonts w:ascii="Calibri" w:hAnsi="Calibri" w:cs="Calibri"/>
          <w:lang w:eastAsia="en-AU"/>
        </w:rPr>
        <w:t>Appendix A</w:t>
      </w:r>
      <w:r w:rsidR="007A5072" w:rsidRPr="00D633FF">
        <w:rPr>
          <w:rFonts w:ascii="Calibri" w:hAnsi="Calibri" w:cs="Calibri"/>
          <w:i/>
          <w:iCs/>
        </w:rPr>
        <w:fldChar w:fldCharType="end"/>
      </w:r>
      <w:r w:rsidR="007A5072" w:rsidRPr="00D633FF">
        <w:rPr>
          <w:rFonts w:ascii="Calibri" w:hAnsi="Calibri" w:cs="Calibri"/>
        </w:rPr>
        <w:t>).</w:t>
      </w:r>
    </w:p>
    <w:p w14:paraId="6DD27B5B" w14:textId="3689B0AC" w:rsidR="007F5679" w:rsidRPr="00D633FF" w:rsidRDefault="007F5679" w:rsidP="007F5679">
      <w:pPr>
        <w:pStyle w:val="Heading3"/>
        <w:rPr>
          <w:rFonts w:ascii="Calibri" w:hAnsi="Calibri" w:cs="Calibri"/>
        </w:rPr>
      </w:pPr>
      <w:bookmarkStart w:id="56" w:name="_Toc218527977"/>
      <w:r w:rsidRPr="00D633FF">
        <w:rPr>
          <w:rFonts w:ascii="Calibri" w:hAnsi="Calibri" w:cs="Calibri"/>
        </w:rPr>
        <w:t>Adults</w:t>
      </w:r>
      <w:bookmarkEnd w:id="55"/>
      <w:bookmarkEnd w:id="56"/>
    </w:p>
    <w:p w14:paraId="29E11D22" w14:textId="14C3127B" w:rsidR="00593713" w:rsidRPr="00D633FF" w:rsidRDefault="00593713" w:rsidP="004C78DC">
      <w:pPr>
        <w:pStyle w:val="Heading4"/>
        <w:rPr>
          <w:rFonts w:ascii="Calibri" w:hAnsi="Calibri" w:cs="Calibri"/>
        </w:rPr>
      </w:pPr>
      <w:r w:rsidRPr="00D633FF">
        <w:rPr>
          <w:rFonts w:ascii="Calibri" w:hAnsi="Calibri" w:cs="Calibri"/>
        </w:rPr>
        <w:t>EFSA methods for deriving UL</w:t>
      </w:r>
    </w:p>
    <w:p w14:paraId="3C8F5CBB" w14:textId="25AC483A" w:rsidR="00E24DFD" w:rsidRPr="00D633FF" w:rsidRDefault="00374DBC" w:rsidP="00E24DFD">
      <w:pPr>
        <w:pStyle w:val="NoSpacing"/>
        <w:spacing w:line="360" w:lineRule="auto"/>
        <w:rPr>
          <w:rFonts w:ascii="Calibri" w:hAnsi="Calibri" w:cs="Calibri"/>
        </w:rPr>
      </w:pPr>
      <w:r w:rsidRPr="00D633FF">
        <w:rPr>
          <w:rFonts w:ascii="Calibri" w:hAnsi="Calibri" w:cs="Calibri"/>
        </w:rPr>
        <w:t xml:space="preserve">The EFSA UL </w:t>
      </w:r>
      <w:r w:rsidR="009C7423" w:rsidRPr="00D633FF">
        <w:rPr>
          <w:rFonts w:ascii="Calibri" w:hAnsi="Calibri" w:cs="Calibri"/>
        </w:rPr>
        <w:t xml:space="preserve">for adults was based on </w:t>
      </w:r>
      <w:r w:rsidRPr="00D633FF">
        <w:rPr>
          <w:rFonts w:ascii="Calibri" w:hAnsi="Calibri" w:cs="Calibri"/>
        </w:rPr>
        <w:t xml:space="preserve">a single, large RCT (roughly 8,700 per arm) </w:t>
      </w:r>
      <w:r w:rsidR="00EC04A3" w:rsidRPr="00D633FF">
        <w:rPr>
          <w:rFonts w:ascii="Calibri" w:hAnsi="Calibri" w:cs="Calibri"/>
        </w:rPr>
        <w:t xml:space="preserve">exploring the relationship between </w:t>
      </w:r>
      <w:r w:rsidRPr="00D633FF">
        <w:rPr>
          <w:rFonts w:ascii="Calibri" w:hAnsi="Calibri" w:cs="Calibri"/>
        </w:rPr>
        <w:t>selenium supplementation (200 μg/day) vs placebo</w:t>
      </w:r>
      <w:r w:rsidR="00EC04A3" w:rsidRPr="00D633FF">
        <w:rPr>
          <w:rFonts w:ascii="Calibri" w:hAnsi="Calibri" w:cs="Calibri"/>
        </w:rPr>
        <w:t xml:space="preserve"> on alopecia </w:t>
      </w:r>
      <w:r w:rsidR="00F41A14" w:rsidRPr="00D633FF">
        <w:rPr>
          <w:rFonts w:ascii="Calibri" w:hAnsi="Calibri" w:cs="Calibri"/>
        </w:rPr>
        <w:t>(Lippman et al. 2009)</w:t>
      </w:r>
      <w:r w:rsidRPr="00D633FF">
        <w:rPr>
          <w:rFonts w:ascii="Calibri" w:hAnsi="Calibri" w:cs="Calibri"/>
        </w:rPr>
        <w:t xml:space="preserve">. </w:t>
      </w:r>
      <w:r w:rsidR="003A5DA4" w:rsidRPr="00D633FF">
        <w:rPr>
          <w:rFonts w:ascii="Calibri" w:hAnsi="Calibri" w:cs="Calibri"/>
        </w:rPr>
        <w:t xml:space="preserve">EFSA selected a LOAEL of 330 μg/day as the reference point for the revised selenium UL, based on an increased risk of alopecia with </w:t>
      </w:r>
      <w:r w:rsidRPr="00D633FF">
        <w:rPr>
          <w:rFonts w:ascii="Calibri" w:hAnsi="Calibri" w:cs="Calibri"/>
        </w:rPr>
        <w:t xml:space="preserve">selenium </w:t>
      </w:r>
      <w:r w:rsidR="00763364" w:rsidRPr="00D633FF">
        <w:rPr>
          <w:rFonts w:ascii="Calibri" w:hAnsi="Calibri" w:cs="Calibri"/>
        </w:rPr>
        <w:t xml:space="preserve">with </w:t>
      </w:r>
      <w:r w:rsidRPr="00D633FF">
        <w:rPr>
          <w:rFonts w:ascii="Calibri" w:hAnsi="Calibri" w:cs="Calibri"/>
        </w:rPr>
        <w:t xml:space="preserve">intakes </w:t>
      </w:r>
      <w:r w:rsidR="00763364" w:rsidRPr="00D633FF">
        <w:rPr>
          <w:rFonts w:ascii="Calibri" w:hAnsi="Calibri" w:cs="Calibri"/>
        </w:rPr>
        <w:t>of 330 μg/day</w:t>
      </w:r>
      <w:r w:rsidR="003A5DA4" w:rsidRPr="00D633FF">
        <w:rPr>
          <w:rFonts w:ascii="Calibri" w:hAnsi="Calibri" w:cs="Calibri"/>
        </w:rPr>
        <w:t xml:space="preserve">, compared with lower </w:t>
      </w:r>
      <w:r w:rsidR="00763364" w:rsidRPr="00D633FF">
        <w:rPr>
          <w:rFonts w:ascii="Calibri" w:hAnsi="Calibri" w:cs="Calibri"/>
        </w:rPr>
        <w:t>(</w:t>
      </w:r>
      <w:proofErr w:type="spellStart"/>
      <w:r w:rsidR="00763364" w:rsidRPr="00D633FF">
        <w:rPr>
          <w:rFonts w:ascii="Calibri" w:hAnsi="Calibri" w:cs="Calibri"/>
        </w:rPr>
        <w:t>unsupplemented</w:t>
      </w:r>
      <w:proofErr w:type="spellEnd"/>
      <w:r w:rsidR="00763364" w:rsidRPr="00D633FF">
        <w:rPr>
          <w:rFonts w:ascii="Calibri" w:hAnsi="Calibri" w:cs="Calibri"/>
        </w:rPr>
        <w:t xml:space="preserve">) </w:t>
      </w:r>
      <w:r w:rsidR="003A5DA4" w:rsidRPr="00D633FF">
        <w:rPr>
          <w:rFonts w:ascii="Calibri" w:hAnsi="Calibri" w:cs="Calibri"/>
        </w:rPr>
        <w:t xml:space="preserve">intakes. </w:t>
      </w:r>
      <w:r w:rsidRPr="00D633FF">
        <w:rPr>
          <w:rFonts w:ascii="Calibri" w:hAnsi="Calibri" w:cs="Calibri"/>
        </w:rPr>
        <w:t xml:space="preserve">Alopecia was considered </w:t>
      </w:r>
      <w:r w:rsidR="00D10C65" w:rsidRPr="00D633FF">
        <w:rPr>
          <w:rFonts w:ascii="Calibri" w:hAnsi="Calibri" w:cs="Calibri"/>
        </w:rPr>
        <w:t xml:space="preserve">a </w:t>
      </w:r>
      <w:r w:rsidRPr="00D633FF">
        <w:rPr>
          <w:rFonts w:ascii="Calibri" w:hAnsi="Calibri" w:cs="Calibri"/>
        </w:rPr>
        <w:t xml:space="preserve">suitable critical </w:t>
      </w:r>
      <w:r w:rsidR="00D10C65" w:rsidRPr="00D633FF">
        <w:rPr>
          <w:rFonts w:ascii="Calibri" w:hAnsi="Calibri" w:cs="Calibri"/>
        </w:rPr>
        <w:t xml:space="preserve">end point, </w:t>
      </w:r>
      <w:r w:rsidRPr="00D633FF">
        <w:rPr>
          <w:rFonts w:ascii="Calibri" w:hAnsi="Calibri" w:cs="Calibri"/>
        </w:rPr>
        <w:t xml:space="preserve">as it </w:t>
      </w:r>
      <w:r w:rsidR="00D10C65" w:rsidRPr="00D633FF">
        <w:rPr>
          <w:rFonts w:ascii="Calibri" w:hAnsi="Calibri" w:cs="Calibri"/>
        </w:rPr>
        <w:t xml:space="preserve">is </w:t>
      </w:r>
      <w:r w:rsidRPr="00D633FF">
        <w:rPr>
          <w:rFonts w:ascii="Calibri" w:hAnsi="Calibri" w:cs="Calibri"/>
        </w:rPr>
        <w:t xml:space="preserve">a well-established, </w:t>
      </w:r>
      <w:r w:rsidR="004C78DC" w:rsidRPr="00D633FF">
        <w:rPr>
          <w:rFonts w:ascii="Calibri" w:hAnsi="Calibri" w:cs="Calibri"/>
        </w:rPr>
        <w:t xml:space="preserve">reversible, </w:t>
      </w:r>
      <w:r w:rsidRPr="00D633FF">
        <w:rPr>
          <w:rFonts w:ascii="Calibri" w:hAnsi="Calibri" w:cs="Calibri"/>
        </w:rPr>
        <w:t>early observable effect of excess selenium intake.</w:t>
      </w:r>
    </w:p>
    <w:p w14:paraId="62E54879" w14:textId="77777777" w:rsidR="00E24DFD" w:rsidRPr="00D633FF" w:rsidRDefault="00E24DFD" w:rsidP="00E24DFD">
      <w:pPr>
        <w:pStyle w:val="NoSpacing"/>
        <w:spacing w:line="360" w:lineRule="auto"/>
        <w:rPr>
          <w:rFonts w:ascii="Calibri" w:hAnsi="Calibri" w:cs="Calibri"/>
        </w:rPr>
      </w:pPr>
    </w:p>
    <w:p w14:paraId="12EE9D8C" w14:textId="77777777" w:rsidR="00E24DFD" w:rsidRPr="00D633FF" w:rsidRDefault="00E24DFD" w:rsidP="00E24DFD">
      <w:pPr>
        <w:pStyle w:val="NoSpacing"/>
        <w:spacing w:line="360" w:lineRule="auto"/>
        <w:rPr>
          <w:rFonts w:ascii="Calibri" w:hAnsi="Calibri" w:cs="Calibri"/>
        </w:rPr>
      </w:pPr>
      <w:r w:rsidRPr="00D633FF">
        <w:rPr>
          <w:rFonts w:ascii="Calibri" w:hAnsi="Calibri" w:cs="Calibri"/>
        </w:rPr>
        <w:t>EFSA noted that although the population of the SELECT study were men aged 50-years and over, there was no evidence that younger men might be more sensitive to selenium toxicity, so the LOAEL of 330 μg/day was considered applicable to the entire adult male population.</w:t>
      </w:r>
    </w:p>
    <w:p w14:paraId="671ED11C" w14:textId="532C9BFB" w:rsidR="00E24DFD" w:rsidRPr="00D633FF" w:rsidRDefault="00E24DFD" w:rsidP="00E24DFD">
      <w:pPr>
        <w:pStyle w:val="NoSpacing"/>
        <w:spacing w:line="360" w:lineRule="auto"/>
        <w:rPr>
          <w:rFonts w:ascii="Calibri" w:hAnsi="Calibri" w:cs="Calibri"/>
        </w:rPr>
      </w:pPr>
    </w:p>
    <w:p w14:paraId="2449036E" w14:textId="3A293393" w:rsidR="00E24DFD" w:rsidRPr="00D633FF" w:rsidRDefault="00C876DA" w:rsidP="00E24DFD">
      <w:pPr>
        <w:pStyle w:val="NoSpacing"/>
        <w:spacing w:line="360" w:lineRule="auto"/>
        <w:rPr>
          <w:rFonts w:ascii="Calibri" w:hAnsi="Calibri" w:cs="Calibri"/>
        </w:rPr>
      </w:pPr>
      <w:r w:rsidRPr="00D633FF">
        <w:rPr>
          <w:rFonts w:ascii="Calibri" w:hAnsi="Calibri" w:cs="Calibri"/>
        </w:rPr>
        <w:t>A</w:t>
      </w:r>
      <w:r w:rsidR="00E24DFD" w:rsidRPr="00D633FF">
        <w:rPr>
          <w:rFonts w:ascii="Calibri" w:hAnsi="Calibri" w:cs="Calibri"/>
        </w:rPr>
        <w:t xml:space="preserve">n uncertainty factor of 1.3 </w:t>
      </w:r>
      <w:r w:rsidRPr="00D633FF">
        <w:rPr>
          <w:rFonts w:ascii="Calibri" w:hAnsi="Calibri" w:cs="Calibri"/>
        </w:rPr>
        <w:t xml:space="preserve">was applied by EFSA, </w:t>
      </w:r>
      <w:r w:rsidR="00E24DFD" w:rsidRPr="00D633FF">
        <w:rPr>
          <w:rFonts w:ascii="Calibri" w:hAnsi="Calibri" w:cs="Calibri"/>
        </w:rPr>
        <w:t>to account for the following uncertainties:</w:t>
      </w:r>
    </w:p>
    <w:p w14:paraId="201547CA" w14:textId="77777777" w:rsidR="00E24DFD" w:rsidRPr="00D633FF" w:rsidRDefault="00E24DFD" w:rsidP="00E24DFD">
      <w:pPr>
        <w:pStyle w:val="NoSpacing"/>
        <w:numPr>
          <w:ilvl w:val="0"/>
          <w:numId w:val="8"/>
        </w:numPr>
        <w:spacing w:line="360" w:lineRule="auto"/>
        <w:rPr>
          <w:rFonts w:ascii="Calibri" w:hAnsi="Calibri" w:cs="Calibri"/>
        </w:rPr>
      </w:pPr>
      <w:r w:rsidRPr="00D633FF">
        <w:rPr>
          <w:rFonts w:ascii="Calibri" w:hAnsi="Calibri" w:cs="Calibri"/>
        </w:rPr>
        <w:t>The use of a LOAEL rather than a NOAEL as the reference point (noting that study results indicated that the NOAEL might be close to the LOAEL),</w:t>
      </w:r>
    </w:p>
    <w:p w14:paraId="6B6FC607" w14:textId="7F4B2522" w:rsidR="00E24DFD" w:rsidRPr="00D633FF" w:rsidRDefault="00E24DFD" w:rsidP="00E24DFD">
      <w:pPr>
        <w:pStyle w:val="NoSpacing"/>
        <w:numPr>
          <w:ilvl w:val="0"/>
          <w:numId w:val="8"/>
        </w:numPr>
        <w:spacing w:line="360" w:lineRule="auto"/>
        <w:rPr>
          <w:rFonts w:ascii="Calibri" w:hAnsi="Calibri" w:cs="Calibri"/>
        </w:rPr>
      </w:pPr>
      <w:r w:rsidRPr="00D633FF">
        <w:rPr>
          <w:rFonts w:ascii="Calibri" w:hAnsi="Calibri" w:cs="Calibri"/>
        </w:rPr>
        <w:t>The lack of data in women</w:t>
      </w:r>
      <w:r w:rsidR="007567A9" w:rsidRPr="00D633FF">
        <w:rPr>
          <w:rFonts w:ascii="Calibri" w:hAnsi="Calibri" w:cs="Calibri"/>
        </w:rPr>
        <w:t xml:space="preserve"> (whilst noting that there is no evidence </w:t>
      </w:r>
      <w:r w:rsidR="00593713" w:rsidRPr="00D633FF">
        <w:rPr>
          <w:rFonts w:ascii="Calibri" w:hAnsi="Calibri" w:cs="Calibri"/>
        </w:rPr>
        <w:t>to suggest</w:t>
      </w:r>
      <w:r w:rsidR="007567A9" w:rsidRPr="00D633FF">
        <w:rPr>
          <w:rFonts w:ascii="Calibri" w:hAnsi="Calibri" w:cs="Calibri"/>
        </w:rPr>
        <w:t xml:space="preserve"> </w:t>
      </w:r>
      <w:r w:rsidR="00593713" w:rsidRPr="00D633FF">
        <w:rPr>
          <w:rFonts w:ascii="Calibri" w:hAnsi="Calibri" w:cs="Calibri"/>
        </w:rPr>
        <w:t xml:space="preserve">that </w:t>
      </w:r>
      <w:r w:rsidR="007567A9" w:rsidRPr="00D633FF">
        <w:rPr>
          <w:rFonts w:ascii="Calibri" w:hAnsi="Calibri" w:cs="Calibri"/>
        </w:rPr>
        <w:t>sensitivity to excess selenium</w:t>
      </w:r>
      <w:r w:rsidR="00593713" w:rsidRPr="00D633FF">
        <w:rPr>
          <w:rFonts w:ascii="Calibri" w:hAnsi="Calibri" w:cs="Calibri"/>
        </w:rPr>
        <w:t xml:space="preserve"> varies by sex</w:t>
      </w:r>
      <w:r w:rsidR="007567A9" w:rsidRPr="00D633FF">
        <w:rPr>
          <w:rFonts w:ascii="Calibri" w:hAnsi="Calibri" w:cs="Calibri"/>
        </w:rPr>
        <w:t>)</w:t>
      </w:r>
      <w:r w:rsidRPr="00D633FF">
        <w:rPr>
          <w:rFonts w:ascii="Calibri" w:hAnsi="Calibri" w:cs="Calibri"/>
        </w:rPr>
        <w:t xml:space="preserve">. </w:t>
      </w:r>
    </w:p>
    <w:p w14:paraId="327A1DE8" w14:textId="77777777" w:rsidR="00593713" w:rsidRPr="00D633FF" w:rsidRDefault="00593713" w:rsidP="004C78DC">
      <w:pPr>
        <w:spacing w:line="360" w:lineRule="auto"/>
        <w:rPr>
          <w:rFonts w:ascii="Calibri" w:eastAsia="Times New Roman" w:hAnsi="Calibri" w:cs="Calibri"/>
          <w:b/>
          <w:bCs/>
          <w:szCs w:val="20"/>
        </w:rPr>
      </w:pPr>
      <w:r w:rsidRPr="00D633FF">
        <w:rPr>
          <w:rFonts w:ascii="Calibri" w:eastAsia="Times New Roman" w:hAnsi="Calibri" w:cs="Calibri"/>
          <w:szCs w:val="20"/>
        </w:rPr>
        <w:t>This was noted to be a pragmatic UF based on expert-judgement.</w:t>
      </w:r>
    </w:p>
    <w:p w14:paraId="3A0CFCD8" w14:textId="76422C7E" w:rsidR="00E24DFD" w:rsidRPr="00D633FF" w:rsidRDefault="00E24DFD" w:rsidP="00E24DFD">
      <w:pPr>
        <w:pStyle w:val="NoSpacing"/>
        <w:spacing w:line="360" w:lineRule="auto"/>
        <w:rPr>
          <w:rFonts w:ascii="Calibri" w:hAnsi="Calibri" w:cs="Calibri"/>
        </w:rPr>
      </w:pPr>
      <w:r w:rsidRPr="00D633FF">
        <w:rPr>
          <w:rFonts w:ascii="Calibri" w:hAnsi="Calibri" w:cs="Calibri"/>
        </w:rPr>
        <w:t xml:space="preserve">The result was rounded to the nearest 5 μg/day to establish a UL of 255 μg/day for adult men and women (including pregnant and lactating women; no evidence was found of increased sensitivity for these populations). </w:t>
      </w:r>
    </w:p>
    <w:p w14:paraId="1F4CBF84" w14:textId="77777777" w:rsidR="00E24DFD" w:rsidRPr="00D633FF" w:rsidRDefault="00E24DFD" w:rsidP="00E24DFD">
      <w:pPr>
        <w:pStyle w:val="NoSpacing"/>
        <w:spacing w:line="360" w:lineRule="auto"/>
        <w:rPr>
          <w:rFonts w:ascii="Calibri" w:hAnsi="Calibri" w:cs="Calibri"/>
        </w:rPr>
      </w:pPr>
    </w:p>
    <w:p w14:paraId="569E63E3" w14:textId="2E887BE7" w:rsidR="00593713" w:rsidRPr="00D633FF" w:rsidRDefault="00593713" w:rsidP="00593713">
      <w:pPr>
        <w:pStyle w:val="Heading4"/>
        <w:rPr>
          <w:rFonts w:ascii="Calibri" w:hAnsi="Calibri" w:cs="Calibri"/>
        </w:rPr>
      </w:pPr>
      <w:r w:rsidRPr="00D633FF">
        <w:rPr>
          <w:rFonts w:ascii="Calibri" w:hAnsi="Calibri" w:cs="Calibri"/>
        </w:rPr>
        <w:lastRenderedPageBreak/>
        <w:t>Adaptation to the Australian and New Zealand context</w:t>
      </w:r>
    </w:p>
    <w:p w14:paraId="19716867" w14:textId="77777777" w:rsidR="005171AD" w:rsidRPr="00D633FF" w:rsidRDefault="00374DBC" w:rsidP="00A23C77">
      <w:pPr>
        <w:spacing w:line="360" w:lineRule="auto"/>
        <w:rPr>
          <w:rFonts w:ascii="Calibri" w:eastAsia="Times New Roman" w:hAnsi="Calibri" w:cs="Calibri"/>
          <w:szCs w:val="20"/>
        </w:rPr>
      </w:pPr>
      <w:r w:rsidRPr="00D633FF">
        <w:rPr>
          <w:rFonts w:ascii="Calibri" w:eastAsia="Times New Roman" w:hAnsi="Calibri" w:cs="Calibri"/>
          <w:szCs w:val="20"/>
        </w:rPr>
        <w:t xml:space="preserve">For the Australian and New Zealand context, a UF of 1 was applied to the reference point (LOAEL of 330 μg/day), to establish a UL of 330 μg/day for adults. The UF of 1 was a pragmatic </w:t>
      </w:r>
      <w:r w:rsidR="00050ED0" w:rsidRPr="00D633FF">
        <w:rPr>
          <w:rFonts w:ascii="Calibri" w:eastAsia="Times New Roman" w:hAnsi="Calibri" w:cs="Calibri"/>
          <w:szCs w:val="20"/>
        </w:rPr>
        <w:t>decision based</w:t>
      </w:r>
      <w:r w:rsidRPr="00D633FF">
        <w:rPr>
          <w:rFonts w:ascii="Calibri" w:eastAsia="Times New Roman" w:hAnsi="Calibri" w:cs="Calibri"/>
          <w:szCs w:val="20"/>
        </w:rPr>
        <w:t xml:space="preserve"> on the judgement of Australian and New Zealand experts. This UF was selected </w:t>
      </w:r>
      <w:r w:rsidR="006C7BDE" w:rsidRPr="00D633FF">
        <w:rPr>
          <w:rFonts w:ascii="Calibri" w:eastAsia="Times New Roman" w:hAnsi="Calibri" w:cs="Calibri"/>
          <w:szCs w:val="20"/>
        </w:rPr>
        <w:t>to</w:t>
      </w:r>
      <w:r w:rsidR="005171AD" w:rsidRPr="00D633FF">
        <w:rPr>
          <w:rFonts w:ascii="Calibri" w:eastAsia="Times New Roman" w:hAnsi="Calibri" w:cs="Calibri"/>
          <w:szCs w:val="20"/>
        </w:rPr>
        <w:t xml:space="preserve"> reflect:</w:t>
      </w:r>
    </w:p>
    <w:p w14:paraId="6A515CB2" w14:textId="77777777" w:rsidR="00E83805" w:rsidRPr="00D633FF" w:rsidRDefault="00E83805" w:rsidP="008D15E1">
      <w:pPr>
        <w:pStyle w:val="ListParagraph"/>
        <w:numPr>
          <w:ilvl w:val="0"/>
          <w:numId w:val="47"/>
        </w:numPr>
        <w:spacing w:line="360" w:lineRule="auto"/>
        <w:rPr>
          <w:rFonts w:ascii="Calibri" w:hAnsi="Calibri" w:cs="Calibri"/>
        </w:rPr>
      </w:pPr>
      <w:r w:rsidRPr="00D633FF">
        <w:rPr>
          <w:rFonts w:ascii="Calibri" w:hAnsi="Calibri" w:cs="Calibri"/>
        </w:rPr>
        <w:t>the mild and reversible nature of the end point (alopecia)</w:t>
      </w:r>
    </w:p>
    <w:p w14:paraId="1D2C884D" w14:textId="74D30FF7" w:rsidR="005171AD" w:rsidRPr="00D633FF" w:rsidRDefault="00374DBC" w:rsidP="008D15E1">
      <w:pPr>
        <w:pStyle w:val="ListParagraph"/>
        <w:numPr>
          <w:ilvl w:val="0"/>
          <w:numId w:val="47"/>
        </w:numPr>
        <w:spacing w:line="360" w:lineRule="auto"/>
        <w:rPr>
          <w:rFonts w:ascii="Calibri" w:hAnsi="Calibri" w:cs="Calibri"/>
        </w:rPr>
      </w:pPr>
      <w:r w:rsidRPr="00D633FF">
        <w:rPr>
          <w:rFonts w:ascii="Calibri" w:hAnsi="Calibri" w:cs="Calibri"/>
        </w:rPr>
        <w:t>the</w:t>
      </w:r>
      <w:r w:rsidR="000051E7" w:rsidRPr="00D633FF">
        <w:rPr>
          <w:rFonts w:ascii="Calibri" w:hAnsi="Calibri" w:cs="Calibri"/>
        </w:rPr>
        <w:t xml:space="preserve"> more robust </w:t>
      </w:r>
      <w:r w:rsidRPr="00D633FF">
        <w:rPr>
          <w:rFonts w:ascii="Calibri" w:hAnsi="Calibri" w:cs="Calibri"/>
        </w:rPr>
        <w:t xml:space="preserve">evidence base </w:t>
      </w:r>
      <w:r w:rsidR="000051E7" w:rsidRPr="00D633FF">
        <w:rPr>
          <w:rFonts w:ascii="Calibri" w:hAnsi="Calibri" w:cs="Calibri"/>
        </w:rPr>
        <w:t>for revised UL recommendations (</w:t>
      </w:r>
      <w:r w:rsidRPr="00D633FF">
        <w:rPr>
          <w:rFonts w:ascii="Calibri" w:hAnsi="Calibri" w:cs="Calibri"/>
        </w:rPr>
        <w:t xml:space="preserve">compared to the </w:t>
      </w:r>
      <w:r w:rsidR="005171AD" w:rsidRPr="00D633FF">
        <w:rPr>
          <w:rFonts w:ascii="Calibri" w:hAnsi="Calibri" w:cs="Calibri"/>
        </w:rPr>
        <w:t xml:space="preserve">evidence underpinning the 2006 </w:t>
      </w:r>
      <w:r w:rsidRPr="00D633FF">
        <w:rPr>
          <w:rFonts w:ascii="Calibri" w:hAnsi="Calibri" w:cs="Calibri"/>
        </w:rPr>
        <w:t>UL)</w:t>
      </w:r>
    </w:p>
    <w:p w14:paraId="32DD40CF" w14:textId="77228C3D" w:rsidR="00374DBC" w:rsidRPr="00D633FF" w:rsidRDefault="000C1260" w:rsidP="008D15E1">
      <w:pPr>
        <w:pStyle w:val="ListParagraph"/>
        <w:numPr>
          <w:ilvl w:val="0"/>
          <w:numId w:val="47"/>
        </w:numPr>
        <w:spacing w:line="360" w:lineRule="auto"/>
        <w:rPr>
          <w:rFonts w:ascii="Calibri" w:hAnsi="Calibri" w:cs="Calibri"/>
        </w:rPr>
      </w:pPr>
      <w:r w:rsidRPr="00D633FF">
        <w:rPr>
          <w:rFonts w:ascii="Calibri" w:hAnsi="Calibri" w:cs="Calibri"/>
        </w:rPr>
        <w:t>th</w:t>
      </w:r>
      <w:r w:rsidR="000051E7" w:rsidRPr="00D633FF">
        <w:rPr>
          <w:rFonts w:ascii="Calibri" w:hAnsi="Calibri" w:cs="Calibri"/>
        </w:rPr>
        <w:t xml:space="preserve">e likelihood that the </w:t>
      </w:r>
      <w:r w:rsidR="008544E1" w:rsidRPr="00D633FF">
        <w:rPr>
          <w:rFonts w:ascii="Calibri" w:hAnsi="Calibri" w:cs="Calibri"/>
        </w:rPr>
        <w:t>LOAEL</w:t>
      </w:r>
      <w:r w:rsidR="000051E7" w:rsidRPr="00D633FF">
        <w:rPr>
          <w:rFonts w:ascii="Calibri" w:hAnsi="Calibri" w:cs="Calibri"/>
        </w:rPr>
        <w:t xml:space="preserve"> is </w:t>
      </w:r>
      <w:r w:rsidR="008544E1" w:rsidRPr="00D633FF">
        <w:rPr>
          <w:rFonts w:ascii="Calibri" w:hAnsi="Calibri" w:cs="Calibri"/>
        </w:rPr>
        <w:t>close to the NOAEL</w:t>
      </w:r>
      <w:r w:rsidR="00D76E4C" w:rsidRPr="00D633FF">
        <w:rPr>
          <w:rFonts w:ascii="Calibri" w:hAnsi="Calibri" w:cs="Calibri"/>
        </w:rPr>
        <w:t xml:space="preserve"> </w:t>
      </w:r>
      <w:r w:rsidR="000051E7" w:rsidRPr="00D633FF">
        <w:rPr>
          <w:rFonts w:ascii="Calibri" w:hAnsi="Calibri" w:cs="Calibri"/>
        </w:rPr>
        <w:t xml:space="preserve">and a </w:t>
      </w:r>
      <w:r w:rsidR="00D76E4C" w:rsidRPr="00D633FF">
        <w:rPr>
          <w:rFonts w:ascii="Calibri" w:hAnsi="Calibri" w:cs="Calibri"/>
        </w:rPr>
        <w:t>lack of evidence to suggest adverse effects with selenium intakes below the revised UL</w:t>
      </w:r>
      <w:r w:rsidR="000051E7" w:rsidRPr="00D633FF">
        <w:rPr>
          <w:rFonts w:ascii="Calibri" w:hAnsi="Calibri" w:cs="Calibri"/>
        </w:rPr>
        <w:t>.</w:t>
      </w:r>
    </w:p>
    <w:p w14:paraId="36714091" w14:textId="7B9A8AB4" w:rsidR="00DB1AE6" w:rsidRPr="00D633FF" w:rsidRDefault="002E025B" w:rsidP="00DF6831">
      <w:pPr>
        <w:spacing w:line="360" w:lineRule="auto"/>
        <w:rPr>
          <w:rFonts w:ascii="Calibri" w:hAnsi="Calibri" w:cs="Calibri"/>
        </w:rPr>
      </w:pPr>
      <w:r w:rsidRPr="00D633FF">
        <w:rPr>
          <w:rFonts w:ascii="Calibri" w:eastAsia="Times New Roman" w:hAnsi="Calibri" w:cs="Calibri"/>
          <w:szCs w:val="20"/>
        </w:rPr>
        <w:t xml:space="preserve">On a practical level, consideration was also given to ensuring </w:t>
      </w:r>
      <w:r w:rsidR="00B272B4" w:rsidRPr="00D633FF">
        <w:rPr>
          <w:rFonts w:ascii="Calibri" w:eastAsia="Times New Roman" w:hAnsi="Calibri" w:cs="Calibri"/>
          <w:szCs w:val="20"/>
        </w:rPr>
        <w:t xml:space="preserve">an adequate buffer between </w:t>
      </w:r>
      <w:r w:rsidRPr="00D633FF">
        <w:rPr>
          <w:rFonts w:ascii="Calibri" w:eastAsia="Times New Roman" w:hAnsi="Calibri" w:cs="Calibri"/>
          <w:szCs w:val="20"/>
        </w:rPr>
        <w:t xml:space="preserve">the proposed UL </w:t>
      </w:r>
      <w:r w:rsidR="00B272B4" w:rsidRPr="00D633FF">
        <w:rPr>
          <w:rFonts w:ascii="Calibri" w:eastAsia="Times New Roman" w:hAnsi="Calibri" w:cs="Calibri"/>
          <w:szCs w:val="20"/>
        </w:rPr>
        <w:t xml:space="preserve">and </w:t>
      </w:r>
      <w:r w:rsidRPr="00D633FF">
        <w:rPr>
          <w:rFonts w:ascii="Calibri" w:eastAsia="Times New Roman" w:hAnsi="Calibri" w:cs="Calibri"/>
          <w:szCs w:val="20"/>
        </w:rPr>
        <w:t>the EAR and RDI, and usual population intakes</w:t>
      </w:r>
      <w:r w:rsidR="00B272B4" w:rsidRPr="00D633FF">
        <w:rPr>
          <w:rFonts w:ascii="Calibri" w:eastAsia="Times New Roman" w:hAnsi="Calibri" w:cs="Calibri"/>
          <w:szCs w:val="20"/>
        </w:rPr>
        <w:t xml:space="preserve"> in Australia and New Zealand. </w:t>
      </w:r>
      <w:r w:rsidR="00374DBC" w:rsidRPr="00D633FF">
        <w:rPr>
          <w:rFonts w:ascii="Calibri" w:eastAsia="Times New Roman" w:hAnsi="Calibri" w:cs="Calibri"/>
          <w:szCs w:val="20"/>
        </w:rPr>
        <w:t xml:space="preserve">A UL of 330 μg/day better aligns with most recent evidence without lowering it to a level </w:t>
      </w:r>
      <w:r w:rsidR="00B272B4" w:rsidRPr="00D633FF">
        <w:rPr>
          <w:rFonts w:ascii="Calibri" w:eastAsia="Times New Roman" w:hAnsi="Calibri" w:cs="Calibri"/>
          <w:szCs w:val="20"/>
        </w:rPr>
        <w:t xml:space="preserve">at which </w:t>
      </w:r>
      <w:r w:rsidR="0087517B" w:rsidRPr="00D633FF">
        <w:rPr>
          <w:rFonts w:ascii="Calibri" w:eastAsia="Times New Roman" w:hAnsi="Calibri" w:cs="Calibri"/>
          <w:szCs w:val="20"/>
        </w:rPr>
        <w:t xml:space="preserve">the proportion of the population which exceeds the UL without demonstrating symptoms increases significantly.   </w:t>
      </w:r>
    </w:p>
    <w:p w14:paraId="3ED34D04" w14:textId="2CF47F4C" w:rsidR="007F5679" w:rsidRPr="00D633FF" w:rsidRDefault="007F5679" w:rsidP="00DF6831">
      <w:pPr>
        <w:pStyle w:val="Heading3"/>
        <w:spacing w:before="0" w:after="160" w:line="360" w:lineRule="auto"/>
        <w:rPr>
          <w:rFonts w:ascii="Calibri" w:hAnsi="Calibri" w:cs="Calibri"/>
        </w:rPr>
      </w:pPr>
      <w:bookmarkStart w:id="57" w:name="_Toc204170932"/>
      <w:bookmarkStart w:id="58" w:name="_Toc218527978"/>
      <w:r w:rsidRPr="00D633FF">
        <w:rPr>
          <w:rFonts w:ascii="Calibri" w:hAnsi="Calibri" w:cs="Calibri"/>
        </w:rPr>
        <w:t>Pregnancy</w:t>
      </w:r>
      <w:bookmarkEnd w:id="57"/>
      <w:r w:rsidR="000F153B" w:rsidRPr="00D633FF">
        <w:rPr>
          <w:rFonts w:ascii="Calibri" w:hAnsi="Calibri" w:cs="Calibri"/>
        </w:rPr>
        <w:t xml:space="preserve"> and lactation</w:t>
      </w:r>
      <w:bookmarkEnd w:id="58"/>
    </w:p>
    <w:p w14:paraId="7B75C37C" w14:textId="09104DF8" w:rsidR="00D5335C" w:rsidRPr="00D633FF" w:rsidRDefault="00C63A90" w:rsidP="001944DE">
      <w:pPr>
        <w:pStyle w:val="SourceNotesNumbered"/>
        <w:numPr>
          <w:ilvl w:val="0"/>
          <w:numId w:val="0"/>
        </w:numPr>
        <w:spacing w:before="0" w:line="360" w:lineRule="auto"/>
        <w:rPr>
          <w:rFonts w:ascii="Calibri" w:eastAsia="Times New Roman" w:hAnsi="Calibri" w:cs="Calibri"/>
          <w:sz w:val="22"/>
        </w:rPr>
      </w:pPr>
      <w:r w:rsidRPr="00D633FF">
        <w:rPr>
          <w:rFonts w:ascii="Calibri" w:eastAsia="Times New Roman" w:hAnsi="Calibri" w:cs="Calibri"/>
          <w:sz w:val="22"/>
        </w:rPr>
        <w:t xml:space="preserve">The 2023 EFSA review did not identify any </w:t>
      </w:r>
      <w:r w:rsidR="00C302B8" w:rsidRPr="00D633FF">
        <w:rPr>
          <w:rFonts w:ascii="Calibri" w:eastAsia="Times New Roman" w:hAnsi="Calibri" w:cs="Calibri"/>
          <w:sz w:val="22"/>
        </w:rPr>
        <w:t xml:space="preserve">evidence </w:t>
      </w:r>
      <w:r w:rsidRPr="00D633FF">
        <w:rPr>
          <w:rFonts w:ascii="Calibri" w:eastAsia="Times New Roman" w:hAnsi="Calibri" w:cs="Calibri"/>
          <w:sz w:val="22"/>
        </w:rPr>
        <w:t xml:space="preserve">to </w:t>
      </w:r>
      <w:r w:rsidR="00FC597E" w:rsidRPr="00D633FF">
        <w:rPr>
          <w:rFonts w:ascii="Calibri" w:eastAsia="Times New Roman" w:hAnsi="Calibri" w:cs="Calibri"/>
          <w:sz w:val="22"/>
        </w:rPr>
        <w:t xml:space="preserve">suggest </w:t>
      </w:r>
      <w:r w:rsidR="00A77813" w:rsidRPr="00D633FF">
        <w:rPr>
          <w:rFonts w:ascii="Calibri" w:eastAsia="Times New Roman" w:hAnsi="Calibri" w:cs="Calibri"/>
          <w:sz w:val="22"/>
        </w:rPr>
        <w:t xml:space="preserve">an increased sensitivity to selenium </w:t>
      </w:r>
      <w:r w:rsidR="000F153B" w:rsidRPr="00D633FF">
        <w:rPr>
          <w:rFonts w:ascii="Calibri" w:eastAsia="Times New Roman" w:hAnsi="Calibri" w:cs="Calibri"/>
          <w:sz w:val="22"/>
        </w:rPr>
        <w:t xml:space="preserve">during pregnancy </w:t>
      </w:r>
      <w:r w:rsidR="00FC597E" w:rsidRPr="00D633FF">
        <w:rPr>
          <w:rFonts w:ascii="Calibri" w:eastAsia="Times New Roman" w:hAnsi="Calibri" w:cs="Calibri"/>
          <w:sz w:val="22"/>
        </w:rPr>
        <w:t>or</w:t>
      </w:r>
      <w:r w:rsidR="000F153B" w:rsidRPr="00D633FF">
        <w:rPr>
          <w:rFonts w:ascii="Calibri" w:eastAsia="Times New Roman" w:hAnsi="Calibri" w:cs="Calibri"/>
          <w:sz w:val="22"/>
        </w:rPr>
        <w:t xml:space="preserve"> lactation</w:t>
      </w:r>
      <w:r w:rsidR="00A77813" w:rsidRPr="00D633FF">
        <w:rPr>
          <w:rFonts w:ascii="Calibri" w:eastAsia="Times New Roman" w:hAnsi="Calibri" w:cs="Calibri"/>
          <w:sz w:val="22"/>
        </w:rPr>
        <w:t>.</w:t>
      </w:r>
      <w:r w:rsidR="00FC597E" w:rsidRPr="00D633FF">
        <w:rPr>
          <w:rFonts w:ascii="Calibri" w:eastAsia="Times New Roman" w:hAnsi="Calibri" w:cs="Calibri"/>
          <w:sz w:val="22"/>
        </w:rPr>
        <w:t xml:space="preserve"> </w:t>
      </w:r>
      <w:r w:rsidR="00A77813" w:rsidRPr="00D633FF">
        <w:rPr>
          <w:rFonts w:ascii="Calibri" w:eastAsia="Times New Roman" w:hAnsi="Calibri" w:cs="Calibri"/>
          <w:sz w:val="22"/>
        </w:rPr>
        <w:t>T</w:t>
      </w:r>
      <w:r w:rsidR="00FC597E" w:rsidRPr="00D633FF">
        <w:rPr>
          <w:rFonts w:ascii="Calibri" w:eastAsia="Times New Roman" w:hAnsi="Calibri" w:cs="Calibri"/>
          <w:sz w:val="22"/>
        </w:rPr>
        <w:t>herefore</w:t>
      </w:r>
      <w:r w:rsidR="00A77813" w:rsidRPr="00D633FF">
        <w:rPr>
          <w:rFonts w:ascii="Calibri" w:eastAsia="Times New Roman" w:hAnsi="Calibri" w:cs="Calibri"/>
          <w:sz w:val="22"/>
        </w:rPr>
        <w:t>,</w:t>
      </w:r>
      <w:r w:rsidR="00FC597E" w:rsidRPr="00D633FF">
        <w:rPr>
          <w:rFonts w:ascii="Calibri" w:eastAsia="Times New Roman" w:hAnsi="Calibri" w:cs="Calibri"/>
          <w:sz w:val="22"/>
        </w:rPr>
        <w:t xml:space="preserve"> the ULs </w:t>
      </w:r>
      <w:r w:rsidR="00186EBE" w:rsidRPr="00D633FF">
        <w:rPr>
          <w:rFonts w:ascii="Calibri" w:eastAsia="Times New Roman" w:hAnsi="Calibri" w:cs="Calibri"/>
          <w:sz w:val="22"/>
        </w:rPr>
        <w:t xml:space="preserve">derived for adults and adolescents also </w:t>
      </w:r>
      <w:r w:rsidR="001944DE" w:rsidRPr="00D633FF">
        <w:rPr>
          <w:rFonts w:ascii="Calibri" w:eastAsia="Times New Roman" w:hAnsi="Calibri" w:cs="Calibri"/>
          <w:sz w:val="22"/>
        </w:rPr>
        <w:t>applies during pregnancy and lactation</w:t>
      </w:r>
      <w:r w:rsidR="00186EBE" w:rsidRPr="00D633FF">
        <w:rPr>
          <w:rFonts w:ascii="Calibri" w:eastAsia="Times New Roman" w:hAnsi="Calibri" w:cs="Calibri"/>
          <w:sz w:val="22"/>
        </w:rPr>
        <w:t xml:space="preserve">. </w:t>
      </w:r>
      <w:r w:rsidR="00DA1F03" w:rsidRPr="00D633FF">
        <w:rPr>
          <w:rFonts w:ascii="Calibri" w:eastAsia="Times New Roman" w:hAnsi="Calibri" w:cs="Calibri"/>
          <w:sz w:val="22"/>
        </w:rPr>
        <w:t xml:space="preserve">This is consistent with EFSAs selenium ULs, which </w:t>
      </w:r>
      <w:r w:rsidR="003A2D62" w:rsidRPr="00D633FF">
        <w:rPr>
          <w:rFonts w:ascii="Calibri" w:eastAsia="Times New Roman" w:hAnsi="Calibri" w:cs="Calibri"/>
          <w:sz w:val="22"/>
        </w:rPr>
        <w:t xml:space="preserve">apply to </w:t>
      </w:r>
      <w:r w:rsidR="00D66BB9" w:rsidRPr="00D633FF">
        <w:rPr>
          <w:rFonts w:ascii="Calibri" w:eastAsia="Times New Roman" w:hAnsi="Calibri" w:cs="Calibri"/>
          <w:sz w:val="22"/>
        </w:rPr>
        <w:t xml:space="preserve">both the general population and </w:t>
      </w:r>
      <w:r w:rsidR="001944DE" w:rsidRPr="00D633FF">
        <w:rPr>
          <w:rFonts w:ascii="Calibri" w:eastAsia="Times New Roman" w:hAnsi="Calibri" w:cs="Calibri"/>
          <w:sz w:val="22"/>
        </w:rPr>
        <w:t>women</w:t>
      </w:r>
      <w:r w:rsidR="000F153B" w:rsidRPr="00D633FF">
        <w:rPr>
          <w:rFonts w:ascii="Calibri" w:eastAsia="Times New Roman" w:hAnsi="Calibri" w:cs="Calibri"/>
          <w:sz w:val="22"/>
        </w:rPr>
        <w:t xml:space="preserve"> who are pregnant or lactating</w:t>
      </w:r>
      <w:r w:rsidR="00765D99" w:rsidRPr="00D633FF">
        <w:rPr>
          <w:rFonts w:ascii="Calibri" w:eastAsia="Times New Roman" w:hAnsi="Calibri" w:cs="Calibri"/>
          <w:sz w:val="22"/>
        </w:rPr>
        <w:t xml:space="preserve"> and is also consistent </w:t>
      </w:r>
      <w:r w:rsidR="00D5335C" w:rsidRPr="00D633FF">
        <w:rPr>
          <w:rFonts w:ascii="Calibri" w:eastAsia="Times New Roman" w:hAnsi="Calibri" w:cs="Calibri"/>
          <w:sz w:val="22"/>
        </w:rPr>
        <w:t>with the NHMRC 2006 ULs.</w:t>
      </w:r>
    </w:p>
    <w:p w14:paraId="6FD95C83" w14:textId="35B7D3E2" w:rsidR="00D5335C" w:rsidRPr="00D633FF" w:rsidRDefault="00D5335C" w:rsidP="00D5335C">
      <w:pPr>
        <w:spacing w:line="360" w:lineRule="auto"/>
        <w:rPr>
          <w:rFonts w:ascii="Calibri" w:eastAsia="Times New Roman" w:hAnsi="Calibri" w:cs="Calibri"/>
        </w:rPr>
      </w:pPr>
      <w:r w:rsidRPr="00D633FF">
        <w:rPr>
          <w:rFonts w:ascii="Calibri" w:eastAsia="Times New Roman" w:hAnsi="Calibri" w:cs="Calibri"/>
        </w:rPr>
        <w:t xml:space="preserve">Currently, selenium intake recommendations (EAR – Estimated Average Requirement and RDI – Recommended Dietary Intake) are higher during pregnancy and lactation </w:t>
      </w:r>
      <w:r w:rsidR="00F41A14" w:rsidRPr="00D633FF">
        <w:rPr>
          <w:rFonts w:ascii="Calibri" w:eastAsia="Times New Roman" w:hAnsi="Calibri" w:cs="Calibri"/>
          <w:noProof/>
        </w:rPr>
        <w:t>(NHMRC 2006)</w:t>
      </w:r>
      <w:r w:rsidRPr="00D633FF">
        <w:rPr>
          <w:rFonts w:ascii="Calibri" w:eastAsia="Times New Roman" w:hAnsi="Calibri" w:cs="Calibri"/>
        </w:rPr>
        <w:t xml:space="preserve">. </w:t>
      </w:r>
    </w:p>
    <w:p w14:paraId="3CB891A5" w14:textId="77777777" w:rsidR="00D5335C" w:rsidRPr="00D633FF" w:rsidRDefault="00D5335C" w:rsidP="00DF6831">
      <w:pPr>
        <w:pStyle w:val="SourceNotesNumbered"/>
        <w:numPr>
          <w:ilvl w:val="0"/>
          <w:numId w:val="0"/>
        </w:numPr>
        <w:spacing w:before="0" w:line="360" w:lineRule="auto"/>
        <w:rPr>
          <w:rFonts w:ascii="Calibri" w:eastAsia="Times New Roman" w:hAnsi="Calibri" w:cs="Calibri"/>
          <w:sz w:val="22"/>
        </w:rPr>
      </w:pPr>
    </w:p>
    <w:p w14:paraId="353A8601" w14:textId="77777777" w:rsidR="007F5679" w:rsidRPr="00D633FF" w:rsidRDefault="007F5679" w:rsidP="00DF6831">
      <w:pPr>
        <w:pStyle w:val="Heading3"/>
        <w:spacing w:before="0" w:after="160" w:line="360" w:lineRule="auto"/>
        <w:rPr>
          <w:rFonts w:ascii="Calibri" w:hAnsi="Calibri" w:cs="Calibri"/>
        </w:rPr>
      </w:pPr>
      <w:bookmarkStart w:id="59" w:name="_Toc204170934"/>
      <w:bookmarkStart w:id="60" w:name="_Toc218527979"/>
      <w:r w:rsidRPr="00D633FF">
        <w:rPr>
          <w:rFonts w:ascii="Calibri" w:hAnsi="Calibri" w:cs="Calibri"/>
        </w:rPr>
        <w:t>Children and adolescents</w:t>
      </w:r>
      <w:bookmarkEnd w:id="59"/>
      <w:bookmarkEnd w:id="60"/>
    </w:p>
    <w:p w14:paraId="0D0095D2" w14:textId="1488295D" w:rsidR="001C51D2" w:rsidRPr="00D633FF" w:rsidRDefault="00E37C17" w:rsidP="00DF6831">
      <w:pPr>
        <w:spacing w:line="360" w:lineRule="auto"/>
        <w:rPr>
          <w:rFonts w:ascii="Calibri" w:eastAsia="Times New Roman" w:hAnsi="Calibri" w:cs="Calibri"/>
          <w:szCs w:val="20"/>
        </w:rPr>
      </w:pPr>
      <w:r w:rsidRPr="00D633FF">
        <w:rPr>
          <w:rFonts w:ascii="Calibri" w:eastAsia="Times New Roman" w:hAnsi="Calibri" w:cs="Calibri"/>
          <w:szCs w:val="20"/>
        </w:rPr>
        <w:t>As there was no data to support the derivation ULs for children and there is no evidence to indicate that children may be more susceptible to selenium toxicity than adults, the adapted EFSA selenium ULs for adults were extrapolated to children</w:t>
      </w:r>
      <w:r w:rsidR="005859DA" w:rsidRPr="00D633FF">
        <w:rPr>
          <w:rFonts w:ascii="Calibri" w:eastAsia="Times New Roman" w:hAnsi="Calibri" w:cs="Calibri"/>
          <w:szCs w:val="20"/>
        </w:rPr>
        <w:t xml:space="preserve"> using allometric </w:t>
      </w:r>
      <w:r w:rsidR="0027345C" w:rsidRPr="00D633FF">
        <w:rPr>
          <w:rFonts w:ascii="Calibri" w:eastAsia="Times New Roman" w:hAnsi="Calibri" w:cs="Calibri"/>
          <w:szCs w:val="20"/>
        </w:rPr>
        <w:t>scaling</w:t>
      </w:r>
      <w:r w:rsidRPr="00D633FF">
        <w:rPr>
          <w:rFonts w:ascii="Calibri" w:eastAsia="Times New Roman" w:hAnsi="Calibri" w:cs="Calibri"/>
          <w:szCs w:val="20"/>
        </w:rPr>
        <w:t xml:space="preserve">. </w:t>
      </w:r>
      <w:r w:rsidR="001C51D2" w:rsidRPr="00D633FF">
        <w:rPr>
          <w:rFonts w:ascii="Calibri" w:eastAsia="Times New Roman" w:hAnsi="Calibri" w:cs="Calibri"/>
          <w:szCs w:val="20"/>
        </w:rPr>
        <w:t xml:space="preserve">This is consistent with EFSA’s approach to deriving </w:t>
      </w:r>
      <w:r w:rsidR="00513F66" w:rsidRPr="00D633FF">
        <w:rPr>
          <w:rFonts w:ascii="Calibri" w:eastAsia="Times New Roman" w:hAnsi="Calibri" w:cs="Calibri"/>
          <w:szCs w:val="20"/>
        </w:rPr>
        <w:t>ULs for children and adolescents.</w:t>
      </w:r>
    </w:p>
    <w:p w14:paraId="7BA61C25" w14:textId="73CC685E" w:rsidR="00104576" w:rsidRPr="00D633FF" w:rsidRDefault="00E37C17" w:rsidP="00104576">
      <w:pPr>
        <w:spacing w:line="360" w:lineRule="auto"/>
        <w:rPr>
          <w:rFonts w:ascii="Calibri" w:eastAsia="Times New Roman" w:hAnsi="Calibri" w:cs="Calibri"/>
          <w:szCs w:val="20"/>
        </w:rPr>
      </w:pPr>
      <w:r w:rsidRPr="00D633FF">
        <w:rPr>
          <w:rFonts w:ascii="Calibri" w:eastAsia="Times New Roman" w:hAnsi="Calibri" w:cs="Calibri"/>
          <w:szCs w:val="20"/>
        </w:rPr>
        <w:t xml:space="preserve">Allometric scaling </w:t>
      </w:r>
      <w:r w:rsidR="008B4F04" w:rsidRPr="00D633FF">
        <w:rPr>
          <w:rFonts w:ascii="Calibri" w:eastAsia="Times New Roman" w:hAnsi="Calibri" w:cs="Calibri"/>
          <w:szCs w:val="20"/>
        </w:rPr>
        <w:t>using</w:t>
      </w:r>
      <w:r w:rsidRPr="00D633FF">
        <w:rPr>
          <w:rFonts w:ascii="Calibri" w:eastAsia="Times New Roman" w:hAnsi="Calibri" w:cs="Calibri"/>
          <w:szCs w:val="20"/>
        </w:rPr>
        <w:t xml:space="preserve"> </w:t>
      </w:r>
      <w:r w:rsidR="00A21577" w:rsidRPr="00D633FF">
        <w:rPr>
          <w:rFonts w:ascii="Calibri" w:eastAsia="Times New Roman" w:hAnsi="Calibri" w:cs="Calibri"/>
          <w:szCs w:val="20"/>
        </w:rPr>
        <w:t>reference</w:t>
      </w:r>
      <w:r w:rsidRPr="00D633FF">
        <w:rPr>
          <w:rFonts w:ascii="Calibri" w:eastAsia="Times New Roman" w:hAnsi="Calibri" w:cs="Calibri"/>
          <w:szCs w:val="20"/>
        </w:rPr>
        <w:t xml:space="preserve"> bodyweights was used to derive a UL for each age group for children</w:t>
      </w:r>
      <w:r w:rsidR="00F52266" w:rsidRPr="00D633FF">
        <w:rPr>
          <w:rFonts w:ascii="Calibri" w:eastAsia="Times New Roman" w:hAnsi="Calibri" w:cs="Calibri"/>
          <w:szCs w:val="20"/>
        </w:rPr>
        <w:t xml:space="preserve"> and adolescents</w:t>
      </w:r>
      <w:r w:rsidR="009D6EA9" w:rsidRPr="00D633FF">
        <w:rPr>
          <w:rFonts w:ascii="Calibri" w:eastAsia="Times New Roman" w:hAnsi="Calibri" w:cs="Calibri"/>
          <w:szCs w:val="20"/>
        </w:rPr>
        <w:t xml:space="preserve"> using t</w:t>
      </w:r>
      <w:r w:rsidR="00104576" w:rsidRPr="00D633FF">
        <w:rPr>
          <w:rFonts w:ascii="Calibri" w:eastAsia="Times New Roman" w:hAnsi="Calibri" w:cs="Calibri"/>
          <w:szCs w:val="20"/>
        </w:rPr>
        <w:t>he following equation:</w:t>
      </w:r>
    </w:p>
    <w:p w14:paraId="2E92B0FA" w14:textId="76D97B88" w:rsidR="00104576" w:rsidRPr="008D0F22" w:rsidRDefault="005B259F" w:rsidP="00104576">
      <w:pPr>
        <w:pBdr>
          <w:top w:val="single" w:sz="8" w:space="1" w:color="F8981D"/>
          <w:left w:val="single" w:sz="8" w:space="4" w:color="F8981D"/>
          <w:bottom w:val="single" w:sz="8" w:space="1" w:color="F8981D"/>
          <w:right w:val="single" w:sz="8" w:space="4" w:color="F8981D"/>
        </w:pBdr>
        <w:rPr>
          <w:rFonts w:ascii="Calibri" w:hAnsi="Calibri" w:cs="Calibri"/>
          <w:i/>
        </w:rPr>
      </w:pPr>
      <m:oMathPara>
        <m:oMath>
          <m:sSub>
            <m:sSubPr>
              <m:ctrlPr>
                <w:rPr>
                  <w:rFonts w:ascii="Cambria Math" w:hAnsi="Cambria Math" w:cs="Calibri"/>
                  <w:i/>
                </w:rPr>
              </m:ctrlPr>
            </m:sSubPr>
            <m:e>
              <m:r>
                <m:rPr>
                  <m:nor/>
                </m:rPr>
                <w:rPr>
                  <w:rFonts w:ascii="Cambria Math" w:hAnsi="Cambria Math" w:cs="Calibri"/>
                </w:rPr>
                <m:t>UL</m:t>
              </m:r>
            </m:e>
            <m:sub>
              <m:r>
                <m:rPr>
                  <m:nor/>
                </m:rPr>
                <w:rPr>
                  <w:rFonts w:ascii="Cambria Math" w:hAnsi="Cambria Math" w:cs="Calibri"/>
                </w:rPr>
                <m:t>child</m:t>
              </m:r>
            </m:sub>
          </m:sSub>
          <m:r>
            <m:rPr>
              <m:nor/>
            </m:rPr>
            <w:rPr>
              <w:rFonts w:ascii="Cambria Math" w:hAnsi="Cambria Math" w:cs="Calibri"/>
            </w:rPr>
            <m:t>=</m:t>
          </m:r>
          <m:sSub>
            <m:sSubPr>
              <m:ctrlPr>
                <w:rPr>
                  <w:rFonts w:ascii="Cambria Math" w:hAnsi="Cambria Math" w:cs="Calibri"/>
                  <w:i/>
                </w:rPr>
              </m:ctrlPr>
            </m:sSubPr>
            <m:e>
              <m:r>
                <m:rPr>
                  <m:nor/>
                </m:rPr>
                <w:rPr>
                  <w:rFonts w:ascii="Cambria Math" w:hAnsi="Cambria Math" w:cs="Calibri"/>
                </w:rPr>
                <m:t>UL</m:t>
              </m:r>
            </m:e>
            <m:sub>
              <m:r>
                <m:rPr>
                  <m:nor/>
                </m:rPr>
                <w:rPr>
                  <w:rFonts w:ascii="Cambria Math" w:hAnsi="Cambria Math" w:cs="Calibri"/>
                </w:rPr>
                <m:t>adult</m:t>
              </m:r>
            </m:sub>
          </m:sSub>
          <m:sSup>
            <m:sSupPr>
              <m:ctrlPr>
                <w:rPr>
                  <w:rFonts w:ascii="Cambria Math" w:hAnsi="Cambria Math" w:cs="Calibri"/>
                  <w:i/>
                </w:rPr>
              </m:ctrlPr>
            </m:sSupPr>
            <m:e>
              <m:d>
                <m:dPr>
                  <m:ctrlPr>
                    <w:rPr>
                      <w:rFonts w:ascii="Cambria Math" w:hAnsi="Cambria Math" w:cs="Calibri"/>
                      <w:i/>
                    </w:rPr>
                  </m:ctrlPr>
                </m:dPr>
                <m:e>
                  <m:f>
                    <m:fPr>
                      <m:ctrlPr>
                        <w:rPr>
                          <w:rFonts w:ascii="Cambria Math" w:hAnsi="Cambria Math" w:cs="Calibri"/>
                          <w:i/>
                        </w:rPr>
                      </m:ctrlPr>
                    </m:fPr>
                    <m:num>
                      <m:sSub>
                        <m:sSubPr>
                          <m:ctrlPr>
                            <w:rPr>
                              <w:rFonts w:ascii="Cambria Math" w:hAnsi="Cambria Math" w:cs="Calibri"/>
                              <w:i/>
                            </w:rPr>
                          </m:ctrlPr>
                        </m:sSubPr>
                        <m:e>
                          <m:r>
                            <m:rPr>
                              <m:nor/>
                            </m:rPr>
                            <w:rPr>
                              <w:rFonts w:ascii="Cambria Math" w:hAnsi="Cambria Math" w:cs="Calibri"/>
                            </w:rPr>
                            <m:t>Weight</m:t>
                          </m:r>
                        </m:e>
                        <m:sub>
                          <m:r>
                            <m:rPr>
                              <m:nor/>
                            </m:rPr>
                            <w:rPr>
                              <w:rFonts w:ascii="Cambria Math" w:hAnsi="Cambria Math" w:cs="Calibri"/>
                            </w:rPr>
                            <m:t>child</m:t>
                          </m:r>
                        </m:sub>
                      </m:sSub>
                    </m:num>
                    <m:den>
                      <m:sSub>
                        <m:sSubPr>
                          <m:ctrlPr>
                            <w:rPr>
                              <w:rFonts w:ascii="Cambria Math" w:hAnsi="Cambria Math" w:cs="Calibri"/>
                              <w:i/>
                            </w:rPr>
                          </m:ctrlPr>
                        </m:sSubPr>
                        <m:e>
                          <m:r>
                            <m:rPr>
                              <m:nor/>
                            </m:rPr>
                            <w:rPr>
                              <w:rFonts w:ascii="Cambria Math" w:hAnsi="Cambria Math" w:cs="Calibri"/>
                            </w:rPr>
                            <m:t>Weight</m:t>
                          </m:r>
                        </m:e>
                        <m:sub>
                          <m:r>
                            <m:rPr>
                              <m:nor/>
                            </m:rPr>
                            <w:rPr>
                              <w:rFonts w:ascii="Cambria Math" w:hAnsi="Cambria Math" w:cs="Calibri"/>
                            </w:rPr>
                            <m:t>adult</m:t>
                          </m:r>
                        </m:sub>
                      </m:sSub>
                    </m:den>
                  </m:f>
                </m:e>
              </m:d>
            </m:e>
            <m:sup>
              <m:r>
                <m:rPr>
                  <m:nor/>
                </m:rPr>
                <w:rPr>
                  <w:rFonts w:ascii="Cambria Math" w:hAnsi="Cambria Math" w:cs="Calibri"/>
                </w:rPr>
                <m:t>0.75</m:t>
              </m:r>
            </m:sup>
          </m:sSup>
        </m:oMath>
      </m:oMathPara>
    </w:p>
    <w:p w14:paraId="40D933B3" w14:textId="77777777" w:rsidR="00A90861" w:rsidRPr="00D633FF" w:rsidRDefault="00790573" w:rsidP="00920F1B">
      <w:pPr>
        <w:spacing w:line="360" w:lineRule="auto"/>
        <w:rPr>
          <w:rFonts w:ascii="Calibri" w:hAnsi="Calibri" w:cs="Calibri"/>
        </w:rPr>
      </w:pPr>
      <w:bookmarkStart w:id="61" w:name="_Hlk213258295"/>
      <w:r w:rsidRPr="00D633FF">
        <w:rPr>
          <w:rFonts w:ascii="Calibri" w:hAnsi="Calibri" w:cs="Calibri"/>
        </w:rPr>
        <w:t>Where</w:t>
      </w:r>
      <w:r w:rsidR="00A90861" w:rsidRPr="00D633FF">
        <w:rPr>
          <w:rFonts w:ascii="Calibri" w:hAnsi="Calibri" w:cs="Calibri"/>
        </w:rPr>
        <w:t>:</w:t>
      </w:r>
    </w:p>
    <w:p w14:paraId="220A0EBC" w14:textId="27D25BE2" w:rsidR="00A90861" w:rsidRPr="00D633FF" w:rsidRDefault="00A90861" w:rsidP="00920F1B">
      <w:pPr>
        <w:spacing w:line="360" w:lineRule="auto"/>
        <w:rPr>
          <w:rFonts w:ascii="Calibri" w:eastAsia="Times New Roman" w:hAnsi="Calibri" w:cs="Calibri"/>
          <w:szCs w:val="20"/>
        </w:rPr>
      </w:pPr>
      <w:r w:rsidRPr="00D633FF">
        <w:rPr>
          <w:rFonts w:ascii="Calibri" w:hAnsi="Calibri" w:cs="Calibri"/>
        </w:rPr>
        <w:tab/>
      </w:r>
      <w:r w:rsidR="00790573" w:rsidRPr="00D633FF">
        <w:rPr>
          <w:rFonts w:ascii="Calibri" w:hAnsi="Calibri" w:cs="Calibri"/>
        </w:rPr>
        <w:t xml:space="preserve">UL adult = </w:t>
      </w:r>
      <w:r w:rsidR="00CD1715" w:rsidRPr="00D633FF">
        <w:rPr>
          <w:rFonts w:ascii="Calibri" w:hAnsi="Calibri" w:cs="Calibri"/>
        </w:rPr>
        <w:t>330</w:t>
      </w:r>
      <w:r w:rsidR="00CD1715" w:rsidRPr="00D633FF">
        <w:rPr>
          <w:rFonts w:ascii="Calibri" w:eastAsia="Times New Roman" w:hAnsi="Calibri" w:cs="Calibri"/>
          <w:szCs w:val="20"/>
        </w:rPr>
        <w:t xml:space="preserve"> μg/day </w:t>
      </w:r>
    </w:p>
    <w:p w14:paraId="76BEAA16" w14:textId="5D626002" w:rsidR="00104576" w:rsidRPr="00D633FF" w:rsidRDefault="00CD1715" w:rsidP="001944DE">
      <w:pPr>
        <w:spacing w:line="360" w:lineRule="auto"/>
        <w:ind w:firstLine="720"/>
        <w:rPr>
          <w:rFonts w:ascii="Calibri" w:eastAsia="Times New Roman" w:hAnsi="Calibri" w:cs="Calibri"/>
          <w:szCs w:val="20"/>
        </w:rPr>
      </w:pPr>
      <w:proofErr w:type="spellStart"/>
      <w:r w:rsidRPr="00D633FF">
        <w:rPr>
          <w:rFonts w:ascii="Calibri" w:eastAsia="Times New Roman" w:hAnsi="Calibri" w:cs="Calibri"/>
          <w:szCs w:val="20"/>
        </w:rPr>
        <w:t>Weight</w:t>
      </w:r>
      <w:r w:rsidRPr="00D633FF">
        <w:rPr>
          <w:rFonts w:ascii="Calibri" w:eastAsia="Times New Roman" w:hAnsi="Calibri" w:cs="Calibri"/>
          <w:szCs w:val="20"/>
          <w:vertAlign w:val="subscript"/>
        </w:rPr>
        <w:t>adult</w:t>
      </w:r>
      <w:proofErr w:type="spellEnd"/>
      <w:r w:rsidRPr="00D633FF">
        <w:rPr>
          <w:rFonts w:ascii="Calibri" w:eastAsia="Times New Roman" w:hAnsi="Calibri" w:cs="Calibri"/>
          <w:szCs w:val="20"/>
        </w:rPr>
        <w:t xml:space="preserve"> = 62.9 kg</w:t>
      </w:r>
    </w:p>
    <w:p w14:paraId="04CA2278" w14:textId="3BD5C0C9" w:rsidR="00CD1715" w:rsidRPr="00D633FF" w:rsidRDefault="00CD1715" w:rsidP="00CD1715">
      <w:pPr>
        <w:spacing w:line="360" w:lineRule="auto"/>
        <w:rPr>
          <w:rFonts w:ascii="Calibri" w:eastAsia="Times New Roman" w:hAnsi="Calibri" w:cs="Calibri"/>
          <w:szCs w:val="20"/>
        </w:rPr>
      </w:pPr>
      <w:r w:rsidRPr="00D633FF">
        <w:rPr>
          <w:rFonts w:ascii="Calibri" w:eastAsia="Times New Roman" w:hAnsi="Calibri" w:cs="Calibri"/>
          <w:szCs w:val="20"/>
        </w:rPr>
        <w:t>For standard age groupings, the inputs and calculated UL values are shown in</w:t>
      </w:r>
      <w:r w:rsidR="00A90861" w:rsidRPr="00D633FF">
        <w:rPr>
          <w:rFonts w:ascii="Calibri" w:eastAsia="Times New Roman" w:hAnsi="Calibri" w:cs="Calibri"/>
          <w:szCs w:val="20"/>
        </w:rPr>
        <w:t xml:space="preserve"> </w:t>
      </w:r>
      <w:r w:rsidR="00A90861" w:rsidRPr="00D633FF">
        <w:rPr>
          <w:rFonts w:ascii="Calibri" w:eastAsia="Times New Roman" w:hAnsi="Calibri" w:cs="Calibri"/>
          <w:szCs w:val="20"/>
        </w:rPr>
        <w:fldChar w:fldCharType="begin" w:fldLock="1"/>
      </w:r>
      <w:r w:rsidR="00A90861" w:rsidRPr="00D633FF">
        <w:rPr>
          <w:rFonts w:ascii="Calibri" w:eastAsia="Times New Roman" w:hAnsi="Calibri" w:cs="Calibri"/>
          <w:szCs w:val="20"/>
        </w:rPr>
        <w:instrText xml:space="preserve"> REF _Ref213170120 \h </w:instrText>
      </w:r>
      <w:r w:rsidR="00D633FF">
        <w:rPr>
          <w:rFonts w:ascii="Calibri" w:eastAsia="Times New Roman" w:hAnsi="Calibri" w:cs="Calibri"/>
          <w:szCs w:val="20"/>
        </w:rPr>
        <w:instrText xml:space="preserve"> \* MERGEFORMAT </w:instrText>
      </w:r>
      <w:r w:rsidR="00A90861" w:rsidRPr="00D633FF">
        <w:rPr>
          <w:rFonts w:ascii="Calibri" w:eastAsia="Times New Roman" w:hAnsi="Calibri" w:cs="Calibri"/>
          <w:szCs w:val="20"/>
        </w:rPr>
      </w:r>
      <w:r w:rsidR="00A90861" w:rsidRPr="00D633FF">
        <w:rPr>
          <w:rFonts w:ascii="Calibri" w:eastAsia="Times New Roman" w:hAnsi="Calibri" w:cs="Calibri"/>
          <w:szCs w:val="20"/>
        </w:rPr>
        <w:fldChar w:fldCharType="separate"/>
      </w:r>
      <w:r w:rsidR="00A90861" w:rsidRPr="00D633FF">
        <w:rPr>
          <w:rFonts w:ascii="Calibri" w:hAnsi="Calibri" w:cs="Calibri"/>
        </w:rPr>
        <w:t xml:space="preserve">Table </w:t>
      </w:r>
      <w:r w:rsidR="00A90861" w:rsidRPr="00D633FF">
        <w:rPr>
          <w:rFonts w:ascii="Calibri" w:hAnsi="Calibri" w:cs="Calibri"/>
          <w:noProof/>
        </w:rPr>
        <w:t>9</w:t>
      </w:r>
      <w:r w:rsidR="00A90861" w:rsidRPr="00D633FF">
        <w:rPr>
          <w:rFonts w:ascii="Calibri" w:eastAsia="Times New Roman" w:hAnsi="Calibri" w:cs="Calibri"/>
          <w:szCs w:val="20"/>
        </w:rPr>
        <w:fldChar w:fldCharType="end"/>
      </w:r>
      <w:r w:rsidRPr="00D633FF">
        <w:rPr>
          <w:rFonts w:ascii="Calibri" w:eastAsia="Times New Roman" w:hAnsi="Calibri" w:cs="Calibri"/>
          <w:szCs w:val="20"/>
        </w:rPr>
        <w:t>, with inputs and calculated UL values for alternative age groups presented in</w:t>
      </w:r>
      <w:r w:rsidR="00A90861" w:rsidRPr="00D633FF">
        <w:rPr>
          <w:rFonts w:ascii="Calibri" w:eastAsia="Times New Roman" w:hAnsi="Calibri" w:cs="Calibri"/>
          <w:szCs w:val="20"/>
        </w:rPr>
        <w:t xml:space="preserve"> </w:t>
      </w:r>
      <w:r w:rsidR="00A90861" w:rsidRPr="00D633FF">
        <w:rPr>
          <w:rFonts w:ascii="Calibri" w:eastAsia="Times New Roman" w:hAnsi="Calibri" w:cs="Calibri"/>
          <w:szCs w:val="20"/>
        </w:rPr>
        <w:fldChar w:fldCharType="begin" w:fldLock="1"/>
      </w:r>
      <w:r w:rsidR="00A90861" w:rsidRPr="00D633FF">
        <w:rPr>
          <w:rFonts w:ascii="Calibri" w:eastAsia="Times New Roman" w:hAnsi="Calibri" w:cs="Calibri"/>
          <w:szCs w:val="20"/>
        </w:rPr>
        <w:instrText xml:space="preserve"> REF _Ref213170128 \h </w:instrText>
      </w:r>
      <w:r w:rsidR="00D633FF">
        <w:rPr>
          <w:rFonts w:ascii="Calibri" w:eastAsia="Times New Roman" w:hAnsi="Calibri" w:cs="Calibri"/>
          <w:szCs w:val="20"/>
        </w:rPr>
        <w:instrText xml:space="preserve"> \* MERGEFORMAT </w:instrText>
      </w:r>
      <w:r w:rsidR="00A90861" w:rsidRPr="00D633FF">
        <w:rPr>
          <w:rFonts w:ascii="Calibri" w:eastAsia="Times New Roman" w:hAnsi="Calibri" w:cs="Calibri"/>
          <w:szCs w:val="20"/>
        </w:rPr>
      </w:r>
      <w:r w:rsidR="00A90861" w:rsidRPr="00D633FF">
        <w:rPr>
          <w:rFonts w:ascii="Calibri" w:eastAsia="Times New Roman" w:hAnsi="Calibri" w:cs="Calibri"/>
          <w:szCs w:val="20"/>
        </w:rPr>
        <w:fldChar w:fldCharType="separate"/>
      </w:r>
      <w:r w:rsidR="00A90861" w:rsidRPr="00D633FF">
        <w:rPr>
          <w:rFonts w:ascii="Calibri" w:hAnsi="Calibri" w:cs="Calibri"/>
        </w:rPr>
        <w:t xml:space="preserve">Table </w:t>
      </w:r>
      <w:r w:rsidR="00A90861" w:rsidRPr="00D633FF">
        <w:rPr>
          <w:rFonts w:ascii="Calibri" w:hAnsi="Calibri" w:cs="Calibri"/>
          <w:noProof/>
        </w:rPr>
        <w:t>10</w:t>
      </w:r>
      <w:r w:rsidR="00A90861" w:rsidRPr="00D633FF">
        <w:rPr>
          <w:rFonts w:ascii="Calibri" w:eastAsia="Times New Roman" w:hAnsi="Calibri" w:cs="Calibri"/>
          <w:szCs w:val="20"/>
        </w:rPr>
        <w:fldChar w:fldCharType="end"/>
      </w:r>
      <w:r w:rsidRPr="00D633FF">
        <w:rPr>
          <w:rFonts w:ascii="Calibri" w:eastAsia="Times New Roman" w:hAnsi="Calibri" w:cs="Calibri"/>
          <w:szCs w:val="20"/>
        </w:rPr>
        <w:t>.</w:t>
      </w:r>
    </w:p>
    <w:p w14:paraId="603C0870" w14:textId="780750AC" w:rsidR="00A90861" w:rsidRPr="000450F9" w:rsidRDefault="00A90861" w:rsidP="00B07CC4">
      <w:pPr>
        <w:pStyle w:val="Caption"/>
        <w:keepNext/>
        <w:spacing w:after="120"/>
        <w:rPr>
          <w:rFonts w:ascii="Calibri" w:hAnsi="Calibri" w:cs="Calibri"/>
          <w:b/>
          <w:bCs/>
        </w:rPr>
      </w:pPr>
      <w:bookmarkStart w:id="62" w:name="_Ref213170120"/>
      <w:r w:rsidRPr="000450F9">
        <w:rPr>
          <w:rFonts w:ascii="Calibri" w:hAnsi="Calibri" w:cs="Calibri"/>
          <w:b/>
          <w:bCs/>
        </w:rPr>
        <w:t xml:space="preserve">Table </w:t>
      </w:r>
      <w:r w:rsidRPr="000450F9">
        <w:rPr>
          <w:rFonts w:ascii="Calibri" w:hAnsi="Calibri" w:cs="Calibri"/>
          <w:b/>
          <w:bCs/>
        </w:rPr>
        <w:fldChar w:fldCharType="begin"/>
      </w:r>
      <w:r w:rsidRPr="000450F9">
        <w:rPr>
          <w:rFonts w:ascii="Calibri" w:hAnsi="Calibri" w:cs="Calibri"/>
          <w:b/>
          <w:bCs/>
        </w:rPr>
        <w:instrText xml:space="preserve"> SEQ Table \* ARABIC </w:instrText>
      </w:r>
      <w:r w:rsidRPr="000450F9">
        <w:rPr>
          <w:rFonts w:ascii="Calibri" w:hAnsi="Calibri" w:cs="Calibri"/>
          <w:b/>
          <w:bCs/>
        </w:rPr>
        <w:fldChar w:fldCharType="separate"/>
      </w:r>
      <w:r w:rsidR="00CB6915" w:rsidRPr="000450F9">
        <w:rPr>
          <w:rFonts w:ascii="Calibri" w:hAnsi="Calibri" w:cs="Calibri"/>
          <w:b/>
          <w:bCs/>
          <w:noProof/>
        </w:rPr>
        <w:t>9</w:t>
      </w:r>
      <w:r w:rsidRPr="000450F9">
        <w:rPr>
          <w:rFonts w:ascii="Calibri" w:hAnsi="Calibri" w:cs="Calibri"/>
          <w:b/>
          <w:bCs/>
        </w:rPr>
        <w:fldChar w:fldCharType="end"/>
      </w:r>
      <w:bookmarkEnd w:id="62"/>
      <w:r w:rsidR="000450F9">
        <w:rPr>
          <w:rFonts w:ascii="Calibri" w:hAnsi="Calibri" w:cs="Calibri"/>
          <w:b/>
          <w:bCs/>
        </w:rPr>
        <w:t>.</w:t>
      </w:r>
      <w:r w:rsidRPr="000450F9">
        <w:rPr>
          <w:rFonts w:ascii="Calibri" w:hAnsi="Calibri" w:cs="Calibri"/>
          <w:b/>
          <w:bCs/>
        </w:rPr>
        <w:t xml:space="preserve"> UL calculations for standard age groupings </w:t>
      </w:r>
      <w:r w:rsidR="000450F9">
        <w:rPr>
          <w:rFonts w:ascii="Calibri" w:hAnsi="Calibri" w:cs="Calibri"/>
          <w:b/>
          <w:bCs/>
        </w:rPr>
        <w:t>—</w:t>
      </w:r>
      <w:r w:rsidRPr="000450F9">
        <w:rPr>
          <w:rFonts w:ascii="Calibri" w:hAnsi="Calibri" w:cs="Calibri"/>
          <w:b/>
          <w:bCs/>
        </w:rPr>
        <w:t xml:space="preserve"> children and adolescents (extrapolation from adult values)</w:t>
      </w:r>
    </w:p>
    <w:tbl>
      <w:tblPr>
        <w:tblStyle w:val="TableGrid"/>
        <w:tblW w:w="8931"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2552"/>
        <w:gridCol w:w="1545"/>
        <w:gridCol w:w="1984"/>
        <w:gridCol w:w="1417"/>
        <w:gridCol w:w="1433"/>
      </w:tblGrid>
      <w:tr w:rsidR="009C170D" w:rsidRPr="00D633FF" w14:paraId="47C2A378" w14:textId="77777777" w:rsidTr="00AA3DB1">
        <w:tc>
          <w:tcPr>
            <w:tcW w:w="2552" w:type="dxa"/>
            <w:shd w:val="clear" w:color="auto" w:fill="156082"/>
            <w:vAlign w:val="bottom"/>
          </w:tcPr>
          <w:bookmarkEnd w:id="61"/>
          <w:p w14:paraId="4F4335CD" w14:textId="357F158F" w:rsidR="009C170D" w:rsidRPr="00D633FF" w:rsidRDefault="009C170D" w:rsidP="001356C2">
            <w:pPr>
              <w:rPr>
                <w:rFonts w:ascii="Calibri" w:hAnsi="Calibri" w:cs="Calibri"/>
                <w:b/>
                <w:bCs/>
                <w:color w:val="FFFFFF" w:themeColor="background1"/>
              </w:rPr>
            </w:pPr>
            <w:r w:rsidRPr="00D633FF">
              <w:rPr>
                <w:rFonts w:ascii="Calibri" w:hAnsi="Calibri" w:cs="Calibri"/>
                <w:b/>
                <w:bCs/>
                <w:color w:val="FFFFFF" w:themeColor="background1"/>
              </w:rPr>
              <w:t>Age</w:t>
            </w:r>
          </w:p>
        </w:tc>
        <w:tc>
          <w:tcPr>
            <w:tcW w:w="1545" w:type="dxa"/>
            <w:shd w:val="clear" w:color="auto" w:fill="156082"/>
          </w:tcPr>
          <w:p w14:paraId="0D3F20A0" w14:textId="77777777" w:rsidR="009C170D" w:rsidRPr="00D633FF" w:rsidRDefault="009C170D" w:rsidP="001952D6">
            <w:pPr>
              <w:jc w:val="center"/>
              <w:rPr>
                <w:rFonts w:ascii="Calibri" w:hAnsi="Calibri" w:cs="Calibri"/>
                <w:b/>
                <w:bCs/>
                <w:color w:val="FFFFFF" w:themeColor="background1"/>
                <w:vertAlign w:val="subscript"/>
              </w:rPr>
            </w:pPr>
            <w:r w:rsidRPr="00D633FF">
              <w:rPr>
                <w:rFonts w:ascii="Calibri" w:hAnsi="Calibri" w:cs="Calibri"/>
                <w:b/>
                <w:bCs/>
                <w:color w:val="FFFFFF" w:themeColor="background1"/>
              </w:rPr>
              <w:t xml:space="preserve">Weight </w:t>
            </w:r>
            <w:r w:rsidRPr="00D633FF">
              <w:rPr>
                <w:rFonts w:ascii="Calibri" w:hAnsi="Calibri" w:cs="Calibri"/>
                <w:b/>
                <w:bCs/>
                <w:color w:val="FFFFFF" w:themeColor="background1"/>
                <w:vertAlign w:val="subscript"/>
              </w:rPr>
              <w:t>Child</w:t>
            </w:r>
          </w:p>
          <w:p w14:paraId="59F3CDE7" w14:textId="557C1264" w:rsidR="009C170D" w:rsidRPr="00D633FF" w:rsidRDefault="009C170D" w:rsidP="001952D6">
            <w:pPr>
              <w:jc w:val="center"/>
              <w:rPr>
                <w:rFonts w:ascii="Calibri" w:hAnsi="Calibri" w:cs="Calibri"/>
                <w:b/>
                <w:bCs/>
                <w:color w:val="FFFFFF" w:themeColor="background1"/>
              </w:rPr>
            </w:pPr>
            <w:r w:rsidRPr="00D633FF">
              <w:rPr>
                <w:rFonts w:ascii="Calibri" w:hAnsi="Calibri" w:cs="Calibri"/>
                <w:b/>
                <w:bCs/>
                <w:color w:val="FFFFFF" w:themeColor="background1"/>
              </w:rPr>
              <w:t>(kg)</w:t>
            </w:r>
          </w:p>
        </w:tc>
        <w:tc>
          <w:tcPr>
            <w:tcW w:w="1984" w:type="dxa"/>
            <w:shd w:val="clear" w:color="auto" w:fill="156082"/>
          </w:tcPr>
          <w:p w14:paraId="792EED02" w14:textId="1930DE64" w:rsidR="009C170D" w:rsidRPr="00D633FF" w:rsidRDefault="009C170D" w:rsidP="001952D6">
            <w:pPr>
              <w:jc w:val="center"/>
              <w:rPr>
                <w:rFonts w:ascii="Calibri" w:hAnsi="Calibri" w:cs="Calibri"/>
                <w:b/>
                <w:bCs/>
                <w:color w:val="FFFFFF" w:themeColor="background1"/>
              </w:rPr>
            </w:pPr>
            <w:r w:rsidRPr="00D633FF">
              <w:rPr>
                <w:rFonts w:ascii="Calibri" w:hAnsi="Calibri" w:cs="Calibri"/>
                <w:b/>
                <w:bCs/>
                <w:color w:val="FFFFFF" w:themeColor="background1"/>
              </w:rPr>
              <w:t xml:space="preserve">Calculated UL </w:t>
            </w:r>
            <w:r w:rsidRPr="00D633FF">
              <w:rPr>
                <w:rFonts w:ascii="Calibri" w:hAnsi="Calibri" w:cs="Calibri"/>
                <w:b/>
                <w:bCs/>
                <w:color w:val="FFFFFF" w:themeColor="background1"/>
                <w:vertAlign w:val="subscript"/>
              </w:rPr>
              <w:t>Child</w:t>
            </w:r>
          </w:p>
          <w:p w14:paraId="18475A9E" w14:textId="77777777" w:rsidR="009C170D" w:rsidRPr="00D633FF" w:rsidRDefault="009C170D" w:rsidP="001952D6">
            <w:pPr>
              <w:jc w:val="center"/>
              <w:rPr>
                <w:rFonts w:ascii="Calibri" w:hAnsi="Calibri" w:cs="Calibri"/>
                <w:b/>
                <w:bCs/>
                <w:color w:val="FFFFFF" w:themeColor="background1"/>
              </w:rPr>
            </w:pPr>
            <w:r w:rsidRPr="00D633FF">
              <w:rPr>
                <w:rFonts w:ascii="Calibri" w:hAnsi="Calibri" w:cs="Calibri"/>
                <w:b/>
                <w:bCs/>
                <w:color w:val="FFFFFF" w:themeColor="background1"/>
              </w:rPr>
              <w:t>(µg/day)</w:t>
            </w:r>
          </w:p>
        </w:tc>
        <w:tc>
          <w:tcPr>
            <w:tcW w:w="1417" w:type="dxa"/>
            <w:shd w:val="clear" w:color="auto" w:fill="156082"/>
          </w:tcPr>
          <w:p w14:paraId="432DD540" w14:textId="496643C3" w:rsidR="009C170D" w:rsidRPr="00D633FF" w:rsidRDefault="009C170D" w:rsidP="001952D6">
            <w:pPr>
              <w:jc w:val="center"/>
              <w:rPr>
                <w:rFonts w:ascii="Calibri" w:hAnsi="Calibri" w:cs="Calibri"/>
                <w:b/>
                <w:bCs/>
                <w:color w:val="FFFFFF" w:themeColor="background1"/>
              </w:rPr>
            </w:pPr>
            <w:r w:rsidRPr="00D633FF">
              <w:rPr>
                <w:rFonts w:ascii="Calibri" w:hAnsi="Calibri" w:cs="Calibri"/>
                <w:b/>
                <w:bCs/>
                <w:color w:val="FFFFFF" w:themeColor="background1"/>
              </w:rPr>
              <w:t>Rounding</w:t>
            </w:r>
          </w:p>
        </w:tc>
        <w:tc>
          <w:tcPr>
            <w:tcW w:w="1433" w:type="dxa"/>
            <w:shd w:val="clear" w:color="auto" w:fill="156082"/>
          </w:tcPr>
          <w:p w14:paraId="175D3FCF" w14:textId="29A47B6A" w:rsidR="009C170D" w:rsidRPr="00D633FF" w:rsidRDefault="009C170D" w:rsidP="00CD1715">
            <w:pPr>
              <w:jc w:val="center"/>
              <w:rPr>
                <w:rFonts w:ascii="Calibri" w:hAnsi="Calibri" w:cs="Calibri"/>
                <w:b/>
                <w:bCs/>
                <w:color w:val="FFFFFF" w:themeColor="background1"/>
              </w:rPr>
            </w:pPr>
            <w:r w:rsidRPr="00D633FF">
              <w:rPr>
                <w:rFonts w:ascii="Calibri" w:hAnsi="Calibri" w:cs="Calibri"/>
                <w:b/>
                <w:bCs/>
                <w:color w:val="FFFFFF" w:themeColor="background1"/>
              </w:rPr>
              <w:t>UL</w:t>
            </w:r>
            <w:r w:rsidRPr="00D633FF">
              <w:rPr>
                <w:rFonts w:ascii="Calibri" w:hAnsi="Calibri" w:cs="Calibri"/>
                <w:b/>
                <w:bCs/>
                <w:color w:val="FFFFFF" w:themeColor="background1"/>
                <w:vertAlign w:val="subscript"/>
              </w:rPr>
              <w:t xml:space="preserve"> Child</w:t>
            </w:r>
          </w:p>
          <w:p w14:paraId="48823F49" w14:textId="6F65A62A" w:rsidR="009C170D" w:rsidRPr="00D633FF" w:rsidRDefault="009C170D" w:rsidP="00CD1715">
            <w:pPr>
              <w:jc w:val="center"/>
              <w:rPr>
                <w:rFonts w:ascii="Calibri" w:hAnsi="Calibri" w:cs="Calibri"/>
                <w:b/>
                <w:bCs/>
                <w:color w:val="FFFFFF" w:themeColor="background1"/>
              </w:rPr>
            </w:pPr>
            <w:r w:rsidRPr="00D633FF">
              <w:rPr>
                <w:rFonts w:ascii="Calibri" w:hAnsi="Calibri" w:cs="Calibri"/>
                <w:b/>
                <w:bCs/>
                <w:color w:val="FFFFFF" w:themeColor="background1"/>
              </w:rPr>
              <w:t>(µg/day)</w:t>
            </w:r>
          </w:p>
        </w:tc>
      </w:tr>
      <w:tr w:rsidR="009C170D" w:rsidRPr="00D633FF" w14:paraId="0652A01B" w14:textId="77777777" w:rsidTr="00AA3DB1">
        <w:tc>
          <w:tcPr>
            <w:tcW w:w="2552" w:type="dxa"/>
          </w:tcPr>
          <w:p w14:paraId="2F00FC8B" w14:textId="272C66E1" w:rsidR="009C170D" w:rsidRPr="00D633FF" w:rsidRDefault="009C170D" w:rsidP="001952D6">
            <w:pPr>
              <w:rPr>
                <w:rFonts w:ascii="Calibri" w:hAnsi="Calibri" w:cs="Calibri"/>
              </w:rPr>
            </w:pPr>
            <w:r w:rsidRPr="00D633FF">
              <w:rPr>
                <w:rFonts w:ascii="Calibri" w:hAnsi="Calibri" w:cs="Calibri"/>
              </w:rPr>
              <w:t>1 to under 4 years</w:t>
            </w:r>
          </w:p>
        </w:tc>
        <w:tc>
          <w:tcPr>
            <w:tcW w:w="1545" w:type="dxa"/>
          </w:tcPr>
          <w:p w14:paraId="53E523A2" w14:textId="75E0E0CF" w:rsidR="009C170D" w:rsidRPr="00D633FF" w:rsidRDefault="009C170D" w:rsidP="001952D6">
            <w:pPr>
              <w:jc w:val="center"/>
              <w:rPr>
                <w:rFonts w:ascii="Calibri" w:hAnsi="Calibri" w:cs="Calibri"/>
              </w:rPr>
            </w:pPr>
            <w:r w:rsidRPr="00D633FF">
              <w:rPr>
                <w:rFonts w:ascii="Calibri" w:hAnsi="Calibri" w:cs="Calibri"/>
              </w:rPr>
              <w:t>13.0</w:t>
            </w:r>
          </w:p>
        </w:tc>
        <w:tc>
          <w:tcPr>
            <w:tcW w:w="1984" w:type="dxa"/>
          </w:tcPr>
          <w:p w14:paraId="1894CE1A" w14:textId="40971A6E" w:rsidR="009C170D" w:rsidRPr="00D633FF" w:rsidRDefault="009C170D" w:rsidP="001952D6">
            <w:pPr>
              <w:jc w:val="center"/>
              <w:rPr>
                <w:rFonts w:ascii="Calibri" w:hAnsi="Calibri" w:cs="Calibri"/>
              </w:rPr>
            </w:pPr>
            <w:r w:rsidRPr="00D633FF">
              <w:rPr>
                <w:rFonts w:ascii="Calibri" w:hAnsi="Calibri" w:cs="Calibri"/>
              </w:rPr>
              <w:t>101.2</w:t>
            </w:r>
          </w:p>
        </w:tc>
        <w:tc>
          <w:tcPr>
            <w:tcW w:w="1417" w:type="dxa"/>
          </w:tcPr>
          <w:p w14:paraId="1FB38387" w14:textId="748D9125" w:rsidR="009C170D" w:rsidRPr="00D633FF" w:rsidRDefault="009C170D" w:rsidP="001952D6">
            <w:pPr>
              <w:jc w:val="center"/>
              <w:rPr>
                <w:rFonts w:ascii="Calibri" w:hAnsi="Calibri" w:cs="Calibri"/>
              </w:rPr>
            </w:pPr>
            <w:r w:rsidRPr="00D633FF">
              <w:rPr>
                <w:rFonts w:ascii="Calibri" w:hAnsi="Calibri" w:cs="Calibri"/>
              </w:rPr>
              <w:t>-1.2</w:t>
            </w:r>
          </w:p>
        </w:tc>
        <w:tc>
          <w:tcPr>
            <w:tcW w:w="1433" w:type="dxa"/>
          </w:tcPr>
          <w:p w14:paraId="44C9A1D7" w14:textId="161FDFA1" w:rsidR="009C170D" w:rsidRPr="00D633FF" w:rsidRDefault="009C170D" w:rsidP="001952D6">
            <w:pPr>
              <w:jc w:val="center"/>
              <w:rPr>
                <w:rFonts w:ascii="Calibri" w:hAnsi="Calibri" w:cs="Calibri"/>
              </w:rPr>
            </w:pPr>
            <w:r w:rsidRPr="00D633FF">
              <w:rPr>
                <w:rFonts w:ascii="Calibri" w:hAnsi="Calibri" w:cs="Calibri"/>
              </w:rPr>
              <w:t>100</w:t>
            </w:r>
          </w:p>
        </w:tc>
      </w:tr>
      <w:tr w:rsidR="009C170D" w:rsidRPr="00D633FF" w14:paraId="38DB2485" w14:textId="77777777" w:rsidTr="00AA3DB1">
        <w:tc>
          <w:tcPr>
            <w:tcW w:w="2552" w:type="dxa"/>
          </w:tcPr>
          <w:p w14:paraId="45BA2BD8" w14:textId="075BDDBA" w:rsidR="009C170D" w:rsidRPr="00D633FF" w:rsidRDefault="009C170D" w:rsidP="001952D6">
            <w:pPr>
              <w:rPr>
                <w:rFonts w:ascii="Calibri" w:hAnsi="Calibri" w:cs="Calibri"/>
              </w:rPr>
            </w:pPr>
            <w:r w:rsidRPr="00D633FF">
              <w:rPr>
                <w:rFonts w:ascii="Calibri" w:hAnsi="Calibri" w:cs="Calibri"/>
              </w:rPr>
              <w:t>4 to under 9 years</w:t>
            </w:r>
          </w:p>
        </w:tc>
        <w:tc>
          <w:tcPr>
            <w:tcW w:w="1545" w:type="dxa"/>
          </w:tcPr>
          <w:p w14:paraId="1230D4C3" w14:textId="4138D45B" w:rsidR="009C170D" w:rsidRPr="00D633FF" w:rsidRDefault="009C170D" w:rsidP="001952D6">
            <w:pPr>
              <w:jc w:val="center"/>
              <w:rPr>
                <w:rFonts w:ascii="Calibri" w:hAnsi="Calibri" w:cs="Calibri"/>
              </w:rPr>
            </w:pPr>
            <w:r w:rsidRPr="00D633FF">
              <w:rPr>
                <w:rFonts w:ascii="Calibri" w:hAnsi="Calibri" w:cs="Calibri"/>
              </w:rPr>
              <w:t>22.4</w:t>
            </w:r>
          </w:p>
        </w:tc>
        <w:tc>
          <w:tcPr>
            <w:tcW w:w="1984" w:type="dxa"/>
          </w:tcPr>
          <w:p w14:paraId="765F07C4" w14:textId="0F9168D3" w:rsidR="009C170D" w:rsidRPr="00D633FF" w:rsidRDefault="009C170D" w:rsidP="001952D6">
            <w:pPr>
              <w:jc w:val="center"/>
              <w:rPr>
                <w:rFonts w:ascii="Calibri" w:hAnsi="Calibri" w:cs="Calibri"/>
              </w:rPr>
            </w:pPr>
            <w:r w:rsidRPr="00D633FF">
              <w:rPr>
                <w:rFonts w:ascii="Calibri" w:hAnsi="Calibri" w:cs="Calibri"/>
              </w:rPr>
              <w:t>152.1</w:t>
            </w:r>
          </w:p>
        </w:tc>
        <w:tc>
          <w:tcPr>
            <w:tcW w:w="1417" w:type="dxa"/>
          </w:tcPr>
          <w:p w14:paraId="36B9DC9F" w14:textId="4F44BC3D" w:rsidR="009C170D" w:rsidRPr="00D633FF" w:rsidRDefault="009C170D" w:rsidP="001952D6">
            <w:pPr>
              <w:jc w:val="center"/>
              <w:rPr>
                <w:rFonts w:ascii="Calibri" w:hAnsi="Calibri" w:cs="Calibri"/>
              </w:rPr>
            </w:pPr>
            <w:r w:rsidRPr="00D633FF">
              <w:rPr>
                <w:rFonts w:ascii="Calibri" w:hAnsi="Calibri" w:cs="Calibri"/>
              </w:rPr>
              <w:t>-2.1</w:t>
            </w:r>
          </w:p>
        </w:tc>
        <w:tc>
          <w:tcPr>
            <w:tcW w:w="1433" w:type="dxa"/>
          </w:tcPr>
          <w:p w14:paraId="13518154" w14:textId="64DEFAC3" w:rsidR="009C170D" w:rsidRPr="00D633FF" w:rsidRDefault="009C170D" w:rsidP="001952D6">
            <w:pPr>
              <w:jc w:val="center"/>
              <w:rPr>
                <w:rFonts w:ascii="Calibri" w:hAnsi="Calibri" w:cs="Calibri"/>
              </w:rPr>
            </w:pPr>
            <w:r w:rsidRPr="00D633FF">
              <w:rPr>
                <w:rFonts w:ascii="Calibri" w:hAnsi="Calibri" w:cs="Calibri"/>
              </w:rPr>
              <w:t>150</w:t>
            </w:r>
          </w:p>
        </w:tc>
      </w:tr>
      <w:tr w:rsidR="009C170D" w:rsidRPr="00D633FF" w14:paraId="24ED77C8" w14:textId="77777777" w:rsidTr="00AA3DB1">
        <w:tc>
          <w:tcPr>
            <w:tcW w:w="2552" w:type="dxa"/>
          </w:tcPr>
          <w:p w14:paraId="1C1E09EA" w14:textId="08D00C8B" w:rsidR="009C170D" w:rsidRPr="00D633FF" w:rsidRDefault="009C170D" w:rsidP="001952D6">
            <w:pPr>
              <w:rPr>
                <w:rFonts w:ascii="Calibri" w:hAnsi="Calibri" w:cs="Calibri"/>
              </w:rPr>
            </w:pPr>
            <w:r w:rsidRPr="00D633FF">
              <w:rPr>
                <w:rFonts w:ascii="Calibri" w:hAnsi="Calibri" w:cs="Calibri"/>
              </w:rPr>
              <w:t>9 to under 14 years</w:t>
            </w:r>
          </w:p>
        </w:tc>
        <w:tc>
          <w:tcPr>
            <w:tcW w:w="1545" w:type="dxa"/>
          </w:tcPr>
          <w:p w14:paraId="476F17DF" w14:textId="6744EDE0" w:rsidR="009C170D" w:rsidRPr="00D633FF" w:rsidRDefault="009C170D" w:rsidP="001952D6">
            <w:pPr>
              <w:jc w:val="center"/>
              <w:rPr>
                <w:rFonts w:ascii="Calibri" w:hAnsi="Calibri" w:cs="Calibri"/>
              </w:rPr>
            </w:pPr>
            <w:r w:rsidRPr="00D633FF">
              <w:rPr>
                <w:rFonts w:ascii="Calibri" w:hAnsi="Calibri" w:cs="Calibri"/>
              </w:rPr>
              <w:t>40.7</w:t>
            </w:r>
          </w:p>
        </w:tc>
        <w:tc>
          <w:tcPr>
            <w:tcW w:w="1984" w:type="dxa"/>
          </w:tcPr>
          <w:p w14:paraId="0BF392E4" w14:textId="5FD05E71" w:rsidR="009C170D" w:rsidRPr="00D633FF" w:rsidRDefault="009C170D" w:rsidP="001952D6">
            <w:pPr>
              <w:jc w:val="center"/>
              <w:rPr>
                <w:rFonts w:ascii="Calibri" w:hAnsi="Calibri" w:cs="Calibri"/>
              </w:rPr>
            </w:pPr>
            <w:r w:rsidRPr="00D633FF">
              <w:rPr>
                <w:rFonts w:ascii="Calibri" w:hAnsi="Calibri" w:cs="Calibri"/>
              </w:rPr>
              <w:t>238.1</w:t>
            </w:r>
          </w:p>
        </w:tc>
        <w:tc>
          <w:tcPr>
            <w:tcW w:w="1417" w:type="dxa"/>
          </w:tcPr>
          <w:p w14:paraId="1A56F63E" w14:textId="6EA02797" w:rsidR="009C170D" w:rsidRPr="00D633FF" w:rsidRDefault="009C170D" w:rsidP="001952D6">
            <w:pPr>
              <w:jc w:val="center"/>
              <w:rPr>
                <w:rFonts w:ascii="Calibri" w:hAnsi="Calibri" w:cs="Calibri"/>
              </w:rPr>
            </w:pPr>
            <w:r w:rsidRPr="00D633FF">
              <w:rPr>
                <w:rFonts w:ascii="Calibri" w:hAnsi="Calibri" w:cs="Calibri"/>
              </w:rPr>
              <w:t>-3.1</w:t>
            </w:r>
          </w:p>
        </w:tc>
        <w:tc>
          <w:tcPr>
            <w:tcW w:w="1433" w:type="dxa"/>
          </w:tcPr>
          <w:p w14:paraId="153171F5" w14:textId="3D8A1CF9" w:rsidR="009C170D" w:rsidRPr="00D633FF" w:rsidRDefault="009C170D" w:rsidP="001952D6">
            <w:pPr>
              <w:jc w:val="center"/>
              <w:rPr>
                <w:rFonts w:ascii="Calibri" w:hAnsi="Calibri" w:cs="Calibri"/>
              </w:rPr>
            </w:pPr>
            <w:r w:rsidRPr="00D633FF">
              <w:rPr>
                <w:rFonts w:ascii="Calibri" w:hAnsi="Calibri" w:cs="Calibri"/>
              </w:rPr>
              <w:t>235</w:t>
            </w:r>
          </w:p>
        </w:tc>
      </w:tr>
      <w:tr w:rsidR="009C170D" w:rsidRPr="00D633FF" w14:paraId="4608A331" w14:textId="77777777" w:rsidTr="00AA3DB1">
        <w:tc>
          <w:tcPr>
            <w:tcW w:w="2552" w:type="dxa"/>
            <w:shd w:val="clear" w:color="auto" w:fill="FFFFFF" w:themeFill="background1"/>
          </w:tcPr>
          <w:p w14:paraId="6A5BD302" w14:textId="55EC4FEC" w:rsidR="009C170D" w:rsidRPr="00D633FF" w:rsidRDefault="009C170D" w:rsidP="001952D6">
            <w:pPr>
              <w:rPr>
                <w:rFonts w:ascii="Calibri" w:hAnsi="Calibri" w:cs="Calibri"/>
              </w:rPr>
            </w:pPr>
            <w:r w:rsidRPr="00D633FF">
              <w:rPr>
                <w:rFonts w:ascii="Calibri" w:hAnsi="Calibri" w:cs="Calibri"/>
              </w:rPr>
              <w:t>14 to under 18 years</w:t>
            </w:r>
          </w:p>
        </w:tc>
        <w:tc>
          <w:tcPr>
            <w:tcW w:w="1545" w:type="dxa"/>
            <w:shd w:val="clear" w:color="auto" w:fill="FFFFFF" w:themeFill="background1"/>
          </w:tcPr>
          <w:p w14:paraId="5FBAE9D0" w14:textId="4D44E9B7" w:rsidR="009C170D" w:rsidRPr="00D633FF" w:rsidRDefault="009C170D" w:rsidP="001952D6">
            <w:pPr>
              <w:jc w:val="center"/>
              <w:rPr>
                <w:rFonts w:ascii="Calibri" w:hAnsi="Calibri" w:cs="Calibri"/>
              </w:rPr>
            </w:pPr>
            <w:r w:rsidRPr="00D633FF">
              <w:rPr>
                <w:rFonts w:ascii="Calibri" w:hAnsi="Calibri" w:cs="Calibri"/>
              </w:rPr>
              <w:t>57.6</w:t>
            </w:r>
          </w:p>
        </w:tc>
        <w:tc>
          <w:tcPr>
            <w:tcW w:w="1984" w:type="dxa"/>
            <w:shd w:val="clear" w:color="auto" w:fill="FFFFFF" w:themeFill="background1"/>
          </w:tcPr>
          <w:p w14:paraId="20A8B498" w14:textId="1DBE2D92" w:rsidR="009C170D" w:rsidRPr="00D633FF" w:rsidRDefault="009C170D" w:rsidP="001952D6">
            <w:pPr>
              <w:jc w:val="center"/>
              <w:rPr>
                <w:rFonts w:ascii="Calibri" w:hAnsi="Calibri" w:cs="Calibri"/>
              </w:rPr>
            </w:pPr>
            <w:r w:rsidRPr="00D633FF">
              <w:rPr>
                <w:rFonts w:ascii="Calibri" w:hAnsi="Calibri" w:cs="Calibri"/>
              </w:rPr>
              <w:t>308.9</w:t>
            </w:r>
          </w:p>
        </w:tc>
        <w:tc>
          <w:tcPr>
            <w:tcW w:w="1417" w:type="dxa"/>
            <w:shd w:val="clear" w:color="auto" w:fill="FFFFFF" w:themeFill="background1"/>
          </w:tcPr>
          <w:p w14:paraId="0324F181" w14:textId="0AFC2348" w:rsidR="009C170D" w:rsidRPr="00D633FF" w:rsidRDefault="009C170D" w:rsidP="001952D6">
            <w:pPr>
              <w:jc w:val="center"/>
              <w:rPr>
                <w:rFonts w:ascii="Calibri" w:hAnsi="Calibri" w:cs="Calibri"/>
              </w:rPr>
            </w:pPr>
            <w:r w:rsidRPr="00D633FF">
              <w:rPr>
                <w:rFonts w:ascii="Calibri" w:hAnsi="Calibri" w:cs="Calibri"/>
              </w:rPr>
              <w:t>-3.9</w:t>
            </w:r>
          </w:p>
        </w:tc>
        <w:tc>
          <w:tcPr>
            <w:tcW w:w="1433" w:type="dxa"/>
            <w:shd w:val="clear" w:color="auto" w:fill="FFFFFF" w:themeFill="background1"/>
          </w:tcPr>
          <w:p w14:paraId="3B51A3E0" w14:textId="48DF6DCC" w:rsidR="009C170D" w:rsidRPr="00D633FF" w:rsidRDefault="009C170D" w:rsidP="001952D6">
            <w:pPr>
              <w:jc w:val="center"/>
              <w:rPr>
                <w:rFonts w:ascii="Calibri" w:hAnsi="Calibri" w:cs="Calibri"/>
              </w:rPr>
            </w:pPr>
            <w:r w:rsidRPr="00D633FF">
              <w:rPr>
                <w:rFonts w:ascii="Calibri" w:hAnsi="Calibri" w:cs="Calibri"/>
              </w:rPr>
              <w:t>305</w:t>
            </w:r>
          </w:p>
        </w:tc>
      </w:tr>
    </w:tbl>
    <w:p w14:paraId="10FA3BC8" w14:textId="11C697B1" w:rsidR="009441D5" w:rsidRPr="00D633FF" w:rsidRDefault="009441D5" w:rsidP="009441D5">
      <w:pPr>
        <w:spacing w:before="120" w:after="0" w:line="240" w:lineRule="atLeast"/>
        <w:rPr>
          <w:rFonts w:ascii="Calibri" w:eastAsia="Times New Roman" w:hAnsi="Calibri" w:cs="Calibri"/>
          <w:szCs w:val="20"/>
        </w:rPr>
      </w:pPr>
    </w:p>
    <w:p w14:paraId="30086FC5" w14:textId="72563C63" w:rsidR="00A90861" w:rsidRPr="000450F9" w:rsidRDefault="00A90861" w:rsidP="00B07CC4">
      <w:pPr>
        <w:pStyle w:val="Caption"/>
        <w:keepNext/>
        <w:spacing w:after="120"/>
        <w:rPr>
          <w:rFonts w:ascii="Calibri" w:hAnsi="Calibri" w:cs="Calibri"/>
          <w:b/>
          <w:bCs/>
        </w:rPr>
      </w:pPr>
      <w:bookmarkStart w:id="63" w:name="_Ref213170128"/>
      <w:r w:rsidRPr="000450F9">
        <w:rPr>
          <w:rFonts w:ascii="Calibri" w:hAnsi="Calibri" w:cs="Calibri"/>
          <w:b/>
          <w:bCs/>
        </w:rPr>
        <w:t xml:space="preserve">Table </w:t>
      </w:r>
      <w:r w:rsidRPr="000450F9">
        <w:rPr>
          <w:rFonts w:ascii="Calibri" w:hAnsi="Calibri" w:cs="Calibri"/>
          <w:b/>
          <w:bCs/>
        </w:rPr>
        <w:fldChar w:fldCharType="begin"/>
      </w:r>
      <w:r w:rsidRPr="000450F9">
        <w:rPr>
          <w:rFonts w:ascii="Calibri" w:hAnsi="Calibri" w:cs="Calibri"/>
          <w:b/>
          <w:bCs/>
        </w:rPr>
        <w:instrText xml:space="preserve"> SEQ Table \* ARABIC </w:instrText>
      </w:r>
      <w:r w:rsidRPr="000450F9">
        <w:rPr>
          <w:rFonts w:ascii="Calibri" w:hAnsi="Calibri" w:cs="Calibri"/>
          <w:b/>
          <w:bCs/>
        </w:rPr>
        <w:fldChar w:fldCharType="separate"/>
      </w:r>
      <w:r w:rsidR="00CB6915" w:rsidRPr="000450F9">
        <w:rPr>
          <w:rFonts w:ascii="Calibri" w:hAnsi="Calibri" w:cs="Calibri"/>
          <w:b/>
          <w:bCs/>
          <w:noProof/>
        </w:rPr>
        <w:t>10</w:t>
      </w:r>
      <w:r w:rsidRPr="000450F9">
        <w:rPr>
          <w:rFonts w:ascii="Calibri" w:hAnsi="Calibri" w:cs="Calibri"/>
          <w:b/>
          <w:bCs/>
        </w:rPr>
        <w:fldChar w:fldCharType="end"/>
      </w:r>
      <w:bookmarkEnd w:id="63"/>
      <w:r w:rsidR="000450F9">
        <w:rPr>
          <w:rFonts w:ascii="Calibri" w:hAnsi="Calibri" w:cs="Calibri"/>
          <w:b/>
          <w:bCs/>
        </w:rPr>
        <w:t>.</w:t>
      </w:r>
      <w:r w:rsidRPr="000450F9">
        <w:rPr>
          <w:rFonts w:ascii="Calibri" w:hAnsi="Calibri" w:cs="Calibri"/>
          <w:b/>
          <w:bCs/>
        </w:rPr>
        <w:t xml:space="preserve"> UL calculations for alternative age groupings </w:t>
      </w:r>
      <w:r w:rsidR="000450F9">
        <w:rPr>
          <w:rFonts w:ascii="Calibri" w:hAnsi="Calibri" w:cs="Calibri"/>
          <w:b/>
          <w:bCs/>
        </w:rPr>
        <w:t>—</w:t>
      </w:r>
      <w:r w:rsidRPr="000450F9">
        <w:rPr>
          <w:rFonts w:ascii="Calibri" w:hAnsi="Calibri" w:cs="Calibri"/>
          <w:b/>
          <w:bCs/>
        </w:rPr>
        <w:t xml:space="preserve"> children and adolescents (extrapolation from adult values)</w:t>
      </w:r>
    </w:p>
    <w:tbl>
      <w:tblPr>
        <w:tblStyle w:val="TableGrid"/>
        <w:tblW w:w="8931"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2552"/>
        <w:gridCol w:w="1559"/>
        <w:gridCol w:w="1985"/>
        <w:gridCol w:w="1417"/>
        <w:gridCol w:w="1418"/>
      </w:tblGrid>
      <w:tr w:rsidR="00CD1715" w:rsidRPr="00D633FF" w14:paraId="46770502" w14:textId="77777777" w:rsidTr="00AA3DB1">
        <w:tc>
          <w:tcPr>
            <w:tcW w:w="2552" w:type="dxa"/>
            <w:shd w:val="clear" w:color="auto" w:fill="156082"/>
            <w:vAlign w:val="bottom"/>
          </w:tcPr>
          <w:p w14:paraId="74E36A0E" w14:textId="77777777" w:rsidR="00CD1715" w:rsidRPr="00D633FF" w:rsidRDefault="00CD1715" w:rsidP="001356C2">
            <w:pPr>
              <w:rPr>
                <w:rFonts w:ascii="Calibri" w:hAnsi="Calibri" w:cs="Calibri"/>
                <w:b/>
                <w:bCs/>
                <w:color w:val="FFFFFF" w:themeColor="background1"/>
              </w:rPr>
            </w:pPr>
            <w:r w:rsidRPr="00D633FF">
              <w:rPr>
                <w:rFonts w:ascii="Calibri" w:hAnsi="Calibri" w:cs="Calibri"/>
                <w:b/>
                <w:bCs/>
                <w:color w:val="FFFFFF" w:themeColor="background1"/>
              </w:rPr>
              <w:t>Age</w:t>
            </w:r>
          </w:p>
        </w:tc>
        <w:tc>
          <w:tcPr>
            <w:tcW w:w="1559" w:type="dxa"/>
            <w:shd w:val="clear" w:color="auto" w:fill="156082"/>
          </w:tcPr>
          <w:p w14:paraId="21B2525A" w14:textId="77777777" w:rsidR="009C170D" w:rsidRPr="00D633FF" w:rsidRDefault="00CD1715" w:rsidP="009C170D">
            <w:pPr>
              <w:jc w:val="center"/>
              <w:rPr>
                <w:rFonts w:ascii="Calibri" w:hAnsi="Calibri" w:cs="Calibri"/>
                <w:b/>
                <w:bCs/>
                <w:color w:val="FFFFFF" w:themeColor="background1"/>
                <w:vertAlign w:val="subscript"/>
              </w:rPr>
            </w:pPr>
            <w:r w:rsidRPr="00D633FF">
              <w:rPr>
                <w:rFonts w:ascii="Calibri" w:hAnsi="Calibri" w:cs="Calibri"/>
                <w:b/>
                <w:bCs/>
                <w:color w:val="FFFFFF" w:themeColor="background1"/>
              </w:rPr>
              <w:t xml:space="preserve">Weight </w:t>
            </w:r>
            <w:r w:rsidRPr="00D633FF">
              <w:rPr>
                <w:rFonts w:ascii="Calibri" w:hAnsi="Calibri" w:cs="Calibri"/>
                <w:b/>
                <w:bCs/>
                <w:color w:val="FFFFFF" w:themeColor="background1"/>
                <w:vertAlign w:val="subscript"/>
              </w:rPr>
              <w:t>Child</w:t>
            </w:r>
          </w:p>
          <w:p w14:paraId="53689358" w14:textId="510E1C30" w:rsidR="00CD1715" w:rsidRPr="00D633FF" w:rsidRDefault="009C170D" w:rsidP="009C170D">
            <w:pPr>
              <w:jc w:val="center"/>
              <w:rPr>
                <w:rFonts w:ascii="Calibri" w:hAnsi="Calibri" w:cs="Calibri"/>
                <w:b/>
                <w:bCs/>
                <w:color w:val="FFFFFF" w:themeColor="background1"/>
              </w:rPr>
            </w:pPr>
            <w:r w:rsidRPr="00D633FF">
              <w:rPr>
                <w:rFonts w:ascii="Calibri" w:hAnsi="Calibri" w:cs="Calibri"/>
                <w:b/>
                <w:bCs/>
                <w:color w:val="FFFFFF" w:themeColor="background1"/>
              </w:rPr>
              <w:t>(kg)</w:t>
            </w:r>
          </w:p>
        </w:tc>
        <w:tc>
          <w:tcPr>
            <w:tcW w:w="1985" w:type="dxa"/>
            <w:shd w:val="clear" w:color="auto" w:fill="156082"/>
          </w:tcPr>
          <w:p w14:paraId="6DE98556" w14:textId="77777777" w:rsidR="00CD1715" w:rsidRPr="00D633FF" w:rsidRDefault="00CD1715" w:rsidP="001952D6">
            <w:pPr>
              <w:jc w:val="center"/>
              <w:rPr>
                <w:rFonts w:ascii="Calibri" w:hAnsi="Calibri" w:cs="Calibri"/>
                <w:b/>
                <w:bCs/>
                <w:color w:val="FFFFFF" w:themeColor="background1"/>
              </w:rPr>
            </w:pPr>
            <w:r w:rsidRPr="00D633FF">
              <w:rPr>
                <w:rFonts w:ascii="Calibri" w:hAnsi="Calibri" w:cs="Calibri"/>
                <w:b/>
                <w:bCs/>
                <w:color w:val="FFFFFF" w:themeColor="background1"/>
              </w:rPr>
              <w:t xml:space="preserve">Calculated UL </w:t>
            </w:r>
            <w:r w:rsidRPr="00D633FF">
              <w:rPr>
                <w:rFonts w:ascii="Calibri" w:hAnsi="Calibri" w:cs="Calibri"/>
                <w:b/>
                <w:bCs/>
                <w:color w:val="FFFFFF" w:themeColor="background1"/>
                <w:vertAlign w:val="subscript"/>
              </w:rPr>
              <w:t>Child</w:t>
            </w:r>
          </w:p>
          <w:p w14:paraId="32AD2370" w14:textId="77777777" w:rsidR="00CD1715" w:rsidRPr="00D633FF" w:rsidRDefault="00CD1715" w:rsidP="001952D6">
            <w:pPr>
              <w:jc w:val="center"/>
              <w:rPr>
                <w:rFonts w:ascii="Calibri" w:hAnsi="Calibri" w:cs="Calibri"/>
                <w:b/>
                <w:bCs/>
                <w:color w:val="FFFFFF" w:themeColor="background1"/>
              </w:rPr>
            </w:pPr>
            <w:r w:rsidRPr="00D633FF">
              <w:rPr>
                <w:rFonts w:ascii="Calibri" w:hAnsi="Calibri" w:cs="Calibri"/>
                <w:b/>
                <w:bCs/>
                <w:color w:val="FFFFFF" w:themeColor="background1"/>
              </w:rPr>
              <w:t>(µg/day)</w:t>
            </w:r>
          </w:p>
        </w:tc>
        <w:tc>
          <w:tcPr>
            <w:tcW w:w="1417" w:type="dxa"/>
            <w:shd w:val="clear" w:color="auto" w:fill="156082"/>
          </w:tcPr>
          <w:p w14:paraId="37354872" w14:textId="77777777" w:rsidR="00CD1715" w:rsidRPr="00D633FF" w:rsidRDefault="00CD1715" w:rsidP="001952D6">
            <w:pPr>
              <w:jc w:val="center"/>
              <w:rPr>
                <w:rFonts w:ascii="Calibri" w:hAnsi="Calibri" w:cs="Calibri"/>
                <w:b/>
                <w:bCs/>
                <w:color w:val="FFFFFF" w:themeColor="background1"/>
              </w:rPr>
            </w:pPr>
            <w:r w:rsidRPr="00D633FF">
              <w:rPr>
                <w:rFonts w:ascii="Calibri" w:hAnsi="Calibri" w:cs="Calibri"/>
                <w:b/>
                <w:bCs/>
                <w:color w:val="FFFFFF" w:themeColor="background1"/>
              </w:rPr>
              <w:t>Rounding</w:t>
            </w:r>
          </w:p>
        </w:tc>
        <w:tc>
          <w:tcPr>
            <w:tcW w:w="1418" w:type="dxa"/>
            <w:shd w:val="clear" w:color="auto" w:fill="156082"/>
          </w:tcPr>
          <w:p w14:paraId="1228FF34" w14:textId="77777777" w:rsidR="00CD1715" w:rsidRPr="00D633FF" w:rsidRDefault="00CD1715" w:rsidP="001952D6">
            <w:pPr>
              <w:jc w:val="center"/>
              <w:rPr>
                <w:rFonts w:ascii="Calibri" w:hAnsi="Calibri" w:cs="Calibri"/>
                <w:b/>
                <w:bCs/>
                <w:color w:val="FFFFFF" w:themeColor="background1"/>
              </w:rPr>
            </w:pPr>
            <w:r w:rsidRPr="00D633FF">
              <w:rPr>
                <w:rFonts w:ascii="Calibri" w:hAnsi="Calibri" w:cs="Calibri"/>
                <w:b/>
                <w:bCs/>
                <w:color w:val="FFFFFF" w:themeColor="background1"/>
              </w:rPr>
              <w:t>UL</w:t>
            </w:r>
            <w:r w:rsidRPr="00D633FF">
              <w:rPr>
                <w:rFonts w:ascii="Calibri" w:hAnsi="Calibri" w:cs="Calibri"/>
                <w:b/>
                <w:bCs/>
                <w:color w:val="FFFFFF" w:themeColor="background1"/>
                <w:vertAlign w:val="subscript"/>
              </w:rPr>
              <w:t xml:space="preserve"> Child</w:t>
            </w:r>
          </w:p>
          <w:p w14:paraId="49D333CC" w14:textId="77777777" w:rsidR="00CD1715" w:rsidRPr="00D633FF" w:rsidRDefault="00CD1715" w:rsidP="001952D6">
            <w:pPr>
              <w:jc w:val="center"/>
              <w:rPr>
                <w:rFonts w:ascii="Calibri" w:hAnsi="Calibri" w:cs="Calibri"/>
                <w:b/>
                <w:bCs/>
                <w:color w:val="FFFFFF" w:themeColor="background1"/>
              </w:rPr>
            </w:pPr>
            <w:r w:rsidRPr="00D633FF">
              <w:rPr>
                <w:rFonts w:ascii="Calibri" w:hAnsi="Calibri" w:cs="Calibri"/>
                <w:b/>
                <w:bCs/>
                <w:color w:val="FFFFFF" w:themeColor="background1"/>
              </w:rPr>
              <w:t>(µg/day)</w:t>
            </w:r>
          </w:p>
        </w:tc>
      </w:tr>
      <w:tr w:rsidR="00045427" w:rsidRPr="00D633FF" w14:paraId="6D9E1733" w14:textId="77777777" w:rsidTr="00AA3DB1">
        <w:tc>
          <w:tcPr>
            <w:tcW w:w="2552" w:type="dxa"/>
          </w:tcPr>
          <w:p w14:paraId="5F07E6C8" w14:textId="03869C71" w:rsidR="00411CB8" w:rsidRPr="00D633FF" w:rsidRDefault="00411CB8" w:rsidP="00411CB8">
            <w:pPr>
              <w:rPr>
                <w:rFonts w:ascii="Calibri" w:hAnsi="Calibri" w:cs="Calibri"/>
              </w:rPr>
            </w:pPr>
            <w:r w:rsidRPr="00D633FF">
              <w:rPr>
                <w:rFonts w:ascii="Calibri" w:hAnsi="Calibri" w:cs="Calibri"/>
              </w:rPr>
              <w:t>12 to under 24 months</w:t>
            </w:r>
          </w:p>
        </w:tc>
        <w:tc>
          <w:tcPr>
            <w:tcW w:w="1559" w:type="dxa"/>
          </w:tcPr>
          <w:p w14:paraId="4D2D6451" w14:textId="35F7666C" w:rsidR="00411CB8" w:rsidRPr="00D633FF" w:rsidRDefault="00411CB8" w:rsidP="00411CB8">
            <w:pPr>
              <w:jc w:val="center"/>
              <w:rPr>
                <w:rFonts w:ascii="Calibri" w:hAnsi="Calibri" w:cs="Calibri"/>
              </w:rPr>
            </w:pPr>
            <w:r w:rsidRPr="00D633FF">
              <w:rPr>
                <w:rFonts w:ascii="Calibri" w:hAnsi="Calibri" w:cs="Calibri"/>
              </w:rPr>
              <w:t>10.6</w:t>
            </w:r>
          </w:p>
        </w:tc>
        <w:tc>
          <w:tcPr>
            <w:tcW w:w="1985" w:type="dxa"/>
          </w:tcPr>
          <w:p w14:paraId="616E5336" w14:textId="0D8C3549" w:rsidR="00411CB8" w:rsidRPr="00D633FF" w:rsidRDefault="005D27DA" w:rsidP="00411CB8">
            <w:pPr>
              <w:jc w:val="center"/>
              <w:rPr>
                <w:rFonts w:ascii="Calibri" w:hAnsi="Calibri" w:cs="Calibri"/>
              </w:rPr>
            </w:pPr>
            <w:r w:rsidRPr="00D633FF">
              <w:rPr>
                <w:rFonts w:ascii="Calibri" w:hAnsi="Calibri" w:cs="Calibri"/>
              </w:rPr>
              <w:t>86.8</w:t>
            </w:r>
          </w:p>
        </w:tc>
        <w:tc>
          <w:tcPr>
            <w:tcW w:w="1417" w:type="dxa"/>
          </w:tcPr>
          <w:p w14:paraId="607B2C03" w14:textId="24630768" w:rsidR="00411CB8" w:rsidRPr="00D633FF" w:rsidRDefault="008D23EA" w:rsidP="00411CB8">
            <w:pPr>
              <w:jc w:val="center"/>
              <w:rPr>
                <w:rFonts w:ascii="Calibri" w:hAnsi="Calibri" w:cs="Calibri"/>
              </w:rPr>
            </w:pPr>
            <w:r w:rsidRPr="00D633FF">
              <w:rPr>
                <w:rFonts w:ascii="Calibri" w:hAnsi="Calibri" w:cs="Calibri"/>
              </w:rPr>
              <w:t>-1.8</w:t>
            </w:r>
          </w:p>
        </w:tc>
        <w:tc>
          <w:tcPr>
            <w:tcW w:w="1418" w:type="dxa"/>
          </w:tcPr>
          <w:p w14:paraId="7054506B" w14:textId="56E026C0" w:rsidR="00411CB8" w:rsidRPr="00D633FF" w:rsidRDefault="008D23EA" w:rsidP="00411CB8">
            <w:pPr>
              <w:jc w:val="center"/>
              <w:rPr>
                <w:rFonts w:ascii="Calibri" w:hAnsi="Calibri" w:cs="Calibri"/>
              </w:rPr>
            </w:pPr>
            <w:r w:rsidRPr="00D633FF">
              <w:rPr>
                <w:rFonts w:ascii="Calibri" w:hAnsi="Calibri" w:cs="Calibri"/>
              </w:rPr>
              <w:t>85</w:t>
            </w:r>
          </w:p>
        </w:tc>
      </w:tr>
      <w:tr w:rsidR="00045427" w:rsidRPr="00D633FF" w14:paraId="6E75585A" w14:textId="77777777" w:rsidTr="00AA3DB1">
        <w:tc>
          <w:tcPr>
            <w:tcW w:w="2552" w:type="dxa"/>
          </w:tcPr>
          <w:p w14:paraId="64ECE2F5" w14:textId="61F9034E" w:rsidR="00411CB8" w:rsidRPr="00D633FF" w:rsidRDefault="00411CB8" w:rsidP="00411CB8">
            <w:pPr>
              <w:rPr>
                <w:rFonts w:ascii="Calibri" w:hAnsi="Calibri" w:cs="Calibri"/>
              </w:rPr>
            </w:pPr>
            <w:r w:rsidRPr="00D633FF">
              <w:rPr>
                <w:rFonts w:ascii="Calibri" w:hAnsi="Calibri" w:cs="Calibri"/>
              </w:rPr>
              <w:t>2 to under 5 years</w:t>
            </w:r>
          </w:p>
        </w:tc>
        <w:tc>
          <w:tcPr>
            <w:tcW w:w="1559" w:type="dxa"/>
          </w:tcPr>
          <w:p w14:paraId="6ECBAC57" w14:textId="43A75255" w:rsidR="00411CB8" w:rsidRPr="00D633FF" w:rsidRDefault="00730AB8" w:rsidP="00411CB8">
            <w:pPr>
              <w:jc w:val="center"/>
              <w:rPr>
                <w:rFonts w:ascii="Calibri" w:hAnsi="Calibri" w:cs="Calibri"/>
              </w:rPr>
            </w:pPr>
            <w:r w:rsidRPr="00D633FF">
              <w:rPr>
                <w:rFonts w:ascii="Calibri" w:hAnsi="Calibri" w:cs="Calibri"/>
              </w:rPr>
              <w:t>15.9</w:t>
            </w:r>
          </w:p>
        </w:tc>
        <w:tc>
          <w:tcPr>
            <w:tcW w:w="1985" w:type="dxa"/>
          </w:tcPr>
          <w:p w14:paraId="169F6F8F" w14:textId="49E5D67A" w:rsidR="00411CB8" w:rsidRPr="00D633FF" w:rsidRDefault="008D23EA" w:rsidP="00411CB8">
            <w:pPr>
              <w:jc w:val="center"/>
              <w:rPr>
                <w:rFonts w:ascii="Calibri" w:hAnsi="Calibri" w:cs="Calibri"/>
              </w:rPr>
            </w:pPr>
            <w:r w:rsidRPr="00D633FF">
              <w:rPr>
                <w:rFonts w:ascii="Calibri" w:hAnsi="Calibri" w:cs="Calibri"/>
              </w:rPr>
              <w:t>117.6</w:t>
            </w:r>
          </w:p>
        </w:tc>
        <w:tc>
          <w:tcPr>
            <w:tcW w:w="1417" w:type="dxa"/>
          </w:tcPr>
          <w:p w14:paraId="7D876E6D" w14:textId="02E4361D" w:rsidR="00411CB8" w:rsidRPr="00D633FF" w:rsidRDefault="008D23EA" w:rsidP="00411CB8">
            <w:pPr>
              <w:jc w:val="center"/>
              <w:rPr>
                <w:rFonts w:ascii="Calibri" w:hAnsi="Calibri" w:cs="Calibri"/>
              </w:rPr>
            </w:pPr>
            <w:r w:rsidRPr="00D633FF">
              <w:rPr>
                <w:rFonts w:ascii="Calibri" w:hAnsi="Calibri" w:cs="Calibri"/>
              </w:rPr>
              <w:t>2.4</w:t>
            </w:r>
          </w:p>
        </w:tc>
        <w:tc>
          <w:tcPr>
            <w:tcW w:w="1418" w:type="dxa"/>
          </w:tcPr>
          <w:p w14:paraId="4FA4559D" w14:textId="42046F6C" w:rsidR="00411CB8" w:rsidRPr="00D633FF" w:rsidRDefault="008D23EA" w:rsidP="00411CB8">
            <w:pPr>
              <w:jc w:val="center"/>
              <w:rPr>
                <w:rFonts w:ascii="Calibri" w:hAnsi="Calibri" w:cs="Calibri"/>
              </w:rPr>
            </w:pPr>
            <w:r w:rsidRPr="00D633FF">
              <w:rPr>
                <w:rFonts w:ascii="Calibri" w:hAnsi="Calibri" w:cs="Calibri"/>
              </w:rPr>
              <w:t>120</w:t>
            </w:r>
          </w:p>
        </w:tc>
      </w:tr>
      <w:tr w:rsidR="00045427" w:rsidRPr="00D633FF" w14:paraId="3DBF5432" w14:textId="77777777" w:rsidTr="00AA3DB1">
        <w:tc>
          <w:tcPr>
            <w:tcW w:w="2552" w:type="dxa"/>
          </w:tcPr>
          <w:p w14:paraId="26CB5940" w14:textId="188A4924" w:rsidR="00411CB8" w:rsidRPr="00D633FF" w:rsidRDefault="00411CB8" w:rsidP="00411CB8">
            <w:pPr>
              <w:rPr>
                <w:rFonts w:ascii="Calibri" w:hAnsi="Calibri" w:cs="Calibri"/>
              </w:rPr>
            </w:pPr>
            <w:r w:rsidRPr="00D633FF">
              <w:rPr>
                <w:rFonts w:ascii="Calibri" w:hAnsi="Calibri" w:cs="Calibri"/>
              </w:rPr>
              <w:t>5 to under 12 years</w:t>
            </w:r>
          </w:p>
        </w:tc>
        <w:tc>
          <w:tcPr>
            <w:tcW w:w="1559" w:type="dxa"/>
          </w:tcPr>
          <w:p w14:paraId="622BBD19" w14:textId="6CB8F7C1" w:rsidR="00411CB8" w:rsidRPr="00D633FF" w:rsidRDefault="00730AB8" w:rsidP="00411CB8">
            <w:pPr>
              <w:jc w:val="center"/>
              <w:rPr>
                <w:rFonts w:ascii="Calibri" w:hAnsi="Calibri" w:cs="Calibri"/>
              </w:rPr>
            </w:pPr>
            <w:r w:rsidRPr="00D633FF">
              <w:rPr>
                <w:rFonts w:ascii="Calibri" w:hAnsi="Calibri" w:cs="Calibri"/>
              </w:rPr>
              <w:t>28.6</w:t>
            </w:r>
          </w:p>
        </w:tc>
        <w:tc>
          <w:tcPr>
            <w:tcW w:w="1985" w:type="dxa"/>
          </w:tcPr>
          <w:p w14:paraId="4302418C" w14:textId="2FC85FFA" w:rsidR="00411CB8" w:rsidRPr="00D633FF" w:rsidRDefault="008D23EA" w:rsidP="00411CB8">
            <w:pPr>
              <w:jc w:val="center"/>
              <w:rPr>
                <w:rFonts w:ascii="Calibri" w:hAnsi="Calibri" w:cs="Calibri"/>
              </w:rPr>
            </w:pPr>
            <w:r w:rsidRPr="00D633FF">
              <w:rPr>
                <w:rFonts w:ascii="Calibri" w:hAnsi="Calibri" w:cs="Calibri"/>
              </w:rPr>
              <w:t>182.7</w:t>
            </w:r>
          </w:p>
        </w:tc>
        <w:tc>
          <w:tcPr>
            <w:tcW w:w="1417" w:type="dxa"/>
          </w:tcPr>
          <w:p w14:paraId="48996D0D" w14:textId="2CFFE528" w:rsidR="00411CB8" w:rsidRPr="00D633FF" w:rsidRDefault="008D23EA" w:rsidP="00411CB8">
            <w:pPr>
              <w:jc w:val="center"/>
              <w:rPr>
                <w:rFonts w:ascii="Calibri" w:hAnsi="Calibri" w:cs="Calibri"/>
              </w:rPr>
            </w:pPr>
            <w:r w:rsidRPr="00D633FF">
              <w:rPr>
                <w:rFonts w:ascii="Calibri" w:hAnsi="Calibri" w:cs="Calibri"/>
              </w:rPr>
              <w:t>2.3</w:t>
            </w:r>
          </w:p>
        </w:tc>
        <w:tc>
          <w:tcPr>
            <w:tcW w:w="1418" w:type="dxa"/>
          </w:tcPr>
          <w:p w14:paraId="40F979B8" w14:textId="38B98346" w:rsidR="00411CB8" w:rsidRPr="00D633FF" w:rsidRDefault="00A90861" w:rsidP="00411CB8">
            <w:pPr>
              <w:jc w:val="center"/>
              <w:rPr>
                <w:rFonts w:ascii="Calibri" w:hAnsi="Calibri" w:cs="Calibri"/>
              </w:rPr>
            </w:pPr>
            <w:r w:rsidRPr="00D633FF">
              <w:rPr>
                <w:rFonts w:ascii="Calibri" w:hAnsi="Calibri" w:cs="Calibri"/>
              </w:rPr>
              <w:t>185</w:t>
            </w:r>
          </w:p>
        </w:tc>
      </w:tr>
      <w:tr w:rsidR="00045427" w:rsidRPr="00D633FF" w14:paraId="5F81F6BC" w14:textId="77777777" w:rsidTr="00AA3DB1">
        <w:tc>
          <w:tcPr>
            <w:tcW w:w="2552" w:type="dxa"/>
            <w:shd w:val="clear" w:color="auto" w:fill="FFFFFF" w:themeFill="background1"/>
          </w:tcPr>
          <w:p w14:paraId="700DDF86" w14:textId="6902DFB9" w:rsidR="00411CB8" w:rsidRPr="00D633FF" w:rsidRDefault="00411CB8" w:rsidP="00411CB8">
            <w:pPr>
              <w:rPr>
                <w:rFonts w:ascii="Calibri" w:hAnsi="Calibri" w:cs="Calibri"/>
              </w:rPr>
            </w:pPr>
            <w:r w:rsidRPr="00D633FF">
              <w:rPr>
                <w:rFonts w:ascii="Calibri" w:hAnsi="Calibri" w:cs="Calibri"/>
              </w:rPr>
              <w:t>12 to under 18 years</w:t>
            </w:r>
          </w:p>
        </w:tc>
        <w:tc>
          <w:tcPr>
            <w:tcW w:w="1559" w:type="dxa"/>
            <w:shd w:val="clear" w:color="auto" w:fill="FFFFFF" w:themeFill="background1"/>
          </w:tcPr>
          <w:p w14:paraId="5F44FDF5" w14:textId="2EE61A32" w:rsidR="00411CB8" w:rsidRPr="00D633FF" w:rsidRDefault="00730AB8" w:rsidP="00411CB8">
            <w:pPr>
              <w:jc w:val="center"/>
              <w:rPr>
                <w:rFonts w:ascii="Calibri" w:hAnsi="Calibri" w:cs="Calibri"/>
              </w:rPr>
            </w:pPr>
            <w:r w:rsidRPr="00D633FF">
              <w:rPr>
                <w:rFonts w:ascii="Calibri" w:hAnsi="Calibri" w:cs="Calibri"/>
              </w:rPr>
              <w:t>54.5</w:t>
            </w:r>
          </w:p>
        </w:tc>
        <w:tc>
          <w:tcPr>
            <w:tcW w:w="1985" w:type="dxa"/>
            <w:shd w:val="clear" w:color="auto" w:fill="FFFFFF" w:themeFill="background1"/>
          </w:tcPr>
          <w:p w14:paraId="74CF7798" w14:textId="32844306" w:rsidR="00411CB8" w:rsidRPr="00D633FF" w:rsidRDefault="00A90861" w:rsidP="00411CB8">
            <w:pPr>
              <w:jc w:val="center"/>
              <w:rPr>
                <w:rFonts w:ascii="Calibri" w:hAnsi="Calibri" w:cs="Calibri"/>
              </w:rPr>
            </w:pPr>
            <w:r w:rsidRPr="00D633FF">
              <w:rPr>
                <w:rFonts w:ascii="Calibri" w:hAnsi="Calibri" w:cs="Calibri"/>
              </w:rPr>
              <w:t>296.4</w:t>
            </w:r>
          </w:p>
        </w:tc>
        <w:tc>
          <w:tcPr>
            <w:tcW w:w="1417" w:type="dxa"/>
            <w:shd w:val="clear" w:color="auto" w:fill="FFFFFF" w:themeFill="background1"/>
          </w:tcPr>
          <w:p w14:paraId="562BE905" w14:textId="6E95DF7C" w:rsidR="00411CB8" w:rsidRPr="00D633FF" w:rsidRDefault="00A90861" w:rsidP="00411CB8">
            <w:pPr>
              <w:jc w:val="center"/>
              <w:rPr>
                <w:rFonts w:ascii="Calibri" w:hAnsi="Calibri" w:cs="Calibri"/>
              </w:rPr>
            </w:pPr>
            <w:r w:rsidRPr="00D633FF">
              <w:rPr>
                <w:rFonts w:ascii="Calibri" w:hAnsi="Calibri" w:cs="Calibri"/>
              </w:rPr>
              <w:t>-1.4</w:t>
            </w:r>
          </w:p>
        </w:tc>
        <w:tc>
          <w:tcPr>
            <w:tcW w:w="1418" w:type="dxa"/>
            <w:shd w:val="clear" w:color="auto" w:fill="FFFFFF" w:themeFill="background1"/>
          </w:tcPr>
          <w:p w14:paraId="6D9746BF" w14:textId="67DDE710" w:rsidR="00411CB8" w:rsidRPr="00D633FF" w:rsidRDefault="00A90861" w:rsidP="00411CB8">
            <w:pPr>
              <w:jc w:val="center"/>
              <w:rPr>
                <w:rFonts w:ascii="Calibri" w:hAnsi="Calibri" w:cs="Calibri"/>
              </w:rPr>
            </w:pPr>
            <w:r w:rsidRPr="00D633FF">
              <w:rPr>
                <w:rFonts w:ascii="Calibri" w:hAnsi="Calibri" w:cs="Calibri"/>
              </w:rPr>
              <w:t>295</w:t>
            </w:r>
          </w:p>
        </w:tc>
      </w:tr>
    </w:tbl>
    <w:p w14:paraId="7FC7A834" w14:textId="77777777" w:rsidR="009C170D" w:rsidRDefault="009C170D" w:rsidP="00920F1B">
      <w:pPr>
        <w:spacing w:line="360" w:lineRule="auto"/>
        <w:rPr>
          <w:rFonts w:ascii="Calibri" w:eastAsia="Times New Roman" w:hAnsi="Calibri" w:cs="Calibri"/>
        </w:rPr>
      </w:pPr>
    </w:p>
    <w:p w14:paraId="293E812B" w14:textId="49D6991C" w:rsidR="002151CA" w:rsidRPr="00AA3DB1" w:rsidRDefault="00790573" w:rsidP="00AA3DB1">
      <w:pPr>
        <w:spacing w:line="360" w:lineRule="auto"/>
        <w:rPr>
          <w:rFonts w:ascii="Calibri" w:hAnsi="Calibri" w:cs="Calibri"/>
        </w:rPr>
      </w:pPr>
      <w:r w:rsidRPr="00D633FF">
        <w:rPr>
          <w:rFonts w:ascii="Calibri" w:eastAsia="Times New Roman" w:hAnsi="Calibri" w:cs="Calibri"/>
        </w:rPr>
        <w:t xml:space="preserve">Further information about age groupings, reference weights and scaling methods used is presented in the Methodological Framework for the Review of Nutrient Reference Values </w:t>
      </w:r>
      <w:r w:rsidR="00F41A14" w:rsidRPr="00D633FF">
        <w:rPr>
          <w:rFonts w:ascii="Calibri" w:eastAsia="Times New Roman" w:hAnsi="Calibri" w:cs="Calibri"/>
          <w:noProof/>
        </w:rPr>
        <w:t>(</w:t>
      </w:r>
      <w:r w:rsidR="004F6727" w:rsidRPr="00D633FF">
        <w:rPr>
          <w:rFonts w:ascii="Calibri" w:eastAsia="Times New Roman" w:hAnsi="Calibri" w:cs="Calibri"/>
          <w:noProof/>
        </w:rPr>
        <w:t>NHMRC 2025b</w:t>
      </w:r>
      <w:r w:rsidR="00F41A14" w:rsidRPr="00D633FF">
        <w:rPr>
          <w:rFonts w:ascii="Calibri" w:eastAsia="Times New Roman" w:hAnsi="Calibri" w:cs="Calibri"/>
          <w:noProof/>
        </w:rPr>
        <w:t>)</w:t>
      </w:r>
      <w:r w:rsidRPr="00D633FF">
        <w:rPr>
          <w:rFonts w:ascii="Calibri" w:hAnsi="Calibri" w:cs="Calibri"/>
        </w:rPr>
        <w:t>.</w:t>
      </w:r>
      <w:bookmarkStart w:id="64" w:name="_Toc204170935"/>
      <w:r w:rsidR="002151CA" w:rsidRPr="00D633FF">
        <w:rPr>
          <w:rFonts w:ascii="Calibri" w:hAnsi="Calibri" w:cs="Calibri"/>
          <w:color w:val="000000" w:themeColor="text1"/>
        </w:rPr>
        <w:br w:type="page"/>
      </w:r>
    </w:p>
    <w:p w14:paraId="655E6156" w14:textId="335399C2" w:rsidR="00226012" w:rsidRPr="00D633FF" w:rsidRDefault="00226012" w:rsidP="00226012">
      <w:pPr>
        <w:pStyle w:val="Heading1"/>
        <w:rPr>
          <w:rFonts w:ascii="Calibri" w:hAnsi="Calibri" w:cs="Calibri"/>
          <w:b/>
          <w:bCs/>
        </w:rPr>
      </w:pPr>
      <w:bookmarkStart w:id="65" w:name="_Toc218527980"/>
      <w:r w:rsidRPr="00D633FF">
        <w:rPr>
          <w:rFonts w:ascii="Calibri" w:hAnsi="Calibri" w:cs="Calibri"/>
          <w:b/>
          <w:bCs/>
        </w:rPr>
        <w:lastRenderedPageBreak/>
        <w:t>Benchmarking</w:t>
      </w:r>
      <w:bookmarkEnd w:id="64"/>
      <w:bookmarkEnd w:id="65"/>
      <w:r w:rsidRPr="00D633FF">
        <w:rPr>
          <w:rFonts w:ascii="Calibri" w:hAnsi="Calibri" w:cs="Calibri"/>
          <w:b/>
          <w:bCs/>
        </w:rPr>
        <w:t xml:space="preserve"> </w:t>
      </w:r>
    </w:p>
    <w:p w14:paraId="70C9017F" w14:textId="77777777" w:rsidR="00226012" w:rsidRPr="00D633FF" w:rsidRDefault="00226012" w:rsidP="00226012">
      <w:pPr>
        <w:pStyle w:val="Heading2"/>
        <w:rPr>
          <w:rFonts w:ascii="Calibri" w:hAnsi="Calibri" w:cs="Calibri"/>
        </w:rPr>
      </w:pPr>
      <w:bookmarkStart w:id="66" w:name="_Toc204170936"/>
      <w:bookmarkStart w:id="67" w:name="_Toc218527981"/>
      <w:r w:rsidRPr="00D633FF">
        <w:rPr>
          <w:rFonts w:ascii="Calibri" w:hAnsi="Calibri" w:cs="Calibri"/>
        </w:rPr>
        <w:t>International comparisons</w:t>
      </w:r>
      <w:bookmarkEnd w:id="66"/>
      <w:bookmarkEnd w:id="67"/>
    </w:p>
    <w:p w14:paraId="6B5296A3" w14:textId="4376FA50" w:rsidR="00172B6D" w:rsidRPr="00D633FF" w:rsidRDefault="0004520D" w:rsidP="00DF6831">
      <w:pPr>
        <w:spacing w:line="360" w:lineRule="auto"/>
        <w:rPr>
          <w:rFonts w:ascii="Calibri" w:eastAsia="Times New Roman" w:hAnsi="Calibri" w:cs="Calibri"/>
          <w:szCs w:val="20"/>
        </w:rPr>
      </w:pPr>
      <w:r w:rsidRPr="00D633FF">
        <w:rPr>
          <w:rFonts w:ascii="Calibri" w:eastAsia="Times New Roman" w:hAnsi="Calibri" w:cs="Calibri"/>
          <w:szCs w:val="20"/>
          <w:highlight w:val="yellow"/>
        </w:rPr>
        <w:fldChar w:fldCharType="begin" w:fldLock="1"/>
      </w:r>
      <w:r w:rsidRPr="00D633FF">
        <w:rPr>
          <w:rFonts w:ascii="Calibri" w:eastAsia="Times New Roman" w:hAnsi="Calibri" w:cs="Calibri"/>
          <w:szCs w:val="20"/>
          <w:highlight w:val="yellow"/>
        </w:rPr>
        <w:instrText xml:space="preserve"> REF _Ref207296624 \h </w:instrText>
      </w:r>
      <w:r w:rsidR="00D633FF">
        <w:rPr>
          <w:rFonts w:ascii="Calibri" w:eastAsia="Times New Roman" w:hAnsi="Calibri" w:cs="Calibri"/>
          <w:szCs w:val="20"/>
          <w:highlight w:val="yellow"/>
        </w:rPr>
        <w:instrText xml:space="preserve"> \* MERGEFORMAT </w:instrText>
      </w:r>
      <w:r w:rsidRPr="00D633FF">
        <w:rPr>
          <w:rFonts w:ascii="Calibri" w:eastAsia="Times New Roman" w:hAnsi="Calibri" w:cs="Calibri"/>
          <w:szCs w:val="20"/>
          <w:highlight w:val="yellow"/>
        </w:rPr>
      </w:r>
      <w:r w:rsidRPr="00D633FF">
        <w:rPr>
          <w:rFonts w:ascii="Calibri" w:eastAsia="Times New Roman" w:hAnsi="Calibri" w:cs="Calibri"/>
          <w:szCs w:val="20"/>
          <w:highlight w:val="yellow"/>
        </w:rPr>
        <w:fldChar w:fldCharType="separate"/>
      </w:r>
      <w:r w:rsidRPr="00D633FF">
        <w:rPr>
          <w:rFonts w:ascii="Calibri" w:hAnsi="Calibri" w:cs="Calibri"/>
        </w:rPr>
        <w:t xml:space="preserve">Table </w:t>
      </w:r>
      <w:r w:rsidR="001944DE" w:rsidRPr="00D633FF">
        <w:rPr>
          <w:rFonts w:ascii="Calibri" w:hAnsi="Calibri" w:cs="Calibri"/>
          <w:noProof/>
        </w:rPr>
        <w:t>11</w:t>
      </w:r>
      <w:r w:rsidRPr="00D633FF">
        <w:rPr>
          <w:rFonts w:ascii="Calibri" w:hAnsi="Calibri" w:cs="Calibri"/>
        </w:rPr>
        <w:t xml:space="preserve"> </w:t>
      </w:r>
      <w:r w:rsidRPr="00D633FF">
        <w:rPr>
          <w:rFonts w:ascii="Calibri" w:eastAsia="Times New Roman" w:hAnsi="Calibri" w:cs="Calibri"/>
          <w:szCs w:val="20"/>
          <w:highlight w:val="yellow"/>
        </w:rPr>
        <w:fldChar w:fldCharType="end"/>
      </w:r>
      <w:r w:rsidR="00E738A7" w:rsidRPr="00D633FF">
        <w:rPr>
          <w:rFonts w:ascii="Calibri" w:eastAsia="Times New Roman" w:hAnsi="Calibri" w:cs="Calibri"/>
          <w:szCs w:val="20"/>
        </w:rPr>
        <w:t xml:space="preserve">shows NRV recommendations for selenium </w:t>
      </w:r>
      <w:r w:rsidR="00FC57BB" w:rsidRPr="00D633FF">
        <w:rPr>
          <w:rFonts w:ascii="Calibri" w:eastAsia="Times New Roman" w:hAnsi="Calibri" w:cs="Calibri"/>
          <w:szCs w:val="20"/>
        </w:rPr>
        <w:t>UL</w:t>
      </w:r>
      <w:r w:rsidR="00E738A7" w:rsidRPr="00D633FF">
        <w:rPr>
          <w:rFonts w:ascii="Calibri" w:eastAsia="Times New Roman" w:hAnsi="Calibri" w:cs="Calibri"/>
          <w:szCs w:val="20"/>
        </w:rPr>
        <w:t xml:space="preserve"> across comparable international jurisdictions. </w:t>
      </w:r>
      <w:r w:rsidR="00FC57BB" w:rsidRPr="00D633FF">
        <w:rPr>
          <w:rFonts w:ascii="Calibri" w:eastAsia="Times New Roman" w:hAnsi="Calibri" w:cs="Calibri"/>
          <w:szCs w:val="20"/>
        </w:rPr>
        <w:t xml:space="preserve">Tabler 12 shows NRV recommendations for selenium UL for alternative age groupings. </w:t>
      </w:r>
      <w:r w:rsidR="00E738A7" w:rsidRPr="00D633FF">
        <w:rPr>
          <w:rFonts w:ascii="Calibri" w:eastAsia="Times New Roman" w:hAnsi="Calibri" w:cs="Calibri"/>
          <w:szCs w:val="20"/>
        </w:rPr>
        <w:t>To account for differing age groupings across jurisdictions, values have been adjusted using a weighted average calculation</w:t>
      </w:r>
      <w:r w:rsidR="00E731B0" w:rsidRPr="00D633FF">
        <w:rPr>
          <w:rStyle w:val="FootnoteReference"/>
          <w:rFonts w:ascii="Calibri" w:eastAsia="Times New Roman" w:hAnsi="Calibri" w:cs="Calibri"/>
          <w:szCs w:val="20"/>
        </w:rPr>
        <w:t xml:space="preserve"> </w:t>
      </w:r>
      <w:r w:rsidR="00281AB6" w:rsidRPr="00D633FF">
        <w:rPr>
          <w:rFonts w:ascii="Calibri" w:eastAsia="Times New Roman" w:hAnsi="Calibri" w:cs="Calibri"/>
          <w:sz w:val="2"/>
          <w:szCs w:val="2"/>
        </w:rPr>
        <w:t>1F</w:t>
      </w:r>
      <w:r w:rsidR="00CB6915">
        <w:rPr>
          <w:rFonts w:ascii="ZWAdobeF" w:eastAsia="Times New Roman" w:hAnsi="ZWAdobeF" w:cs="ZWAdobeF"/>
          <w:sz w:val="2"/>
          <w:szCs w:val="2"/>
        </w:rPr>
        <w:t>1F</w:t>
      </w:r>
      <w:r w:rsidR="00E731B0" w:rsidRPr="00D633FF">
        <w:rPr>
          <w:rStyle w:val="FootnoteReference"/>
          <w:rFonts w:ascii="Calibri" w:eastAsia="Times New Roman" w:hAnsi="Calibri" w:cs="Calibri"/>
          <w:szCs w:val="20"/>
        </w:rPr>
        <w:footnoteReference w:id="3"/>
      </w:r>
      <w:r w:rsidR="00E738A7" w:rsidRPr="00D633FF">
        <w:rPr>
          <w:rFonts w:ascii="Calibri" w:eastAsia="Times New Roman" w:hAnsi="Calibri" w:cs="Calibri"/>
          <w:szCs w:val="20"/>
        </w:rPr>
        <w:t>. Adjusted values are denoted by * in the table</w:t>
      </w:r>
      <w:r w:rsidR="00E731B0" w:rsidRPr="00D633FF">
        <w:rPr>
          <w:rFonts w:ascii="Calibri" w:eastAsia="Times New Roman" w:hAnsi="Calibri" w:cs="Calibri"/>
          <w:szCs w:val="20"/>
        </w:rPr>
        <w:t>.</w:t>
      </w:r>
    </w:p>
    <w:p w14:paraId="7AE15A7F" w14:textId="63056094" w:rsidR="00E738A7" w:rsidRPr="00D633FF" w:rsidRDefault="00DE361F" w:rsidP="009E4C7A">
      <w:pPr>
        <w:spacing w:line="360" w:lineRule="auto"/>
        <w:rPr>
          <w:rFonts w:ascii="Calibri" w:eastAsia="Times New Roman" w:hAnsi="Calibri" w:cs="Calibri"/>
          <w:szCs w:val="20"/>
        </w:rPr>
      </w:pPr>
      <w:r w:rsidRPr="00D633FF">
        <w:rPr>
          <w:rFonts w:ascii="Calibri" w:eastAsia="Times New Roman" w:hAnsi="Calibri" w:cs="Calibri"/>
        </w:rPr>
        <w:t>Additional</w:t>
      </w:r>
      <w:r w:rsidR="007478B4" w:rsidRPr="00D633FF">
        <w:rPr>
          <w:rFonts w:ascii="Calibri" w:eastAsia="Times New Roman" w:hAnsi="Calibri" w:cs="Calibri"/>
        </w:rPr>
        <w:t xml:space="preserve"> benchmarking against comparable international jurisdictions </w:t>
      </w:r>
      <w:r w:rsidR="003315F7" w:rsidRPr="00D633FF">
        <w:rPr>
          <w:rFonts w:ascii="Calibri" w:eastAsia="Times New Roman" w:hAnsi="Calibri" w:cs="Calibri"/>
        </w:rPr>
        <w:t>i</w:t>
      </w:r>
      <w:r w:rsidR="007478B4" w:rsidRPr="00D633FF">
        <w:rPr>
          <w:rFonts w:ascii="Calibri" w:eastAsia="Times New Roman" w:hAnsi="Calibri" w:cs="Calibri"/>
        </w:rPr>
        <w:t xml:space="preserve">s not possible for children and adolescents, as </w:t>
      </w:r>
      <w:r w:rsidR="007478B4" w:rsidRPr="00D633FF">
        <w:rPr>
          <w:rFonts w:ascii="Calibri" w:eastAsia="Times New Roman" w:hAnsi="Calibri" w:cs="Calibri"/>
          <w:szCs w:val="20"/>
        </w:rPr>
        <w:t xml:space="preserve">no children’s ULs were available from the </w:t>
      </w:r>
      <w:r w:rsidR="007478B4" w:rsidRPr="00D633FF">
        <w:rPr>
          <w:rFonts w:ascii="Calibri" w:hAnsi="Calibri" w:cs="Calibri"/>
          <w:szCs w:val="20"/>
        </w:rPr>
        <w:t xml:space="preserve">UK Expert Group on Vitamins and Minerals (EVM) or the World Health Organization/Food and Agriculture Organization of the United Nations (WHO/FAO). The international data for comparison </w:t>
      </w:r>
      <w:r w:rsidR="007478B4" w:rsidRPr="00D633FF">
        <w:rPr>
          <w:rFonts w:ascii="Calibri" w:eastAsia="Times New Roman" w:hAnsi="Calibri" w:cs="Calibri"/>
        </w:rPr>
        <w:t>for children and adolescents</w:t>
      </w:r>
      <w:r w:rsidR="007478B4" w:rsidRPr="00D633FF">
        <w:rPr>
          <w:rFonts w:ascii="Calibri" w:hAnsi="Calibri" w:cs="Calibri"/>
          <w:szCs w:val="20"/>
        </w:rPr>
        <w:t xml:space="preserve"> </w:t>
      </w:r>
      <w:r w:rsidR="003315F7" w:rsidRPr="00D633FF">
        <w:rPr>
          <w:rFonts w:ascii="Calibri" w:hAnsi="Calibri" w:cs="Calibri"/>
          <w:szCs w:val="20"/>
        </w:rPr>
        <w:t>we</w:t>
      </w:r>
      <w:r w:rsidR="007478B4" w:rsidRPr="00D633FF">
        <w:rPr>
          <w:rFonts w:ascii="Calibri" w:hAnsi="Calibri" w:cs="Calibri"/>
          <w:szCs w:val="20"/>
        </w:rPr>
        <w:t>re the USA IOM values (which the 2006 NHMRC values were adopted from) and the 2000 SCF European values, that are superseded by the EFSA 2023 values.</w:t>
      </w:r>
      <w:r w:rsidR="00E738A7" w:rsidRPr="00D633FF">
        <w:rPr>
          <w:rFonts w:ascii="Calibri" w:eastAsia="Times New Roman" w:hAnsi="Calibri" w:cs="Calibri"/>
          <w:szCs w:val="20"/>
        </w:rPr>
        <w:t xml:space="preserve"> </w:t>
      </w:r>
    </w:p>
    <w:p w14:paraId="1E93FF0C" w14:textId="0B8E22BC" w:rsidR="00EB22FD" w:rsidRPr="005B68F9" w:rsidRDefault="00EB22FD" w:rsidP="00B07CC4">
      <w:pPr>
        <w:pStyle w:val="Caption"/>
        <w:spacing w:after="120"/>
        <w:rPr>
          <w:rFonts w:ascii="Calibri" w:hAnsi="Calibri" w:cs="Calibri"/>
          <w:b/>
          <w:bCs/>
        </w:rPr>
      </w:pPr>
      <w:bookmarkStart w:id="68" w:name="_Ref207296624"/>
      <w:r w:rsidRPr="005B68F9">
        <w:rPr>
          <w:rFonts w:ascii="Calibri" w:hAnsi="Calibri" w:cs="Calibri"/>
          <w:b/>
          <w:bCs/>
        </w:rPr>
        <w:t xml:space="preserve">Table </w:t>
      </w:r>
      <w:r w:rsidRPr="005B68F9">
        <w:rPr>
          <w:rFonts w:ascii="Calibri" w:hAnsi="Calibri" w:cs="Calibri"/>
          <w:b/>
          <w:bCs/>
        </w:rPr>
        <w:fldChar w:fldCharType="begin"/>
      </w:r>
      <w:r w:rsidRPr="005B68F9">
        <w:rPr>
          <w:rFonts w:ascii="Calibri" w:hAnsi="Calibri" w:cs="Calibri"/>
          <w:b/>
          <w:bCs/>
        </w:rPr>
        <w:instrText xml:space="preserve"> SEQ Table \* ARABIC </w:instrText>
      </w:r>
      <w:r w:rsidRPr="005B68F9">
        <w:rPr>
          <w:rFonts w:ascii="Calibri" w:hAnsi="Calibri" w:cs="Calibri"/>
          <w:b/>
          <w:bCs/>
        </w:rPr>
        <w:fldChar w:fldCharType="separate"/>
      </w:r>
      <w:r w:rsidR="00CB6915" w:rsidRPr="005B68F9">
        <w:rPr>
          <w:rFonts w:ascii="Calibri" w:hAnsi="Calibri" w:cs="Calibri"/>
          <w:b/>
          <w:bCs/>
          <w:noProof/>
        </w:rPr>
        <w:t>11</w:t>
      </w:r>
      <w:r w:rsidRPr="005B68F9">
        <w:rPr>
          <w:rFonts w:ascii="Calibri" w:hAnsi="Calibri" w:cs="Calibri"/>
          <w:b/>
          <w:bCs/>
        </w:rPr>
        <w:fldChar w:fldCharType="end"/>
      </w:r>
      <w:r w:rsidR="000450F9">
        <w:rPr>
          <w:rFonts w:ascii="Calibri" w:hAnsi="Calibri" w:cs="Calibri"/>
          <w:b/>
          <w:bCs/>
        </w:rPr>
        <w:t>.</w:t>
      </w:r>
      <w:r w:rsidRPr="005B68F9">
        <w:rPr>
          <w:rFonts w:ascii="Calibri" w:hAnsi="Calibri" w:cs="Calibri"/>
          <w:b/>
          <w:bCs/>
        </w:rPr>
        <w:t xml:space="preserve"> Comparison of proposed </w:t>
      </w:r>
      <w:r w:rsidR="006A270A">
        <w:rPr>
          <w:rFonts w:ascii="Calibri" w:hAnsi="Calibri" w:cs="Calibri"/>
          <w:b/>
          <w:bCs/>
        </w:rPr>
        <w:t>UL</w:t>
      </w:r>
      <w:r w:rsidRPr="005B68F9">
        <w:rPr>
          <w:rFonts w:ascii="Calibri" w:hAnsi="Calibri" w:cs="Calibri"/>
          <w:b/>
          <w:bCs/>
        </w:rPr>
        <w:t xml:space="preserve">s with </w:t>
      </w:r>
      <w:r w:rsidR="000854DE">
        <w:rPr>
          <w:rFonts w:ascii="Calibri" w:hAnsi="Calibri" w:cs="Calibri"/>
          <w:b/>
          <w:bCs/>
        </w:rPr>
        <w:t>UL</w:t>
      </w:r>
      <w:r w:rsidRPr="005B68F9">
        <w:rPr>
          <w:rFonts w:ascii="Calibri" w:hAnsi="Calibri" w:cs="Calibri"/>
          <w:b/>
          <w:bCs/>
        </w:rPr>
        <w:t>s from comparable international jurisdictions</w:t>
      </w:r>
      <w:bookmarkEnd w:id="68"/>
    </w:p>
    <w:tbl>
      <w:tblPr>
        <w:tblW w:w="5031" w:type="pct"/>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2127"/>
        <w:gridCol w:w="1194"/>
        <w:gridCol w:w="989"/>
        <w:gridCol w:w="956"/>
        <w:gridCol w:w="956"/>
        <w:gridCol w:w="894"/>
        <w:gridCol w:w="956"/>
        <w:gridCol w:w="1000"/>
      </w:tblGrid>
      <w:tr w:rsidR="00C7491B" w:rsidRPr="0081144D" w14:paraId="1244C855" w14:textId="77777777" w:rsidTr="00E56FE0">
        <w:trPr>
          <w:trHeight w:val="900"/>
        </w:trPr>
        <w:tc>
          <w:tcPr>
            <w:tcW w:w="1172" w:type="pct"/>
            <w:shd w:val="clear" w:color="auto" w:fill="156082" w:themeFill="accent1"/>
            <w:vAlign w:val="bottom"/>
            <w:hideMark/>
          </w:tcPr>
          <w:p w14:paraId="6C8616C7" w14:textId="2C1307EF" w:rsidR="00FC57BB" w:rsidRPr="0081144D" w:rsidRDefault="00FC57BB" w:rsidP="001356C2">
            <w:pPr>
              <w:spacing w:after="0" w:line="240" w:lineRule="auto"/>
              <w:rPr>
                <w:rFonts w:ascii="Calibri" w:eastAsia="Times New Roman" w:hAnsi="Calibri" w:cs="Calibri"/>
                <w:b/>
                <w:bCs/>
                <w:color w:val="FFFFFF" w:themeColor="background1"/>
                <w:kern w:val="0"/>
                <w:sz w:val="21"/>
                <w:szCs w:val="21"/>
                <w:lang w:eastAsia="en-AU"/>
                <w14:ligatures w14:val="none"/>
              </w:rPr>
            </w:pPr>
            <w:r w:rsidRPr="0081144D">
              <w:rPr>
                <w:rFonts w:ascii="Calibri" w:eastAsia="Times New Roman" w:hAnsi="Calibri" w:cs="Calibri"/>
                <w:b/>
                <w:bCs/>
                <w:color w:val="FFFFFF" w:themeColor="background1"/>
                <w:kern w:val="0"/>
                <w:sz w:val="21"/>
                <w:szCs w:val="21"/>
                <w:lang w:eastAsia="en-AU"/>
                <w14:ligatures w14:val="none"/>
              </w:rPr>
              <w:t>Age</w:t>
            </w:r>
          </w:p>
        </w:tc>
        <w:tc>
          <w:tcPr>
            <w:tcW w:w="658" w:type="pct"/>
            <w:shd w:val="clear" w:color="auto" w:fill="156082" w:themeFill="accent1"/>
            <w:vAlign w:val="bottom"/>
          </w:tcPr>
          <w:p w14:paraId="6F24C999" w14:textId="77777777" w:rsidR="00FC57BB" w:rsidRPr="0081144D" w:rsidRDefault="00FC57BB" w:rsidP="002B52A1">
            <w:pPr>
              <w:spacing w:after="0" w:line="240" w:lineRule="auto"/>
              <w:ind w:left="-111"/>
              <w:jc w:val="center"/>
              <w:rPr>
                <w:rFonts w:ascii="Calibri" w:eastAsia="Times New Roman" w:hAnsi="Calibri" w:cs="Calibri"/>
                <w:b/>
                <w:bCs/>
                <w:color w:val="FFFFFF" w:themeColor="background1"/>
                <w:kern w:val="0"/>
                <w:sz w:val="21"/>
                <w:szCs w:val="21"/>
                <w:lang w:eastAsia="en-AU"/>
                <w14:ligatures w14:val="none"/>
              </w:rPr>
            </w:pPr>
            <w:r w:rsidRPr="0081144D">
              <w:rPr>
                <w:rFonts w:ascii="Calibri" w:eastAsia="Times New Roman" w:hAnsi="Calibri" w:cs="Calibri"/>
                <w:b/>
                <w:bCs/>
                <w:color w:val="FFFFFF" w:themeColor="background1"/>
                <w:kern w:val="0"/>
                <w:sz w:val="21"/>
                <w:szCs w:val="21"/>
                <w:lang w:eastAsia="en-AU"/>
                <w14:ligatures w14:val="none"/>
              </w:rPr>
              <w:t>NHMRC (2025) Proposed</w:t>
            </w:r>
          </w:p>
          <w:p w14:paraId="7156F5C7" w14:textId="77777777" w:rsidR="00FC57BB" w:rsidRPr="0081144D" w:rsidRDefault="00FC57BB" w:rsidP="002B52A1">
            <w:pPr>
              <w:spacing w:after="0" w:line="240" w:lineRule="auto"/>
              <w:ind w:left="-111"/>
              <w:jc w:val="center"/>
              <w:rPr>
                <w:rFonts w:ascii="Calibri" w:eastAsia="Times New Roman" w:hAnsi="Calibri" w:cs="Calibri"/>
                <w:color w:val="FFFFFF" w:themeColor="background1"/>
                <w:kern w:val="0"/>
                <w:sz w:val="21"/>
                <w:szCs w:val="21"/>
                <w:lang w:eastAsia="en-AU"/>
                <w14:ligatures w14:val="none"/>
              </w:rPr>
            </w:pPr>
            <w:r w:rsidRPr="0081144D">
              <w:rPr>
                <w:rFonts w:ascii="Calibri" w:eastAsia="Times New Roman" w:hAnsi="Calibri" w:cs="Calibri"/>
                <w:color w:val="FFFFFF" w:themeColor="background1"/>
                <w:kern w:val="0"/>
                <w:sz w:val="21"/>
                <w:szCs w:val="21"/>
                <w:lang w:eastAsia="en-AU"/>
                <w14:ligatures w14:val="none"/>
              </w:rPr>
              <w:t>UL</w:t>
            </w:r>
          </w:p>
          <w:p w14:paraId="301FD598" w14:textId="77777777" w:rsidR="00FC57BB" w:rsidRPr="0081144D" w:rsidRDefault="00FC57BB" w:rsidP="002B52A1">
            <w:pPr>
              <w:spacing w:after="0" w:line="240" w:lineRule="auto"/>
              <w:ind w:left="-111"/>
              <w:jc w:val="center"/>
              <w:rPr>
                <w:rFonts w:ascii="Calibri" w:eastAsia="Times New Roman" w:hAnsi="Calibri" w:cs="Calibri"/>
                <w:b/>
                <w:bCs/>
                <w:color w:val="FFFFFF" w:themeColor="background1"/>
                <w:kern w:val="0"/>
                <w:sz w:val="21"/>
                <w:szCs w:val="21"/>
                <w:lang w:eastAsia="en-AU"/>
                <w14:ligatures w14:val="none"/>
              </w:rPr>
            </w:pPr>
            <w:r w:rsidRPr="0081144D">
              <w:rPr>
                <w:rFonts w:ascii="Calibri" w:eastAsia="Times New Roman" w:hAnsi="Calibri" w:cs="Calibri"/>
                <w:color w:val="FFFFFF" w:themeColor="background1"/>
                <w:kern w:val="0"/>
                <w:sz w:val="21"/>
                <w:szCs w:val="21"/>
                <w:lang w:eastAsia="en-AU"/>
                <w14:ligatures w14:val="none"/>
              </w:rPr>
              <w:t>(</w:t>
            </w:r>
            <w:r w:rsidRPr="0081144D">
              <w:rPr>
                <w:rFonts w:ascii="Calibri" w:eastAsia="Times New Roman" w:hAnsi="Calibri" w:cs="Calibri"/>
                <w:color w:val="FFFFFF" w:themeColor="background1"/>
                <w:sz w:val="21"/>
                <w:szCs w:val="21"/>
              </w:rPr>
              <w:t>µg/day)</w:t>
            </w:r>
          </w:p>
        </w:tc>
        <w:tc>
          <w:tcPr>
            <w:tcW w:w="545" w:type="pct"/>
            <w:shd w:val="clear" w:color="auto" w:fill="156082" w:themeFill="accent1"/>
            <w:vAlign w:val="bottom"/>
            <w:hideMark/>
          </w:tcPr>
          <w:p w14:paraId="5051FD43" w14:textId="77777777" w:rsidR="00FC57BB" w:rsidRPr="0081144D" w:rsidRDefault="00FC57BB" w:rsidP="002B52A1">
            <w:pPr>
              <w:spacing w:after="0" w:line="240" w:lineRule="auto"/>
              <w:jc w:val="center"/>
              <w:rPr>
                <w:rFonts w:ascii="Calibri" w:eastAsia="Times New Roman" w:hAnsi="Calibri" w:cs="Calibri"/>
                <w:b/>
                <w:bCs/>
                <w:color w:val="FFFFFF" w:themeColor="background1"/>
                <w:kern w:val="0"/>
                <w:sz w:val="21"/>
                <w:szCs w:val="21"/>
                <w:lang w:eastAsia="en-AU"/>
                <w14:ligatures w14:val="none"/>
              </w:rPr>
            </w:pPr>
            <w:r w:rsidRPr="0081144D">
              <w:rPr>
                <w:rFonts w:ascii="Calibri" w:eastAsia="Times New Roman" w:hAnsi="Calibri" w:cs="Calibri"/>
                <w:b/>
                <w:bCs/>
                <w:color w:val="FFFFFF" w:themeColor="background1"/>
                <w:kern w:val="0"/>
                <w:sz w:val="21"/>
                <w:szCs w:val="21"/>
                <w:lang w:eastAsia="en-AU"/>
                <w14:ligatures w14:val="none"/>
              </w:rPr>
              <w:t>NHMRC (2006)</w:t>
            </w:r>
          </w:p>
          <w:p w14:paraId="746DD365" w14:textId="77777777" w:rsidR="00FC57BB" w:rsidRPr="0081144D" w:rsidRDefault="00FC57BB" w:rsidP="002B52A1">
            <w:pPr>
              <w:spacing w:after="0" w:line="240" w:lineRule="auto"/>
              <w:jc w:val="center"/>
              <w:rPr>
                <w:rFonts w:ascii="Calibri" w:eastAsia="Times New Roman" w:hAnsi="Calibri" w:cs="Calibri"/>
                <w:color w:val="FFFFFF" w:themeColor="background1"/>
                <w:kern w:val="0"/>
                <w:sz w:val="21"/>
                <w:szCs w:val="21"/>
                <w:lang w:eastAsia="en-AU"/>
                <w14:ligatures w14:val="none"/>
              </w:rPr>
            </w:pPr>
            <w:r w:rsidRPr="0081144D">
              <w:rPr>
                <w:rFonts w:ascii="Calibri" w:eastAsia="Times New Roman" w:hAnsi="Calibri" w:cs="Calibri"/>
                <w:b/>
                <w:bCs/>
                <w:color w:val="FFFFFF" w:themeColor="background1"/>
                <w:kern w:val="0"/>
                <w:sz w:val="21"/>
                <w:szCs w:val="21"/>
                <w:lang w:eastAsia="en-AU"/>
                <w14:ligatures w14:val="none"/>
              </w:rPr>
              <w:t xml:space="preserve">Current </w:t>
            </w:r>
            <w:r w:rsidRPr="0081144D">
              <w:rPr>
                <w:rFonts w:ascii="Calibri" w:eastAsia="Times New Roman" w:hAnsi="Calibri" w:cs="Calibri"/>
                <w:color w:val="FFFFFF" w:themeColor="background1"/>
                <w:kern w:val="0"/>
                <w:sz w:val="21"/>
                <w:szCs w:val="21"/>
                <w:lang w:eastAsia="en-AU"/>
                <w14:ligatures w14:val="none"/>
              </w:rPr>
              <w:t>UL</w:t>
            </w:r>
          </w:p>
          <w:p w14:paraId="3453C4A6" w14:textId="77777777" w:rsidR="00FC57BB" w:rsidRPr="0081144D" w:rsidRDefault="00FC57BB" w:rsidP="002B52A1">
            <w:pPr>
              <w:spacing w:after="0" w:line="240" w:lineRule="auto"/>
              <w:jc w:val="center"/>
              <w:rPr>
                <w:rFonts w:ascii="Calibri" w:eastAsia="Times New Roman" w:hAnsi="Calibri" w:cs="Calibri"/>
                <w:b/>
                <w:bCs/>
                <w:color w:val="FFFFFF" w:themeColor="background1"/>
                <w:kern w:val="0"/>
                <w:sz w:val="21"/>
                <w:szCs w:val="21"/>
                <w:lang w:eastAsia="en-AU"/>
                <w14:ligatures w14:val="none"/>
              </w:rPr>
            </w:pPr>
            <w:r w:rsidRPr="0081144D">
              <w:rPr>
                <w:rFonts w:ascii="Calibri" w:eastAsia="Times New Roman" w:hAnsi="Calibri" w:cs="Calibri"/>
                <w:color w:val="FFFFFF" w:themeColor="background1"/>
                <w:kern w:val="0"/>
                <w:sz w:val="21"/>
                <w:szCs w:val="21"/>
                <w:lang w:eastAsia="en-AU"/>
                <w14:ligatures w14:val="none"/>
              </w:rPr>
              <w:t>(</w:t>
            </w:r>
            <w:r w:rsidRPr="0081144D">
              <w:rPr>
                <w:rFonts w:ascii="Calibri" w:eastAsia="Times New Roman" w:hAnsi="Calibri" w:cs="Calibri"/>
                <w:color w:val="FFFFFF" w:themeColor="background1"/>
                <w:sz w:val="21"/>
                <w:szCs w:val="21"/>
              </w:rPr>
              <w:t>µg/day)</w:t>
            </w:r>
          </w:p>
        </w:tc>
        <w:tc>
          <w:tcPr>
            <w:tcW w:w="527" w:type="pct"/>
            <w:shd w:val="clear" w:color="auto" w:fill="156082" w:themeFill="accent1"/>
            <w:vAlign w:val="bottom"/>
          </w:tcPr>
          <w:p w14:paraId="0CABF0FF" w14:textId="77777777" w:rsidR="00FC57BB" w:rsidRPr="0081144D" w:rsidRDefault="00FC57BB" w:rsidP="002B52A1">
            <w:pPr>
              <w:spacing w:after="0" w:line="240" w:lineRule="auto"/>
              <w:jc w:val="center"/>
              <w:rPr>
                <w:rFonts w:ascii="Calibri" w:eastAsia="Times New Roman" w:hAnsi="Calibri" w:cs="Calibri"/>
                <w:b/>
                <w:bCs/>
                <w:color w:val="FFFFFF" w:themeColor="background1"/>
                <w:kern w:val="0"/>
                <w:sz w:val="21"/>
                <w:szCs w:val="21"/>
                <w:lang w:eastAsia="en-AU"/>
                <w14:ligatures w14:val="none"/>
              </w:rPr>
            </w:pPr>
            <w:r w:rsidRPr="0081144D">
              <w:rPr>
                <w:rFonts w:ascii="Calibri" w:eastAsia="Times New Roman" w:hAnsi="Calibri" w:cs="Calibri"/>
                <w:b/>
                <w:bCs/>
                <w:color w:val="FFFFFF" w:themeColor="background1"/>
                <w:kern w:val="0"/>
                <w:sz w:val="21"/>
                <w:szCs w:val="21"/>
                <w:lang w:eastAsia="en-AU"/>
                <w14:ligatures w14:val="none"/>
              </w:rPr>
              <w:t>Europe EFSA (2023)</w:t>
            </w:r>
          </w:p>
          <w:p w14:paraId="3B490E33" w14:textId="77777777" w:rsidR="00FC57BB" w:rsidRPr="0081144D" w:rsidRDefault="00FC57BB" w:rsidP="002B52A1">
            <w:pPr>
              <w:spacing w:after="0" w:line="240" w:lineRule="auto"/>
              <w:jc w:val="center"/>
              <w:rPr>
                <w:rFonts w:ascii="Calibri" w:eastAsia="Times New Roman" w:hAnsi="Calibri" w:cs="Calibri"/>
                <w:color w:val="FFFFFF" w:themeColor="background1"/>
                <w:kern w:val="0"/>
                <w:sz w:val="21"/>
                <w:szCs w:val="21"/>
                <w:lang w:eastAsia="en-AU"/>
                <w14:ligatures w14:val="none"/>
              </w:rPr>
            </w:pPr>
            <w:r w:rsidRPr="0081144D">
              <w:rPr>
                <w:rFonts w:ascii="Calibri" w:eastAsia="Times New Roman" w:hAnsi="Calibri" w:cs="Calibri"/>
                <w:color w:val="FFFFFF" w:themeColor="background1"/>
                <w:kern w:val="0"/>
                <w:sz w:val="21"/>
                <w:szCs w:val="21"/>
                <w:lang w:eastAsia="en-AU"/>
                <w14:ligatures w14:val="none"/>
              </w:rPr>
              <w:t xml:space="preserve">UL </w:t>
            </w:r>
          </w:p>
          <w:p w14:paraId="7CB290C4" w14:textId="77777777" w:rsidR="00FC57BB" w:rsidRPr="0081144D" w:rsidRDefault="00FC57BB" w:rsidP="002B52A1">
            <w:pPr>
              <w:shd w:val="clear" w:color="auto" w:fill="156082" w:themeFill="accent1"/>
              <w:spacing w:after="0" w:line="240" w:lineRule="auto"/>
              <w:jc w:val="center"/>
              <w:rPr>
                <w:rFonts w:ascii="Calibri" w:eastAsia="Times New Roman" w:hAnsi="Calibri" w:cs="Calibri"/>
                <w:b/>
                <w:bCs/>
                <w:color w:val="FFFFFF" w:themeColor="background1"/>
                <w:kern w:val="0"/>
                <w:sz w:val="21"/>
                <w:szCs w:val="21"/>
                <w:lang w:eastAsia="en-AU"/>
                <w14:ligatures w14:val="none"/>
              </w:rPr>
            </w:pPr>
            <w:r w:rsidRPr="0081144D">
              <w:rPr>
                <w:rFonts w:ascii="Calibri" w:eastAsia="Times New Roman" w:hAnsi="Calibri" w:cs="Calibri"/>
                <w:color w:val="FFFFFF" w:themeColor="background1"/>
                <w:kern w:val="0"/>
                <w:sz w:val="21"/>
                <w:szCs w:val="21"/>
                <w:lang w:eastAsia="en-AU"/>
                <w14:ligatures w14:val="none"/>
              </w:rPr>
              <w:t>(</w:t>
            </w:r>
            <w:r w:rsidRPr="0081144D">
              <w:rPr>
                <w:rFonts w:ascii="Calibri" w:eastAsia="Times New Roman" w:hAnsi="Calibri" w:cs="Calibri"/>
                <w:color w:val="FFFFFF" w:themeColor="background1"/>
                <w:sz w:val="21"/>
                <w:szCs w:val="21"/>
              </w:rPr>
              <w:t>µg/day)</w:t>
            </w:r>
          </w:p>
        </w:tc>
        <w:tc>
          <w:tcPr>
            <w:tcW w:w="527" w:type="pct"/>
            <w:shd w:val="clear" w:color="auto" w:fill="156082" w:themeFill="accent1"/>
          </w:tcPr>
          <w:p w14:paraId="6968B207" w14:textId="77777777" w:rsidR="00FC57BB" w:rsidRPr="0081144D" w:rsidRDefault="00FC57BB" w:rsidP="002B52A1">
            <w:pPr>
              <w:shd w:val="clear" w:color="auto" w:fill="156082" w:themeFill="accent1"/>
              <w:spacing w:after="0" w:line="240" w:lineRule="auto"/>
              <w:jc w:val="center"/>
              <w:rPr>
                <w:rFonts w:ascii="Calibri" w:eastAsia="Times New Roman" w:hAnsi="Calibri" w:cs="Calibri"/>
                <w:b/>
                <w:bCs/>
                <w:color w:val="FFFFFF" w:themeColor="background1"/>
                <w:kern w:val="0"/>
                <w:sz w:val="21"/>
                <w:szCs w:val="21"/>
                <w:lang w:eastAsia="en-AU"/>
                <w14:ligatures w14:val="none"/>
              </w:rPr>
            </w:pPr>
            <w:r w:rsidRPr="0081144D">
              <w:rPr>
                <w:rFonts w:ascii="Calibri" w:eastAsia="Times New Roman" w:hAnsi="Calibri" w:cs="Calibri"/>
                <w:b/>
                <w:bCs/>
                <w:color w:val="FFFFFF" w:themeColor="background1"/>
                <w:kern w:val="0"/>
                <w:sz w:val="21"/>
                <w:szCs w:val="21"/>
                <w:lang w:eastAsia="en-AU"/>
                <w14:ligatures w14:val="none"/>
              </w:rPr>
              <w:t>Europe</w:t>
            </w:r>
          </w:p>
          <w:p w14:paraId="70829613" w14:textId="77777777" w:rsidR="00FC57BB" w:rsidRPr="0081144D" w:rsidRDefault="00FC57BB" w:rsidP="002B52A1">
            <w:pPr>
              <w:shd w:val="clear" w:color="auto" w:fill="156082" w:themeFill="accent1"/>
              <w:spacing w:after="0" w:line="240" w:lineRule="auto"/>
              <w:jc w:val="center"/>
              <w:rPr>
                <w:rFonts w:ascii="Calibri" w:eastAsia="Times New Roman" w:hAnsi="Calibri" w:cs="Calibri"/>
                <w:b/>
                <w:bCs/>
                <w:color w:val="FFFFFF" w:themeColor="background1"/>
                <w:kern w:val="0"/>
                <w:sz w:val="21"/>
                <w:szCs w:val="21"/>
                <w:lang w:eastAsia="en-AU"/>
                <w14:ligatures w14:val="none"/>
              </w:rPr>
            </w:pPr>
            <w:r w:rsidRPr="0081144D">
              <w:rPr>
                <w:rFonts w:ascii="Calibri" w:eastAsia="Times New Roman" w:hAnsi="Calibri" w:cs="Calibri"/>
                <w:b/>
                <w:bCs/>
                <w:color w:val="FFFFFF" w:themeColor="background1"/>
                <w:kern w:val="0"/>
                <w:sz w:val="21"/>
                <w:szCs w:val="21"/>
                <w:lang w:eastAsia="en-AU"/>
                <w14:ligatures w14:val="none"/>
              </w:rPr>
              <w:t>SCF</w:t>
            </w:r>
          </w:p>
          <w:p w14:paraId="5CC44771" w14:textId="77777777" w:rsidR="00FC57BB" w:rsidRPr="0081144D" w:rsidRDefault="00FC57BB" w:rsidP="002B52A1">
            <w:pPr>
              <w:shd w:val="clear" w:color="auto" w:fill="156082" w:themeFill="accent1"/>
              <w:spacing w:after="0" w:line="240" w:lineRule="auto"/>
              <w:jc w:val="center"/>
              <w:rPr>
                <w:rFonts w:ascii="Calibri" w:eastAsia="Times New Roman" w:hAnsi="Calibri" w:cs="Calibri"/>
                <w:b/>
                <w:bCs/>
                <w:color w:val="FFFFFF" w:themeColor="background1"/>
                <w:kern w:val="0"/>
                <w:sz w:val="21"/>
                <w:szCs w:val="21"/>
                <w:lang w:eastAsia="en-AU"/>
                <w14:ligatures w14:val="none"/>
              </w:rPr>
            </w:pPr>
            <w:r w:rsidRPr="0081144D">
              <w:rPr>
                <w:rFonts w:ascii="Calibri" w:eastAsia="Times New Roman" w:hAnsi="Calibri" w:cs="Calibri"/>
                <w:b/>
                <w:bCs/>
                <w:color w:val="FFFFFF" w:themeColor="background1"/>
                <w:kern w:val="0"/>
                <w:sz w:val="21"/>
                <w:szCs w:val="21"/>
                <w:lang w:eastAsia="en-AU"/>
                <w14:ligatures w14:val="none"/>
              </w:rPr>
              <w:t>(2000)</w:t>
            </w:r>
          </w:p>
          <w:p w14:paraId="70F5B3A8" w14:textId="77777777" w:rsidR="00FC57BB" w:rsidRPr="0081144D" w:rsidRDefault="00FC57BB" w:rsidP="002B52A1">
            <w:pPr>
              <w:spacing w:after="0" w:line="240" w:lineRule="auto"/>
              <w:jc w:val="center"/>
              <w:rPr>
                <w:rFonts w:ascii="Calibri" w:eastAsia="Times New Roman" w:hAnsi="Calibri" w:cs="Calibri"/>
                <w:color w:val="FFFFFF" w:themeColor="background1"/>
                <w:kern w:val="0"/>
                <w:sz w:val="21"/>
                <w:szCs w:val="21"/>
                <w:lang w:eastAsia="en-AU"/>
                <w14:ligatures w14:val="none"/>
              </w:rPr>
            </w:pPr>
            <w:r w:rsidRPr="0081144D">
              <w:rPr>
                <w:rFonts w:ascii="Calibri" w:eastAsia="Times New Roman" w:hAnsi="Calibri" w:cs="Calibri"/>
                <w:color w:val="FFFFFF" w:themeColor="background1"/>
                <w:kern w:val="0"/>
                <w:sz w:val="21"/>
                <w:szCs w:val="21"/>
                <w:lang w:eastAsia="en-AU"/>
                <w14:ligatures w14:val="none"/>
              </w:rPr>
              <w:t xml:space="preserve">UL </w:t>
            </w:r>
          </w:p>
          <w:p w14:paraId="1CFA2CAB" w14:textId="77777777" w:rsidR="00FC57BB" w:rsidRPr="0081144D" w:rsidRDefault="00FC57BB" w:rsidP="002B52A1">
            <w:pPr>
              <w:shd w:val="clear" w:color="auto" w:fill="156082" w:themeFill="accent1"/>
              <w:spacing w:after="0" w:line="240" w:lineRule="auto"/>
              <w:jc w:val="center"/>
              <w:rPr>
                <w:rFonts w:ascii="Calibri" w:eastAsia="Times New Roman" w:hAnsi="Calibri" w:cs="Calibri"/>
                <w:b/>
                <w:bCs/>
                <w:color w:val="FFFFFF" w:themeColor="background1"/>
                <w:kern w:val="0"/>
                <w:sz w:val="21"/>
                <w:szCs w:val="21"/>
                <w:lang w:eastAsia="en-AU"/>
                <w14:ligatures w14:val="none"/>
              </w:rPr>
            </w:pPr>
            <w:r w:rsidRPr="0081144D">
              <w:rPr>
                <w:rFonts w:ascii="Calibri" w:eastAsia="Times New Roman" w:hAnsi="Calibri" w:cs="Calibri"/>
                <w:color w:val="FFFFFF" w:themeColor="background1"/>
                <w:kern w:val="0"/>
                <w:sz w:val="21"/>
                <w:szCs w:val="21"/>
                <w:lang w:eastAsia="en-AU"/>
                <w14:ligatures w14:val="none"/>
              </w:rPr>
              <w:t>(</w:t>
            </w:r>
            <w:r w:rsidRPr="0081144D">
              <w:rPr>
                <w:rFonts w:ascii="Calibri" w:eastAsia="Times New Roman" w:hAnsi="Calibri" w:cs="Calibri"/>
                <w:color w:val="FFFFFF" w:themeColor="background1"/>
                <w:sz w:val="21"/>
                <w:szCs w:val="21"/>
              </w:rPr>
              <w:t>µg/day)</w:t>
            </w:r>
          </w:p>
        </w:tc>
        <w:tc>
          <w:tcPr>
            <w:tcW w:w="493" w:type="pct"/>
            <w:shd w:val="clear" w:color="auto" w:fill="156082" w:themeFill="accent1"/>
          </w:tcPr>
          <w:p w14:paraId="449060AE" w14:textId="77777777" w:rsidR="00FC57BB" w:rsidRPr="0081144D" w:rsidRDefault="00FC57BB" w:rsidP="002B52A1">
            <w:pPr>
              <w:shd w:val="clear" w:color="auto" w:fill="156082" w:themeFill="accent1"/>
              <w:spacing w:after="0" w:line="240" w:lineRule="auto"/>
              <w:jc w:val="center"/>
              <w:rPr>
                <w:rFonts w:ascii="Calibri" w:eastAsia="Times New Roman" w:hAnsi="Calibri" w:cs="Calibri"/>
                <w:b/>
                <w:bCs/>
                <w:color w:val="FFFFFF" w:themeColor="background1"/>
                <w:kern w:val="0"/>
                <w:sz w:val="21"/>
                <w:szCs w:val="21"/>
                <w:lang w:eastAsia="en-AU"/>
                <w14:ligatures w14:val="none"/>
              </w:rPr>
            </w:pPr>
            <w:r w:rsidRPr="0081144D">
              <w:rPr>
                <w:rFonts w:ascii="Calibri" w:eastAsia="Times New Roman" w:hAnsi="Calibri" w:cs="Calibri"/>
                <w:b/>
                <w:bCs/>
                <w:color w:val="FFFFFF" w:themeColor="background1"/>
                <w:kern w:val="0"/>
                <w:sz w:val="21"/>
                <w:szCs w:val="21"/>
                <w:lang w:eastAsia="en-AU"/>
                <w14:ligatures w14:val="none"/>
              </w:rPr>
              <w:t xml:space="preserve">US </w:t>
            </w:r>
          </w:p>
          <w:p w14:paraId="71D9D4C4" w14:textId="77777777" w:rsidR="00FC57BB" w:rsidRPr="0081144D" w:rsidRDefault="00FC57BB" w:rsidP="002B52A1">
            <w:pPr>
              <w:shd w:val="clear" w:color="auto" w:fill="156082" w:themeFill="accent1"/>
              <w:spacing w:after="0" w:line="240" w:lineRule="auto"/>
              <w:jc w:val="center"/>
              <w:rPr>
                <w:rFonts w:ascii="Calibri" w:eastAsia="Times New Roman" w:hAnsi="Calibri" w:cs="Calibri"/>
                <w:b/>
                <w:bCs/>
                <w:color w:val="FFFFFF" w:themeColor="background1"/>
                <w:kern w:val="0"/>
                <w:sz w:val="21"/>
                <w:szCs w:val="21"/>
                <w:lang w:eastAsia="en-AU"/>
                <w14:ligatures w14:val="none"/>
              </w:rPr>
            </w:pPr>
            <w:r w:rsidRPr="0081144D">
              <w:rPr>
                <w:rFonts w:ascii="Calibri" w:eastAsia="Times New Roman" w:hAnsi="Calibri" w:cs="Calibri"/>
                <w:b/>
                <w:bCs/>
                <w:color w:val="FFFFFF" w:themeColor="background1"/>
                <w:kern w:val="0"/>
                <w:sz w:val="21"/>
                <w:szCs w:val="21"/>
                <w:lang w:eastAsia="en-AU"/>
                <w14:ligatures w14:val="none"/>
              </w:rPr>
              <w:t>IOM</w:t>
            </w:r>
          </w:p>
          <w:p w14:paraId="4CC45013" w14:textId="77777777" w:rsidR="00FC57BB" w:rsidRPr="0081144D" w:rsidRDefault="00FC57BB" w:rsidP="002B52A1">
            <w:pPr>
              <w:shd w:val="clear" w:color="auto" w:fill="156082" w:themeFill="accent1"/>
              <w:spacing w:after="0" w:line="240" w:lineRule="auto"/>
              <w:jc w:val="center"/>
              <w:rPr>
                <w:rFonts w:ascii="Calibri" w:eastAsia="Times New Roman" w:hAnsi="Calibri" w:cs="Calibri"/>
                <w:b/>
                <w:bCs/>
                <w:color w:val="FFFFFF" w:themeColor="background1"/>
                <w:kern w:val="0"/>
                <w:sz w:val="21"/>
                <w:szCs w:val="21"/>
                <w:lang w:eastAsia="en-AU"/>
                <w14:ligatures w14:val="none"/>
              </w:rPr>
            </w:pPr>
            <w:r w:rsidRPr="0081144D">
              <w:rPr>
                <w:rFonts w:ascii="Calibri" w:eastAsia="Times New Roman" w:hAnsi="Calibri" w:cs="Calibri"/>
                <w:b/>
                <w:bCs/>
                <w:color w:val="FFFFFF" w:themeColor="background1"/>
                <w:kern w:val="0"/>
                <w:sz w:val="21"/>
                <w:szCs w:val="21"/>
                <w:lang w:eastAsia="en-AU"/>
                <w14:ligatures w14:val="none"/>
              </w:rPr>
              <w:t xml:space="preserve">(2000) </w:t>
            </w:r>
          </w:p>
          <w:p w14:paraId="2240BFE5" w14:textId="77777777" w:rsidR="00FC57BB" w:rsidRPr="0081144D" w:rsidRDefault="00FC57BB" w:rsidP="002B52A1">
            <w:pPr>
              <w:shd w:val="clear" w:color="auto" w:fill="156082" w:themeFill="accent1"/>
              <w:spacing w:after="0" w:line="240" w:lineRule="auto"/>
              <w:jc w:val="center"/>
              <w:rPr>
                <w:rFonts w:ascii="Calibri" w:eastAsia="Times New Roman" w:hAnsi="Calibri" w:cs="Calibri"/>
                <w:color w:val="FFFFFF" w:themeColor="background1"/>
                <w:kern w:val="0"/>
                <w:sz w:val="21"/>
                <w:szCs w:val="21"/>
                <w:lang w:eastAsia="en-AU"/>
                <w14:ligatures w14:val="none"/>
              </w:rPr>
            </w:pPr>
            <w:r w:rsidRPr="0081144D">
              <w:rPr>
                <w:rFonts w:ascii="Calibri" w:eastAsia="Times New Roman" w:hAnsi="Calibri" w:cs="Calibri"/>
                <w:color w:val="FFFFFF" w:themeColor="background1"/>
                <w:kern w:val="0"/>
                <w:sz w:val="21"/>
                <w:szCs w:val="21"/>
                <w:lang w:eastAsia="en-AU"/>
                <w14:ligatures w14:val="none"/>
              </w:rPr>
              <w:t>UL</w:t>
            </w:r>
          </w:p>
          <w:p w14:paraId="290E899D" w14:textId="77777777" w:rsidR="00FC57BB" w:rsidRPr="0081144D" w:rsidRDefault="00FC57BB" w:rsidP="002B52A1">
            <w:pPr>
              <w:shd w:val="clear" w:color="auto" w:fill="156082" w:themeFill="accent1"/>
              <w:spacing w:after="0" w:line="240" w:lineRule="auto"/>
              <w:jc w:val="center"/>
              <w:rPr>
                <w:rFonts w:ascii="Calibri" w:eastAsia="Times New Roman" w:hAnsi="Calibri" w:cs="Calibri"/>
                <w:b/>
                <w:bCs/>
                <w:color w:val="FFFFFF" w:themeColor="background1"/>
                <w:kern w:val="0"/>
                <w:sz w:val="21"/>
                <w:szCs w:val="21"/>
                <w:lang w:eastAsia="en-AU"/>
                <w14:ligatures w14:val="none"/>
              </w:rPr>
            </w:pPr>
            <w:r w:rsidRPr="0081144D">
              <w:rPr>
                <w:rFonts w:ascii="Calibri" w:eastAsia="Times New Roman" w:hAnsi="Calibri" w:cs="Calibri"/>
                <w:color w:val="FFFFFF" w:themeColor="background1"/>
                <w:kern w:val="0"/>
                <w:sz w:val="21"/>
                <w:szCs w:val="21"/>
                <w:lang w:eastAsia="en-AU"/>
                <w14:ligatures w14:val="none"/>
              </w:rPr>
              <w:t>(</w:t>
            </w:r>
            <w:r w:rsidRPr="0081144D">
              <w:rPr>
                <w:rFonts w:ascii="Calibri" w:eastAsia="Times New Roman" w:hAnsi="Calibri" w:cs="Calibri"/>
                <w:color w:val="FFFFFF" w:themeColor="background1"/>
                <w:sz w:val="21"/>
                <w:szCs w:val="21"/>
              </w:rPr>
              <w:t>µg/day</w:t>
            </w:r>
          </w:p>
        </w:tc>
        <w:tc>
          <w:tcPr>
            <w:tcW w:w="527" w:type="pct"/>
            <w:shd w:val="clear" w:color="auto" w:fill="156082" w:themeFill="accent1"/>
            <w:vAlign w:val="bottom"/>
            <w:hideMark/>
          </w:tcPr>
          <w:p w14:paraId="2DC20236" w14:textId="77777777" w:rsidR="00FC57BB" w:rsidRPr="0081144D" w:rsidRDefault="00FC57BB" w:rsidP="002B52A1">
            <w:pPr>
              <w:spacing w:after="0" w:line="240" w:lineRule="auto"/>
              <w:jc w:val="center"/>
              <w:rPr>
                <w:rFonts w:ascii="Calibri" w:eastAsia="Times New Roman" w:hAnsi="Calibri" w:cs="Calibri"/>
                <w:b/>
                <w:bCs/>
                <w:color w:val="FFFFFF" w:themeColor="background1"/>
                <w:kern w:val="0"/>
                <w:sz w:val="21"/>
                <w:szCs w:val="21"/>
                <w:lang w:eastAsia="en-AU"/>
                <w14:ligatures w14:val="none"/>
              </w:rPr>
            </w:pPr>
            <w:r w:rsidRPr="0081144D">
              <w:rPr>
                <w:rFonts w:ascii="Calibri" w:eastAsia="Times New Roman" w:hAnsi="Calibri" w:cs="Calibri"/>
                <w:b/>
                <w:bCs/>
                <w:color w:val="FFFFFF" w:themeColor="background1"/>
                <w:kern w:val="0"/>
                <w:sz w:val="21"/>
                <w:szCs w:val="21"/>
                <w:lang w:eastAsia="en-AU"/>
                <w14:ligatures w14:val="none"/>
              </w:rPr>
              <w:t xml:space="preserve">UK </w:t>
            </w:r>
          </w:p>
          <w:p w14:paraId="06DB919C" w14:textId="77777777" w:rsidR="00FC57BB" w:rsidRPr="0081144D" w:rsidRDefault="00FC57BB" w:rsidP="002B52A1">
            <w:pPr>
              <w:spacing w:after="0" w:line="240" w:lineRule="auto"/>
              <w:jc w:val="center"/>
              <w:rPr>
                <w:rFonts w:ascii="Calibri" w:eastAsia="Times New Roman" w:hAnsi="Calibri" w:cs="Calibri"/>
                <w:b/>
                <w:bCs/>
                <w:color w:val="FFFFFF" w:themeColor="background1"/>
                <w:kern w:val="0"/>
                <w:sz w:val="21"/>
                <w:szCs w:val="21"/>
                <w:lang w:eastAsia="en-AU"/>
                <w14:ligatures w14:val="none"/>
              </w:rPr>
            </w:pPr>
            <w:r w:rsidRPr="0081144D">
              <w:rPr>
                <w:rFonts w:ascii="Calibri" w:eastAsia="Times New Roman" w:hAnsi="Calibri" w:cs="Calibri"/>
                <w:b/>
                <w:bCs/>
                <w:color w:val="FFFFFF" w:themeColor="background1"/>
                <w:kern w:val="0"/>
                <w:sz w:val="21"/>
                <w:szCs w:val="21"/>
                <w:lang w:eastAsia="en-AU"/>
                <w14:ligatures w14:val="none"/>
              </w:rPr>
              <w:t>EVM</w:t>
            </w:r>
          </w:p>
          <w:p w14:paraId="306DC5CB" w14:textId="77777777" w:rsidR="00FC57BB" w:rsidRPr="0081144D" w:rsidRDefault="00FC57BB" w:rsidP="002B52A1">
            <w:pPr>
              <w:spacing w:after="0" w:line="240" w:lineRule="auto"/>
              <w:jc w:val="center"/>
              <w:rPr>
                <w:rFonts w:ascii="Calibri" w:eastAsia="Times New Roman" w:hAnsi="Calibri" w:cs="Calibri"/>
                <w:b/>
                <w:bCs/>
                <w:color w:val="FFFFFF" w:themeColor="background1"/>
                <w:kern w:val="0"/>
                <w:sz w:val="21"/>
                <w:szCs w:val="21"/>
                <w:lang w:eastAsia="en-AU"/>
                <w14:ligatures w14:val="none"/>
              </w:rPr>
            </w:pPr>
            <w:r w:rsidRPr="0081144D">
              <w:rPr>
                <w:rFonts w:ascii="Calibri" w:eastAsia="Times New Roman" w:hAnsi="Calibri" w:cs="Calibri"/>
                <w:b/>
                <w:bCs/>
                <w:color w:val="FFFFFF" w:themeColor="background1"/>
                <w:kern w:val="0"/>
                <w:sz w:val="21"/>
                <w:szCs w:val="21"/>
                <w:lang w:eastAsia="en-AU"/>
                <w14:ligatures w14:val="none"/>
              </w:rPr>
              <w:t>(2003)</w:t>
            </w:r>
          </w:p>
          <w:p w14:paraId="7E49D874" w14:textId="77777777" w:rsidR="00FC57BB" w:rsidRPr="0081144D" w:rsidRDefault="00FC57BB" w:rsidP="002B52A1">
            <w:pPr>
              <w:spacing w:after="0" w:line="240" w:lineRule="auto"/>
              <w:jc w:val="center"/>
              <w:rPr>
                <w:rFonts w:ascii="Calibri" w:eastAsia="Times New Roman" w:hAnsi="Calibri" w:cs="Calibri"/>
                <w:color w:val="FFFFFF" w:themeColor="background1"/>
                <w:kern w:val="0"/>
                <w:sz w:val="21"/>
                <w:szCs w:val="21"/>
                <w:lang w:eastAsia="en-AU"/>
                <w14:ligatures w14:val="none"/>
              </w:rPr>
            </w:pPr>
            <w:r w:rsidRPr="0081144D">
              <w:rPr>
                <w:rFonts w:ascii="Calibri" w:eastAsia="Times New Roman" w:hAnsi="Calibri" w:cs="Calibri"/>
                <w:color w:val="FFFFFF" w:themeColor="background1"/>
                <w:kern w:val="0"/>
                <w:sz w:val="21"/>
                <w:szCs w:val="21"/>
                <w:lang w:eastAsia="en-AU"/>
                <w14:ligatures w14:val="none"/>
              </w:rPr>
              <w:t>UL</w:t>
            </w:r>
          </w:p>
          <w:p w14:paraId="7201E6EE" w14:textId="77777777" w:rsidR="00FC57BB" w:rsidRPr="0081144D" w:rsidRDefault="00FC57BB" w:rsidP="002B52A1">
            <w:pPr>
              <w:spacing w:after="0" w:line="240" w:lineRule="auto"/>
              <w:jc w:val="center"/>
              <w:rPr>
                <w:rFonts w:ascii="Calibri" w:eastAsia="Times New Roman" w:hAnsi="Calibri" w:cs="Calibri"/>
                <w:b/>
                <w:bCs/>
                <w:color w:val="FFFFFF" w:themeColor="background1"/>
                <w:kern w:val="0"/>
                <w:sz w:val="21"/>
                <w:szCs w:val="21"/>
                <w:lang w:eastAsia="en-AU"/>
                <w14:ligatures w14:val="none"/>
              </w:rPr>
            </w:pPr>
            <w:r w:rsidRPr="0081144D">
              <w:rPr>
                <w:rFonts w:ascii="Calibri" w:eastAsia="Times New Roman" w:hAnsi="Calibri" w:cs="Calibri"/>
                <w:color w:val="FFFFFF" w:themeColor="background1"/>
                <w:kern w:val="0"/>
                <w:sz w:val="21"/>
                <w:szCs w:val="21"/>
                <w:lang w:eastAsia="en-AU"/>
                <w14:ligatures w14:val="none"/>
              </w:rPr>
              <w:t>(</w:t>
            </w:r>
            <w:r w:rsidRPr="0081144D">
              <w:rPr>
                <w:rFonts w:ascii="Calibri" w:eastAsia="Times New Roman" w:hAnsi="Calibri" w:cs="Calibri"/>
                <w:color w:val="FFFFFF" w:themeColor="background1"/>
                <w:sz w:val="21"/>
                <w:szCs w:val="21"/>
              </w:rPr>
              <w:t>µg/day)</w:t>
            </w:r>
          </w:p>
        </w:tc>
        <w:tc>
          <w:tcPr>
            <w:tcW w:w="551" w:type="pct"/>
            <w:shd w:val="clear" w:color="auto" w:fill="156082" w:themeFill="accent1"/>
            <w:vAlign w:val="bottom"/>
          </w:tcPr>
          <w:p w14:paraId="4E051DFD" w14:textId="77777777" w:rsidR="00FC57BB" w:rsidRPr="0081144D" w:rsidRDefault="00FC57BB" w:rsidP="002B52A1">
            <w:pPr>
              <w:spacing w:after="0" w:line="240" w:lineRule="auto"/>
              <w:jc w:val="center"/>
              <w:rPr>
                <w:rFonts w:ascii="Calibri" w:eastAsia="Times New Roman" w:hAnsi="Calibri" w:cs="Calibri"/>
                <w:b/>
                <w:bCs/>
                <w:color w:val="FFFFFF" w:themeColor="background1"/>
                <w:kern w:val="0"/>
                <w:sz w:val="21"/>
                <w:szCs w:val="21"/>
                <w:lang w:eastAsia="en-AU"/>
                <w14:ligatures w14:val="none"/>
              </w:rPr>
            </w:pPr>
            <w:r w:rsidRPr="0081144D">
              <w:rPr>
                <w:rFonts w:ascii="Calibri" w:eastAsia="Times New Roman" w:hAnsi="Calibri" w:cs="Calibri"/>
                <w:b/>
                <w:bCs/>
                <w:color w:val="FFFFFF" w:themeColor="background1"/>
                <w:kern w:val="0"/>
                <w:sz w:val="21"/>
                <w:szCs w:val="21"/>
                <w:lang w:eastAsia="en-AU"/>
                <w14:ligatures w14:val="none"/>
              </w:rPr>
              <w:t xml:space="preserve">WHO/ FAO </w:t>
            </w:r>
          </w:p>
          <w:p w14:paraId="355C518C" w14:textId="77777777" w:rsidR="00FC57BB" w:rsidRPr="0081144D" w:rsidRDefault="00FC57BB" w:rsidP="002B52A1">
            <w:pPr>
              <w:spacing w:after="0" w:line="240" w:lineRule="auto"/>
              <w:jc w:val="center"/>
              <w:rPr>
                <w:rFonts w:ascii="Calibri" w:eastAsia="Times New Roman" w:hAnsi="Calibri" w:cs="Calibri"/>
                <w:b/>
                <w:bCs/>
                <w:color w:val="FFFFFF" w:themeColor="background1"/>
                <w:kern w:val="0"/>
                <w:sz w:val="21"/>
                <w:szCs w:val="21"/>
                <w:lang w:eastAsia="en-AU"/>
                <w14:ligatures w14:val="none"/>
              </w:rPr>
            </w:pPr>
            <w:r w:rsidRPr="0081144D">
              <w:rPr>
                <w:rFonts w:ascii="Calibri" w:eastAsia="Times New Roman" w:hAnsi="Calibri" w:cs="Calibri"/>
                <w:b/>
                <w:bCs/>
                <w:color w:val="FFFFFF" w:themeColor="background1"/>
                <w:kern w:val="0"/>
                <w:sz w:val="21"/>
                <w:szCs w:val="21"/>
                <w:lang w:eastAsia="en-AU"/>
                <w14:ligatures w14:val="none"/>
              </w:rPr>
              <w:t>(2004)</w:t>
            </w:r>
          </w:p>
          <w:p w14:paraId="31B12B25" w14:textId="77777777" w:rsidR="00FC57BB" w:rsidRPr="0081144D" w:rsidRDefault="00FC57BB" w:rsidP="002B52A1">
            <w:pPr>
              <w:spacing w:after="0" w:line="240" w:lineRule="auto"/>
              <w:jc w:val="center"/>
              <w:rPr>
                <w:rFonts w:ascii="Calibri" w:eastAsia="Times New Roman" w:hAnsi="Calibri" w:cs="Calibri"/>
                <w:color w:val="FFFFFF" w:themeColor="background1"/>
                <w:kern w:val="0"/>
                <w:sz w:val="21"/>
                <w:szCs w:val="21"/>
                <w:lang w:eastAsia="en-AU"/>
                <w14:ligatures w14:val="none"/>
              </w:rPr>
            </w:pPr>
            <w:r w:rsidRPr="0081144D">
              <w:rPr>
                <w:rFonts w:ascii="Calibri" w:eastAsia="Times New Roman" w:hAnsi="Calibri" w:cs="Calibri"/>
                <w:color w:val="FFFFFF" w:themeColor="background1"/>
                <w:kern w:val="0"/>
                <w:sz w:val="21"/>
                <w:szCs w:val="21"/>
                <w:lang w:eastAsia="en-AU"/>
                <w14:ligatures w14:val="none"/>
              </w:rPr>
              <w:t>UL</w:t>
            </w:r>
          </w:p>
          <w:p w14:paraId="74D108A0" w14:textId="77777777" w:rsidR="00FC57BB" w:rsidRPr="0081144D" w:rsidRDefault="00FC57BB" w:rsidP="002B52A1">
            <w:pPr>
              <w:spacing w:after="0" w:line="240" w:lineRule="auto"/>
              <w:jc w:val="center"/>
              <w:rPr>
                <w:rFonts w:ascii="Calibri" w:eastAsia="Times New Roman" w:hAnsi="Calibri" w:cs="Calibri"/>
                <w:b/>
                <w:bCs/>
                <w:color w:val="FFFFFF" w:themeColor="background1"/>
                <w:kern w:val="0"/>
                <w:sz w:val="21"/>
                <w:szCs w:val="21"/>
                <w:lang w:eastAsia="en-AU"/>
                <w14:ligatures w14:val="none"/>
              </w:rPr>
            </w:pPr>
            <w:r w:rsidRPr="0081144D">
              <w:rPr>
                <w:rFonts w:ascii="Calibri" w:eastAsia="Times New Roman" w:hAnsi="Calibri" w:cs="Calibri"/>
                <w:color w:val="FFFFFF" w:themeColor="background1"/>
                <w:kern w:val="0"/>
                <w:sz w:val="21"/>
                <w:szCs w:val="21"/>
                <w:lang w:eastAsia="en-AU"/>
                <w14:ligatures w14:val="none"/>
              </w:rPr>
              <w:t>(</w:t>
            </w:r>
            <w:r w:rsidRPr="0081144D">
              <w:rPr>
                <w:rFonts w:ascii="Calibri" w:eastAsia="Times New Roman" w:hAnsi="Calibri" w:cs="Calibri"/>
                <w:color w:val="FFFFFF" w:themeColor="background1"/>
                <w:sz w:val="21"/>
                <w:szCs w:val="21"/>
              </w:rPr>
              <w:t>µg/day)</w:t>
            </w:r>
          </w:p>
        </w:tc>
      </w:tr>
      <w:tr w:rsidR="00C7491B" w:rsidRPr="00D633FF" w14:paraId="07FA0F09" w14:textId="77777777" w:rsidTr="00E56FE0">
        <w:trPr>
          <w:trHeight w:val="300"/>
        </w:trPr>
        <w:tc>
          <w:tcPr>
            <w:tcW w:w="1172" w:type="pct"/>
            <w:noWrap/>
            <w:vAlign w:val="center"/>
          </w:tcPr>
          <w:p w14:paraId="73C60F10" w14:textId="77777777" w:rsidR="00FC57BB" w:rsidRPr="00D633FF" w:rsidRDefault="00FC57BB" w:rsidP="002B52A1">
            <w:pPr>
              <w:spacing w:after="0" w:line="240" w:lineRule="auto"/>
              <w:rPr>
                <w:rFonts w:ascii="Calibri" w:eastAsia="Times New Roman" w:hAnsi="Calibri" w:cs="Calibri"/>
                <w:color w:val="000000"/>
                <w:kern w:val="0"/>
                <w:lang w:eastAsia="en-AU"/>
                <w14:ligatures w14:val="none"/>
              </w:rPr>
            </w:pPr>
            <w:r w:rsidRPr="00D633FF">
              <w:rPr>
                <w:rFonts w:ascii="Calibri" w:eastAsia="Times New Roman" w:hAnsi="Calibri" w:cs="Calibri"/>
                <w:color w:val="000000"/>
                <w:kern w:val="0"/>
                <w:lang w:eastAsia="en-AU"/>
                <w14:ligatures w14:val="none"/>
              </w:rPr>
              <w:t>Adults 18 +years</w:t>
            </w:r>
          </w:p>
        </w:tc>
        <w:tc>
          <w:tcPr>
            <w:tcW w:w="658" w:type="pct"/>
            <w:vAlign w:val="center"/>
          </w:tcPr>
          <w:p w14:paraId="103CBCC5" w14:textId="77777777" w:rsidR="00FC57BB" w:rsidRPr="00D633FF" w:rsidRDefault="00FC57BB" w:rsidP="002B52A1">
            <w:pPr>
              <w:spacing w:after="0" w:line="240" w:lineRule="auto"/>
              <w:jc w:val="center"/>
              <w:rPr>
                <w:rFonts w:ascii="Calibri" w:eastAsia="Times New Roman" w:hAnsi="Calibri" w:cs="Calibri"/>
                <w:color w:val="000000"/>
                <w:kern w:val="0"/>
                <w:lang w:eastAsia="en-AU"/>
                <w14:ligatures w14:val="none"/>
              </w:rPr>
            </w:pPr>
            <w:r w:rsidRPr="00D633FF">
              <w:rPr>
                <w:rFonts w:ascii="Calibri" w:eastAsia="Times New Roman" w:hAnsi="Calibri" w:cs="Calibri"/>
                <w:color w:val="000000"/>
                <w:kern w:val="0"/>
                <w:lang w:eastAsia="en-AU"/>
                <w14:ligatures w14:val="none"/>
              </w:rPr>
              <w:t>330</w:t>
            </w:r>
            <w:r w:rsidRPr="00D633FF">
              <w:rPr>
                <w:rFonts w:ascii="Calibri" w:eastAsia="Times New Roman" w:hAnsi="Calibri" w:cs="Calibri"/>
                <w:color w:val="000000"/>
                <w:kern w:val="0"/>
                <w:vertAlign w:val="superscript"/>
                <w:lang w:eastAsia="en-AU"/>
                <w14:ligatures w14:val="none"/>
              </w:rPr>
              <w:t>#</w:t>
            </w:r>
          </w:p>
        </w:tc>
        <w:tc>
          <w:tcPr>
            <w:tcW w:w="545" w:type="pct"/>
            <w:noWrap/>
            <w:vAlign w:val="center"/>
          </w:tcPr>
          <w:p w14:paraId="05229109" w14:textId="77777777" w:rsidR="00FC57BB" w:rsidRPr="00D633FF" w:rsidRDefault="00FC57BB" w:rsidP="002B52A1">
            <w:pPr>
              <w:spacing w:after="0" w:line="240" w:lineRule="auto"/>
              <w:jc w:val="center"/>
              <w:rPr>
                <w:rFonts w:ascii="Calibri" w:eastAsia="Times New Roman" w:hAnsi="Calibri" w:cs="Calibri"/>
                <w:color w:val="000000"/>
                <w:kern w:val="0"/>
                <w:lang w:eastAsia="en-AU"/>
                <w14:ligatures w14:val="none"/>
              </w:rPr>
            </w:pPr>
            <w:r w:rsidRPr="00D633FF">
              <w:rPr>
                <w:rFonts w:ascii="Calibri" w:eastAsia="Times New Roman" w:hAnsi="Calibri" w:cs="Calibri"/>
                <w:color w:val="000000"/>
                <w:kern w:val="0"/>
                <w:lang w:eastAsia="en-AU"/>
                <w14:ligatures w14:val="none"/>
              </w:rPr>
              <w:t>400</w:t>
            </w:r>
            <w:r w:rsidRPr="00D633FF">
              <w:rPr>
                <w:rFonts w:ascii="Calibri" w:eastAsia="Times New Roman" w:hAnsi="Calibri" w:cs="Calibri"/>
                <w:color w:val="000000"/>
                <w:kern w:val="0"/>
                <w:vertAlign w:val="superscript"/>
                <w:lang w:eastAsia="en-AU"/>
                <w14:ligatures w14:val="none"/>
              </w:rPr>
              <w:t>#</w:t>
            </w:r>
          </w:p>
        </w:tc>
        <w:tc>
          <w:tcPr>
            <w:tcW w:w="527" w:type="pct"/>
            <w:vAlign w:val="center"/>
          </w:tcPr>
          <w:p w14:paraId="1A22B3FA" w14:textId="77777777" w:rsidR="00FC57BB" w:rsidRPr="00D633FF" w:rsidRDefault="00FC57BB" w:rsidP="002B52A1">
            <w:pPr>
              <w:spacing w:after="0" w:line="240" w:lineRule="auto"/>
              <w:jc w:val="center"/>
              <w:rPr>
                <w:rFonts w:ascii="Calibri" w:eastAsia="Times New Roman" w:hAnsi="Calibri" w:cs="Calibri"/>
                <w:color w:val="000000"/>
                <w:kern w:val="0"/>
                <w:lang w:eastAsia="en-AU"/>
                <w14:ligatures w14:val="none"/>
              </w:rPr>
            </w:pPr>
            <w:r w:rsidRPr="00D633FF">
              <w:rPr>
                <w:rFonts w:ascii="Calibri" w:eastAsia="Times New Roman" w:hAnsi="Calibri" w:cs="Calibri"/>
                <w:color w:val="000000"/>
                <w:kern w:val="0"/>
                <w:lang w:eastAsia="en-AU"/>
                <w14:ligatures w14:val="none"/>
              </w:rPr>
              <w:t>255</w:t>
            </w:r>
            <w:r w:rsidRPr="00D633FF">
              <w:rPr>
                <w:rFonts w:ascii="Calibri" w:eastAsia="Times New Roman" w:hAnsi="Calibri" w:cs="Calibri"/>
                <w:color w:val="000000"/>
                <w:kern w:val="0"/>
                <w:vertAlign w:val="superscript"/>
                <w:lang w:eastAsia="en-AU"/>
                <w14:ligatures w14:val="none"/>
              </w:rPr>
              <w:t>#</w:t>
            </w:r>
          </w:p>
        </w:tc>
        <w:tc>
          <w:tcPr>
            <w:tcW w:w="527" w:type="pct"/>
          </w:tcPr>
          <w:p w14:paraId="405F5004" w14:textId="77777777" w:rsidR="00FC57BB" w:rsidRPr="00D633FF" w:rsidRDefault="00FC57BB" w:rsidP="002B52A1">
            <w:pPr>
              <w:spacing w:after="0" w:line="240" w:lineRule="auto"/>
              <w:jc w:val="center"/>
              <w:rPr>
                <w:rFonts w:ascii="Calibri" w:eastAsia="Times New Roman" w:hAnsi="Calibri" w:cs="Calibri"/>
                <w:color w:val="000000"/>
                <w:kern w:val="0"/>
                <w:lang w:eastAsia="en-AU"/>
                <w14:ligatures w14:val="none"/>
              </w:rPr>
            </w:pPr>
            <w:r w:rsidRPr="00D633FF">
              <w:rPr>
                <w:rFonts w:ascii="Calibri" w:eastAsia="Times New Roman" w:hAnsi="Calibri" w:cs="Calibri"/>
                <w:color w:val="000000"/>
                <w:kern w:val="0"/>
                <w:lang w:eastAsia="en-AU"/>
                <w14:ligatures w14:val="none"/>
              </w:rPr>
              <w:t>300</w:t>
            </w:r>
            <w:r w:rsidRPr="00D633FF">
              <w:rPr>
                <w:rFonts w:ascii="Calibri" w:eastAsia="Times New Roman" w:hAnsi="Calibri" w:cs="Calibri"/>
                <w:color w:val="000000"/>
                <w:kern w:val="0"/>
                <w:vertAlign w:val="superscript"/>
                <w:lang w:eastAsia="en-AU"/>
                <w14:ligatures w14:val="none"/>
              </w:rPr>
              <w:t>#</w:t>
            </w:r>
          </w:p>
        </w:tc>
        <w:tc>
          <w:tcPr>
            <w:tcW w:w="493" w:type="pct"/>
          </w:tcPr>
          <w:p w14:paraId="238D8D42" w14:textId="77777777" w:rsidR="00FC57BB" w:rsidRPr="00D633FF" w:rsidRDefault="00FC57BB" w:rsidP="002B52A1">
            <w:pPr>
              <w:spacing w:after="0" w:line="240" w:lineRule="auto"/>
              <w:jc w:val="center"/>
              <w:rPr>
                <w:rFonts w:ascii="Calibri" w:eastAsia="Times New Roman" w:hAnsi="Calibri" w:cs="Calibri"/>
                <w:color w:val="000000"/>
                <w:kern w:val="0"/>
                <w:lang w:eastAsia="en-AU"/>
                <w14:ligatures w14:val="none"/>
              </w:rPr>
            </w:pPr>
            <w:r w:rsidRPr="00D633FF">
              <w:rPr>
                <w:rFonts w:ascii="Calibri" w:eastAsia="Times New Roman" w:hAnsi="Calibri" w:cs="Calibri"/>
                <w:color w:val="000000"/>
                <w:kern w:val="0"/>
                <w:lang w:eastAsia="en-AU"/>
                <w14:ligatures w14:val="none"/>
              </w:rPr>
              <w:t>400</w:t>
            </w:r>
            <w:r w:rsidRPr="00D633FF">
              <w:rPr>
                <w:rFonts w:ascii="Calibri" w:eastAsia="Times New Roman" w:hAnsi="Calibri" w:cs="Calibri"/>
                <w:color w:val="000000"/>
                <w:kern w:val="0"/>
                <w:vertAlign w:val="superscript"/>
                <w:lang w:eastAsia="en-AU"/>
                <w14:ligatures w14:val="none"/>
              </w:rPr>
              <w:t>#</w:t>
            </w:r>
          </w:p>
        </w:tc>
        <w:tc>
          <w:tcPr>
            <w:tcW w:w="527" w:type="pct"/>
            <w:noWrap/>
            <w:vAlign w:val="center"/>
          </w:tcPr>
          <w:p w14:paraId="0870F4B9" w14:textId="77777777" w:rsidR="00FC57BB" w:rsidRPr="00D633FF" w:rsidRDefault="00FC57BB" w:rsidP="002B52A1">
            <w:pPr>
              <w:spacing w:after="0" w:line="240" w:lineRule="auto"/>
              <w:jc w:val="center"/>
              <w:rPr>
                <w:rFonts w:ascii="Calibri" w:eastAsia="Times New Roman" w:hAnsi="Calibri" w:cs="Calibri"/>
                <w:color w:val="000000"/>
                <w:kern w:val="0"/>
                <w:lang w:eastAsia="en-AU"/>
                <w14:ligatures w14:val="none"/>
              </w:rPr>
            </w:pPr>
            <w:r w:rsidRPr="00D633FF">
              <w:rPr>
                <w:rFonts w:ascii="Calibri" w:eastAsia="Times New Roman" w:hAnsi="Calibri" w:cs="Calibri"/>
                <w:color w:val="000000"/>
                <w:kern w:val="0"/>
                <w:lang w:eastAsia="en-AU"/>
                <w14:ligatures w14:val="none"/>
              </w:rPr>
              <w:t>450</w:t>
            </w:r>
            <w:r w:rsidRPr="00D633FF">
              <w:rPr>
                <w:rFonts w:ascii="Calibri" w:eastAsia="Times New Roman" w:hAnsi="Calibri" w:cs="Calibri"/>
                <w:color w:val="000000"/>
                <w:kern w:val="0"/>
                <w:vertAlign w:val="superscript"/>
                <w:lang w:eastAsia="en-AU"/>
                <w14:ligatures w14:val="none"/>
              </w:rPr>
              <w:t>^</w:t>
            </w:r>
          </w:p>
        </w:tc>
        <w:tc>
          <w:tcPr>
            <w:tcW w:w="551" w:type="pct"/>
            <w:vAlign w:val="center"/>
          </w:tcPr>
          <w:p w14:paraId="70690537" w14:textId="77777777" w:rsidR="00FC57BB" w:rsidRPr="00D633FF" w:rsidRDefault="00FC57BB" w:rsidP="002B52A1">
            <w:pPr>
              <w:spacing w:after="0" w:line="240" w:lineRule="auto"/>
              <w:jc w:val="center"/>
              <w:rPr>
                <w:rFonts w:ascii="Calibri" w:eastAsia="Times New Roman" w:hAnsi="Calibri" w:cs="Calibri"/>
                <w:color w:val="000000"/>
                <w:kern w:val="0"/>
                <w:lang w:eastAsia="en-AU"/>
                <w14:ligatures w14:val="none"/>
              </w:rPr>
            </w:pPr>
            <w:r w:rsidRPr="00D633FF">
              <w:rPr>
                <w:rFonts w:ascii="Calibri" w:eastAsia="Times New Roman" w:hAnsi="Calibri" w:cs="Calibri"/>
                <w:color w:val="000000"/>
                <w:kern w:val="0"/>
                <w:lang w:eastAsia="en-AU"/>
                <w14:ligatures w14:val="none"/>
              </w:rPr>
              <w:t>400^</w:t>
            </w:r>
          </w:p>
        </w:tc>
      </w:tr>
      <w:tr w:rsidR="00C7491B" w:rsidRPr="00D633FF" w14:paraId="6B67A235" w14:textId="77777777" w:rsidTr="00E56FE0">
        <w:trPr>
          <w:trHeight w:val="300"/>
        </w:trPr>
        <w:tc>
          <w:tcPr>
            <w:tcW w:w="1172" w:type="pct"/>
            <w:noWrap/>
            <w:vAlign w:val="center"/>
          </w:tcPr>
          <w:p w14:paraId="1F1F9015" w14:textId="77777777" w:rsidR="00FC57BB" w:rsidRPr="00D633FF" w:rsidRDefault="00FC57BB" w:rsidP="002B52A1">
            <w:pPr>
              <w:spacing w:after="0" w:line="240" w:lineRule="auto"/>
              <w:rPr>
                <w:rFonts w:ascii="Calibri" w:eastAsia="Times New Roman" w:hAnsi="Calibri" w:cs="Calibri"/>
                <w:color w:val="000000"/>
                <w:kern w:val="0"/>
                <w:lang w:eastAsia="en-AU"/>
                <w14:ligatures w14:val="none"/>
              </w:rPr>
            </w:pPr>
            <w:r w:rsidRPr="00D633FF">
              <w:rPr>
                <w:rFonts w:ascii="Calibri" w:eastAsia="Times New Roman" w:hAnsi="Calibri" w:cs="Calibri"/>
                <w:color w:val="000000"/>
                <w:kern w:val="0"/>
                <w:lang w:eastAsia="en-AU"/>
                <w14:ligatures w14:val="none"/>
              </w:rPr>
              <w:t>0 – 6 months</w:t>
            </w:r>
          </w:p>
        </w:tc>
        <w:tc>
          <w:tcPr>
            <w:tcW w:w="658" w:type="pct"/>
          </w:tcPr>
          <w:p w14:paraId="18E737DE" w14:textId="77777777" w:rsidR="00FC57BB" w:rsidRPr="00D633FF" w:rsidRDefault="00FC57BB" w:rsidP="002B52A1">
            <w:pPr>
              <w:spacing w:after="0" w:line="240" w:lineRule="auto"/>
              <w:jc w:val="center"/>
              <w:rPr>
                <w:rFonts w:ascii="Calibri" w:eastAsia="Times New Roman" w:hAnsi="Calibri" w:cs="Calibri"/>
                <w:color w:val="000000"/>
                <w:kern w:val="0"/>
                <w:lang w:eastAsia="en-AU"/>
                <w14:ligatures w14:val="none"/>
              </w:rPr>
            </w:pPr>
            <w:r w:rsidRPr="00D633FF">
              <w:rPr>
                <w:rFonts w:ascii="Calibri" w:eastAsia="Times New Roman" w:hAnsi="Calibri" w:cs="Calibri"/>
                <w:color w:val="000000"/>
                <w:kern w:val="0"/>
                <w:lang w:eastAsia="en-AU"/>
                <w14:ligatures w14:val="none"/>
              </w:rPr>
              <w:t>45</w:t>
            </w:r>
          </w:p>
        </w:tc>
        <w:tc>
          <w:tcPr>
            <w:tcW w:w="545" w:type="pct"/>
            <w:noWrap/>
          </w:tcPr>
          <w:p w14:paraId="79570900" w14:textId="77777777" w:rsidR="00FC57BB" w:rsidRPr="00D633FF" w:rsidRDefault="00FC57BB" w:rsidP="002B52A1">
            <w:pPr>
              <w:spacing w:after="0" w:line="240" w:lineRule="auto"/>
              <w:jc w:val="center"/>
              <w:rPr>
                <w:rFonts w:ascii="Calibri" w:eastAsia="Times New Roman" w:hAnsi="Calibri" w:cs="Calibri"/>
                <w:color w:val="000000"/>
                <w:kern w:val="0"/>
                <w:lang w:eastAsia="en-AU"/>
                <w14:ligatures w14:val="none"/>
              </w:rPr>
            </w:pPr>
            <w:r w:rsidRPr="00D633FF">
              <w:rPr>
                <w:rFonts w:ascii="Calibri" w:eastAsia="Times New Roman" w:hAnsi="Calibri" w:cs="Calibri"/>
                <w:color w:val="000000"/>
                <w:kern w:val="0"/>
                <w:lang w:eastAsia="en-AU"/>
                <w14:ligatures w14:val="none"/>
              </w:rPr>
              <w:t>45</w:t>
            </w:r>
          </w:p>
        </w:tc>
        <w:tc>
          <w:tcPr>
            <w:tcW w:w="527" w:type="pct"/>
          </w:tcPr>
          <w:p w14:paraId="1B013E89" w14:textId="77777777" w:rsidR="00FC57BB" w:rsidRPr="00D633FF" w:rsidRDefault="00FC57BB" w:rsidP="002B52A1">
            <w:pPr>
              <w:spacing w:after="0" w:line="240" w:lineRule="auto"/>
              <w:jc w:val="center"/>
              <w:rPr>
                <w:rFonts w:ascii="Calibri" w:eastAsia="Times New Roman" w:hAnsi="Calibri" w:cs="Calibri"/>
                <w:color w:val="000000"/>
                <w:kern w:val="0"/>
                <w:lang w:eastAsia="en-AU"/>
                <w14:ligatures w14:val="none"/>
              </w:rPr>
            </w:pPr>
            <w:r w:rsidRPr="00D633FF">
              <w:rPr>
                <w:rFonts w:ascii="Calibri" w:eastAsia="Times New Roman" w:hAnsi="Calibri" w:cs="Calibri"/>
                <w:color w:val="000000"/>
                <w:kern w:val="0"/>
                <w:lang w:eastAsia="en-AU"/>
                <w14:ligatures w14:val="none"/>
              </w:rPr>
              <w:t>45*</w:t>
            </w:r>
          </w:p>
        </w:tc>
        <w:tc>
          <w:tcPr>
            <w:tcW w:w="527" w:type="pct"/>
          </w:tcPr>
          <w:p w14:paraId="19C8D93A" w14:textId="77777777" w:rsidR="00FC57BB" w:rsidRPr="00D633FF" w:rsidRDefault="00FC57BB" w:rsidP="002B52A1">
            <w:pPr>
              <w:spacing w:after="0" w:line="240" w:lineRule="auto"/>
              <w:jc w:val="center"/>
              <w:rPr>
                <w:rFonts w:ascii="Calibri" w:hAnsi="Calibri" w:cs="Calibri"/>
              </w:rPr>
            </w:pPr>
          </w:p>
        </w:tc>
        <w:tc>
          <w:tcPr>
            <w:tcW w:w="493" w:type="pct"/>
          </w:tcPr>
          <w:p w14:paraId="4942362D" w14:textId="77777777" w:rsidR="00FC57BB" w:rsidRPr="00D633FF" w:rsidRDefault="00FC57BB" w:rsidP="002B52A1">
            <w:pPr>
              <w:spacing w:after="0" w:line="240" w:lineRule="auto"/>
              <w:jc w:val="center"/>
              <w:rPr>
                <w:rFonts w:ascii="Calibri" w:hAnsi="Calibri" w:cs="Calibri"/>
              </w:rPr>
            </w:pPr>
            <w:r w:rsidRPr="00D633FF">
              <w:rPr>
                <w:rFonts w:ascii="Calibri" w:hAnsi="Calibri" w:cs="Calibri"/>
              </w:rPr>
              <w:t>-</w:t>
            </w:r>
          </w:p>
        </w:tc>
        <w:tc>
          <w:tcPr>
            <w:tcW w:w="527" w:type="pct"/>
            <w:noWrap/>
          </w:tcPr>
          <w:p w14:paraId="0C25275B" w14:textId="77777777" w:rsidR="00FC57BB" w:rsidRPr="00D633FF" w:rsidRDefault="00FC57BB" w:rsidP="002B52A1">
            <w:pPr>
              <w:spacing w:after="0" w:line="240" w:lineRule="auto"/>
              <w:jc w:val="center"/>
              <w:rPr>
                <w:rFonts w:ascii="Calibri" w:hAnsi="Calibri" w:cs="Calibri"/>
              </w:rPr>
            </w:pPr>
            <w:r w:rsidRPr="00D633FF">
              <w:rPr>
                <w:rFonts w:ascii="Calibri" w:hAnsi="Calibri" w:cs="Calibri"/>
              </w:rPr>
              <w:t>-</w:t>
            </w:r>
          </w:p>
        </w:tc>
        <w:tc>
          <w:tcPr>
            <w:tcW w:w="551" w:type="pct"/>
          </w:tcPr>
          <w:p w14:paraId="08637AB8" w14:textId="77777777" w:rsidR="00FC57BB" w:rsidRPr="00D633FF" w:rsidRDefault="00FC57BB" w:rsidP="002B52A1">
            <w:pPr>
              <w:spacing w:after="0" w:line="240" w:lineRule="auto"/>
              <w:jc w:val="center"/>
              <w:rPr>
                <w:rFonts w:ascii="Calibri" w:hAnsi="Calibri" w:cs="Calibri"/>
              </w:rPr>
            </w:pPr>
            <w:r w:rsidRPr="00D633FF">
              <w:rPr>
                <w:rFonts w:ascii="Calibri" w:hAnsi="Calibri" w:cs="Calibri"/>
              </w:rPr>
              <w:t>-</w:t>
            </w:r>
          </w:p>
        </w:tc>
      </w:tr>
      <w:tr w:rsidR="00C7491B" w:rsidRPr="00D633FF" w14:paraId="13416998" w14:textId="77777777" w:rsidTr="00E56FE0">
        <w:trPr>
          <w:trHeight w:val="300"/>
        </w:trPr>
        <w:tc>
          <w:tcPr>
            <w:tcW w:w="1172" w:type="pct"/>
            <w:noWrap/>
            <w:vAlign w:val="center"/>
          </w:tcPr>
          <w:p w14:paraId="01C6C265" w14:textId="77777777" w:rsidR="00FC57BB" w:rsidRPr="00D633FF" w:rsidRDefault="00FC57BB" w:rsidP="002B52A1">
            <w:pPr>
              <w:spacing w:after="0" w:line="240" w:lineRule="auto"/>
              <w:rPr>
                <w:rFonts w:ascii="Calibri" w:eastAsia="Times New Roman" w:hAnsi="Calibri" w:cs="Calibri"/>
                <w:color w:val="000000"/>
                <w:kern w:val="0"/>
                <w:lang w:eastAsia="en-AU"/>
                <w14:ligatures w14:val="none"/>
              </w:rPr>
            </w:pPr>
            <w:r w:rsidRPr="00D633FF">
              <w:rPr>
                <w:rFonts w:ascii="Calibri" w:eastAsia="Times New Roman" w:hAnsi="Calibri" w:cs="Calibri"/>
                <w:color w:val="000000"/>
                <w:kern w:val="0"/>
                <w:lang w:eastAsia="en-AU"/>
                <w14:ligatures w14:val="none"/>
              </w:rPr>
              <w:t>7 – 12 months</w:t>
            </w:r>
          </w:p>
        </w:tc>
        <w:tc>
          <w:tcPr>
            <w:tcW w:w="658" w:type="pct"/>
          </w:tcPr>
          <w:p w14:paraId="411C48F9" w14:textId="77777777" w:rsidR="00FC57BB" w:rsidRPr="00D633FF" w:rsidRDefault="00FC57BB" w:rsidP="002B52A1">
            <w:pPr>
              <w:spacing w:after="0" w:line="240" w:lineRule="auto"/>
              <w:jc w:val="center"/>
              <w:rPr>
                <w:rFonts w:ascii="Calibri" w:eastAsia="Times New Roman" w:hAnsi="Calibri" w:cs="Calibri"/>
                <w:color w:val="000000"/>
                <w:kern w:val="0"/>
                <w:lang w:eastAsia="en-AU"/>
                <w14:ligatures w14:val="none"/>
              </w:rPr>
            </w:pPr>
            <w:r w:rsidRPr="00D633FF">
              <w:rPr>
                <w:rFonts w:ascii="Calibri" w:eastAsia="Times New Roman" w:hAnsi="Calibri" w:cs="Calibri"/>
                <w:color w:val="000000"/>
                <w:kern w:val="0"/>
                <w:lang w:eastAsia="en-AU"/>
                <w14:ligatures w14:val="none"/>
              </w:rPr>
              <w:t>60</w:t>
            </w:r>
          </w:p>
        </w:tc>
        <w:tc>
          <w:tcPr>
            <w:tcW w:w="545" w:type="pct"/>
            <w:noWrap/>
          </w:tcPr>
          <w:p w14:paraId="75285FB5" w14:textId="77777777" w:rsidR="00FC57BB" w:rsidRPr="00D633FF" w:rsidRDefault="00FC57BB" w:rsidP="002B52A1">
            <w:pPr>
              <w:spacing w:after="0" w:line="240" w:lineRule="auto"/>
              <w:jc w:val="center"/>
              <w:rPr>
                <w:rFonts w:ascii="Calibri" w:eastAsia="Times New Roman" w:hAnsi="Calibri" w:cs="Calibri"/>
                <w:color w:val="000000"/>
                <w:kern w:val="0"/>
                <w:lang w:eastAsia="en-AU"/>
                <w14:ligatures w14:val="none"/>
              </w:rPr>
            </w:pPr>
            <w:r w:rsidRPr="00D633FF">
              <w:rPr>
                <w:rFonts w:ascii="Calibri" w:eastAsia="Times New Roman" w:hAnsi="Calibri" w:cs="Calibri"/>
                <w:color w:val="000000"/>
                <w:kern w:val="0"/>
                <w:lang w:eastAsia="en-AU"/>
                <w14:ligatures w14:val="none"/>
              </w:rPr>
              <w:t>60</w:t>
            </w:r>
          </w:p>
        </w:tc>
        <w:tc>
          <w:tcPr>
            <w:tcW w:w="527" w:type="pct"/>
          </w:tcPr>
          <w:p w14:paraId="28EC9F23" w14:textId="77777777" w:rsidR="00FC57BB" w:rsidRPr="00D633FF" w:rsidRDefault="00FC57BB" w:rsidP="002B52A1">
            <w:pPr>
              <w:spacing w:after="0" w:line="240" w:lineRule="auto"/>
              <w:jc w:val="center"/>
              <w:rPr>
                <w:rFonts w:ascii="Calibri" w:eastAsia="Times New Roman" w:hAnsi="Calibri" w:cs="Calibri"/>
                <w:color w:val="000000"/>
                <w:kern w:val="0"/>
                <w:lang w:eastAsia="en-AU"/>
                <w14:ligatures w14:val="none"/>
              </w:rPr>
            </w:pPr>
            <w:r w:rsidRPr="00D633FF">
              <w:rPr>
                <w:rFonts w:ascii="Calibri" w:eastAsia="Times New Roman" w:hAnsi="Calibri" w:cs="Calibri"/>
                <w:color w:val="000000"/>
                <w:kern w:val="0"/>
                <w:lang w:eastAsia="en-AU"/>
                <w14:ligatures w14:val="none"/>
              </w:rPr>
              <w:t>60*</w:t>
            </w:r>
          </w:p>
        </w:tc>
        <w:tc>
          <w:tcPr>
            <w:tcW w:w="527" w:type="pct"/>
          </w:tcPr>
          <w:p w14:paraId="18A1C946" w14:textId="77777777" w:rsidR="00FC57BB" w:rsidRPr="00D633FF" w:rsidRDefault="00FC57BB" w:rsidP="002B52A1">
            <w:pPr>
              <w:spacing w:after="0" w:line="240" w:lineRule="auto"/>
              <w:jc w:val="center"/>
              <w:rPr>
                <w:rFonts w:ascii="Calibri" w:hAnsi="Calibri" w:cs="Calibri"/>
              </w:rPr>
            </w:pPr>
          </w:p>
        </w:tc>
        <w:tc>
          <w:tcPr>
            <w:tcW w:w="493" w:type="pct"/>
          </w:tcPr>
          <w:p w14:paraId="11B347D1" w14:textId="77777777" w:rsidR="00FC57BB" w:rsidRPr="00D633FF" w:rsidRDefault="00FC57BB" w:rsidP="002B52A1">
            <w:pPr>
              <w:spacing w:after="0" w:line="240" w:lineRule="auto"/>
              <w:jc w:val="center"/>
              <w:rPr>
                <w:rFonts w:ascii="Calibri" w:hAnsi="Calibri" w:cs="Calibri"/>
              </w:rPr>
            </w:pPr>
            <w:r w:rsidRPr="00D633FF">
              <w:rPr>
                <w:rFonts w:ascii="Calibri" w:hAnsi="Calibri" w:cs="Calibri"/>
              </w:rPr>
              <w:t>-</w:t>
            </w:r>
          </w:p>
        </w:tc>
        <w:tc>
          <w:tcPr>
            <w:tcW w:w="527" w:type="pct"/>
            <w:noWrap/>
          </w:tcPr>
          <w:p w14:paraId="25D6D80C" w14:textId="77777777" w:rsidR="00FC57BB" w:rsidRPr="00D633FF" w:rsidRDefault="00FC57BB" w:rsidP="002B52A1">
            <w:pPr>
              <w:spacing w:after="0" w:line="240" w:lineRule="auto"/>
              <w:jc w:val="center"/>
              <w:rPr>
                <w:rFonts w:ascii="Calibri" w:hAnsi="Calibri" w:cs="Calibri"/>
              </w:rPr>
            </w:pPr>
            <w:r w:rsidRPr="00D633FF">
              <w:rPr>
                <w:rFonts w:ascii="Calibri" w:hAnsi="Calibri" w:cs="Calibri"/>
              </w:rPr>
              <w:t>-</w:t>
            </w:r>
          </w:p>
        </w:tc>
        <w:tc>
          <w:tcPr>
            <w:tcW w:w="551" w:type="pct"/>
          </w:tcPr>
          <w:p w14:paraId="3E2B03E6" w14:textId="77777777" w:rsidR="00FC57BB" w:rsidRPr="00D633FF" w:rsidRDefault="00FC57BB" w:rsidP="002B52A1">
            <w:pPr>
              <w:spacing w:after="0" w:line="240" w:lineRule="auto"/>
              <w:jc w:val="center"/>
              <w:rPr>
                <w:rFonts w:ascii="Calibri" w:hAnsi="Calibri" w:cs="Calibri"/>
              </w:rPr>
            </w:pPr>
            <w:r w:rsidRPr="00D633FF">
              <w:rPr>
                <w:rFonts w:ascii="Calibri" w:hAnsi="Calibri" w:cs="Calibri"/>
              </w:rPr>
              <w:t>-</w:t>
            </w:r>
          </w:p>
        </w:tc>
      </w:tr>
      <w:tr w:rsidR="00C7491B" w:rsidRPr="00D633FF" w14:paraId="6DDE0D99" w14:textId="77777777" w:rsidTr="00E56FE0">
        <w:trPr>
          <w:trHeight w:val="300"/>
        </w:trPr>
        <w:tc>
          <w:tcPr>
            <w:tcW w:w="1172" w:type="pct"/>
            <w:noWrap/>
          </w:tcPr>
          <w:p w14:paraId="4F7CBA4B" w14:textId="77777777" w:rsidR="00FC57BB" w:rsidRPr="00D633FF" w:rsidRDefault="00FC57BB" w:rsidP="002B52A1">
            <w:pPr>
              <w:spacing w:after="0" w:line="240" w:lineRule="auto"/>
              <w:rPr>
                <w:rFonts w:ascii="Calibri" w:eastAsia="Times New Roman" w:hAnsi="Calibri" w:cs="Calibri"/>
                <w:color w:val="000000"/>
                <w:kern w:val="0"/>
                <w:lang w:eastAsia="en-AU"/>
                <w14:ligatures w14:val="none"/>
              </w:rPr>
            </w:pPr>
            <w:r w:rsidRPr="00D633FF">
              <w:rPr>
                <w:rFonts w:ascii="Calibri" w:hAnsi="Calibri" w:cs="Calibri"/>
              </w:rPr>
              <w:t>1 to under 4 years</w:t>
            </w:r>
          </w:p>
        </w:tc>
        <w:tc>
          <w:tcPr>
            <w:tcW w:w="658" w:type="pct"/>
          </w:tcPr>
          <w:p w14:paraId="7F03B36C" w14:textId="77777777" w:rsidR="00FC57BB" w:rsidRPr="00D633FF" w:rsidRDefault="00FC57BB" w:rsidP="002B52A1">
            <w:pPr>
              <w:spacing w:after="0" w:line="240" w:lineRule="auto"/>
              <w:jc w:val="center"/>
              <w:rPr>
                <w:rFonts w:ascii="Calibri" w:hAnsi="Calibri" w:cs="Calibri"/>
              </w:rPr>
            </w:pPr>
            <w:r w:rsidRPr="00D633FF">
              <w:rPr>
                <w:rFonts w:ascii="Calibri" w:hAnsi="Calibri" w:cs="Calibri"/>
              </w:rPr>
              <w:t>100</w:t>
            </w:r>
          </w:p>
        </w:tc>
        <w:tc>
          <w:tcPr>
            <w:tcW w:w="545" w:type="pct"/>
            <w:noWrap/>
          </w:tcPr>
          <w:p w14:paraId="4C0730D1" w14:textId="77777777" w:rsidR="00FC57BB" w:rsidRPr="00D633FF" w:rsidRDefault="00FC57BB" w:rsidP="002B52A1">
            <w:pPr>
              <w:spacing w:after="0" w:line="240" w:lineRule="auto"/>
              <w:jc w:val="center"/>
              <w:rPr>
                <w:rFonts w:ascii="Calibri" w:hAnsi="Calibri" w:cs="Calibri"/>
              </w:rPr>
            </w:pPr>
            <w:r w:rsidRPr="00D633FF">
              <w:rPr>
                <w:rFonts w:ascii="Calibri" w:hAnsi="Calibri" w:cs="Calibri"/>
              </w:rPr>
              <w:t>90</w:t>
            </w:r>
          </w:p>
        </w:tc>
        <w:tc>
          <w:tcPr>
            <w:tcW w:w="527" w:type="pct"/>
          </w:tcPr>
          <w:p w14:paraId="4AE8A20F" w14:textId="77777777" w:rsidR="00FC57BB" w:rsidRPr="00D633FF" w:rsidRDefault="00FC57BB" w:rsidP="002B52A1">
            <w:pPr>
              <w:spacing w:after="0" w:line="240" w:lineRule="auto"/>
              <w:jc w:val="center"/>
              <w:rPr>
                <w:rFonts w:ascii="Calibri" w:hAnsi="Calibri" w:cs="Calibri"/>
              </w:rPr>
            </w:pPr>
            <w:r w:rsidRPr="00D633FF">
              <w:rPr>
                <w:rFonts w:ascii="Calibri" w:hAnsi="Calibri" w:cs="Calibri"/>
              </w:rPr>
              <w:t>70</w:t>
            </w:r>
          </w:p>
        </w:tc>
        <w:tc>
          <w:tcPr>
            <w:tcW w:w="527" w:type="pct"/>
          </w:tcPr>
          <w:p w14:paraId="599DF503" w14:textId="77777777" w:rsidR="00FC57BB" w:rsidRPr="00D633FF" w:rsidRDefault="00FC57BB" w:rsidP="002B52A1">
            <w:pPr>
              <w:spacing w:after="0" w:line="240" w:lineRule="auto"/>
              <w:jc w:val="center"/>
              <w:rPr>
                <w:rFonts w:ascii="Calibri" w:hAnsi="Calibri" w:cs="Calibri"/>
              </w:rPr>
            </w:pPr>
          </w:p>
        </w:tc>
        <w:tc>
          <w:tcPr>
            <w:tcW w:w="493" w:type="pct"/>
          </w:tcPr>
          <w:p w14:paraId="1BCD4C95" w14:textId="77777777" w:rsidR="00FC57BB" w:rsidRPr="00D633FF" w:rsidRDefault="00FC57BB" w:rsidP="002B52A1">
            <w:pPr>
              <w:spacing w:after="0" w:line="240" w:lineRule="auto"/>
              <w:jc w:val="center"/>
              <w:rPr>
                <w:rFonts w:ascii="Calibri" w:hAnsi="Calibri" w:cs="Calibri"/>
              </w:rPr>
            </w:pPr>
            <w:r w:rsidRPr="00D633FF">
              <w:rPr>
                <w:rFonts w:ascii="Calibri" w:hAnsi="Calibri" w:cs="Calibri"/>
              </w:rPr>
              <w:t>-</w:t>
            </w:r>
          </w:p>
        </w:tc>
        <w:tc>
          <w:tcPr>
            <w:tcW w:w="527" w:type="pct"/>
            <w:noWrap/>
          </w:tcPr>
          <w:p w14:paraId="2DFFB776" w14:textId="77777777" w:rsidR="00FC57BB" w:rsidRPr="00D633FF" w:rsidRDefault="00FC57BB" w:rsidP="002B52A1">
            <w:pPr>
              <w:spacing w:after="0" w:line="240" w:lineRule="auto"/>
              <w:jc w:val="center"/>
              <w:rPr>
                <w:rFonts w:ascii="Calibri" w:hAnsi="Calibri" w:cs="Calibri"/>
              </w:rPr>
            </w:pPr>
            <w:r w:rsidRPr="00D633FF">
              <w:rPr>
                <w:rFonts w:ascii="Calibri" w:hAnsi="Calibri" w:cs="Calibri"/>
              </w:rPr>
              <w:t>-</w:t>
            </w:r>
          </w:p>
        </w:tc>
        <w:tc>
          <w:tcPr>
            <w:tcW w:w="551" w:type="pct"/>
          </w:tcPr>
          <w:p w14:paraId="462E00B6" w14:textId="77777777" w:rsidR="00FC57BB" w:rsidRPr="00D633FF" w:rsidRDefault="00FC57BB" w:rsidP="002B52A1">
            <w:pPr>
              <w:spacing w:after="0" w:line="240" w:lineRule="auto"/>
              <w:jc w:val="center"/>
              <w:rPr>
                <w:rFonts w:ascii="Calibri" w:hAnsi="Calibri" w:cs="Calibri"/>
              </w:rPr>
            </w:pPr>
            <w:r w:rsidRPr="00D633FF">
              <w:rPr>
                <w:rFonts w:ascii="Calibri" w:hAnsi="Calibri" w:cs="Calibri"/>
              </w:rPr>
              <w:t>-</w:t>
            </w:r>
          </w:p>
        </w:tc>
      </w:tr>
      <w:tr w:rsidR="00C7491B" w:rsidRPr="00D633FF" w14:paraId="0FA103C8" w14:textId="77777777" w:rsidTr="00E56FE0">
        <w:trPr>
          <w:trHeight w:val="300"/>
        </w:trPr>
        <w:tc>
          <w:tcPr>
            <w:tcW w:w="1172" w:type="pct"/>
            <w:noWrap/>
          </w:tcPr>
          <w:p w14:paraId="7ABC8B5B" w14:textId="77777777" w:rsidR="00FC57BB" w:rsidRPr="00D633FF" w:rsidRDefault="00FC57BB" w:rsidP="002B52A1">
            <w:pPr>
              <w:spacing w:after="0" w:line="240" w:lineRule="auto"/>
              <w:rPr>
                <w:rFonts w:ascii="Calibri" w:eastAsia="Times New Roman" w:hAnsi="Calibri" w:cs="Calibri"/>
                <w:color w:val="000000"/>
                <w:kern w:val="0"/>
                <w:lang w:eastAsia="en-AU"/>
                <w14:ligatures w14:val="none"/>
              </w:rPr>
            </w:pPr>
            <w:r w:rsidRPr="00D633FF">
              <w:rPr>
                <w:rFonts w:ascii="Calibri" w:hAnsi="Calibri" w:cs="Calibri"/>
              </w:rPr>
              <w:t>4 to under 9 years</w:t>
            </w:r>
          </w:p>
        </w:tc>
        <w:tc>
          <w:tcPr>
            <w:tcW w:w="658" w:type="pct"/>
            <w:vAlign w:val="center"/>
          </w:tcPr>
          <w:p w14:paraId="2E3B2E1A" w14:textId="77777777" w:rsidR="00FC57BB" w:rsidRPr="00D633FF" w:rsidRDefault="00FC57BB" w:rsidP="002B52A1">
            <w:pPr>
              <w:spacing w:after="0" w:line="240" w:lineRule="auto"/>
              <w:jc w:val="center"/>
              <w:rPr>
                <w:rFonts w:ascii="Calibri" w:eastAsia="Times New Roman" w:hAnsi="Calibri" w:cs="Calibri"/>
                <w:color w:val="000000"/>
                <w:kern w:val="0"/>
                <w:lang w:eastAsia="en-AU"/>
                <w14:ligatures w14:val="none"/>
              </w:rPr>
            </w:pPr>
            <w:r w:rsidRPr="00D633FF">
              <w:rPr>
                <w:rFonts w:ascii="Calibri" w:eastAsia="Times New Roman" w:hAnsi="Calibri" w:cs="Calibri"/>
                <w:color w:val="000000"/>
                <w:kern w:val="0"/>
                <w:lang w:eastAsia="en-AU"/>
                <w14:ligatures w14:val="none"/>
              </w:rPr>
              <w:t>150</w:t>
            </w:r>
          </w:p>
        </w:tc>
        <w:tc>
          <w:tcPr>
            <w:tcW w:w="545" w:type="pct"/>
            <w:noWrap/>
          </w:tcPr>
          <w:p w14:paraId="2F6461A8" w14:textId="77777777" w:rsidR="00FC57BB" w:rsidRPr="00D633FF" w:rsidRDefault="00FC57BB" w:rsidP="002B52A1">
            <w:pPr>
              <w:spacing w:after="0" w:line="240" w:lineRule="auto"/>
              <w:jc w:val="center"/>
              <w:rPr>
                <w:rFonts w:ascii="Calibri" w:eastAsia="Times New Roman" w:hAnsi="Calibri" w:cs="Calibri"/>
                <w:color w:val="000000"/>
                <w:kern w:val="0"/>
                <w:lang w:eastAsia="en-AU"/>
                <w14:ligatures w14:val="none"/>
              </w:rPr>
            </w:pPr>
            <w:r w:rsidRPr="00D633FF">
              <w:rPr>
                <w:rFonts w:ascii="Calibri" w:eastAsia="Times New Roman" w:hAnsi="Calibri" w:cs="Calibri"/>
                <w:color w:val="000000"/>
                <w:kern w:val="0"/>
                <w:lang w:eastAsia="en-AU"/>
                <w14:ligatures w14:val="none"/>
              </w:rPr>
              <w:t>150</w:t>
            </w:r>
          </w:p>
        </w:tc>
        <w:tc>
          <w:tcPr>
            <w:tcW w:w="527" w:type="pct"/>
            <w:vAlign w:val="center"/>
          </w:tcPr>
          <w:p w14:paraId="39032513" w14:textId="77777777" w:rsidR="00FC57BB" w:rsidRPr="00D633FF" w:rsidRDefault="00FC57BB" w:rsidP="002B52A1">
            <w:pPr>
              <w:spacing w:after="0" w:line="240" w:lineRule="auto"/>
              <w:jc w:val="center"/>
              <w:rPr>
                <w:rFonts w:ascii="Calibri" w:eastAsia="Times New Roman" w:hAnsi="Calibri" w:cs="Calibri"/>
                <w:color w:val="000000"/>
                <w:kern w:val="0"/>
                <w:lang w:eastAsia="en-AU"/>
                <w14:ligatures w14:val="none"/>
              </w:rPr>
            </w:pPr>
            <w:r w:rsidRPr="00D633FF">
              <w:rPr>
                <w:rFonts w:ascii="Calibri" w:eastAsia="Times New Roman" w:hAnsi="Calibri" w:cs="Calibri"/>
                <w:color w:val="000000"/>
                <w:kern w:val="0"/>
                <w:lang w:eastAsia="en-AU"/>
                <w14:ligatures w14:val="none"/>
              </w:rPr>
              <w:t>110*</w:t>
            </w:r>
          </w:p>
        </w:tc>
        <w:tc>
          <w:tcPr>
            <w:tcW w:w="527" w:type="pct"/>
          </w:tcPr>
          <w:p w14:paraId="48B228D6" w14:textId="77777777" w:rsidR="00FC57BB" w:rsidRPr="00D633FF" w:rsidRDefault="00FC57BB" w:rsidP="002B52A1">
            <w:pPr>
              <w:spacing w:after="0" w:line="240" w:lineRule="auto"/>
              <w:jc w:val="center"/>
              <w:rPr>
                <w:rFonts w:ascii="Calibri" w:eastAsia="Times New Roman" w:hAnsi="Calibri" w:cs="Calibri"/>
                <w:color w:val="000000"/>
                <w:kern w:val="0"/>
                <w:lang w:eastAsia="en-AU"/>
                <w14:ligatures w14:val="none"/>
              </w:rPr>
            </w:pPr>
          </w:p>
        </w:tc>
        <w:tc>
          <w:tcPr>
            <w:tcW w:w="493" w:type="pct"/>
            <w:vAlign w:val="center"/>
          </w:tcPr>
          <w:p w14:paraId="75D578E6" w14:textId="77777777" w:rsidR="00FC57BB" w:rsidRPr="00D633FF" w:rsidRDefault="00FC57BB" w:rsidP="002B52A1">
            <w:pPr>
              <w:spacing w:after="0" w:line="240" w:lineRule="auto"/>
              <w:jc w:val="center"/>
              <w:rPr>
                <w:rFonts w:ascii="Calibri" w:eastAsia="Times New Roman" w:hAnsi="Calibri" w:cs="Calibri"/>
                <w:color w:val="000000"/>
                <w:kern w:val="0"/>
                <w:lang w:eastAsia="en-AU"/>
                <w14:ligatures w14:val="none"/>
              </w:rPr>
            </w:pPr>
            <w:r w:rsidRPr="00D633FF">
              <w:rPr>
                <w:rFonts w:ascii="Calibri" w:eastAsia="Times New Roman" w:hAnsi="Calibri" w:cs="Calibri"/>
                <w:color w:val="000000"/>
                <w:kern w:val="0"/>
                <w:lang w:eastAsia="en-AU"/>
                <w14:ligatures w14:val="none"/>
              </w:rPr>
              <w:t>-</w:t>
            </w:r>
          </w:p>
        </w:tc>
        <w:tc>
          <w:tcPr>
            <w:tcW w:w="527" w:type="pct"/>
            <w:noWrap/>
          </w:tcPr>
          <w:p w14:paraId="198C039F" w14:textId="77777777" w:rsidR="00FC57BB" w:rsidRPr="00D633FF" w:rsidRDefault="00FC57BB" w:rsidP="002B52A1">
            <w:pPr>
              <w:spacing w:after="0" w:line="240" w:lineRule="auto"/>
              <w:jc w:val="center"/>
              <w:rPr>
                <w:rFonts w:ascii="Calibri" w:hAnsi="Calibri" w:cs="Calibri"/>
              </w:rPr>
            </w:pPr>
            <w:r w:rsidRPr="00D633FF">
              <w:rPr>
                <w:rFonts w:ascii="Calibri" w:hAnsi="Calibri" w:cs="Calibri"/>
              </w:rPr>
              <w:t>-</w:t>
            </w:r>
          </w:p>
        </w:tc>
        <w:tc>
          <w:tcPr>
            <w:tcW w:w="551" w:type="pct"/>
          </w:tcPr>
          <w:p w14:paraId="2B73AC2D" w14:textId="77777777" w:rsidR="00FC57BB" w:rsidRPr="00D633FF" w:rsidRDefault="00FC57BB" w:rsidP="002B52A1">
            <w:pPr>
              <w:spacing w:after="0" w:line="240" w:lineRule="auto"/>
              <w:jc w:val="center"/>
              <w:rPr>
                <w:rFonts w:ascii="Calibri" w:hAnsi="Calibri" w:cs="Calibri"/>
              </w:rPr>
            </w:pPr>
            <w:r w:rsidRPr="00D633FF">
              <w:rPr>
                <w:rFonts w:ascii="Calibri" w:hAnsi="Calibri" w:cs="Calibri"/>
              </w:rPr>
              <w:t>-</w:t>
            </w:r>
          </w:p>
        </w:tc>
      </w:tr>
      <w:tr w:rsidR="00C7491B" w:rsidRPr="00D633FF" w14:paraId="78C9C3FF" w14:textId="77777777" w:rsidTr="00E56FE0">
        <w:trPr>
          <w:trHeight w:val="300"/>
        </w:trPr>
        <w:tc>
          <w:tcPr>
            <w:tcW w:w="1172" w:type="pct"/>
            <w:noWrap/>
          </w:tcPr>
          <w:p w14:paraId="2F1AC36F" w14:textId="77777777" w:rsidR="00FC57BB" w:rsidRPr="00D633FF" w:rsidRDefault="00FC57BB" w:rsidP="002B52A1">
            <w:pPr>
              <w:spacing w:after="0" w:line="240" w:lineRule="auto"/>
              <w:rPr>
                <w:rFonts w:ascii="Calibri" w:eastAsia="Times New Roman" w:hAnsi="Calibri" w:cs="Calibri"/>
                <w:color w:val="000000"/>
                <w:kern w:val="0"/>
                <w:lang w:eastAsia="en-AU"/>
                <w14:ligatures w14:val="none"/>
              </w:rPr>
            </w:pPr>
            <w:r w:rsidRPr="00D633FF">
              <w:rPr>
                <w:rFonts w:ascii="Calibri" w:hAnsi="Calibri" w:cs="Calibri"/>
              </w:rPr>
              <w:t>9 to under 14 years</w:t>
            </w:r>
          </w:p>
        </w:tc>
        <w:tc>
          <w:tcPr>
            <w:tcW w:w="658" w:type="pct"/>
            <w:vAlign w:val="center"/>
          </w:tcPr>
          <w:p w14:paraId="30C84082" w14:textId="77777777" w:rsidR="00FC57BB" w:rsidRPr="00D633FF" w:rsidRDefault="00FC57BB" w:rsidP="002B52A1">
            <w:pPr>
              <w:spacing w:after="0" w:line="240" w:lineRule="auto"/>
              <w:jc w:val="center"/>
              <w:rPr>
                <w:rFonts w:ascii="Calibri" w:eastAsia="Times New Roman" w:hAnsi="Calibri" w:cs="Calibri"/>
                <w:color w:val="000000"/>
                <w:kern w:val="0"/>
                <w:lang w:eastAsia="en-AU"/>
                <w14:ligatures w14:val="none"/>
              </w:rPr>
            </w:pPr>
            <w:r w:rsidRPr="00D633FF">
              <w:rPr>
                <w:rFonts w:ascii="Calibri" w:eastAsia="Times New Roman" w:hAnsi="Calibri" w:cs="Calibri"/>
                <w:color w:val="000000"/>
                <w:kern w:val="0"/>
                <w:lang w:eastAsia="en-AU"/>
                <w14:ligatures w14:val="none"/>
              </w:rPr>
              <w:t>235</w:t>
            </w:r>
          </w:p>
        </w:tc>
        <w:tc>
          <w:tcPr>
            <w:tcW w:w="545" w:type="pct"/>
            <w:noWrap/>
          </w:tcPr>
          <w:p w14:paraId="0D5F8423" w14:textId="77777777" w:rsidR="00FC57BB" w:rsidRPr="00D633FF" w:rsidRDefault="00FC57BB" w:rsidP="002B52A1">
            <w:pPr>
              <w:spacing w:after="0" w:line="240" w:lineRule="auto"/>
              <w:jc w:val="center"/>
              <w:rPr>
                <w:rFonts w:ascii="Calibri" w:eastAsia="Times New Roman" w:hAnsi="Calibri" w:cs="Calibri"/>
                <w:color w:val="000000"/>
                <w:kern w:val="0"/>
                <w:lang w:eastAsia="en-AU"/>
                <w14:ligatures w14:val="none"/>
              </w:rPr>
            </w:pPr>
            <w:r w:rsidRPr="00D633FF">
              <w:rPr>
                <w:rFonts w:ascii="Calibri" w:eastAsia="Times New Roman" w:hAnsi="Calibri" w:cs="Calibri"/>
                <w:color w:val="000000"/>
                <w:kern w:val="0"/>
                <w:lang w:eastAsia="en-AU"/>
                <w14:ligatures w14:val="none"/>
              </w:rPr>
              <w:t>280</w:t>
            </w:r>
          </w:p>
        </w:tc>
        <w:tc>
          <w:tcPr>
            <w:tcW w:w="527" w:type="pct"/>
            <w:vAlign w:val="center"/>
          </w:tcPr>
          <w:p w14:paraId="245CDC14" w14:textId="77777777" w:rsidR="00FC57BB" w:rsidRPr="00D633FF" w:rsidRDefault="00FC57BB" w:rsidP="002B52A1">
            <w:pPr>
              <w:spacing w:after="0" w:line="240" w:lineRule="auto"/>
              <w:jc w:val="center"/>
              <w:rPr>
                <w:rFonts w:ascii="Calibri" w:eastAsia="Times New Roman" w:hAnsi="Calibri" w:cs="Calibri"/>
                <w:color w:val="000000"/>
                <w:kern w:val="0"/>
                <w:lang w:eastAsia="en-AU"/>
                <w14:ligatures w14:val="none"/>
              </w:rPr>
            </w:pPr>
            <w:r w:rsidRPr="00D633FF">
              <w:rPr>
                <w:rFonts w:ascii="Calibri" w:eastAsia="Times New Roman" w:hAnsi="Calibri" w:cs="Calibri"/>
                <w:color w:val="000000"/>
                <w:kern w:val="0"/>
                <w:lang w:eastAsia="en-AU"/>
                <w14:ligatures w14:val="none"/>
              </w:rPr>
              <w:t>185*</w:t>
            </w:r>
          </w:p>
        </w:tc>
        <w:tc>
          <w:tcPr>
            <w:tcW w:w="527" w:type="pct"/>
          </w:tcPr>
          <w:p w14:paraId="1973A8EF" w14:textId="77777777" w:rsidR="00FC57BB" w:rsidRPr="00D633FF" w:rsidRDefault="00FC57BB" w:rsidP="002B52A1">
            <w:pPr>
              <w:spacing w:after="0" w:line="240" w:lineRule="auto"/>
              <w:jc w:val="center"/>
              <w:rPr>
                <w:rFonts w:ascii="Calibri" w:eastAsia="Times New Roman" w:hAnsi="Calibri" w:cs="Calibri"/>
                <w:color w:val="000000"/>
                <w:kern w:val="0"/>
                <w:lang w:eastAsia="en-AU"/>
                <w14:ligatures w14:val="none"/>
              </w:rPr>
            </w:pPr>
          </w:p>
        </w:tc>
        <w:tc>
          <w:tcPr>
            <w:tcW w:w="493" w:type="pct"/>
            <w:vAlign w:val="center"/>
          </w:tcPr>
          <w:p w14:paraId="05249F1C" w14:textId="77777777" w:rsidR="00FC57BB" w:rsidRPr="00D633FF" w:rsidRDefault="00FC57BB" w:rsidP="002B52A1">
            <w:pPr>
              <w:spacing w:after="0" w:line="240" w:lineRule="auto"/>
              <w:jc w:val="center"/>
              <w:rPr>
                <w:rFonts w:ascii="Calibri" w:eastAsia="Times New Roman" w:hAnsi="Calibri" w:cs="Calibri"/>
                <w:color w:val="000000"/>
                <w:kern w:val="0"/>
                <w:lang w:eastAsia="en-AU"/>
                <w14:ligatures w14:val="none"/>
              </w:rPr>
            </w:pPr>
            <w:r w:rsidRPr="00D633FF">
              <w:rPr>
                <w:rFonts w:ascii="Calibri" w:eastAsia="Times New Roman" w:hAnsi="Calibri" w:cs="Calibri"/>
                <w:color w:val="000000"/>
                <w:kern w:val="0"/>
                <w:lang w:eastAsia="en-AU"/>
                <w14:ligatures w14:val="none"/>
              </w:rPr>
              <w:t>-</w:t>
            </w:r>
          </w:p>
        </w:tc>
        <w:tc>
          <w:tcPr>
            <w:tcW w:w="527" w:type="pct"/>
            <w:noWrap/>
          </w:tcPr>
          <w:p w14:paraId="68F8B72E" w14:textId="77777777" w:rsidR="00FC57BB" w:rsidRPr="00D633FF" w:rsidRDefault="00FC57BB" w:rsidP="002B52A1">
            <w:pPr>
              <w:spacing w:after="0" w:line="240" w:lineRule="auto"/>
              <w:jc w:val="center"/>
              <w:rPr>
                <w:rFonts w:ascii="Calibri" w:hAnsi="Calibri" w:cs="Calibri"/>
              </w:rPr>
            </w:pPr>
            <w:r w:rsidRPr="00D633FF">
              <w:rPr>
                <w:rFonts w:ascii="Calibri" w:hAnsi="Calibri" w:cs="Calibri"/>
              </w:rPr>
              <w:t>-</w:t>
            </w:r>
          </w:p>
        </w:tc>
        <w:tc>
          <w:tcPr>
            <w:tcW w:w="551" w:type="pct"/>
          </w:tcPr>
          <w:p w14:paraId="289860E4" w14:textId="77777777" w:rsidR="00FC57BB" w:rsidRPr="00D633FF" w:rsidRDefault="00FC57BB" w:rsidP="002B52A1">
            <w:pPr>
              <w:spacing w:after="0" w:line="240" w:lineRule="auto"/>
              <w:jc w:val="center"/>
              <w:rPr>
                <w:rFonts w:ascii="Calibri" w:hAnsi="Calibri" w:cs="Calibri"/>
              </w:rPr>
            </w:pPr>
            <w:r w:rsidRPr="00D633FF">
              <w:rPr>
                <w:rFonts w:ascii="Calibri" w:hAnsi="Calibri" w:cs="Calibri"/>
              </w:rPr>
              <w:t>-</w:t>
            </w:r>
          </w:p>
        </w:tc>
      </w:tr>
      <w:tr w:rsidR="00C7491B" w:rsidRPr="00D633FF" w14:paraId="5F8018FC" w14:textId="77777777" w:rsidTr="00E56FE0">
        <w:trPr>
          <w:trHeight w:val="300"/>
        </w:trPr>
        <w:tc>
          <w:tcPr>
            <w:tcW w:w="1172" w:type="pct"/>
            <w:noWrap/>
          </w:tcPr>
          <w:p w14:paraId="6F70FE2D" w14:textId="77777777" w:rsidR="00FC57BB" w:rsidRPr="00D633FF" w:rsidRDefault="00FC57BB" w:rsidP="002B52A1">
            <w:pPr>
              <w:spacing w:after="0" w:line="240" w:lineRule="auto"/>
              <w:rPr>
                <w:rFonts w:ascii="Calibri" w:eastAsia="Times New Roman" w:hAnsi="Calibri" w:cs="Calibri"/>
                <w:color w:val="000000"/>
                <w:kern w:val="0"/>
                <w:lang w:eastAsia="en-AU"/>
                <w14:ligatures w14:val="none"/>
              </w:rPr>
            </w:pPr>
            <w:r w:rsidRPr="00D633FF">
              <w:rPr>
                <w:rFonts w:ascii="Calibri" w:hAnsi="Calibri" w:cs="Calibri"/>
              </w:rPr>
              <w:t>14 to under 18 years</w:t>
            </w:r>
          </w:p>
        </w:tc>
        <w:tc>
          <w:tcPr>
            <w:tcW w:w="658" w:type="pct"/>
            <w:vAlign w:val="center"/>
          </w:tcPr>
          <w:p w14:paraId="5CD3FDF4" w14:textId="77777777" w:rsidR="00FC57BB" w:rsidRPr="00D633FF" w:rsidRDefault="00FC57BB" w:rsidP="002B52A1">
            <w:pPr>
              <w:spacing w:after="0" w:line="240" w:lineRule="auto"/>
              <w:jc w:val="center"/>
              <w:rPr>
                <w:rFonts w:ascii="Calibri" w:eastAsia="Times New Roman" w:hAnsi="Calibri" w:cs="Calibri"/>
                <w:color w:val="000000"/>
                <w:kern w:val="0"/>
                <w:lang w:eastAsia="en-AU"/>
                <w14:ligatures w14:val="none"/>
              </w:rPr>
            </w:pPr>
            <w:r w:rsidRPr="00D633FF">
              <w:rPr>
                <w:rFonts w:ascii="Calibri" w:eastAsia="Times New Roman" w:hAnsi="Calibri" w:cs="Calibri"/>
                <w:color w:val="000000"/>
                <w:kern w:val="0"/>
                <w:lang w:eastAsia="en-AU"/>
                <w14:ligatures w14:val="none"/>
              </w:rPr>
              <w:t>305</w:t>
            </w:r>
          </w:p>
        </w:tc>
        <w:tc>
          <w:tcPr>
            <w:tcW w:w="545" w:type="pct"/>
            <w:noWrap/>
          </w:tcPr>
          <w:p w14:paraId="4BC2725A" w14:textId="77777777" w:rsidR="00FC57BB" w:rsidRPr="00D633FF" w:rsidRDefault="00FC57BB" w:rsidP="002B52A1">
            <w:pPr>
              <w:spacing w:after="0" w:line="240" w:lineRule="auto"/>
              <w:jc w:val="center"/>
              <w:rPr>
                <w:rFonts w:ascii="Calibri" w:eastAsia="Times New Roman" w:hAnsi="Calibri" w:cs="Calibri"/>
                <w:color w:val="000000"/>
                <w:kern w:val="0"/>
                <w:lang w:eastAsia="en-AU"/>
                <w14:ligatures w14:val="none"/>
              </w:rPr>
            </w:pPr>
            <w:r w:rsidRPr="00D633FF">
              <w:rPr>
                <w:rFonts w:ascii="Calibri" w:eastAsia="Times New Roman" w:hAnsi="Calibri" w:cs="Calibri"/>
                <w:color w:val="000000"/>
                <w:kern w:val="0"/>
                <w:lang w:eastAsia="en-AU"/>
                <w14:ligatures w14:val="none"/>
              </w:rPr>
              <w:t>400</w:t>
            </w:r>
          </w:p>
        </w:tc>
        <w:tc>
          <w:tcPr>
            <w:tcW w:w="527" w:type="pct"/>
            <w:vAlign w:val="center"/>
          </w:tcPr>
          <w:p w14:paraId="7DA9B212" w14:textId="77777777" w:rsidR="00FC57BB" w:rsidRPr="00D633FF" w:rsidRDefault="00FC57BB" w:rsidP="002B52A1">
            <w:pPr>
              <w:spacing w:after="0" w:line="240" w:lineRule="auto"/>
              <w:jc w:val="center"/>
              <w:rPr>
                <w:rFonts w:ascii="Calibri" w:eastAsia="Times New Roman" w:hAnsi="Calibri" w:cs="Calibri"/>
                <w:color w:val="000000"/>
                <w:kern w:val="0"/>
                <w:lang w:eastAsia="en-AU"/>
                <w14:ligatures w14:val="none"/>
              </w:rPr>
            </w:pPr>
            <w:r w:rsidRPr="00D633FF">
              <w:rPr>
                <w:rFonts w:ascii="Calibri" w:eastAsia="Times New Roman" w:hAnsi="Calibri" w:cs="Calibri"/>
                <w:color w:val="000000"/>
                <w:kern w:val="0"/>
                <w:lang w:eastAsia="en-AU"/>
                <w14:ligatures w14:val="none"/>
              </w:rPr>
              <w:t>220*</w:t>
            </w:r>
          </w:p>
        </w:tc>
        <w:tc>
          <w:tcPr>
            <w:tcW w:w="527" w:type="pct"/>
          </w:tcPr>
          <w:p w14:paraId="72215266" w14:textId="77777777" w:rsidR="00FC57BB" w:rsidRPr="00D633FF" w:rsidRDefault="00FC57BB" w:rsidP="002B52A1">
            <w:pPr>
              <w:spacing w:after="0" w:line="240" w:lineRule="auto"/>
              <w:jc w:val="center"/>
              <w:rPr>
                <w:rFonts w:ascii="Calibri" w:eastAsia="Times New Roman" w:hAnsi="Calibri" w:cs="Calibri"/>
                <w:color w:val="000000"/>
                <w:kern w:val="0"/>
                <w:lang w:eastAsia="en-AU"/>
                <w14:ligatures w14:val="none"/>
              </w:rPr>
            </w:pPr>
          </w:p>
        </w:tc>
        <w:tc>
          <w:tcPr>
            <w:tcW w:w="493" w:type="pct"/>
            <w:vAlign w:val="center"/>
          </w:tcPr>
          <w:p w14:paraId="0363089F" w14:textId="77777777" w:rsidR="00FC57BB" w:rsidRPr="00D633FF" w:rsidRDefault="00FC57BB" w:rsidP="002B52A1">
            <w:pPr>
              <w:spacing w:after="0" w:line="240" w:lineRule="auto"/>
              <w:jc w:val="center"/>
              <w:rPr>
                <w:rFonts w:ascii="Calibri" w:eastAsia="Times New Roman" w:hAnsi="Calibri" w:cs="Calibri"/>
                <w:color w:val="000000"/>
                <w:kern w:val="0"/>
                <w:lang w:eastAsia="en-AU"/>
                <w14:ligatures w14:val="none"/>
              </w:rPr>
            </w:pPr>
            <w:r w:rsidRPr="00D633FF">
              <w:rPr>
                <w:rFonts w:ascii="Calibri" w:eastAsia="Times New Roman" w:hAnsi="Calibri" w:cs="Calibri"/>
                <w:color w:val="000000"/>
                <w:kern w:val="0"/>
                <w:lang w:eastAsia="en-AU"/>
                <w14:ligatures w14:val="none"/>
              </w:rPr>
              <w:t>-</w:t>
            </w:r>
          </w:p>
        </w:tc>
        <w:tc>
          <w:tcPr>
            <w:tcW w:w="527" w:type="pct"/>
            <w:noWrap/>
          </w:tcPr>
          <w:p w14:paraId="094E6F17" w14:textId="77777777" w:rsidR="00FC57BB" w:rsidRPr="00D633FF" w:rsidRDefault="00FC57BB" w:rsidP="002B52A1">
            <w:pPr>
              <w:spacing w:after="0" w:line="240" w:lineRule="auto"/>
              <w:jc w:val="center"/>
              <w:rPr>
                <w:rFonts w:ascii="Calibri" w:hAnsi="Calibri" w:cs="Calibri"/>
              </w:rPr>
            </w:pPr>
            <w:r w:rsidRPr="00D633FF">
              <w:rPr>
                <w:rFonts w:ascii="Calibri" w:hAnsi="Calibri" w:cs="Calibri"/>
              </w:rPr>
              <w:t>-</w:t>
            </w:r>
          </w:p>
        </w:tc>
        <w:tc>
          <w:tcPr>
            <w:tcW w:w="551" w:type="pct"/>
          </w:tcPr>
          <w:p w14:paraId="21088918" w14:textId="77777777" w:rsidR="00FC57BB" w:rsidRPr="00D633FF" w:rsidRDefault="00FC57BB" w:rsidP="002B52A1">
            <w:pPr>
              <w:spacing w:after="0" w:line="240" w:lineRule="auto"/>
              <w:jc w:val="center"/>
              <w:rPr>
                <w:rFonts w:ascii="Calibri" w:hAnsi="Calibri" w:cs="Calibri"/>
              </w:rPr>
            </w:pPr>
            <w:r w:rsidRPr="00D633FF">
              <w:rPr>
                <w:rFonts w:ascii="Calibri" w:hAnsi="Calibri" w:cs="Calibri"/>
              </w:rPr>
              <w:t>-</w:t>
            </w:r>
          </w:p>
        </w:tc>
      </w:tr>
    </w:tbl>
    <w:p w14:paraId="504B6F63" w14:textId="77777777" w:rsidR="00FC57BB" w:rsidRPr="00D633FF" w:rsidRDefault="00FC57BB" w:rsidP="00FC57BB">
      <w:pPr>
        <w:pStyle w:val="Footer"/>
        <w:spacing w:line="276" w:lineRule="auto"/>
        <w:contextualSpacing/>
        <w:rPr>
          <w:rFonts w:ascii="Calibri" w:hAnsi="Calibri" w:cs="Calibri"/>
          <w:sz w:val="16"/>
          <w:szCs w:val="16"/>
        </w:rPr>
      </w:pPr>
      <w:r w:rsidRPr="00D633FF">
        <w:rPr>
          <w:rFonts w:ascii="Calibri" w:hAnsi="Calibri" w:cs="Calibri"/>
          <w:b/>
          <w:bCs/>
          <w:sz w:val="16"/>
          <w:szCs w:val="16"/>
        </w:rPr>
        <w:t>Abbreviations:</w:t>
      </w:r>
      <w:r w:rsidRPr="00D633FF">
        <w:rPr>
          <w:rFonts w:ascii="Calibri" w:hAnsi="Calibri" w:cs="Calibri"/>
          <w:sz w:val="16"/>
          <w:szCs w:val="16"/>
        </w:rPr>
        <w:t xml:space="preserve"> EVM, UK Expert Group on Vitamins and Minerals (UK); IOM, Institute of Medicine (US); NHMRC, National Health and Medical Research Council; SCF, Scientiﬁc Committee on Food; WHO/FAO, World Health Organization/Food and Agriculture Organization of the United Nations; UL: upper level.</w:t>
      </w:r>
    </w:p>
    <w:p w14:paraId="78FCFBC2" w14:textId="77777777" w:rsidR="00FC57BB" w:rsidRPr="00D633FF" w:rsidRDefault="00FC57BB" w:rsidP="00FC57BB">
      <w:pPr>
        <w:spacing w:after="0"/>
        <w:rPr>
          <w:rFonts w:ascii="Calibri" w:hAnsi="Calibri" w:cs="Calibri"/>
          <w:sz w:val="16"/>
          <w:szCs w:val="16"/>
        </w:rPr>
      </w:pPr>
      <w:r w:rsidRPr="00D633FF">
        <w:rPr>
          <w:rFonts w:ascii="Calibri" w:eastAsia="Times New Roman" w:hAnsi="Calibri" w:cs="Calibri"/>
          <w:b/>
          <w:bCs/>
          <w:color w:val="000000"/>
          <w:sz w:val="16"/>
          <w:szCs w:val="16"/>
          <w:lang w:eastAsia="en-AU"/>
        </w:rPr>
        <w:t>#</w:t>
      </w:r>
      <w:r w:rsidRPr="00D633FF">
        <w:rPr>
          <w:rFonts w:ascii="Calibri" w:eastAsia="Times New Roman" w:hAnsi="Calibri" w:cs="Calibri"/>
          <w:color w:val="000000"/>
          <w:sz w:val="16"/>
          <w:szCs w:val="16"/>
          <w:lang w:eastAsia="en-AU"/>
        </w:rPr>
        <w:t xml:space="preserve"> </w:t>
      </w:r>
      <w:r w:rsidRPr="00D633FF">
        <w:rPr>
          <w:rFonts w:ascii="Calibri" w:hAnsi="Calibri" w:cs="Calibri"/>
          <w:sz w:val="16"/>
          <w:szCs w:val="16"/>
        </w:rPr>
        <w:t>Including pregnant and lactating women.</w:t>
      </w:r>
    </w:p>
    <w:p w14:paraId="1C5336AB" w14:textId="77777777" w:rsidR="00FC57BB" w:rsidRPr="00D633FF" w:rsidRDefault="00FC57BB" w:rsidP="00FC57BB">
      <w:pPr>
        <w:spacing w:after="0"/>
        <w:rPr>
          <w:rFonts w:ascii="Calibri" w:hAnsi="Calibri" w:cs="Calibri"/>
          <w:sz w:val="16"/>
          <w:szCs w:val="16"/>
        </w:rPr>
      </w:pPr>
      <w:r w:rsidRPr="00D633FF">
        <w:rPr>
          <w:rFonts w:ascii="Calibri" w:hAnsi="Calibri" w:cs="Calibri"/>
          <w:sz w:val="16"/>
          <w:szCs w:val="16"/>
        </w:rPr>
        <w:t>^ no information provided on UL for pregnant or lactating women</w:t>
      </w:r>
    </w:p>
    <w:p w14:paraId="3F64F4E5" w14:textId="77777777" w:rsidR="00FC57BB" w:rsidRDefault="00FC57BB" w:rsidP="00FC57BB">
      <w:pPr>
        <w:spacing w:after="0"/>
        <w:rPr>
          <w:rFonts w:ascii="Calibri" w:eastAsia="Times New Roman" w:hAnsi="Calibri" w:cs="Calibri"/>
          <w:szCs w:val="20"/>
        </w:rPr>
      </w:pPr>
      <w:r w:rsidRPr="00D633FF">
        <w:rPr>
          <w:rFonts w:ascii="Calibri" w:hAnsi="Calibri" w:cs="Calibri"/>
          <w:sz w:val="16"/>
          <w:szCs w:val="16"/>
        </w:rPr>
        <w:t>*</w:t>
      </w:r>
      <w:proofErr w:type="gramStart"/>
      <w:r w:rsidRPr="00D633FF">
        <w:rPr>
          <w:rFonts w:ascii="Calibri" w:hAnsi="Calibri" w:cs="Calibri"/>
          <w:sz w:val="16"/>
          <w:szCs w:val="16"/>
        </w:rPr>
        <w:t>adjusted</w:t>
      </w:r>
      <w:proofErr w:type="gramEnd"/>
      <w:r w:rsidRPr="00D633FF">
        <w:rPr>
          <w:rFonts w:ascii="Calibri" w:hAnsi="Calibri" w:cs="Calibri"/>
          <w:sz w:val="16"/>
          <w:szCs w:val="16"/>
        </w:rPr>
        <w:t xml:space="preserve"> value to fit age groups</w:t>
      </w:r>
      <w:r w:rsidRPr="00D633FF">
        <w:rPr>
          <w:rFonts w:ascii="Calibri" w:hAnsi="Calibri" w:cs="Calibri"/>
          <w:szCs w:val="20"/>
        </w:rPr>
        <w:t xml:space="preserve"> </w:t>
      </w:r>
      <w:r w:rsidRPr="00D633FF">
        <w:rPr>
          <w:rFonts w:ascii="Calibri" w:eastAsia="Times New Roman" w:hAnsi="Calibri" w:cs="Calibri"/>
          <w:szCs w:val="20"/>
        </w:rPr>
        <w:t xml:space="preserve"> </w:t>
      </w:r>
    </w:p>
    <w:p w14:paraId="64884DA2" w14:textId="77777777" w:rsidR="005B68F9" w:rsidRPr="00D633FF" w:rsidRDefault="005B68F9" w:rsidP="00FC57BB">
      <w:pPr>
        <w:spacing w:after="0"/>
        <w:rPr>
          <w:rFonts w:ascii="Calibri" w:hAnsi="Calibri" w:cs="Calibri"/>
          <w:sz w:val="16"/>
          <w:szCs w:val="16"/>
        </w:rPr>
      </w:pPr>
    </w:p>
    <w:p w14:paraId="0F83DC68" w14:textId="77777777" w:rsidR="006C6858" w:rsidRDefault="006C6858" w:rsidP="006C6858">
      <w:pPr>
        <w:pStyle w:val="Caption"/>
        <w:spacing w:after="0"/>
        <w:rPr>
          <w:rFonts w:ascii="Calibri" w:hAnsi="Calibri" w:cs="Calibri"/>
        </w:rPr>
        <w:sectPr w:rsidR="006C6858" w:rsidSect="00E752E0">
          <w:headerReference w:type="default" r:id="rId17"/>
          <w:footerReference w:type="default" r:id="rId18"/>
          <w:footnotePr>
            <w:pos w:val="beneathText"/>
          </w:footnotePr>
          <w:pgSz w:w="11906" w:h="16838"/>
          <w:pgMar w:top="1440" w:right="1440" w:bottom="1440" w:left="1440" w:header="708" w:footer="708" w:gutter="0"/>
          <w:cols w:space="708"/>
          <w:docGrid w:linePitch="360"/>
        </w:sectPr>
      </w:pPr>
    </w:p>
    <w:p w14:paraId="5CBBB72C" w14:textId="03F89055" w:rsidR="00FC57BB" w:rsidRPr="006C6858" w:rsidRDefault="00FC57BB" w:rsidP="00B07CC4">
      <w:pPr>
        <w:pStyle w:val="Caption"/>
        <w:spacing w:after="120"/>
        <w:rPr>
          <w:rFonts w:ascii="Calibri" w:hAnsi="Calibri" w:cs="Calibri"/>
          <w:b/>
          <w:bCs/>
        </w:rPr>
      </w:pPr>
      <w:r w:rsidRPr="006C6858">
        <w:rPr>
          <w:rFonts w:ascii="Calibri" w:hAnsi="Calibri" w:cs="Calibri"/>
          <w:b/>
          <w:bCs/>
        </w:rPr>
        <w:lastRenderedPageBreak/>
        <w:t xml:space="preserve">Table </w:t>
      </w:r>
      <w:r w:rsidRPr="006C6858">
        <w:rPr>
          <w:rFonts w:ascii="Calibri" w:hAnsi="Calibri" w:cs="Calibri"/>
          <w:b/>
          <w:bCs/>
        </w:rPr>
        <w:fldChar w:fldCharType="begin"/>
      </w:r>
      <w:r w:rsidRPr="006C6858">
        <w:rPr>
          <w:rFonts w:ascii="Calibri" w:hAnsi="Calibri" w:cs="Calibri"/>
          <w:b/>
          <w:bCs/>
        </w:rPr>
        <w:instrText xml:space="preserve"> SEQ Table \* ARABIC </w:instrText>
      </w:r>
      <w:r w:rsidRPr="006C6858">
        <w:rPr>
          <w:rFonts w:ascii="Calibri" w:hAnsi="Calibri" w:cs="Calibri"/>
          <w:b/>
          <w:bCs/>
        </w:rPr>
        <w:fldChar w:fldCharType="separate"/>
      </w:r>
      <w:r w:rsidR="00CB6915" w:rsidRPr="006C6858">
        <w:rPr>
          <w:rFonts w:ascii="Calibri" w:hAnsi="Calibri" w:cs="Calibri"/>
          <w:b/>
          <w:bCs/>
          <w:noProof/>
        </w:rPr>
        <w:t>12</w:t>
      </w:r>
      <w:r w:rsidRPr="006C6858">
        <w:rPr>
          <w:rFonts w:ascii="Calibri" w:hAnsi="Calibri" w:cs="Calibri"/>
          <w:b/>
          <w:bCs/>
        </w:rPr>
        <w:fldChar w:fldCharType="end"/>
      </w:r>
      <w:r w:rsidR="000854DE">
        <w:rPr>
          <w:rFonts w:ascii="Calibri" w:hAnsi="Calibri" w:cs="Calibri"/>
          <w:b/>
          <w:bCs/>
        </w:rPr>
        <w:t>.</w:t>
      </w:r>
      <w:r w:rsidRPr="006C6858">
        <w:rPr>
          <w:rFonts w:ascii="Calibri" w:hAnsi="Calibri" w:cs="Calibri"/>
          <w:b/>
          <w:bCs/>
        </w:rPr>
        <w:t xml:space="preserve"> Comparison of alternative age groups proposed </w:t>
      </w:r>
      <w:r w:rsidR="000854DE">
        <w:rPr>
          <w:rFonts w:ascii="Calibri" w:hAnsi="Calibri" w:cs="Calibri"/>
          <w:b/>
          <w:bCs/>
        </w:rPr>
        <w:t>UL</w:t>
      </w:r>
      <w:r w:rsidRPr="006C6858">
        <w:rPr>
          <w:rFonts w:ascii="Calibri" w:hAnsi="Calibri" w:cs="Calibri"/>
          <w:b/>
          <w:bCs/>
        </w:rPr>
        <w:t xml:space="preserve">s with </w:t>
      </w:r>
      <w:r w:rsidR="006A270A">
        <w:rPr>
          <w:rFonts w:ascii="Calibri" w:hAnsi="Calibri" w:cs="Calibri"/>
          <w:b/>
          <w:bCs/>
        </w:rPr>
        <w:t>ULs</w:t>
      </w:r>
      <w:r w:rsidRPr="006C6858">
        <w:rPr>
          <w:rFonts w:ascii="Calibri" w:hAnsi="Calibri" w:cs="Calibri"/>
          <w:b/>
          <w:bCs/>
        </w:rPr>
        <w:t xml:space="preserve"> from comparable international jurisdictions</w:t>
      </w: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402"/>
        <w:gridCol w:w="933"/>
        <w:gridCol w:w="984"/>
        <w:gridCol w:w="952"/>
        <w:gridCol w:w="952"/>
        <w:gridCol w:w="889"/>
        <w:gridCol w:w="952"/>
        <w:gridCol w:w="952"/>
      </w:tblGrid>
      <w:tr w:rsidR="00DB0290" w:rsidRPr="00C7491B" w14:paraId="68839C91" w14:textId="77777777" w:rsidTr="001356C2">
        <w:trPr>
          <w:trHeight w:val="900"/>
        </w:trPr>
        <w:tc>
          <w:tcPr>
            <w:tcW w:w="1334" w:type="pct"/>
            <w:shd w:val="clear" w:color="auto" w:fill="156082" w:themeFill="accent1"/>
            <w:vAlign w:val="bottom"/>
            <w:hideMark/>
          </w:tcPr>
          <w:p w14:paraId="3259BFE3" w14:textId="182087B2" w:rsidR="003D50F8" w:rsidRPr="00C7491B" w:rsidRDefault="003D50F8" w:rsidP="001356C2">
            <w:pPr>
              <w:spacing w:after="0" w:line="240" w:lineRule="auto"/>
              <w:rPr>
                <w:rFonts w:ascii="Calibri" w:eastAsia="Times New Roman" w:hAnsi="Calibri" w:cs="Calibri"/>
                <w:b/>
                <w:bCs/>
                <w:color w:val="FFFFFF" w:themeColor="background1"/>
                <w:kern w:val="0"/>
                <w:sz w:val="21"/>
                <w:szCs w:val="21"/>
                <w:lang w:eastAsia="en-AU"/>
                <w14:ligatures w14:val="none"/>
              </w:rPr>
            </w:pPr>
            <w:r w:rsidRPr="00C7491B">
              <w:rPr>
                <w:rFonts w:ascii="Calibri" w:eastAsia="Times New Roman" w:hAnsi="Calibri" w:cs="Calibri"/>
                <w:b/>
                <w:bCs/>
                <w:color w:val="FFFFFF" w:themeColor="background1"/>
                <w:kern w:val="0"/>
                <w:sz w:val="21"/>
                <w:szCs w:val="21"/>
                <w:lang w:eastAsia="en-AU"/>
                <w14:ligatures w14:val="none"/>
              </w:rPr>
              <w:t>Age</w:t>
            </w:r>
          </w:p>
        </w:tc>
        <w:tc>
          <w:tcPr>
            <w:tcW w:w="509" w:type="pct"/>
            <w:shd w:val="clear" w:color="auto" w:fill="156082" w:themeFill="accent1"/>
            <w:vAlign w:val="bottom"/>
          </w:tcPr>
          <w:p w14:paraId="382323C8" w14:textId="5C99FA63" w:rsidR="003D50F8" w:rsidRPr="00C7491B" w:rsidRDefault="003D50F8" w:rsidP="006C0C48">
            <w:pPr>
              <w:spacing w:after="0" w:line="240" w:lineRule="auto"/>
              <w:ind w:left="-111"/>
              <w:jc w:val="center"/>
              <w:rPr>
                <w:rFonts w:ascii="Calibri" w:eastAsia="Times New Roman" w:hAnsi="Calibri" w:cs="Calibri"/>
                <w:b/>
                <w:bCs/>
                <w:color w:val="FFFFFF" w:themeColor="background1"/>
                <w:kern w:val="0"/>
                <w:sz w:val="21"/>
                <w:szCs w:val="21"/>
                <w:lang w:eastAsia="en-AU"/>
                <w14:ligatures w14:val="none"/>
              </w:rPr>
            </w:pPr>
            <w:r w:rsidRPr="00C7491B">
              <w:rPr>
                <w:rFonts w:ascii="Calibri" w:eastAsia="Times New Roman" w:hAnsi="Calibri" w:cs="Calibri"/>
                <w:b/>
                <w:bCs/>
                <w:color w:val="FFFFFF" w:themeColor="background1"/>
                <w:kern w:val="0"/>
                <w:sz w:val="21"/>
                <w:szCs w:val="21"/>
                <w:lang w:eastAsia="en-AU"/>
                <w14:ligatures w14:val="none"/>
              </w:rPr>
              <w:t>NHMRC (2025) Proposed</w:t>
            </w:r>
          </w:p>
          <w:p w14:paraId="372091F7" w14:textId="77777777" w:rsidR="003D50F8" w:rsidRPr="00C7491B" w:rsidRDefault="003D50F8" w:rsidP="006C0C48">
            <w:pPr>
              <w:spacing w:after="0" w:line="240" w:lineRule="auto"/>
              <w:ind w:left="-111"/>
              <w:jc w:val="center"/>
              <w:rPr>
                <w:rFonts w:ascii="Calibri" w:eastAsia="Times New Roman" w:hAnsi="Calibri" w:cs="Calibri"/>
                <w:color w:val="FFFFFF" w:themeColor="background1"/>
                <w:kern w:val="0"/>
                <w:sz w:val="21"/>
                <w:szCs w:val="21"/>
                <w:lang w:eastAsia="en-AU"/>
                <w14:ligatures w14:val="none"/>
              </w:rPr>
            </w:pPr>
            <w:r w:rsidRPr="00C7491B">
              <w:rPr>
                <w:rFonts w:ascii="Calibri" w:eastAsia="Times New Roman" w:hAnsi="Calibri" w:cs="Calibri"/>
                <w:color w:val="FFFFFF" w:themeColor="background1"/>
                <w:kern w:val="0"/>
                <w:sz w:val="21"/>
                <w:szCs w:val="21"/>
                <w:lang w:eastAsia="en-AU"/>
                <w14:ligatures w14:val="none"/>
              </w:rPr>
              <w:t>UL</w:t>
            </w:r>
          </w:p>
          <w:p w14:paraId="778C7031" w14:textId="77777777" w:rsidR="003D50F8" w:rsidRPr="00C7491B" w:rsidRDefault="003D50F8" w:rsidP="006C0C48">
            <w:pPr>
              <w:spacing w:after="0" w:line="240" w:lineRule="auto"/>
              <w:ind w:left="-111"/>
              <w:jc w:val="center"/>
              <w:rPr>
                <w:rFonts w:ascii="Calibri" w:eastAsia="Times New Roman" w:hAnsi="Calibri" w:cs="Calibri"/>
                <w:b/>
                <w:bCs/>
                <w:color w:val="FFFFFF" w:themeColor="background1"/>
                <w:kern w:val="0"/>
                <w:sz w:val="21"/>
                <w:szCs w:val="21"/>
                <w:lang w:eastAsia="en-AU"/>
                <w14:ligatures w14:val="none"/>
              </w:rPr>
            </w:pPr>
            <w:r w:rsidRPr="00C7491B">
              <w:rPr>
                <w:rFonts w:ascii="Calibri" w:eastAsia="Times New Roman" w:hAnsi="Calibri" w:cs="Calibri"/>
                <w:color w:val="FFFFFF" w:themeColor="background1"/>
                <w:kern w:val="0"/>
                <w:sz w:val="21"/>
                <w:szCs w:val="21"/>
                <w:lang w:eastAsia="en-AU"/>
                <w14:ligatures w14:val="none"/>
              </w:rPr>
              <w:t>(</w:t>
            </w:r>
            <w:r w:rsidRPr="00C7491B">
              <w:rPr>
                <w:rFonts w:ascii="Calibri" w:eastAsia="Times New Roman" w:hAnsi="Calibri" w:cs="Calibri"/>
                <w:color w:val="FFFFFF" w:themeColor="background1"/>
                <w:sz w:val="21"/>
                <w:szCs w:val="21"/>
              </w:rPr>
              <w:t>µg/day)</w:t>
            </w:r>
          </w:p>
        </w:tc>
        <w:tc>
          <w:tcPr>
            <w:tcW w:w="547" w:type="pct"/>
            <w:shd w:val="clear" w:color="auto" w:fill="156082" w:themeFill="accent1"/>
            <w:vAlign w:val="bottom"/>
            <w:hideMark/>
          </w:tcPr>
          <w:p w14:paraId="61B9023B" w14:textId="77777777" w:rsidR="003D50F8" w:rsidRPr="00C7491B" w:rsidRDefault="003D50F8" w:rsidP="006C0C48">
            <w:pPr>
              <w:spacing w:after="0" w:line="240" w:lineRule="auto"/>
              <w:jc w:val="center"/>
              <w:rPr>
                <w:rFonts w:ascii="Calibri" w:eastAsia="Times New Roman" w:hAnsi="Calibri" w:cs="Calibri"/>
                <w:b/>
                <w:bCs/>
                <w:color w:val="FFFFFF" w:themeColor="background1"/>
                <w:kern w:val="0"/>
                <w:sz w:val="21"/>
                <w:szCs w:val="21"/>
                <w:lang w:eastAsia="en-AU"/>
                <w14:ligatures w14:val="none"/>
              </w:rPr>
            </w:pPr>
            <w:r w:rsidRPr="00C7491B">
              <w:rPr>
                <w:rFonts w:ascii="Calibri" w:eastAsia="Times New Roman" w:hAnsi="Calibri" w:cs="Calibri"/>
                <w:b/>
                <w:bCs/>
                <w:color w:val="FFFFFF" w:themeColor="background1"/>
                <w:kern w:val="0"/>
                <w:sz w:val="21"/>
                <w:szCs w:val="21"/>
                <w:lang w:eastAsia="en-AU"/>
                <w14:ligatures w14:val="none"/>
              </w:rPr>
              <w:t>NHMRC (2006)</w:t>
            </w:r>
          </w:p>
          <w:p w14:paraId="11978A25" w14:textId="77777777" w:rsidR="003D50F8" w:rsidRPr="00C7491B" w:rsidRDefault="003D50F8" w:rsidP="006C0C48">
            <w:pPr>
              <w:spacing w:after="0" w:line="240" w:lineRule="auto"/>
              <w:jc w:val="center"/>
              <w:rPr>
                <w:rFonts w:ascii="Calibri" w:eastAsia="Times New Roman" w:hAnsi="Calibri" w:cs="Calibri"/>
                <w:color w:val="FFFFFF" w:themeColor="background1"/>
                <w:kern w:val="0"/>
                <w:sz w:val="21"/>
                <w:szCs w:val="21"/>
                <w:lang w:eastAsia="en-AU"/>
                <w14:ligatures w14:val="none"/>
              </w:rPr>
            </w:pPr>
            <w:r w:rsidRPr="00C7491B">
              <w:rPr>
                <w:rFonts w:ascii="Calibri" w:eastAsia="Times New Roman" w:hAnsi="Calibri" w:cs="Calibri"/>
                <w:b/>
                <w:bCs/>
                <w:color w:val="FFFFFF" w:themeColor="background1"/>
                <w:kern w:val="0"/>
                <w:sz w:val="21"/>
                <w:szCs w:val="21"/>
                <w:lang w:eastAsia="en-AU"/>
                <w14:ligatures w14:val="none"/>
              </w:rPr>
              <w:t xml:space="preserve">Current </w:t>
            </w:r>
            <w:r w:rsidRPr="00C7491B">
              <w:rPr>
                <w:rFonts w:ascii="Calibri" w:eastAsia="Times New Roman" w:hAnsi="Calibri" w:cs="Calibri"/>
                <w:color w:val="FFFFFF" w:themeColor="background1"/>
                <w:kern w:val="0"/>
                <w:sz w:val="21"/>
                <w:szCs w:val="21"/>
                <w:lang w:eastAsia="en-AU"/>
                <w14:ligatures w14:val="none"/>
              </w:rPr>
              <w:t>UL</w:t>
            </w:r>
          </w:p>
          <w:p w14:paraId="7D9B78D1" w14:textId="77777777" w:rsidR="003D50F8" w:rsidRPr="00C7491B" w:rsidRDefault="003D50F8" w:rsidP="006C0C48">
            <w:pPr>
              <w:spacing w:after="0" w:line="240" w:lineRule="auto"/>
              <w:jc w:val="center"/>
              <w:rPr>
                <w:rFonts w:ascii="Calibri" w:eastAsia="Times New Roman" w:hAnsi="Calibri" w:cs="Calibri"/>
                <w:b/>
                <w:bCs/>
                <w:color w:val="FFFFFF" w:themeColor="background1"/>
                <w:kern w:val="0"/>
                <w:sz w:val="21"/>
                <w:szCs w:val="21"/>
                <w:lang w:eastAsia="en-AU"/>
                <w14:ligatures w14:val="none"/>
              </w:rPr>
            </w:pPr>
            <w:r w:rsidRPr="00C7491B">
              <w:rPr>
                <w:rFonts w:ascii="Calibri" w:eastAsia="Times New Roman" w:hAnsi="Calibri" w:cs="Calibri"/>
                <w:color w:val="FFFFFF" w:themeColor="background1"/>
                <w:kern w:val="0"/>
                <w:sz w:val="21"/>
                <w:szCs w:val="21"/>
                <w:lang w:eastAsia="en-AU"/>
                <w14:ligatures w14:val="none"/>
              </w:rPr>
              <w:t>(</w:t>
            </w:r>
            <w:r w:rsidRPr="00C7491B">
              <w:rPr>
                <w:rFonts w:ascii="Calibri" w:eastAsia="Times New Roman" w:hAnsi="Calibri" w:cs="Calibri"/>
                <w:color w:val="FFFFFF" w:themeColor="background1"/>
                <w:sz w:val="21"/>
                <w:szCs w:val="21"/>
              </w:rPr>
              <w:t>µg/day)</w:t>
            </w:r>
          </w:p>
        </w:tc>
        <w:tc>
          <w:tcPr>
            <w:tcW w:w="529" w:type="pct"/>
            <w:shd w:val="clear" w:color="auto" w:fill="156082" w:themeFill="accent1"/>
            <w:vAlign w:val="bottom"/>
          </w:tcPr>
          <w:p w14:paraId="15586262" w14:textId="77777777" w:rsidR="003D50F8" w:rsidRPr="00C7491B" w:rsidRDefault="003D50F8" w:rsidP="006C0C48">
            <w:pPr>
              <w:spacing w:after="0" w:line="240" w:lineRule="auto"/>
              <w:jc w:val="center"/>
              <w:rPr>
                <w:rFonts w:ascii="Calibri" w:eastAsia="Times New Roman" w:hAnsi="Calibri" w:cs="Calibri"/>
                <w:b/>
                <w:bCs/>
                <w:color w:val="FFFFFF" w:themeColor="background1"/>
                <w:kern w:val="0"/>
                <w:sz w:val="21"/>
                <w:szCs w:val="21"/>
                <w:lang w:eastAsia="en-AU"/>
                <w14:ligatures w14:val="none"/>
              </w:rPr>
            </w:pPr>
            <w:r w:rsidRPr="00C7491B">
              <w:rPr>
                <w:rFonts w:ascii="Calibri" w:eastAsia="Times New Roman" w:hAnsi="Calibri" w:cs="Calibri"/>
                <w:b/>
                <w:bCs/>
                <w:color w:val="FFFFFF" w:themeColor="background1"/>
                <w:kern w:val="0"/>
                <w:sz w:val="21"/>
                <w:szCs w:val="21"/>
                <w:lang w:eastAsia="en-AU"/>
                <w14:ligatures w14:val="none"/>
              </w:rPr>
              <w:t>Europe EFSA (2023)</w:t>
            </w:r>
          </w:p>
          <w:p w14:paraId="7AC31547" w14:textId="77777777" w:rsidR="003D50F8" w:rsidRPr="00C7491B" w:rsidRDefault="003D50F8" w:rsidP="006C0C48">
            <w:pPr>
              <w:spacing w:after="0" w:line="240" w:lineRule="auto"/>
              <w:jc w:val="center"/>
              <w:rPr>
                <w:rFonts w:ascii="Calibri" w:eastAsia="Times New Roman" w:hAnsi="Calibri" w:cs="Calibri"/>
                <w:color w:val="FFFFFF" w:themeColor="background1"/>
                <w:kern w:val="0"/>
                <w:sz w:val="21"/>
                <w:szCs w:val="21"/>
                <w:lang w:eastAsia="en-AU"/>
                <w14:ligatures w14:val="none"/>
              </w:rPr>
            </w:pPr>
            <w:r w:rsidRPr="00C7491B">
              <w:rPr>
                <w:rFonts w:ascii="Calibri" w:eastAsia="Times New Roman" w:hAnsi="Calibri" w:cs="Calibri"/>
                <w:color w:val="FFFFFF" w:themeColor="background1"/>
                <w:kern w:val="0"/>
                <w:sz w:val="21"/>
                <w:szCs w:val="21"/>
                <w:lang w:eastAsia="en-AU"/>
                <w14:ligatures w14:val="none"/>
              </w:rPr>
              <w:t xml:space="preserve">UL </w:t>
            </w:r>
          </w:p>
          <w:p w14:paraId="16C90401" w14:textId="2914302B" w:rsidR="003D50F8" w:rsidRPr="00C7491B" w:rsidRDefault="003D50F8" w:rsidP="006C0C48">
            <w:pPr>
              <w:shd w:val="clear" w:color="auto" w:fill="156082" w:themeFill="accent1"/>
              <w:spacing w:after="0" w:line="240" w:lineRule="auto"/>
              <w:jc w:val="center"/>
              <w:rPr>
                <w:rFonts w:ascii="Calibri" w:eastAsia="Times New Roman" w:hAnsi="Calibri" w:cs="Calibri"/>
                <w:b/>
                <w:bCs/>
                <w:color w:val="FFFFFF" w:themeColor="background1"/>
                <w:kern w:val="0"/>
                <w:sz w:val="21"/>
                <w:szCs w:val="21"/>
                <w:lang w:eastAsia="en-AU"/>
                <w14:ligatures w14:val="none"/>
              </w:rPr>
            </w:pPr>
            <w:r w:rsidRPr="00C7491B">
              <w:rPr>
                <w:rFonts w:ascii="Calibri" w:eastAsia="Times New Roman" w:hAnsi="Calibri" w:cs="Calibri"/>
                <w:color w:val="FFFFFF" w:themeColor="background1"/>
                <w:kern w:val="0"/>
                <w:sz w:val="21"/>
                <w:szCs w:val="21"/>
                <w:lang w:eastAsia="en-AU"/>
                <w14:ligatures w14:val="none"/>
              </w:rPr>
              <w:t>(</w:t>
            </w:r>
            <w:r w:rsidRPr="00C7491B">
              <w:rPr>
                <w:rFonts w:ascii="Calibri" w:eastAsia="Times New Roman" w:hAnsi="Calibri" w:cs="Calibri"/>
                <w:color w:val="FFFFFF" w:themeColor="background1"/>
                <w:sz w:val="21"/>
                <w:szCs w:val="21"/>
              </w:rPr>
              <w:t>µg/day)</w:t>
            </w:r>
          </w:p>
        </w:tc>
        <w:tc>
          <w:tcPr>
            <w:tcW w:w="529" w:type="pct"/>
            <w:shd w:val="clear" w:color="auto" w:fill="156082" w:themeFill="accent1"/>
          </w:tcPr>
          <w:p w14:paraId="18DFA890" w14:textId="77777777" w:rsidR="003D50F8" w:rsidRPr="00C7491B" w:rsidRDefault="003D50F8" w:rsidP="006C0C48">
            <w:pPr>
              <w:shd w:val="clear" w:color="auto" w:fill="156082" w:themeFill="accent1"/>
              <w:spacing w:after="0" w:line="240" w:lineRule="auto"/>
              <w:jc w:val="center"/>
              <w:rPr>
                <w:rFonts w:ascii="Calibri" w:eastAsia="Times New Roman" w:hAnsi="Calibri" w:cs="Calibri"/>
                <w:b/>
                <w:bCs/>
                <w:color w:val="FFFFFF" w:themeColor="background1"/>
                <w:kern w:val="0"/>
                <w:sz w:val="21"/>
                <w:szCs w:val="21"/>
                <w:lang w:eastAsia="en-AU"/>
                <w14:ligatures w14:val="none"/>
              </w:rPr>
            </w:pPr>
            <w:r w:rsidRPr="00C7491B">
              <w:rPr>
                <w:rFonts w:ascii="Calibri" w:eastAsia="Times New Roman" w:hAnsi="Calibri" w:cs="Calibri"/>
                <w:b/>
                <w:bCs/>
                <w:color w:val="FFFFFF" w:themeColor="background1"/>
                <w:kern w:val="0"/>
                <w:sz w:val="21"/>
                <w:szCs w:val="21"/>
                <w:lang w:eastAsia="en-AU"/>
                <w14:ligatures w14:val="none"/>
              </w:rPr>
              <w:t>E</w:t>
            </w:r>
            <w:r w:rsidR="00A127E8" w:rsidRPr="00C7491B">
              <w:rPr>
                <w:rFonts w:ascii="Calibri" w:eastAsia="Times New Roman" w:hAnsi="Calibri" w:cs="Calibri"/>
                <w:b/>
                <w:bCs/>
                <w:color w:val="FFFFFF" w:themeColor="background1"/>
                <w:kern w:val="0"/>
                <w:sz w:val="21"/>
                <w:szCs w:val="21"/>
                <w:lang w:eastAsia="en-AU"/>
                <w14:ligatures w14:val="none"/>
              </w:rPr>
              <w:t>urope</w:t>
            </w:r>
          </w:p>
          <w:p w14:paraId="504D412E" w14:textId="77777777" w:rsidR="00A127E8" w:rsidRPr="00C7491B" w:rsidRDefault="00A127E8" w:rsidP="006C0C48">
            <w:pPr>
              <w:shd w:val="clear" w:color="auto" w:fill="156082" w:themeFill="accent1"/>
              <w:spacing w:after="0" w:line="240" w:lineRule="auto"/>
              <w:jc w:val="center"/>
              <w:rPr>
                <w:rFonts w:ascii="Calibri" w:eastAsia="Times New Roman" w:hAnsi="Calibri" w:cs="Calibri"/>
                <w:b/>
                <w:bCs/>
                <w:color w:val="FFFFFF" w:themeColor="background1"/>
                <w:kern w:val="0"/>
                <w:sz w:val="21"/>
                <w:szCs w:val="21"/>
                <w:lang w:eastAsia="en-AU"/>
                <w14:ligatures w14:val="none"/>
              </w:rPr>
            </w:pPr>
            <w:r w:rsidRPr="00C7491B">
              <w:rPr>
                <w:rFonts w:ascii="Calibri" w:eastAsia="Times New Roman" w:hAnsi="Calibri" w:cs="Calibri"/>
                <w:b/>
                <w:bCs/>
                <w:color w:val="FFFFFF" w:themeColor="background1"/>
                <w:kern w:val="0"/>
                <w:sz w:val="21"/>
                <w:szCs w:val="21"/>
                <w:lang w:eastAsia="en-AU"/>
                <w14:ligatures w14:val="none"/>
              </w:rPr>
              <w:t>SCF</w:t>
            </w:r>
          </w:p>
          <w:p w14:paraId="0A73DB21" w14:textId="77777777" w:rsidR="00A127E8" w:rsidRPr="00C7491B" w:rsidRDefault="00A127E8" w:rsidP="006C0C48">
            <w:pPr>
              <w:shd w:val="clear" w:color="auto" w:fill="156082" w:themeFill="accent1"/>
              <w:spacing w:after="0" w:line="240" w:lineRule="auto"/>
              <w:jc w:val="center"/>
              <w:rPr>
                <w:rFonts w:ascii="Calibri" w:eastAsia="Times New Roman" w:hAnsi="Calibri" w:cs="Calibri"/>
                <w:b/>
                <w:bCs/>
                <w:color w:val="FFFFFF" w:themeColor="background1"/>
                <w:kern w:val="0"/>
                <w:sz w:val="21"/>
                <w:szCs w:val="21"/>
                <w:lang w:eastAsia="en-AU"/>
                <w14:ligatures w14:val="none"/>
              </w:rPr>
            </w:pPr>
            <w:r w:rsidRPr="00C7491B">
              <w:rPr>
                <w:rFonts w:ascii="Calibri" w:eastAsia="Times New Roman" w:hAnsi="Calibri" w:cs="Calibri"/>
                <w:b/>
                <w:bCs/>
                <w:color w:val="FFFFFF" w:themeColor="background1"/>
                <w:kern w:val="0"/>
                <w:sz w:val="21"/>
                <w:szCs w:val="21"/>
                <w:lang w:eastAsia="en-AU"/>
                <w14:ligatures w14:val="none"/>
              </w:rPr>
              <w:t>(2000)</w:t>
            </w:r>
          </w:p>
          <w:p w14:paraId="3D3403EC" w14:textId="77777777" w:rsidR="0088058C" w:rsidRPr="00C7491B" w:rsidRDefault="0088058C" w:rsidP="0088058C">
            <w:pPr>
              <w:spacing w:after="0" w:line="240" w:lineRule="auto"/>
              <w:jc w:val="center"/>
              <w:rPr>
                <w:rFonts w:ascii="Calibri" w:eastAsia="Times New Roman" w:hAnsi="Calibri" w:cs="Calibri"/>
                <w:color w:val="FFFFFF" w:themeColor="background1"/>
                <w:kern w:val="0"/>
                <w:sz w:val="21"/>
                <w:szCs w:val="21"/>
                <w:lang w:eastAsia="en-AU"/>
                <w14:ligatures w14:val="none"/>
              </w:rPr>
            </w:pPr>
            <w:r w:rsidRPr="00C7491B">
              <w:rPr>
                <w:rFonts w:ascii="Calibri" w:eastAsia="Times New Roman" w:hAnsi="Calibri" w:cs="Calibri"/>
                <w:color w:val="FFFFFF" w:themeColor="background1"/>
                <w:kern w:val="0"/>
                <w:sz w:val="21"/>
                <w:szCs w:val="21"/>
                <w:lang w:eastAsia="en-AU"/>
                <w14:ligatures w14:val="none"/>
              </w:rPr>
              <w:t xml:space="preserve">UL </w:t>
            </w:r>
          </w:p>
          <w:p w14:paraId="1567B3B0" w14:textId="0F873E18" w:rsidR="0088058C" w:rsidRPr="00C7491B" w:rsidRDefault="0088058C" w:rsidP="0088058C">
            <w:pPr>
              <w:shd w:val="clear" w:color="auto" w:fill="156082" w:themeFill="accent1"/>
              <w:spacing w:after="0" w:line="240" w:lineRule="auto"/>
              <w:jc w:val="center"/>
              <w:rPr>
                <w:rFonts w:ascii="Calibri" w:eastAsia="Times New Roman" w:hAnsi="Calibri" w:cs="Calibri"/>
                <w:b/>
                <w:bCs/>
                <w:color w:val="FFFFFF" w:themeColor="background1"/>
                <w:kern w:val="0"/>
                <w:sz w:val="21"/>
                <w:szCs w:val="21"/>
                <w:lang w:eastAsia="en-AU"/>
                <w14:ligatures w14:val="none"/>
              </w:rPr>
            </w:pPr>
            <w:r w:rsidRPr="00C7491B">
              <w:rPr>
                <w:rFonts w:ascii="Calibri" w:eastAsia="Times New Roman" w:hAnsi="Calibri" w:cs="Calibri"/>
                <w:color w:val="FFFFFF" w:themeColor="background1"/>
                <w:kern w:val="0"/>
                <w:sz w:val="21"/>
                <w:szCs w:val="21"/>
                <w:lang w:eastAsia="en-AU"/>
                <w14:ligatures w14:val="none"/>
              </w:rPr>
              <w:t>(</w:t>
            </w:r>
            <w:r w:rsidRPr="00C7491B">
              <w:rPr>
                <w:rFonts w:ascii="Calibri" w:eastAsia="Times New Roman" w:hAnsi="Calibri" w:cs="Calibri"/>
                <w:color w:val="FFFFFF" w:themeColor="background1"/>
                <w:sz w:val="21"/>
                <w:szCs w:val="21"/>
              </w:rPr>
              <w:t>µg/day)</w:t>
            </w:r>
          </w:p>
        </w:tc>
        <w:tc>
          <w:tcPr>
            <w:tcW w:w="494" w:type="pct"/>
            <w:shd w:val="clear" w:color="auto" w:fill="156082" w:themeFill="accent1"/>
          </w:tcPr>
          <w:p w14:paraId="1DB82B76" w14:textId="77777777" w:rsidR="0088058C" w:rsidRPr="00C7491B" w:rsidRDefault="003D50F8" w:rsidP="006C0C48">
            <w:pPr>
              <w:shd w:val="clear" w:color="auto" w:fill="156082" w:themeFill="accent1"/>
              <w:spacing w:after="0" w:line="240" w:lineRule="auto"/>
              <w:jc w:val="center"/>
              <w:rPr>
                <w:rFonts w:ascii="Calibri" w:eastAsia="Times New Roman" w:hAnsi="Calibri" w:cs="Calibri"/>
                <w:b/>
                <w:bCs/>
                <w:color w:val="FFFFFF" w:themeColor="background1"/>
                <w:kern w:val="0"/>
                <w:sz w:val="21"/>
                <w:szCs w:val="21"/>
                <w:lang w:eastAsia="en-AU"/>
                <w14:ligatures w14:val="none"/>
              </w:rPr>
            </w:pPr>
            <w:r w:rsidRPr="00C7491B">
              <w:rPr>
                <w:rFonts w:ascii="Calibri" w:eastAsia="Times New Roman" w:hAnsi="Calibri" w:cs="Calibri"/>
                <w:b/>
                <w:bCs/>
                <w:color w:val="FFFFFF" w:themeColor="background1"/>
                <w:kern w:val="0"/>
                <w:sz w:val="21"/>
                <w:szCs w:val="21"/>
                <w:lang w:eastAsia="en-AU"/>
                <w14:ligatures w14:val="none"/>
              </w:rPr>
              <w:t xml:space="preserve">US </w:t>
            </w:r>
          </w:p>
          <w:p w14:paraId="23C863C2" w14:textId="2EAEFFAE" w:rsidR="0088058C" w:rsidRPr="00C7491B" w:rsidRDefault="0088058C" w:rsidP="006C0C48">
            <w:pPr>
              <w:shd w:val="clear" w:color="auto" w:fill="156082" w:themeFill="accent1"/>
              <w:spacing w:after="0" w:line="240" w:lineRule="auto"/>
              <w:jc w:val="center"/>
              <w:rPr>
                <w:rFonts w:ascii="Calibri" w:eastAsia="Times New Roman" w:hAnsi="Calibri" w:cs="Calibri"/>
                <w:b/>
                <w:bCs/>
                <w:color w:val="FFFFFF" w:themeColor="background1"/>
                <w:kern w:val="0"/>
                <w:sz w:val="21"/>
                <w:szCs w:val="21"/>
                <w:lang w:eastAsia="en-AU"/>
                <w14:ligatures w14:val="none"/>
              </w:rPr>
            </w:pPr>
            <w:r w:rsidRPr="00C7491B">
              <w:rPr>
                <w:rFonts w:ascii="Calibri" w:eastAsia="Times New Roman" w:hAnsi="Calibri" w:cs="Calibri"/>
                <w:b/>
                <w:bCs/>
                <w:color w:val="FFFFFF" w:themeColor="background1"/>
                <w:kern w:val="0"/>
                <w:sz w:val="21"/>
                <w:szCs w:val="21"/>
                <w:lang w:eastAsia="en-AU"/>
                <w14:ligatures w14:val="none"/>
              </w:rPr>
              <w:t>IOM</w:t>
            </w:r>
          </w:p>
          <w:p w14:paraId="5076DFCA" w14:textId="794694D3" w:rsidR="003D50F8" w:rsidRPr="00C7491B" w:rsidRDefault="003D50F8" w:rsidP="006C0C48">
            <w:pPr>
              <w:shd w:val="clear" w:color="auto" w:fill="156082" w:themeFill="accent1"/>
              <w:spacing w:after="0" w:line="240" w:lineRule="auto"/>
              <w:jc w:val="center"/>
              <w:rPr>
                <w:rFonts w:ascii="Calibri" w:eastAsia="Times New Roman" w:hAnsi="Calibri" w:cs="Calibri"/>
                <w:b/>
                <w:bCs/>
                <w:color w:val="FFFFFF" w:themeColor="background1"/>
                <w:kern w:val="0"/>
                <w:sz w:val="21"/>
                <w:szCs w:val="21"/>
                <w:lang w:eastAsia="en-AU"/>
                <w14:ligatures w14:val="none"/>
              </w:rPr>
            </w:pPr>
            <w:r w:rsidRPr="00C7491B">
              <w:rPr>
                <w:rFonts w:ascii="Calibri" w:eastAsia="Times New Roman" w:hAnsi="Calibri" w:cs="Calibri"/>
                <w:b/>
                <w:bCs/>
                <w:color w:val="FFFFFF" w:themeColor="background1"/>
                <w:kern w:val="0"/>
                <w:sz w:val="21"/>
                <w:szCs w:val="21"/>
                <w:lang w:eastAsia="en-AU"/>
                <w14:ligatures w14:val="none"/>
              </w:rPr>
              <w:t xml:space="preserve">(2000) </w:t>
            </w:r>
          </w:p>
          <w:p w14:paraId="7B741794" w14:textId="77777777" w:rsidR="003D50F8" w:rsidRPr="00C7491B" w:rsidRDefault="003D50F8" w:rsidP="006C0C48">
            <w:pPr>
              <w:shd w:val="clear" w:color="auto" w:fill="156082" w:themeFill="accent1"/>
              <w:spacing w:after="0" w:line="240" w:lineRule="auto"/>
              <w:jc w:val="center"/>
              <w:rPr>
                <w:rFonts w:ascii="Calibri" w:eastAsia="Times New Roman" w:hAnsi="Calibri" w:cs="Calibri"/>
                <w:color w:val="FFFFFF" w:themeColor="background1"/>
                <w:kern w:val="0"/>
                <w:sz w:val="21"/>
                <w:szCs w:val="21"/>
                <w:lang w:eastAsia="en-AU"/>
                <w14:ligatures w14:val="none"/>
              </w:rPr>
            </w:pPr>
            <w:r w:rsidRPr="00C7491B">
              <w:rPr>
                <w:rFonts w:ascii="Calibri" w:eastAsia="Times New Roman" w:hAnsi="Calibri" w:cs="Calibri"/>
                <w:color w:val="FFFFFF" w:themeColor="background1"/>
                <w:kern w:val="0"/>
                <w:sz w:val="21"/>
                <w:szCs w:val="21"/>
                <w:lang w:eastAsia="en-AU"/>
                <w14:ligatures w14:val="none"/>
              </w:rPr>
              <w:t>UL</w:t>
            </w:r>
          </w:p>
          <w:p w14:paraId="2FB988BF" w14:textId="77777777" w:rsidR="003D50F8" w:rsidRPr="00C7491B" w:rsidRDefault="003D50F8" w:rsidP="006C0C48">
            <w:pPr>
              <w:shd w:val="clear" w:color="auto" w:fill="156082" w:themeFill="accent1"/>
              <w:spacing w:after="0" w:line="240" w:lineRule="auto"/>
              <w:jc w:val="center"/>
              <w:rPr>
                <w:rFonts w:ascii="Calibri" w:eastAsia="Times New Roman" w:hAnsi="Calibri" w:cs="Calibri"/>
                <w:b/>
                <w:bCs/>
                <w:color w:val="FFFFFF" w:themeColor="background1"/>
                <w:kern w:val="0"/>
                <w:sz w:val="21"/>
                <w:szCs w:val="21"/>
                <w:lang w:eastAsia="en-AU"/>
                <w14:ligatures w14:val="none"/>
              </w:rPr>
            </w:pPr>
            <w:r w:rsidRPr="00C7491B">
              <w:rPr>
                <w:rFonts w:ascii="Calibri" w:eastAsia="Times New Roman" w:hAnsi="Calibri" w:cs="Calibri"/>
                <w:color w:val="FFFFFF" w:themeColor="background1"/>
                <w:kern w:val="0"/>
                <w:sz w:val="21"/>
                <w:szCs w:val="21"/>
                <w:lang w:eastAsia="en-AU"/>
                <w14:ligatures w14:val="none"/>
              </w:rPr>
              <w:t>(</w:t>
            </w:r>
            <w:r w:rsidRPr="00C7491B">
              <w:rPr>
                <w:rFonts w:ascii="Calibri" w:eastAsia="Times New Roman" w:hAnsi="Calibri" w:cs="Calibri"/>
                <w:color w:val="FFFFFF" w:themeColor="background1"/>
                <w:sz w:val="21"/>
                <w:szCs w:val="21"/>
              </w:rPr>
              <w:t>µg/day</w:t>
            </w:r>
          </w:p>
        </w:tc>
        <w:tc>
          <w:tcPr>
            <w:tcW w:w="529" w:type="pct"/>
            <w:shd w:val="clear" w:color="auto" w:fill="156082" w:themeFill="accent1"/>
            <w:vAlign w:val="bottom"/>
            <w:hideMark/>
          </w:tcPr>
          <w:p w14:paraId="040C22CE" w14:textId="761F988E" w:rsidR="003D50F8" w:rsidRPr="00C7491B" w:rsidRDefault="003D50F8" w:rsidP="006C0C48">
            <w:pPr>
              <w:spacing w:after="0" w:line="240" w:lineRule="auto"/>
              <w:jc w:val="center"/>
              <w:rPr>
                <w:rFonts w:ascii="Calibri" w:eastAsia="Times New Roman" w:hAnsi="Calibri" w:cs="Calibri"/>
                <w:b/>
                <w:bCs/>
                <w:color w:val="FFFFFF" w:themeColor="background1"/>
                <w:kern w:val="0"/>
                <w:sz w:val="21"/>
                <w:szCs w:val="21"/>
                <w:lang w:eastAsia="en-AU"/>
                <w14:ligatures w14:val="none"/>
              </w:rPr>
            </w:pPr>
            <w:r w:rsidRPr="00C7491B">
              <w:rPr>
                <w:rFonts w:ascii="Calibri" w:eastAsia="Times New Roman" w:hAnsi="Calibri" w:cs="Calibri"/>
                <w:b/>
                <w:bCs/>
                <w:color w:val="FFFFFF" w:themeColor="background1"/>
                <w:kern w:val="0"/>
                <w:sz w:val="21"/>
                <w:szCs w:val="21"/>
                <w:lang w:eastAsia="en-AU"/>
                <w14:ligatures w14:val="none"/>
              </w:rPr>
              <w:t xml:space="preserve">UK </w:t>
            </w:r>
          </w:p>
          <w:p w14:paraId="66B81BC7" w14:textId="30F0F79F" w:rsidR="00D27678" w:rsidRPr="00C7491B" w:rsidRDefault="00D27678" w:rsidP="006C0C48">
            <w:pPr>
              <w:spacing w:after="0" w:line="240" w:lineRule="auto"/>
              <w:jc w:val="center"/>
              <w:rPr>
                <w:rFonts w:ascii="Calibri" w:eastAsia="Times New Roman" w:hAnsi="Calibri" w:cs="Calibri"/>
                <w:b/>
                <w:bCs/>
                <w:color w:val="FFFFFF" w:themeColor="background1"/>
                <w:kern w:val="0"/>
                <w:sz w:val="21"/>
                <w:szCs w:val="21"/>
                <w:lang w:eastAsia="en-AU"/>
                <w14:ligatures w14:val="none"/>
              </w:rPr>
            </w:pPr>
            <w:r w:rsidRPr="00C7491B">
              <w:rPr>
                <w:rFonts w:ascii="Calibri" w:eastAsia="Times New Roman" w:hAnsi="Calibri" w:cs="Calibri"/>
                <w:b/>
                <w:bCs/>
                <w:color w:val="FFFFFF" w:themeColor="background1"/>
                <w:kern w:val="0"/>
                <w:sz w:val="21"/>
                <w:szCs w:val="21"/>
                <w:lang w:eastAsia="en-AU"/>
                <w14:ligatures w14:val="none"/>
              </w:rPr>
              <w:t>EVM</w:t>
            </w:r>
          </w:p>
          <w:p w14:paraId="609FEDA9" w14:textId="4DD3B5D7" w:rsidR="003D50F8" w:rsidRPr="00C7491B" w:rsidRDefault="003D50F8" w:rsidP="006C0C48">
            <w:pPr>
              <w:spacing w:after="0" w:line="240" w:lineRule="auto"/>
              <w:jc w:val="center"/>
              <w:rPr>
                <w:rFonts w:ascii="Calibri" w:eastAsia="Times New Roman" w:hAnsi="Calibri" w:cs="Calibri"/>
                <w:b/>
                <w:bCs/>
                <w:color w:val="FFFFFF" w:themeColor="background1"/>
                <w:kern w:val="0"/>
                <w:sz w:val="21"/>
                <w:szCs w:val="21"/>
                <w:lang w:eastAsia="en-AU"/>
                <w14:ligatures w14:val="none"/>
              </w:rPr>
            </w:pPr>
            <w:r w:rsidRPr="00C7491B">
              <w:rPr>
                <w:rFonts w:ascii="Calibri" w:eastAsia="Times New Roman" w:hAnsi="Calibri" w:cs="Calibri"/>
                <w:b/>
                <w:bCs/>
                <w:color w:val="FFFFFF" w:themeColor="background1"/>
                <w:kern w:val="0"/>
                <w:sz w:val="21"/>
                <w:szCs w:val="21"/>
                <w:lang w:eastAsia="en-AU"/>
                <w14:ligatures w14:val="none"/>
              </w:rPr>
              <w:t>(2003)</w:t>
            </w:r>
          </w:p>
          <w:p w14:paraId="726D4867" w14:textId="77777777" w:rsidR="003D50F8" w:rsidRPr="00C7491B" w:rsidRDefault="003D50F8" w:rsidP="006C0C48">
            <w:pPr>
              <w:spacing w:after="0" w:line="240" w:lineRule="auto"/>
              <w:jc w:val="center"/>
              <w:rPr>
                <w:rFonts w:ascii="Calibri" w:eastAsia="Times New Roman" w:hAnsi="Calibri" w:cs="Calibri"/>
                <w:color w:val="FFFFFF" w:themeColor="background1"/>
                <w:kern w:val="0"/>
                <w:sz w:val="21"/>
                <w:szCs w:val="21"/>
                <w:lang w:eastAsia="en-AU"/>
                <w14:ligatures w14:val="none"/>
              </w:rPr>
            </w:pPr>
            <w:r w:rsidRPr="00C7491B">
              <w:rPr>
                <w:rFonts w:ascii="Calibri" w:eastAsia="Times New Roman" w:hAnsi="Calibri" w:cs="Calibri"/>
                <w:color w:val="FFFFFF" w:themeColor="background1"/>
                <w:kern w:val="0"/>
                <w:sz w:val="21"/>
                <w:szCs w:val="21"/>
                <w:lang w:eastAsia="en-AU"/>
                <w14:ligatures w14:val="none"/>
              </w:rPr>
              <w:t>UL</w:t>
            </w:r>
          </w:p>
          <w:p w14:paraId="657F99B7" w14:textId="77777777" w:rsidR="003D50F8" w:rsidRPr="00C7491B" w:rsidRDefault="003D50F8" w:rsidP="006C0C48">
            <w:pPr>
              <w:spacing w:after="0" w:line="240" w:lineRule="auto"/>
              <w:jc w:val="center"/>
              <w:rPr>
                <w:rFonts w:ascii="Calibri" w:eastAsia="Times New Roman" w:hAnsi="Calibri" w:cs="Calibri"/>
                <w:b/>
                <w:bCs/>
                <w:color w:val="FFFFFF" w:themeColor="background1"/>
                <w:kern w:val="0"/>
                <w:sz w:val="21"/>
                <w:szCs w:val="21"/>
                <w:lang w:eastAsia="en-AU"/>
                <w14:ligatures w14:val="none"/>
              </w:rPr>
            </w:pPr>
            <w:r w:rsidRPr="00C7491B">
              <w:rPr>
                <w:rFonts w:ascii="Calibri" w:eastAsia="Times New Roman" w:hAnsi="Calibri" w:cs="Calibri"/>
                <w:color w:val="FFFFFF" w:themeColor="background1"/>
                <w:kern w:val="0"/>
                <w:sz w:val="21"/>
                <w:szCs w:val="21"/>
                <w:lang w:eastAsia="en-AU"/>
                <w14:ligatures w14:val="none"/>
              </w:rPr>
              <w:t>(</w:t>
            </w:r>
            <w:r w:rsidRPr="00C7491B">
              <w:rPr>
                <w:rFonts w:ascii="Calibri" w:eastAsia="Times New Roman" w:hAnsi="Calibri" w:cs="Calibri"/>
                <w:color w:val="FFFFFF" w:themeColor="background1"/>
                <w:sz w:val="21"/>
                <w:szCs w:val="21"/>
              </w:rPr>
              <w:t>µg/day)</w:t>
            </w:r>
          </w:p>
        </w:tc>
        <w:tc>
          <w:tcPr>
            <w:tcW w:w="529" w:type="pct"/>
            <w:shd w:val="clear" w:color="auto" w:fill="156082" w:themeFill="accent1"/>
            <w:vAlign w:val="bottom"/>
          </w:tcPr>
          <w:p w14:paraId="6B38FCE3" w14:textId="52E49E2E" w:rsidR="003D50F8" w:rsidRPr="00C7491B" w:rsidRDefault="003D50F8" w:rsidP="006C0C48">
            <w:pPr>
              <w:spacing w:after="0" w:line="240" w:lineRule="auto"/>
              <w:jc w:val="center"/>
              <w:rPr>
                <w:rFonts w:ascii="Calibri" w:eastAsia="Times New Roman" w:hAnsi="Calibri" w:cs="Calibri"/>
                <w:b/>
                <w:bCs/>
                <w:color w:val="FFFFFF" w:themeColor="background1"/>
                <w:kern w:val="0"/>
                <w:sz w:val="21"/>
                <w:szCs w:val="21"/>
                <w:lang w:eastAsia="en-AU"/>
                <w14:ligatures w14:val="none"/>
              </w:rPr>
            </w:pPr>
            <w:r w:rsidRPr="00C7491B">
              <w:rPr>
                <w:rFonts w:ascii="Calibri" w:eastAsia="Times New Roman" w:hAnsi="Calibri" w:cs="Calibri"/>
                <w:b/>
                <w:bCs/>
                <w:color w:val="FFFFFF" w:themeColor="background1"/>
                <w:kern w:val="0"/>
                <w:sz w:val="21"/>
                <w:szCs w:val="21"/>
                <w:lang w:eastAsia="en-AU"/>
                <w14:ligatures w14:val="none"/>
              </w:rPr>
              <w:t xml:space="preserve">WHO/ FAO </w:t>
            </w:r>
          </w:p>
          <w:p w14:paraId="044A7087" w14:textId="77777777" w:rsidR="003D50F8" w:rsidRPr="00C7491B" w:rsidRDefault="003D50F8" w:rsidP="006C0C48">
            <w:pPr>
              <w:spacing w:after="0" w:line="240" w:lineRule="auto"/>
              <w:jc w:val="center"/>
              <w:rPr>
                <w:rFonts w:ascii="Calibri" w:eastAsia="Times New Roman" w:hAnsi="Calibri" w:cs="Calibri"/>
                <w:b/>
                <w:bCs/>
                <w:color w:val="FFFFFF" w:themeColor="background1"/>
                <w:kern w:val="0"/>
                <w:sz w:val="21"/>
                <w:szCs w:val="21"/>
                <w:lang w:eastAsia="en-AU"/>
                <w14:ligatures w14:val="none"/>
              </w:rPr>
            </w:pPr>
            <w:r w:rsidRPr="00C7491B">
              <w:rPr>
                <w:rFonts w:ascii="Calibri" w:eastAsia="Times New Roman" w:hAnsi="Calibri" w:cs="Calibri"/>
                <w:b/>
                <w:bCs/>
                <w:color w:val="FFFFFF" w:themeColor="background1"/>
                <w:kern w:val="0"/>
                <w:sz w:val="21"/>
                <w:szCs w:val="21"/>
                <w:lang w:eastAsia="en-AU"/>
                <w14:ligatures w14:val="none"/>
              </w:rPr>
              <w:t>(2004)</w:t>
            </w:r>
          </w:p>
          <w:p w14:paraId="36CB996D" w14:textId="64816ABA" w:rsidR="003D50F8" w:rsidRPr="00C7491B" w:rsidRDefault="003D50F8" w:rsidP="006C0C48">
            <w:pPr>
              <w:spacing w:after="0" w:line="240" w:lineRule="auto"/>
              <w:jc w:val="center"/>
              <w:rPr>
                <w:rFonts w:ascii="Calibri" w:eastAsia="Times New Roman" w:hAnsi="Calibri" w:cs="Calibri"/>
                <w:color w:val="FFFFFF" w:themeColor="background1"/>
                <w:kern w:val="0"/>
                <w:sz w:val="21"/>
                <w:szCs w:val="21"/>
                <w:lang w:eastAsia="en-AU"/>
                <w14:ligatures w14:val="none"/>
              </w:rPr>
            </w:pPr>
            <w:r w:rsidRPr="00C7491B">
              <w:rPr>
                <w:rFonts w:ascii="Calibri" w:eastAsia="Times New Roman" w:hAnsi="Calibri" w:cs="Calibri"/>
                <w:color w:val="FFFFFF" w:themeColor="background1"/>
                <w:kern w:val="0"/>
                <w:sz w:val="21"/>
                <w:szCs w:val="21"/>
                <w:lang w:eastAsia="en-AU"/>
                <w14:ligatures w14:val="none"/>
              </w:rPr>
              <w:t>UL</w:t>
            </w:r>
          </w:p>
          <w:p w14:paraId="3BC9AEC8" w14:textId="77777777" w:rsidR="003D50F8" w:rsidRPr="00C7491B" w:rsidRDefault="003D50F8" w:rsidP="006C0C48">
            <w:pPr>
              <w:spacing w:after="0" w:line="240" w:lineRule="auto"/>
              <w:jc w:val="center"/>
              <w:rPr>
                <w:rFonts w:ascii="Calibri" w:eastAsia="Times New Roman" w:hAnsi="Calibri" w:cs="Calibri"/>
                <w:b/>
                <w:bCs/>
                <w:color w:val="FFFFFF" w:themeColor="background1"/>
                <w:kern w:val="0"/>
                <w:sz w:val="21"/>
                <w:szCs w:val="21"/>
                <w:lang w:eastAsia="en-AU"/>
                <w14:ligatures w14:val="none"/>
              </w:rPr>
            </w:pPr>
            <w:r w:rsidRPr="00C7491B">
              <w:rPr>
                <w:rFonts w:ascii="Calibri" w:eastAsia="Times New Roman" w:hAnsi="Calibri" w:cs="Calibri"/>
                <w:color w:val="FFFFFF" w:themeColor="background1"/>
                <w:kern w:val="0"/>
                <w:sz w:val="21"/>
                <w:szCs w:val="21"/>
                <w:lang w:eastAsia="en-AU"/>
                <w14:ligatures w14:val="none"/>
              </w:rPr>
              <w:t>(</w:t>
            </w:r>
            <w:r w:rsidRPr="00C7491B">
              <w:rPr>
                <w:rFonts w:ascii="Calibri" w:eastAsia="Times New Roman" w:hAnsi="Calibri" w:cs="Calibri"/>
                <w:color w:val="FFFFFF" w:themeColor="background1"/>
                <w:sz w:val="21"/>
                <w:szCs w:val="21"/>
              </w:rPr>
              <w:t>µg/day)</w:t>
            </w:r>
          </w:p>
        </w:tc>
      </w:tr>
      <w:tr w:rsidR="00DB0290" w:rsidRPr="00D633FF" w14:paraId="1BA5CCA6" w14:textId="77777777" w:rsidTr="00C7491B">
        <w:trPr>
          <w:trHeight w:val="300"/>
        </w:trPr>
        <w:tc>
          <w:tcPr>
            <w:tcW w:w="1334" w:type="pct"/>
            <w:noWrap/>
            <w:vAlign w:val="center"/>
          </w:tcPr>
          <w:p w14:paraId="1C1A689B" w14:textId="7E3567B6" w:rsidR="003D50F8" w:rsidRPr="00D633FF" w:rsidRDefault="003D50F8" w:rsidP="006C0C48">
            <w:pPr>
              <w:spacing w:after="0" w:line="240" w:lineRule="auto"/>
              <w:rPr>
                <w:rFonts w:ascii="Calibri" w:eastAsia="Times New Roman" w:hAnsi="Calibri" w:cs="Calibri"/>
                <w:color w:val="000000"/>
                <w:kern w:val="0"/>
                <w:lang w:eastAsia="en-AU"/>
                <w14:ligatures w14:val="none"/>
              </w:rPr>
            </w:pPr>
            <w:r w:rsidRPr="00D633FF">
              <w:rPr>
                <w:rFonts w:ascii="Calibri" w:eastAsia="Times New Roman" w:hAnsi="Calibri" w:cs="Calibri"/>
                <w:color w:val="000000"/>
                <w:kern w:val="0"/>
                <w:lang w:eastAsia="en-AU"/>
                <w14:ligatures w14:val="none"/>
              </w:rPr>
              <w:t>Adults 18 +years</w:t>
            </w:r>
          </w:p>
        </w:tc>
        <w:tc>
          <w:tcPr>
            <w:tcW w:w="509" w:type="pct"/>
            <w:vAlign w:val="center"/>
          </w:tcPr>
          <w:p w14:paraId="3C2BB470" w14:textId="44A89DF5" w:rsidR="003D50F8" w:rsidRPr="00D633FF" w:rsidRDefault="003D50F8" w:rsidP="006C0C48">
            <w:pPr>
              <w:spacing w:after="0" w:line="240" w:lineRule="auto"/>
              <w:jc w:val="center"/>
              <w:rPr>
                <w:rFonts w:ascii="Calibri" w:eastAsia="Times New Roman" w:hAnsi="Calibri" w:cs="Calibri"/>
                <w:color w:val="000000"/>
                <w:kern w:val="0"/>
                <w:lang w:eastAsia="en-AU"/>
                <w14:ligatures w14:val="none"/>
              </w:rPr>
            </w:pPr>
            <w:r w:rsidRPr="00D633FF">
              <w:rPr>
                <w:rFonts w:ascii="Calibri" w:eastAsia="Times New Roman" w:hAnsi="Calibri" w:cs="Calibri"/>
                <w:color w:val="000000"/>
                <w:kern w:val="0"/>
                <w:lang w:eastAsia="en-AU"/>
                <w14:ligatures w14:val="none"/>
              </w:rPr>
              <w:t>330</w:t>
            </w:r>
            <w:r w:rsidR="00C6231A" w:rsidRPr="00D633FF">
              <w:rPr>
                <w:rFonts w:ascii="Calibri" w:eastAsia="Times New Roman" w:hAnsi="Calibri" w:cs="Calibri"/>
                <w:color w:val="000000"/>
                <w:kern w:val="0"/>
                <w:vertAlign w:val="superscript"/>
                <w:lang w:eastAsia="en-AU"/>
                <w14:ligatures w14:val="none"/>
              </w:rPr>
              <w:t>#</w:t>
            </w:r>
          </w:p>
        </w:tc>
        <w:tc>
          <w:tcPr>
            <w:tcW w:w="547" w:type="pct"/>
            <w:noWrap/>
            <w:vAlign w:val="center"/>
          </w:tcPr>
          <w:p w14:paraId="73B5F404" w14:textId="479CD34D" w:rsidR="003D50F8" w:rsidRPr="00D633FF" w:rsidRDefault="003D50F8" w:rsidP="006C0C48">
            <w:pPr>
              <w:spacing w:after="0" w:line="240" w:lineRule="auto"/>
              <w:jc w:val="center"/>
              <w:rPr>
                <w:rFonts w:ascii="Calibri" w:eastAsia="Times New Roman" w:hAnsi="Calibri" w:cs="Calibri"/>
                <w:color w:val="000000"/>
                <w:kern w:val="0"/>
                <w:lang w:eastAsia="en-AU"/>
                <w14:ligatures w14:val="none"/>
              </w:rPr>
            </w:pPr>
            <w:r w:rsidRPr="00D633FF">
              <w:rPr>
                <w:rFonts w:ascii="Calibri" w:eastAsia="Times New Roman" w:hAnsi="Calibri" w:cs="Calibri"/>
                <w:color w:val="000000"/>
                <w:kern w:val="0"/>
                <w:lang w:eastAsia="en-AU"/>
                <w14:ligatures w14:val="none"/>
              </w:rPr>
              <w:t>400</w:t>
            </w:r>
            <w:r w:rsidR="00C6231A" w:rsidRPr="00D633FF">
              <w:rPr>
                <w:rFonts w:ascii="Calibri" w:eastAsia="Times New Roman" w:hAnsi="Calibri" w:cs="Calibri"/>
                <w:color w:val="000000"/>
                <w:kern w:val="0"/>
                <w:vertAlign w:val="superscript"/>
                <w:lang w:eastAsia="en-AU"/>
                <w14:ligatures w14:val="none"/>
              </w:rPr>
              <w:t>#</w:t>
            </w:r>
          </w:p>
        </w:tc>
        <w:tc>
          <w:tcPr>
            <w:tcW w:w="529" w:type="pct"/>
            <w:vAlign w:val="center"/>
          </w:tcPr>
          <w:p w14:paraId="5AF6F65D" w14:textId="6D8EA51E" w:rsidR="003D50F8" w:rsidRPr="00D633FF" w:rsidRDefault="003D50F8" w:rsidP="006C0C48">
            <w:pPr>
              <w:spacing w:after="0" w:line="240" w:lineRule="auto"/>
              <w:jc w:val="center"/>
              <w:rPr>
                <w:rFonts w:ascii="Calibri" w:eastAsia="Times New Roman" w:hAnsi="Calibri" w:cs="Calibri"/>
                <w:color w:val="000000"/>
                <w:kern w:val="0"/>
                <w:lang w:eastAsia="en-AU"/>
                <w14:ligatures w14:val="none"/>
              </w:rPr>
            </w:pPr>
            <w:r w:rsidRPr="00D633FF">
              <w:rPr>
                <w:rFonts w:ascii="Calibri" w:eastAsia="Times New Roman" w:hAnsi="Calibri" w:cs="Calibri"/>
                <w:color w:val="000000"/>
                <w:kern w:val="0"/>
                <w:lang w:eastAsia="en-AU"/>
                <w14:ligatures w14:val="none"/>
              </w:rPr>
              <w:t>255</w:t>
            </w:r>
            <w:r w:rsidR="00C6231A" w:rsidRPr="00D633FF">
              <w:rPr>
                <w:rFonts w:ascii="Calibri" w:eastAsia="Times New Roman" w:hAnsi="Calibri" w:cs="Calibri"/>
                <w:color w:val="000000"/>
                <w:kern w:val="0"/>
                <w:vertAlign w:val="superscript"/>
                <w:lang w:eastAsia="en-AU"/>
                <w14:ligatures w14:val="none"/>
              </w:rPr>
              <w:t>#</w:t>
            </w:r>
          </w:p>
        </w:tc>
        <w:tc>
          <w:tcPr>
            <w:tcW w:w="529" w:type="pct"/>
          </w:tcPr>
          <w:p w14:paraId="45BC7C47" w14:textId="69A2A530" w:rsidR="003D50F8" w:rsidRPr="00D633FF" w:rsidRDefault="00D27678" w:rsidP="006C0C48">
            <w:pPr>
              <w:spacing w:after="0" w:line="240" w:lineRule="auto"/>
              <w:jc w:val="center"/>
              <w:rPr>
                <w:rFonts w:ascii="Calibri" w:eastAsia="Times New Roman" w:hAnsi="Calibri" w:cs="Calibri"/>
                <w:color w:val="000000"/>
                <w:kern w:val="0"/>
                <w:lang w:eastAsia="en-AU"/>
                <w14:ligatures w14:val="none"/>
              </w:rPr>
            </w:pPr>
            <w:r w:rsidRPr="00D633FF">
              <w:rPr>
                <w:rFonts w:ascii="Calibri" w:eastAsia="Times New Roman" w:hAnsi="Calibri" w:cs="Calibri"/>
                <w:color w:val="000000"/>
                <w:kern w:val="0"/>
                <w:lang w:eastAsia="en-AU"/>
                <w14:ligatures w14:val="none"/>
              </w:rPr>
              <w:t>300</w:t>
            </w:r>
            <w:r w:rsidR="00C6231A" w:rsidRPr="00D633FF">
              <w:rPr>
                <w:rFonts w:ascii="Calibri" w:eastAsia="Times New Roman" w:hAnsi="Calibri" w:cs="Calibri"/>
                <w:color w:val="000000"/>
                <w:kern w:val="0"/>
                <w:vertAlign w:val="superscript"/>
                <w:lang w:eastAsia="en-AU"/>
                <w14:ligatures w14:val="none"/>
              </w:rPr>
              <w:t>#</w:t>
            </w:r>
          </w:p>
        </w:tc>
        <w:tc>
          <w:tcPr>
            <w:tcW w:w="494" w:type="pct"/>
          </w:tcPr>
          <w:p w14:paraId="265F3AA9" w14:textId="76D73106" w:rsidR="003D50F8" w:rsidRPr="00D633FF" w:rsidRDefault="003D50F8" w:rsidP="006C0C48">
            <w:pPr>
              <w:spacing w:after="0" w:line="240" w:lineRule="auto"/>
              <w:jc w:val="center"/>
              <w:rPr>
                <w:rFonts w:ascii="Calibri" w:eastAsia="Times New Roman" w:hAnsi="Calibri" w:cs="Calibri"/>
                <w:color w:val="000000"/>
                <w:kern w:val="0"/>
                <w:lang w:eastAsia="en-AU"/>
                <w14:ligatures w14:val="none"/>
              </w:rPr>
            </w:pPr>
            <w:r w:rsidRPr="00D633FF">
              <w:rPr>
                <w:rFonts w:ascii="Calibri" w:eastAsia="Times New Roman" w:hAnsi="Calibri" w:cs="Calibri"/>
                <w:color w:val="000000"/>
                <w:kern w:val="0"/>
                <w:lang w:eastAsia="en-AU"/>
                <w14:ligatures w14:val="none"/>
              </w:rPr>
              <w:t>400</w:t>
            </w:r>
            <w:r w:rsidR="00937714" w:rsidRPr="00D633FF">
              <w:rPr>
                <w:rFonts w:ascii="Calibri" w:eastAsia="Times New Roman" w:hAnsi="Calibri" w:cs="Calibri"/>
                <w:color w:val="000000"/>
                <w:kern w:val="0"/>
                <w:vertAlign w:val="superscript"/>
                <w:lang w:eastAsia="en-AU"/>
                <w14:ligatures w14:val="none"/>
              </w:rPr>
              <w:t>#</w:t>
            </w:r>
          </w:p>
        </w:tc>
        <w:tc>
          <w:tcPr>
            <w:tcW w:w="529" w:type="pct"/>
            <w:noWrap/>
            <w:vAlign w:val="center"/>
          </w:tcPr>
          <w:p w14:paraId="547B5206" w14:textId="4D9BCF59" w:rsidR="003D50F8" w:rsidRPr="00D633FF" w:rsidRDefault="003D50F8" w:rsidP="006C0C48">
            <w:pPr>
              <w:spacing w:after="0" w:line="240" w:lineRule="auto"/>
              <w:jc w:val="center"/>
              <w:rPr>
                <w:rFonts w:ascii="Calibri" w:eastAsia="Times New Roman" w:hAnsi="Calibri" w:cs="Calibri"/>
                <w:color w:val="000000"/>
                <w:kern w:val="0"/>
                <w:lang w:eastAsia="en-AU"/>
                <w14:ligatures w14:val="none"/>
              </w:rPr>
            </w:pPr>
            <w:r w:rsidRPr="00D633FF">
              <w:rPr>
                <w:rFonts w:ascii="Calibri" w:eastAsia="Times New Roman" w:hAnsi="Calibri" w:cs="Calibri"/>
                <w:color w:val="000000"/>
                <w:kern w:val="0"/>
                <w:lang w:eastAsia="en-AU"/>
                <w14:ligatures w14:val="none"/>
              </w:rPr>
              <w:t>450</w:t>
            </w:r>
            <w:r w:rsidR="00852E60" w:rsidRPr="00D633FF">
              <w:rPr>
                <w:rFonts w:ascii="Calibri" w:eastAsia="Times New Roman" w:hAnsi="Calibri" w:cs="Calibri"/>
                <w:color w:val="000000"/>
                <w:kern w:val="0"/>
                <w:vertAlign w:val="superscript"/>
                <w:lang w:eastAsia="en-AU"/>
                <w14:ligatures w14:val="none"/>
              </w:rPr>
              <w:t>^</w:t>
            </w:r>
          </w:p>
        </w:tc>
        <w:tc>
          <w:tcPr>
            <w:tcW w:w="529" w:type="pct"/>
            <w:vAlign w:val="center"/>
          </w:tcPr>
          <w:p w14:paraId="1A0691AA" w14:textId="17921D69" w:rsidR="003D50F8" w:rsidRPr="00D633FF" w:rsidRDefault="003D50F8" w:rsidP="006C0C48">
            <w:pPr>
              <w:spacing w:after="0" w:line="240" w:lineRule="auto"/>
              <w:jc w:val="center"/>
              <w:rPr>
                <w:rFonts w:ascii="Calibri" w:eastAsia="Times New Roman" w:hAnsi="Calibri" w:cs="Calibri"/>
                <w:color w:val="000000"/>
                <w:kern w:val="0"/>
                <w:lang w:eastAsia="en-AU"/>
                <w14:ligatures w14:val="none"/>
              </w:rPr>
            </w:pPr>
            <w:r w:rsidRPr="00D633FF">
              <w:rPr>
                <w:rFonts w:ascii="Calibri" w:eastAsia="Times New Roman" w:hAnsi="Calibri" w:cs="Calibri"/>
                <w:color w:val="000000"/>
                <w:kern w:val="0"/>
                <w:lang w:eastAsia="en-AU"/>
                <w14:ligatures w14:val="none"/>
              </w:rPr>
              <w:t>400</w:t>
            </w:r>
            <w:r w:rsidR="001713CF" w:rsidRPr="00D633FF">
              <w:rPr>
                <w:rFonts w:ascii="Calibri" w:eastAsia="Times New Roman" w:hAnsi="Calibri" w:cs="Calibri"/>
                <w:color w:val="000000"/>
                <w:kern w:val="0"/>
                <w:lang w:eastAsia="en-AU"/>
                <w14:ligatures w14:val="none"/>
              </w:rPr>
              <w:t>^</w:t>
            </w:r>
          </w:p>
        </w:tc>
      </w:tr>
      <w:tr w:rsidR="00882849" w:rsidRPr="00D633FF" w14:paraId="538A111E" w14:textId="77777777" w:rsidTr="00C7491B">
        <w:trPr>
          <w:trHeight w:val="300"/>
        </w:trPr>
        <w:tc>
          <w:tcPr>
            <w:tcW w:w="1334" w:type="pct"/>
            <w:noWrap/>
            <w:vAlign w:val="center"/>
          </w:tcPr>
          <w:p w14:paraId="1C17EA9F" w14:textId="1DB31242" w:rsidR="00882849" w:rsidRPr="00D633FF" w:rsidRDefault="00882849" w:rsidP="00882849">
            <w:pPr>
              <w:spacing w:after="0" w:line="240" w:lineRule="auto"/>
              <w:rPr>
                <w:rFonts w:ascii="Calibri" w:eastAsia="Times New Roman" w:hAnsi="Calibri" w:cs="Calibri"/>
                <w:color w:val="000000"/>
                <w:kern w:val="0"/>
                <w:lang w:eastAsia="en-AU"/>
                <w14:ligatures w14:val="none"/>
              </w:rPr>
            </w:pPr>
            <w:r w:rsidRPr="00D633FF">
              <w:rPr>
                <w:rFonts w:ascii="Calibri" w:eastAsia="Times New Roman" w:hAnsi="Calibri" w:cs="Calibri"/>
                <w:color w:val="000000"/>
                <w:kern w:val="0"/>
                <w:lang w:eastAsia="en-AU"/>
                <w14:ligatures w14:val="none"/>
              </w:rPr>
              <w:t>0 – 6 months</w:t>
            </w:r>
          </w:p>
        </w:tc>
        <w:tc>
          <w:tcPr>
            <w:tcW w:w="509" w:type="pct"/>
          </w:tcPr>
          <w:p w14:paraId="5C9091ED" w14:textId="0FD9DAAD" w:rsidR="00882849" w:rsidRPr="00D633FF" w:rsidRDefault="00882849" w:rsidP="00882849">
            <w:pPr>
              <w:spacing w:after="0" w:line="240" w:lineRule="auto"/>
              <w:jc w:val="center"/>
              <w:rPr>
                <w:rFonts w:ascii="Calibri" w:eastAsia="Times New Roman" w:hAnsi="Calibri" w:cs="Calibri"/>
                <w:color w:val="000000"/>
                <w:kern w:val="0"/>
                <w:lang w:eastAsia="en-AU"/>
                <w14:ligatures w14:val="none"/>
              </w:rPr>
            </w:pPr>
            <w:r w:rsidRPr="00D633FF">
              <w:rPr>
                <w:rFonts w:ascii="Calibri" w:eastAsia="Times New Roman" w:hAnsi="Calibri" w:cs="Calibri"/>
                <w:color w:val="000000"/>
                <w:kern w:val="0"/>
                <w:lang w:eastAsia="en-AU"/>
                <w14:ligatures w14:val="none"/>
              </w:rPr>
              <w:t>45</w:t>
            </w:r>
          </w:p>
        </w:tc>
        <w:tc>
          <w:tcPr>
            <w:tcW w:w="547" w:type="pct"/>
            <w:noWrap/>
          </w:tcPr>
          <w:p w14:paraId="313B2BD5" w14:textId="6B0C3926" w:rsidR="00882849" w:rsidRPr="00D633FF" w:rsidRDefault="00882849" w:rsidP="00882849">
            <w:pPr>
              <w:spacing w:after="0" w:line="240" w:lineRule="auto"/>
              <w:jc w:val="center"/>
              <w:rPr>
                <w:rFonts w:ascii="Calibri" w:eastAsia="Times New Roman" w:hAnsi="Calibri" w:cs="Calibri"/>
                <w:color w:val="000000"/>
                <w:kern w:val="0"/>
                <w:lang w:eastAsia="en-AU"/>
                <w14:ligatures w14:val="none"/>
              </w:rPr>
            </w:pPr>
            <w:r w:rsidRPr="00D633FF">
              <w:rPr>
                <w:rFonts w:ascii="Calibri" w:eastAsia="Times New Roman" w:hAnsi="Calibri" w:cs="Calibri"/>
                <w:color w:val="000000"/>
                <w:kern w:val="0"/>
                <w:lang w:eastAsia="en-AU"/>
                <w14:ligatures w14:val="none"/>
              </w:rPr>
              <w:t>45</w:t>
            </w:r>
          </w:p>
        </w:tc>
        <w:tc>
          <w:tcPr>
            <w:tcW w:w="529" w:type="pct"/>
          </w:tcPr>
          <w:p w14:paraId="460D5216" w14:textId="6E95C301" w:rsidR="00882849" w:rsidRPr="00D633FF" w:rsidRDefault="00882849" w:rsidP="00882849">
            <w:pPr>
              <w:spacing w:after="0" w:line="240" w:lineRule="auto"/>
              <w:jc w:val="center"/>
              <w:rPr>
                <w:rFonts w:ascii="Calibri" w:eastAsia="Times New Roman" w:hAnsi="Calibri" w:cs="Calibri"/>
                <w:color w:val="000000"/>
                <w:kern w:val="0"/>
                <w:lang w:eastAsia="en-AU"/>
                <w14:ligatures w14:val="none"/>
              </w:rPr>
            </w:pPr>
            <w:r w:rsidRPr="00D633FF">
              <w:rPr>
                <w:rFonts w:ascii="Calibri" w:eastAsia="Times New Roman" w:hAnsi="Calibri" w:cs="Calibri"/>
                <w:color w:val="000000"/>
                <w:kern w:val="0"/>
                <w:lang w:eastAsia="en-AU"/>
                <w14:ligatures w14:val="none"/>
              </w:rPr>
              <w:t>45*</w:t>
            </w:r>
          </w:p>
        </w:tc>
        <w:tc>
          <w:tcPr>
            <w:tcW w:w="529" w:type="pct"/>
          </w:tcPr>
          <w:p w14:paraId="2DDF3527" w14:textId="77777777" w:rsidR="00882849" w:rsidRPr="00D633FF" w:rsidRDefault="00882849" w:rsidP="00882849">
            <w:pPr>
              <w:spacing w:after="0" w:line="240" w:lineRule="auto"/>
              <w:jc w:val="center"/>
              <w:rPr>
                <w:rFonts w:ascii="Calibri" w:hAnsi="Calibri" w:cs="Calibri"/>
              </w:rPr>
            </w:pPr>
          </w:p>
        </w:tc>
        <w:tc>
          <w:tcPr>
            <w:tcW w:w="494" w:type="pct"/>
          </w:tcPr>
          <w:p w14:paraId="0812E951" w14:textId="2E5C8175" w:rsidR="00882849" w:rsidRPr="00D633FF" w:rsidRDefault="00882849" w:rsidP="00882849">
            <w:pPr>
              <w:spacing w:after="0" w:line="240" w:lineRule="auto"/>
              <w:jc w:val="center"/>
              <w:rPr>
                <w:rFonts w:ascii="Calibri" w:hAnsi="Calibri" w:cs="Calibri"/>
              </w:rPr>
            </w:pPr>
            <w:r w:rsidRPr="00D633FF">
              <w:rPr>
                <w:rFonts w:ascii="Calibri" w:hAnsi="Calibri" w:cs="Calibri"/>
              </w:rPr>
              <w:t>-</w:t>
            </w:r>
          </w:p>
        </w:tc>
        <w:tc>
          <w:tcPr>
            <w:tcW w:w="529" w:type="pct"/>
            <w:noWrap/>
          </w:tcPr>
          <w:p w14:paraId="588D7B4D" w14:textId="539EB24D" w:rsidR="00882849" w:rsidRPr="00D633FF" w:rsidRDefault="00882849" w:rsidP="00882849">
            <w:pPr>
              <w:spacing w:after="0" w:line="240" w:lineRule="auto"/>
              <w:jc w:val="center"/>
              <w:rPr>
                <w:rFonts w:ascii="Calibri" w:hAnsi="Calibri" w:cs="Calibri"/>
              </w:rPr>
            </w:pPr>
            <w:r w:rsidRPr="00D633FF">
              <w:rPr>
                <w:rFonts w:ascii="Calibri" w:hAnsi="Calibri" w:cs="Calibri"/>
              </w:rPr>
              <w:t>-</w:t>
            </w:r>
          </w:p>
        </w:tc>
        <w:tc>
          <w:tcPr>
            <w:tcW w:w="529" w:type="pct"/>
          </w:tcPr>
          <w:p w14:paraId="46C01FA0" w14:textId="3B514500" w:rsidR="00882849" w:rsidRPr="00D633FF" w:rsidRDefault="00882849" w:rsidP="00882849">
            <w:pPr>
              <w:spacing w:after="0" w:line="240" w:lineRule="auto"/>
              <w:jc w:val="center"/>
              <w:rPr>
                <w:rFonts w:ascii="Calibri" w:hAnsi="Calibri" w:cs="Calibri"/>
              </w:rPr>
            </w:pPr>
            <w:r w:rsidRPr="00D633FF">
              <w:rPr>
                <w:rFonts w:ascii="Calibri" w:hAnsi="Calibri" w:cs="Calibri"/>
              </w:rPr>
              <w:t>-</w:t>
            </w:r>
          </w:p>
        </w:tc>
      </w:tr>
      <w:tr w:rsidR="00882849" w:rsidRPr="00D633FF" w14:paraId="167480CE" w14:textId="77777777" w:rsidTr="00C7491B">
        <w:trPr>
          <w:trHeight w:val="300"/>
        </w:trPr>
        <w:tc>
          <w:tcPr>
            <w:tcW w:w="1334" w:type="pct"/>
            <w:noWrap/>
            <w:vAlign w:val="center"/>
          </w:tcPr>
          <w:p w14:paraId="5D1F8B08" w14:textId="303BE473" w:rsidR="00882849" w:rsidRPr="00D633FF" w:rsidRDefault="00882849" w:rsidP="00882849">
            <w:pPr>
              <w:spacing w:after="0" w:line="240" w:lineRule="auto"/>
              <w:rPr>
                <w:rFonts w:ascii="Calibri" w:eastAsia="Times New Roman" w:hAnsi="Calibri" w:cs="Calibri"/>
                <w:color w:val="000000"/>
                <w:kern w:val="0"/>
                <w:lang w:eastAsia="en-AU"/>
                <w14:ligatures w14:val="none"/>
              </w:rPr>
            </w:pPr>
            <w:r w:rsidRPr="00D633FF">
              <w:rPr>
                <w:rFonts w:ascii="Calibri" w:eastAsia="Times New Roman" w:hAnsi="Calibri" w:cs="Calibri"/>
                <w:color w:val="000000"/>
                <w:kern w:val="0"/>
                <w:lang w:eastAsia="en-AU"/>
                <w14:ligatures w14:val="none"/>
              </w:rPr>
              <w:t>7 – 12 months</w:t>
            </w:r>
          </w:p>
        </w:tc>
        <w:tc>
          <w:tcPr>
            <w:tcW w:w="509" w:type="pct"/>
          </w:tcPr>
          <w:p w14:paraId="1E25AC44" w14:textId="5638372E" w:rsidR="00882849" w:rsidRPr="00D633FF" w:rsidRDefault="00882849" w:rsidP="00882849">
            <w:pPr>
              <w:spacing w:after="0" w:line="240" w:lineRule="auto"/>
              <w:jc w:val="center"/>
              <w:rPr>
                <w:rFonts w:ascii="Calibri" w:eastAsia="Times New Roman" w:hAnsi="Calibri" w:cs="Calibri"/>
                <w:color w:val="000000"/>
                <w:kern w:val="0"/>
                <w:lang w:eastAsia="en-AU"/>
                <w14:ligatures w14:val="none"/>
              </w:rPr>
            </w:pPr>
            <w:r w:rsidRPr="00D633FF">
              <w:rPr>
                <w:rFonts w:ascii="Calibri" w:eastAsia="Times New Roman" w:hAnsi="Calibri" w:cs="Calibri"/>
                <w:color w:val="000000"/>
                <w:kern w:val="0"/>
                <w:lang w:eastAsia="en-AU"/>
                <w14:ligatures w14:val="none"/>
              </w:rPr>
              <w:t>60</w:t>
            </w:r>
          </w:p>
        </w:tc>
        <w:tc>
          <w:tcPr>
            <w:tcW w:w="547" w:type="pct"/>
            <w:noWrap/>
          </w:tcPr>
          <w:p w14:paraId="264E77EF" w14:textId="7853C3E1" w:rsidR="00882849" w:rsidRPr="00D633FF" w:rsidRDefault="00882849" w:rsidP="00882849">
            <w:pPr>
              <w:spacing w:after="0" w:line="240" w:lineRule="auto"/>
              <w:jc w:val="center"/>
              <w:rPr>
                <w:rFonts w:ascii="Calibri" w:eastAsia="Times New Roman" w:hAnsi="Calibri" w:cs="Calibri"/>
                <w:color w:val="000000"/>
                <w:kern w:val="0"/>
                <w:lang w:eastAsia="en-AU"/>
                <w14:ligatures w14:val="none"/>
              </w:rPr>
            </w:pPr>
            <w:r w:rsidRPr="00D633FF">
              <w:rPr>
                <w:rFonts w:ascii="Calibri" w:eastAsia="Times New Roman" w:hAnsi="Calibri" w:cs="Calibri"/>
                <w:color w:val="000000"/>
                <w:kern w:val="0"/>
                <w:lang w:eastAsia="en-AU"/>
                <w14:ligatures w14:val="none"/>
              </w:rPr>
              <w:t>60</w:t>
            </w:r>
          </w:p>
        </w:tc>
        <w:tc>
          <w:tcPr>
            <w:tcW w:w="529" w:type="pct"/>
          </w:tcPr>
          <w:p w14:paraId="2B5BCD63" w14:textId="32E9926C" w:rsidR="00882849" w:rsidRPr="00D633FF" w:rsidRDefault="00882849" w:rsidP="00882849">
            <w:pPr>
              <w:spacing w:after="0" w:line="240" w:lineRule="auto"/>
              <w:jc w:val="center"/>
              <w:rPr>
                <w:rFonts w:ascii="Calibri" w:eastAsia="Times New Roman" w:hAnsi="Calibri" w:cs="Calibri"/>
                <w:color w:val="000000"/>
                <w:kern w:val="0"/>
                <w:lang w:eastAsia="en-AU"/>
                <w14:ligatures w14:val="none"/>
              </w:rPr>
            </w:pPr>
            <w:r w:rsidRPr="00D633FF">
              <w:rPr>
                <w:rFonts w:ascii="Calibri" w:eastAsia="Times New Roman" w:hAnsi="Calibri" w:cs="Calibri"/>
                <w:color w:val="000000"/>
                <w:kern w:val="0"/>
                <w:lang w:eastAsia="en-AU"/>
                <w14:ligatures w14:val="none"/>
              </w:rPr>
              <w:t>60*</w:t>
            </w:r>
          </w:p>
        </w:tc>
        <w:tc>
          <w:tcPr>
            <w:tcW w:w="529" w:type="pct"/>
          </w:tcPr>
          <w:p w14:paraId="37A1035C" w14:textId="77777777" w:rsidR="00882849" w:rsidRPr="00D633FF" w:rsidRDefault="00882849" w:rsidP="00882849">
            <w:pPr>
              <w:spacing w:after="0" w:line="240" w:lineRule="auto"/>
              <w:jc w:val="center"/>
              <w:rPr>
                <w:rFonts w:ascii="Calibri" w:hAnsi="Calibri" w:cs="Calibri"/>
              </w:rPr>
            </w:pPr>
          </w:p>
        </w:tc>
        <w:tc>
          <w:tcPr>
            <w:tcW w:w="494" w:type="pct"/>
          </w:tcPr>
          <w:p w14:paraId="7BE32654" w14:textId="3A039CBE" w:rsidR="00882849" w:rsidRPr="00D633FF" w:rsidRDefault="00882849" w:rsidP="00882849">
            <w:pPr>
              <w:spacing w:after="0" w:line="240" w:lineRule="auto"/>
              <w:jc w:val="center"/>
              <w:rPr>
                <w:rFonts w:ascii="Calibri" w:hAnsi="Calibri" w:cs="Calibri"/>
              </w:rPr>
            </w:pPr>
            <w:r w:rsidRPr="00D633FF">
              <w:rPr>
                <w:rFonts w:ascii="Calibri" w:hAnsi="Calibri" w:cs="Calibri"/>
              </w:rPr>
              <w:t>-</w:t>
            </w:r>
          </w:p>
        </w:tc>
        <w:tc>
          <w:tcPr>
            <w:tcW w:w="529" w:type="pct"/>
            <w:noWrap/>
          </w:tcPr>
          <w:p w14:paraId="54425CC6" w14:textId="2AA27DC1" w:rsidR="00882849" w:rsidRPr="00D633FF" w:rsidRDefault="00882849" w:rsidP="00882849">
            <w:pPr>
              <w:spacing w:after="0" w:line="240" w:lineRule="auto"/>
              <w:jc w:val="center"/>
              <w:rPr>
                <w:rFonts w:ascii="Calibri" w:hAnsi="Calibri" w:cs="Calibri"/>
              </w:rPr>
            </w:pPr>
            <w:r w:rsidRPr="00D633FF">
              <w:rPr>
                <w:rFonts w:ascii="Calibri" w:hAnsi="Calibri" w:cs="Calibri"/>
              </w:rPr>
              <w:t>-</w:t>
            </w:r>
          </w:p>
        </w:tc>
        <w:tc>
          <w:tcPr>
            <w:tcW w:w="529" w:type="pct"/>
          </w:tcPr>
          <w:p w14:paraId="10EE064D" w14:textId="4C85E5EB" w:rsidR="00882849" w:rsidRPr="00D633FF" w:rsidRDefault="00882849" w:rsidP="00882849">
            <w:pPr>
              <w:spacing w:after="0" w:line="240" w:lineRule="auto"/>
              <w:jc w:val="center"/>
              <w:rPr>
                <w:rFonts w:ascii="Calibri" w:hAnsi="Calibri" w:cs="Calibri"/>
              </w:rPr>
            </w:pPr>
            <w:r w:rsidRPr="00D633FF">
              <w:rPr>
                <w:rFonts w:ascii="Calibri" w:hAnsi="Calibri" w:cs="Calibri"/>
              </w:rPr>
              <w:t>-</w:t>
            </w:r>
          </w:p>
        </w:tc>
      </w:tr>
      <w:tr w:rsidR="001944DE" w:rsidRPr="00D633FF" w14:paraId="6C073F70" w14:textId="77777777" w:rsidTr="00C7491B">
        <w:trPr>
          <w:trHeight w:val="300"/>
        </w:trPr>
        <w:tc>
          <w:tcPr>
            <w:tcW w:w="1334" w:type="pct"/>
            <w:noWrap/>
          </w:tcPr>
          <w:p w14:paraId="245F3598" w14:textId="40EB494A" w:rsidR="001944DE" w:rsidRPr="00D633FF" w:rsidRDefault="001944DE" w:rsidP="001944DE">
            <w:pPr>
              <w:spacing w:after="0" w:line="240" w:lineRule="auto"/>
              <w:rPr>
                <w:rFonts w:ascii="Calibri" w:eastAsia="Times New Roman" w:hAnsi="Calibri" w:cs="Calibri"/>
                <w:color w:val="000000"/>
                <w:kern w:val="0"/>
                <w:lang w:eastAsia="en-AU"/>
                <w14:ligatures w14:val="none"/>
              </w:rPr>
            </w:pPr>
            <w:r w:rsidRPr="00D633FF">
              <w:rPr>
                <w:rFonts w:ascii="Calibri" w:hAnsi="Calibri" w:cs="Calibri"/>
              </w:rPr>
              <w:t>12 to under 24 months</w:t>
            </w:r>
          </w:p>
        </w:tc>
        <w:tc>
          <w:tcPr>
            <w:tcW w:w="509" w:type="pct"/>
          </w:tcPr>
          <w:p w14:paraId="7397DFF5" w14:textId="4AEB627B" w:rsidR="001944DE" w:rsidRPr="00D633FF" w:rsidRDefault="001944DE" w:rsidP="001944DE">
            <w:pPr>
              <w:spacing w:after="0" w:line="240" w:lineRule="auto"/>
              <w:jc w:val="center"/>
              <w:rPr>
                <w:rFonts w:ascii="Calibri" w:hAnsi="Calibri" w:cs="Calibri"/>
              </w:rPr>
            </w:pPr>
            <w:r w:rsidRPr="00D633FF">
              <w:rPr>
                <w:rFonts w:ascii="Calibri" w:hAnsi="Calibri" w:cs="Calibri"/>
              </w:rPr>
              <w:t>85</w:t>
            </w:r>
          </w:p>
        </w:tc>
        <w:tc>
          <w:tcPr>
            <w:tcW w:w="547" w:type="pct"/>
            <w:noWrap/>
          </w:tcPr>
          <w:p w14:paraId="2477AEBF" w14:textId="37CE01D3" w:rsidR="001944DE" w:rsidRPr="00D633FF" w:rsidRDefault="001944DE" w:rsidP="001944DE">
            <w:pPr>
              <w:spacing w:after="0" w:line="240" w:lineRule="auto"/>
              <w:jc w:val="center"/>
              <w:rPr>
                <w:rFonts w:ascii="Calibri" w:hAnsi="Calibri" w:cs="Calibri"/>
              </w:rPr>
            </w:pPr>
            <w:r w:rsidRPr="00D633FF">
              <w:rPr>
                <w:rFonts w:ascii="Calibri" w:hAnsi="Calibri" w:cs="Calibri"/>
              </w:rPr>
              <w:t>105*</w:t>
            </w:r>
          </w:p>
        </w:tc>
        <w:tc>
          <w:tcPr>
            <w:tcW w:w="529" w:type="pct"/>
          </w:tcPr>
          <w:p w14:paraId="32B69402" w14:textId="2B99FFD0" w:rsidR="001944DE" w:rsidRPr="00D633FF" w:rsidRDefault="001944DE" w:rsidP="001944DE">
            <w:pPr>
              <w:spacing w:after="0" w:line="240" w:lineRule="auto"/>
              <w:jc w:val="center"/>
              <w:rPr>
                <w:rFonts w:ascii="Calibri" w:hAnsi="Calibri" w:cs="Calibri"/>
              </w:rPr>
            </w:pPr>
            <w:r w:rsidRPr="00D633FF">
              <w:rPr>
                <w:rFonts w:ascii="Calibri" w:hAnsi="Calibri" w:cs="Calibri"/>
              </w:rPr>
              <w:t>65*</w:t>
            </w:r>
          </w:p>
        </w:tc>
        <w:tc>
          <w:tcPr>
            <w:tcW w:w="529" w:type="pct"/>
          </w:tcPr>
          <w:p w14:paraId="6121C643" w14:textId="77777777" w:rsidR="001944DE" w:rsidRPr="00D633FF" w:rsidRDefault="001944DE" w:rsidP="001944DE">
            <w:pPr>
              <w:spacing w:after="0" w:line="240" w:lineRule="auto"/>
              <w:jc w:val="center"/>
              <w:rPr>
                <w:rFonts w:ascii="Calibri" w:hAnsi="Calibri" w:cs="Calibri"/>
              </w:rPr>
            </w:pPr>
          </w:p>
        </w:tc>
        <w:tc>
          <w:tcPr>
            <w:tcW w:w="494" w:type="pct"/>
          </w:tcPr>
          <w:p w14:paraId="1E7788DD" w14:textId="6578AA15" w:rsidR="001944DE" w:rsidRPr="00D633FF" w:rsidRDefault="001944DE" w:rsidP="001944DE">
            <w:pPr>
              <w:spacing w:after="0" w:line="240" w:lineRule="auto"/>
              <w:jc w:val="center"/>
              <w:rPr>
                <w:rFonts w:ascii="Calibri" w:hAnsi="Calibri" w:cs="Calibri"/>
              </w:rPr>
            </w:pPr>
            <w:r w:rsidRPr="00D633FF">
              <w:rPr>
                <w:rFonts w:ascii="Calibri" w:hAnsi="Calibri" w:cs="Calibri"/>
              </w:rPr>
              <w:t>-</w:t>
            </w:r>
          </w:p>
        </w:tc>
        <w:tc>
          <w:tcPr>
            <w:tcW w:w="529" w:type="pct"/>
            <w:noWrap/>
          </w:tcPr>
          <w:p w14:paraId="6F9D2B64" w14:textId="77777777" w:rsidR="001944DE" w:rsidRPr="00D633FF" w:rsidRDefault="001944DE" w:rsidP="001944DE">
            <w:pPr>
              <w:spacing w:after="0" w:line="240" w:lineRule="auto"/>
              <w:jc w:val="center"/>
              <w:rPr>
                <w:rFonts w:ascii="Calibri" w:hAnsi="Calibri" w:cs="Calibri"/>
              </w:rPr>
            </w:pPr>
            <w:r w:rsidRPr="00D633FF">
              <w:rPr>
                <w:rFonts w:ascii="Calibri" w:hAnsi="Calibri" w:cs="Calibri"/>
              </w:rPr>
              <w:t>-</w:t>
            </w:r>
          </w:p>
        </w:tc>
        <w:tc>
          <w:tcPr>
            <w:tcW w:w="529" w:type="pct"/>
          </w:tcPr>
          <w:p w14:paraId="7B968FFD" w14:textId="77777777" w:rsidR="001944DE" w:rsidRPr="00D633FF" w:rsidRDefault="001944DE" w:rsidP="001944DE">
            <w:pPr>
              <w:spacing w:after="0" w:line="240" w:lineRule="auto"/>
              <w:jc w:val="center"/>
              <w:rPr>
                <w:rFonts w:ascii="Calibri" w:hAnsi="Calibri" w:cs="Calibri"/>
              </w:rPr>
            </w:pPr>
            <w:r w:rsidRPr="00D633FF">
              <w:rPr>
                <w:rFonts w:ascii="Calibri" w:hAnsi="Calibri" w:cs="Calibri"/>
              </w:rPr>
              <w:t>-</w:t>
            </w:r>
          </w:p>
        </w:tc>
      </w:tr>
      <w:tr w:rsidR="001944DE" w:rsidRPr="00D633FF" w14:paraId="5D7C60C8" w14:textId="77777777" w:rsidTr="00C7491B">
        <w:trPr>
          <w:trHeight w:val="300"/>
        </w:trPr>
        <w:tc>
          <w:tcPr>
            <w:tcW w:w="1334" w:type="pct"/>
            <w:noWrap/>
          </w:tcPr>
          <w:p w14:paraId="6D198FCA" w14:textId="5E4FF0A2" w:rsidR="001944DE" w:rsidRPr="00D633FF" w:rsidRDefault="001944DE" w:rsidP="001944DE">
            <w:pPr>
              <w:spacing w:after="0" w:line="240" w:lineRule="auto"/>
              <w:rPr>
                <w:rFonts w:ascii="Calibri" w:eastAsia="Times New Roman" w:hAnsi="Calibri" w:cs="Calibri"/>
                <w:color w:val="000000"/>
                <w:kern w:val="0"/>
                <w:lang w:eastAsia="en-AU"/>
                <w14:ligatures w14:val="none"/>
              </w:rPr>
            </w:pPr>
            <w:r w:rsidRPr="00D633FF">
              <w:rPr>
                <w:rFonts w:ascii="Calibri" w:hAnsi="Calibri" w:cs="Calibri"/>
              </w:rPr>
              <w:t>2 to under 5 years</w:t>
            </w:r>
          </w:p>
        </w:tc>
        <w:tc>
          <w:tcPr>
            <w:tcW w:w="509" w:type="pct"/>
            <w:vAlign w:val="center"/>
          </w:tcPr>
          <w:p w14:paraId="08AE2C00" w14:textId="2C2DF6FD" w:rsidR="001944DE" w:rsidRPr="00D633FF" w:rsidRDefault="001944DE" w:rsidP="001944DE">
            <w:pPr>
              <w:spacing w:after="0" w:line="240" w:lineRule="auto"/>
              <w:jc w:val="center"/>
              <w:rPr>
                <w:rFonts w:ascii="Calibri" w:eastAsia="Times New Roman" w:hAnsi="Calibri" w:cs="Calibri"/>
                <w:color w:val="000000"/>
                <w:kern w:val="0"/>
                <w:lang w:eastAsia="en-AU"/>
                <w14:ligatures w14:val="none"/>
              </w:rPr>
            </w:pPr>
            <w:r w:rsidRPr="00D633FF">
              <w:rPr>
                <w:rFonts w:ascii="Calibri" w:eastAsia="Times New Roman" w:hAnsi="Calibri" w:cs="Calibri"/>
                <w:color w:val="000000"/>
                <w:kern w:val="0"/>
                <w:lang w:eastAsia="en-AU"/>
                <w14:ligatures w14:val="none"/>
              </w:rPr>
              <w:t>120</w:t>
            </w:r>
          </w:p>
        </w:tc>
        <w:tc>
          <w:tcPr>
            <w:tcW w:w="547" w:type="pct"/>
            <w:noWrap/>
          </w:tcPr>
          <w:p w14:paraId="1CDAB9F8" w14:textId="11C2387D" w:rsidR="001944DE" w:rsidRPr="00D633FF" w:rsidRDefault="001944DE" w:rsidP="001944DE">
            <w:pPr>
              <w:spacing w:after="0" w:line="240" w:lineRule="auto"/>
              <w:jc w:val="center"/>
              <w:rPr>
                <w:rFonts w:ascii="Calibri" w:eastAsia="Times New Roman" w:hAnsi="Calibri" w:cs="Calibri"/>
                <w:color w:val="000000"/>
                <w:kern w:val="0"/>
                <w:lang w:eastAsia="en-AU"/>
                <w14:ligatures w14:val="none"/>
              </w:rPr>
            </w:pPr>
            <w:r w:rsidRPr="00D633FF">
              <w:rPr>
                <w:rFonts w:ascii="Calibri" w:eastAsia="Times New Roman" w:hAnsi="Calibri" w:cs="Calibri"/>
                <w:color w:val="000000"/>
                <w:kern w:val="0"/>
                <w:lang w:eastAsia="en-AU"/>
                <w14:ligatures w14:val="none"/>
              </w:rPr>
              <w:t>145*</w:t>
            </w:r>
          </w:p>
        </w:tc>
        <w:tc>
          <w:tcPr>
            <w:tcW w:w="529" w:type="pct"/>
            <w:vAlign w:val="center"/>
          </w:tcPr>
          <w:p w14:paraId="54F84444" w14:textId="5CA77956" w:rsidR="001944DE" w:rsidRPr="00D633FF" w:rsidRDefault="001944DE" w:rsidP="001944DE">
            <w:pPr>
              <w:spacing w:after="0" w:line="240" w:lineRule="auto"/>
              <w:jc w:val="center"/>
              <w:rPr>
                <w:rFonts w:ascii="Calibri" w:eastAsia="Times New Roman" w:hAnsi="Calibri" w:cs="Calibri"/>
                <w:color w:val="000000"/>
                <w:kern w:val="0"/>
                <w:lang w:eastAsia="en-AU"/>
                <w14:ligatures w14:val="none"/>
              </w:rPr>
            </w:pPr>
            <w:r w:rsidRPr="00D633FF">
              <w:rPr>
                <w:rFonts w:ascii="Calibri" w:eastAsia="Times New Roman" w:hAnsi="Calibri" w:cs="Calibri"/>
                <w:color w:val="000000"/>
                <w:kern w:val="0"/>
                <w:lang w:eastAsia="en-AU"/>
                <w14:ligatures w14:val="none"/>
              </w:rPr>
              <w:t>90*</w:t>
            </w:r>
          </w:p>
        </w:tc>
        <w:tc>
          <w:tcPr>
            <w:tcW w:w="529" w:type="pct"/>
          </w:tcPr>
          <w:p w14:paraId="54F06148" w14:textId="77777777" w:rsidR="001944DE" w:rsidRPr="00D633FF" w:rsidRDefault="001944DE" w:rsidP="001944DE">
            <w:pPr>
              <w:spacing w:after="0" w:line="240" w:lineRule="auto"/>
              <w:jc w:val="center"/>
              <w:rPr>
                <w:rFonts w:ascii="Calibri" w:eastAsia="Times New Roman" w:hAnsi="Calibri" w:cs="Calibri"/>
                <w:color w:val="000000"/>
                <w:kern w:val="0"/>
                <w:lang w:eastAsia="en-AU"/>
                <w14:ligatures w14:val="none"/>
              </w:rPr>
            </w:pPr>
          </w:p>
        </w:tc>
        <w:tc>
          <w:tcPr>
            <w:tcW w:w="494" w:type="pct"/>
            <w:vAlign w:val="center"/>
          </w:tcPr>
          <w:p w14:paraId="0E1D1AE4" w14:textId="03F7CFED" w:rsidR="001944DE" w:rsidRPr="00D633FF" w:rsidRDefault="001944DE" w:rsidP="001944DE">
            <w:pPr>
              <w:spacing w:after="0" w:line="240" w:lineRule="auto"/>
              <w:jc w:val="center"/>
              <w:rPr>
                <w:rFonts w:ascii="Calibri" w:eastAsia="Times New Roman" w:hAnsi="Calibri" w:cs="Calibri"/>
                <w:color w:val="000000"/>
                <w:kern w:val="0"/>
                <w:lang w:eastAsia="en-AU"/>
                <w14:ligatures w14:val="none"/>
              </w:rPr>
            </w:pPr>
            <w:r w:rsidRPr="00D633FF">
              <w:rPr>
                <w:rFonts w:ascii="Calibri" w:eastAsia="Times New Roman" w:hAnsi="Calibri" w:cs="Calibri"/>
                <w:color w:val="000000"/>
                <w:kern w:val="0"/>
                <w:lang w:eastAsia="en-AU"/>
                <w14:ligatures w14:val="none"/>
              </w:rPr>
              <w:t>-</w:t>
            </w:r>
          </w:p>
        </w:tc>
        <w:tc>
          <w:tcPr>
            <w:tcW w:w="529" w:type="pct"/>
            <w:noWrap/>
          </w:tcPr>
          <w:p w14:paraId="66D3D55E" w14:textId="77777777" w:rsidR="001944DE" w:rsidRPr="00D633FF" w:rsidRDefault="001944DE" w:rsidP="001944DE">
            <w:pPr>
              <w:spacing w:after="0" w:line="240" w:lineRule="auto"/>
              <w:jc w:val="center"/>
              <w:rPr>
                <w:rFonts w:ascii="Calibri" w:hAnsi="Calibri" w:cs="Calibri"/>
              </w:rPr>
            </w:pPr>
            <w:r w:rsidRPr="00D633FF">
              <w:rPr>
                <w:rFonts w:ascii="Calibri" w:hAnsi="Calibri" w:cs="Calibri"/>
              </w:rPr>
              <w:t>-</w:t>
            </w:r>
          </w:p>
        </w:tc>
        <w:tc>
          <w:tcPr>
            <w:tcW w:w="529" w:type="pct"/>
          </w:tcPr>
          <w:p w14:paraId="67AD6EF5" w14:textId="77777777" w:rsidR="001944DE" w:rsidRPr="00D633FF" w:rsidRDefault="001944DE" w:rsidP="001944DE">
            <w:pPr>
              <w:spacing w:after="0" w:line="240" w:lineRule="auto"/>
              <w:jc w:val="center"/>
              <w:rPr>
                <w:rFonts w:ascii="Calibri" w:hAnsi="Calibri" w:cs="Calibri"/>
              </w:rPr>
            </w:pPr>
            <w:r w:rsidRPr="00D633FF">
              <w:rPr>
                <w:rFonts w:ascii="Calibri" w:hAnsi="Calibri" w:cs="Calibri"/>
              </w:rPr>
              <w:t>-</w:t>
            </w:r>
          </w:p>
        </w:tc>
      </w:tr>
      <w:tr w:rsidR="001944DE" w:rsidRPr="00D633FF" w14:paraId="3B978DD3" w14:textId="77777777" w:rsidTr="00C7491B">
        <w:trPr>
          <w:trHeight w:val="300"/>
        </w:trPr>
        <w:tc>
          <w:tcPr>
            <w:tcW w:w="1334" w:type="pct"/>
            <w:noWrap/>
          </w:tcPr>
          <w:p w14:paraId="0799C9A7" w14:textId="549E2FAB" w:rsidR="001944DE" w:rsidRPr="00D633FF" w:rsidRDefault="001944DE" w:rsidP="001944DE">
            <w:pPr>
              <w:spacing w:after="0" w:line="240" w:lineRule="auto"/>
              <w:rPr>
                <w:rFonts w:ascii="Calibri" w:eastAsia="Times New Roman" w:hAnsi="Calibri" w:cs="Calibri"/>
                <w:color w:val="000000"/>
                <w:kern w:val="0"/>
                <w:lang w:eastAsia="en-AU"/>
                <w14:ligatures w14:val="none"/>
              </w:rPr>
            </w:pPr>
            <w:r w:rsidRPr="00D633FF">
              <w:rPr>
                <w:rFonts w:ascii="Calibri" w:hAnsi="Calibri" w:cs="Calibri"/>
              </w:rPr>
              <w:t>5 to under 12 years</w:t>
            </w:r>
          </w:p>
        </w:tc>
        <w:tc>
          <w:tcPr>
            <w:tcW w:w="509" w:type="pct"/>
            <w:vAlign w:val="center"/>
          </w:tcPr>
          <w:p w14:paraId="31D9BBD9" w14:textId="7A691B4D" w:rsidR="001944DE" w:rsidRPr="00D633FF" w:rsidRDefault="001944DE" w:rsidP="001944DE">
            <w:pPr>
              <w:spacing w:after="0" w:line="240" w:lineRule="auto"/>
              <w:jc w:val="center"/>
              <w:rPr>
                <w:rFonts w:ascii="Calibri" w:eastAsia="Times New Roman" w:hAnsi="Calibri" w:cs="Calibri"/>
                <w:color w:val="000000"/>
                <w:kern w:val="0"/>
                <w:lang w:eastAsia="en-AU"/>
                <w14:ligatures w14:val="none"/>
              </w:rPr>
            </w:pPr>
            <w:r w:rsidRPr="00D633FF">
              <w:rPr>
                <w:rFonts w:ascii="Calibri" w:eastAsia="Times New Roman" w:hAnsi="Calibri" w:cs="Calibri"/>
                <w:color w:val="000000"/>
                <w:kern w:val="0"/>
                <w:lang w:eastAsia="en-AU"/>
                <w14:ligatures w14:val="none"/>
              </w:rPr>
              <w:t>185</w:t>
            </w:r>
          </w:p>
        </w:tc>
        <w:tc>
          <w:tcPr>
            <w:tcW w:w="547" w:type="pct"/>
            <w:noWrap/>
          </w:tcPr>
          <w:p w14:paraId="090845CF" w14:textId="34E0C08F" w:rsidR="001944DE" w:rsidRPr="00D633FF" w:rsidRDefault="001944DE" w:rsidP="001944DE">
            <w:pPr>
              <w:spacing w:after="0" w:line="240" w:lineRule="auto"/>
              <w:jc w:val="center"/>
              <w:rPr>
                <w:rFonts w:ascii="Calibri" w:eastAsia="Times New Roman" w:hAnsi="Calibri" w:cs="Calibri"/>
                <w:color w:val="000000"/>
                <w:kern w:val="0"/>
                <w:lang w:eastAsia="en-AU"/>
                <w14:ligatures w14:val="none"/>
              </w:rPr>
            </w:pPr>
            <w:r w:rsidRPr="00D633FF">
              <w:rPr>
                <w:rFonts w:ascii="Calibri" w:eastAsia="Times New Roman" w:hAnsi="Calibri" w:cs="Calibri"/>
                <w:color w:val="000000"/>
                <w:kern w:val="0"/>
                <w:lang w:eastAsia="en-AU"/>
                <w14:ligatures w14:val="none"/>
              </w:rPr>
              <w:t>220*</w:t>
            </w:r>
          </w:p>
        </w:tc>
        <w:tc>
          <w:tcPr>
            <w:tcW w:w="529" w:type="pct"/>
            <w:vAlign w:val="center"/>
          </w:tcPr>
          <w:p w14:paraId="13987F6A" w14:textId="1E996350" w:rsidR="001944DE" w:rsidRPr="00D633FF" w:rsidRDefault="001944DE" w:rsidP="001944DE">
            <w:pPr>
              <w:spacing w:after="0" w:line="240" w:lineRule="auto"/>
              <w:jc w:val="center"/>
              <w:rPr>
                <w:rFonts w:ascii="Calibri" w:eastAsia="Times New Roman" w:hAnsi="Calibri" w:cs="Calibri"/>
                <w:color w:val="000000"/>
                <w:kern w:val="0"/>
                <w:lang w:eastAsia="en-AU"/>
                <w14:ligatures w14:val="none"/>
              </w:rPr>
            </w:pPr>
            <w:r w:rsidRPr="00D633FF">
              <w:rPr>
                <w:rFonts w:ascii="Calibri" w:eastAsia="Times New Roman" w:hAnsi="Calibri" w:cs="Calibri"/>
                <w:color w:val="000000"/>
                <w:kern w:val="0"/>
                <w:lang w:eastAsia="en-AU"/>
                <w14:ligatures w14:val="none"/>
              </w:rPr>
              <w:t>140*</w:t>
            </w:r>
          </w:p>
        </w:tc>
        <w:tc>
          <w:tcPr>
            <w:tcW w:w="529" w:type="pct"/>
          </w:tcPr>
          <w:p w14:paraId="617423F4" w14:textId="77777777" w:rsidR="001944DE" w:rsidRPr="00D633FF" w:rsidRDefault="001944DE" w:rsidP="001944DE">
            <w:pPr>
              <w:spacing w:after="0" w:line="240" w:lineRule="auto"/>
              <w:jc w:val="center"/>
              <w:rPr>
                <w:rFonts w:ascii="Calibri" w:eastAsia="Times New Roman" w:hAnsi="Calibri" w:cs="Calibri"/>
                <w:color w:val="000000"/>
                <w:kern w:val="0"/>
                <w:lang w:eastAsia="en-AU"/>
                <w14:ligatures w14:val="none"/>
              </w:rPr>
            </w:pPr>
          </w:p>
        </w:tc>
        <w:tc>
          <w:tcPr>
            <w:tcW w:w="494" w:type="pct"/>
            <w:vAlign w:val="center"/>
          </w:tcPr>
          <w:p w14:paraId="1D6ABEBD" w14:textId="74544F53" w:rsidR="001944DE" w:rsidRPr="00D633FF" w:rsidRDefault="001944DE" w:rsidP="001944DE">
            <w:pPr>
              <w:spacing w:after="0" w:line="240" w:lineRule="auto"/>
              <w:jc w:val="center"/>
              <w:rPr>
                <w:rFonts w:ascii="Calibri" w:eastAsia="Times New Roman" w:hAnsi="Calibri" w:cs="Calibri"/>
                <w:color w:val="000000"/>
                <w:kern w:val="0"/>
                <w:lang w:eastAsia="en-AU"/>
                <w14:ligatures w14:val="none"/>
              </w:rPr>
            </w:pPr>
            <w:r w:rsidRPr="00D633FF">
              <w:rPr>
                <w:rFonts w:ascii="Calibri" w:eastAsia="Times New Roman" w:hAnsi="Calibri" w:cs="Calibri"/>
                <w:color w:val="000000"/>
                <w:kern w:val="0"/>
                <w:lang w:eastAsia="en-AU"/>
                <w14:ligatures w14:val="none"/>
              </w:rPr>
              <w:t>-</w:t>
            </w:r>
          </w:p>
        </w:tc>
        <w:tc>
          <w:tcPr>
            <w:tcW w:w="529" w:type="pct"/>
            <w:noWrap/>
          </w:tcPr>
          <w:p w14:paraId="3A7C3AAB" w14:textId="77777777" w:rsidR="001944DE" w:rsidRPr="00D633FF" w:rsidRDefault="001944DE" w:rsidP="001944DE">
            <w:pPr>
              <w:spacing w:after="0" w:line="240" w:lineRule="auto"/>
              <w:jc w:val="center"/>
              <w:rPr>
                <w:rFonts w:ascii="Calibri" w:hAnsi="Calibri" w:cs="Calibri"/>
              </w:rPr>
            </w:pPr>
            <w:r w:rsidRPr="00D633FF">
              <w:rPr>
                <w:rFonts w:ascii="Calibri" w:hAnsi="Calibri" w:cs="Calibri"/>
              </w:rPr>
              <w:t>-</w:t>
            </w:r>
          </w:p>
        </w:tc>
        <w:tc>
          <w:tcPr>
            <w:tcW w:w="529" w:type="pct"/>
          </w:tcPr>
          <w:p w14:paraId="4AE39660" w14:textId="77777777" w:rsidR="001944DE" w:rsidRPr="00D633FF" w:rsidRDefault="001944DE" w:rsidP="001944DE">
            <w:pPr>
              <w:spacing w:after="0" w:line="240" w:lineRule="auto"/>
              <w:jc w:val="center"/>
              <w:rPr>
                <w:rFonts w:ascii="Calibri" w:hAnsi="Calibri" w:cs="Calibri"/>
              </w:rPr>
            </w:pPr>
            <w:r w:rsidRPr="00D633FF">
              <w:rPr>
                <w:rFonts w:ascii="Calibri" w:hAnsi="Calibri" w:cs="Calibri"/>
              </w:rPr>
              <w:t>-</w:t>
            </w:r>
          </w:p>
        </w:tc>
      </w:tr>
      <w:tr w:rsidR="001944DE" w:rsidRPr="00D633FF" w14:paraId="06C219EA" w14:textId="77777777" w:rsidTr="00C7491B">
        <w:trPr>
          <w:trHeight w:val="300"/>
        </w:trPr>
        <w:tc>
          <w:tcPr>
            <w:tcW w:w="1334" w:type="pct"/>
            <w:noWrap/>
          </w:tcPr>
          <w:p w14:paraId="4028B397" w14:textId="67A422D5" w:rsidR="001944DE" w:rsidRPr="00D633FF" w:rsidRDefault="001944DE" w:rsidP="001944DE">
            <w:pPr>
              <w:spacing w:after="0" w:line="240" w:lineRule="auto"/>
              <w:rPr>
                <w:rFonts w:ascii="Calibri" w:eastAsia="Times New Roman" w:hAnsi="Calibri" w:cs="Calibri"/>
                <w:color w:val="000000"/>
                <w:kern w:val="0"/>
                <w:lang w:eastAsia="en-AU"/>
                <w14:ligatures w14:val="none"/>
              </w:rPr>
            </w:pPr>
            <w:r w:rsidRPr="00D633FF">
              <w:rPr>
                <w:rFonts w:ascii="Calibri" w:hAnsi="Calibri" w:cs="Calibri"/>
              </w:rPr>
              <w:t>12 to under 18 years</w:t>
            </w:r>
          </w:p>
        </w:tc>
        <w:tc>
          <w:tcPr>
            <w:tcW w:w="509" w:type="pct"/>
            <w:vAlign w:val="center"/>
          </w:tcPr>
          <w:p w14:paraId="747E7CD2" w14:textId="2D495F8C" w:rsidR="001944DE" w:rsidRPr="00D633FF" w:rsidRDefault="001944DE" w:rsidP="001944DE">
            <w:pPr>
              <w:spacing w:after="0" w:line="240" w:lineRule="auto"/>
              <w:jc w:val="center"/>
              <w:rPr>
                <w:rFonts w:ascii="Calibri" w:eastAsia="Times New Roman" w:hAnsi="Calibri" w:cs="Calibri"/>
                <w:color w:val="000000"/>
                <w:kern w:val="0"/>
                <w:lang w:eastAsia="en-AU"/>
                <w14:ligatures w14:val="none"/>
              </w:rPr>
            </w:pPr>
            <w:r w:rsidRPr="00D633FF">
              <w:rPr>
                <w:rFonts w:ascii="Calibri" w:eastAsia="Times New Roman" w:hAnsi="Calibri" w:cs="Calibri"/>
                <w:color w:val="000000"/>
                <w:kern w:val="0"/>
                <w:lang w:eastAsia="en-AU"/>
                <w14:ligatures w14:val="none"/>
              </w:rPr>
              <w:t>295</w:t>
            </w:r>
          </w:p>
        </w:tc>
        <w:tc>
          <w:tcPr>
            <w:tcW w:w="547" w:type="pct"/>
            <w:noWrap/>
          </w:tcPr>
          <w:p w14:paraId="338783BE" w14:textId="1FC915E4" w:rsidR="001944DE" w:rsidRPr="00D633FF" w:rsidRDefault="001944DE" w:rsidP="001944DE">
            <w:pPr>
              <w:spacing w:after="0" w:line="240" w:lineRule="auto"/>
              <w:jc w:val="center"/>
              <w:rPr>
                <w:rFonts w:ascii="Calibri" w:eastAsia="Times New Roman" w:hAnsi="Calibri" w:cs="Calibri"/>
                <w:color w:val="000000"/>
                <w:kern w:val="0"/>
                <w:lang w:eastAsia="en-AU"/>
                <w14:ligatures w14:val="none"/>
              </w:rPr>
            </w:pPr>
            <w:r w:rsidRPr="00D633FF">
              <w:rPr>
                <w:rFonts w:ascii="Calibri" w:eastAsia="Times New Roman" w:hAnsi="Calibri" w:cs="Calibri"/>
                <w:color w:val="000000"/>
                <w:kern w:val="0"/>
                <w:lang w:eastAsia="en-AU"/>
                <w14:ligatures w14:val="none"/>
              </w:rPr>
              <w:t>360*</w:t>
            </w:r>
          </w:p>
        </w:tc>
        <w:tc>
          <w:tcPr>
            <w:tcW w:w="529" w:type="pct"/>
            <w:vAlign w:val="center"/>
          </w:tcPr>
          <w:p w14:paraId="2885EC82" w14:textId="146AAB61" w:rsidR="001944DE" w:rsidRPr="00D633FF" w:rsidRDefault="001944DE" w:rsidP="001944DE">
            <w:pPr>
              <w:spacing w:after="0" w:line="240" w:lineRule="auto"/>
              <w:jc w:val="center"/>
              <w:rPr>
                <w:rFonts w:ascii="Calibri" w:eastAsia="Times New Roman" w:hAnsi="Calibri" w:cs="Calibri"/>
                <w:color w:val="000000"/>
                <w:kern w:val="0"/>
                <w:lang w:eastAsia="en-AU"/>
                <w14:ligatures w14:val="none"/>
              </w:rPr>
            </w:pPr>
            <w:r w:rsidRPr="00D633FF">
              <w:rPr>
                <w:rFonts w:ascii="Calibri" w:eastAsia="Times New Roman" w:hAnsi="Calibri" w:cs="Calibri"/>
                <w:color w:val="000000"/>
                <w:kern w:val="0"/>
                <w:lang w:eastAsia="en-AU"/>
                <w14:ligatures w14:val="none"/>
              </w:rPr>
              <w:t>230*</w:t>
            </w:r>
          </w:p>
        </w:tc>
        <w:tc>
          <w:tcPr>
            <w:tcW w:w="529" w:type="pct"/>
          </w:tcPr>
          <w:p w14:paraId="4391D425" w14:textId="77777777" w:rsidR="001944DE" w:rsidRPr="00D633FF" w:rsidRDefault="001944DE" w:rsidP="001944DE">
            <w:pPr>
              <w:spacing w:after="0" w:line="240" w:lineRule="auto"/>
              <w:jc w:val="center"/>
              <w:rPr>
                <w:rFonts w:ascii="Calibri" w:eastAsia="Times New Roman" w:hAnsi="Calibri" w:cs="Calibri"/>
                <w:color w:val="000000"/>
                <w:kern w:val="0"/>
                <w:lang w:eastAsia="en-AU"/>
                <w14:ligatures w14:val="none"/>
              </w:rPr>
            </w:pPr>
          </w:p>
        </w:tc>
        <w:tc>
          <w:tcPr>
            <w:tcW w:w="494" w:type="pct"/>
            <w:vAlign w:val="center"/>
          </w:tcPr>
          <w:p w14:paraId="70D5E8D0" w14:textId="69BAEFE3" w:rsidR="001944DE" w:rsidRPr="00D633FF" w:rsidRDefault="001944DE" w:rsidP="001944DE">
            <w:pPr>
              <w:spacing w:after="0" w:line="240" w:lineRule="auto"/>
              <w:jc w:val="center"/>
              <w:rPr>
                <w:rFonts w:ascii="Calibri" w:eastAsia="Times New Roman" w:hAnsi="Calibri" w:cs="Calibri"/>
                <w:color w:val="000000"/>
                <w:kern w:val="0"/>
                <w:lang w:eastAsia="en-AU"/>
                <w14:ligatures w14:val="none"/>
              </w:rPr>
            </w:pPr>
            <w:r w:rsidRPr="00D633FF">
              <w:rPr>
                <w:rFonts w:ascii="Calibri" w:eastAsia="Times New Roman" w:hAnsi="Calibri" w:cs="Calibri"/>
                <w:color w:val="000000"/>
                <w:kern w:val="0"/>
                <w:lang w:eastAsia="en-AU"/>
                <w14:ligatures w14:val="none"/>
              </w:rPr>
              <w:t>-</w:t>
            </w:r>
          </w:p>
        </w:tc>
        <w:tc>
          <w:tcPr>
            <w:tcW w:w="529" w:type="pct"/>
            <w:noWrap/>
          </w:tcPr>
          <w:p w14:paraId="207A89ED" w14:textId="48EFAB49" w:rsidR="001944DE" w:rsidRPr="00D633FF" w:rsidRDefault="001944DE" w:rsidP="001944DE">
            <w:pPr>
              <w:spacing w:after="0" w:line="240" w:lineRule="auto"/>
              <w:jc w:val="center"/>
              <w:rPr>
                <w:rFonts w:ascii="Calibri" w:hAnsi="Calibri" w:cs="Calibri"/>
              </w:rPr>
            </w:pPr>
            <w:r w:rsidRPr="00D633FF">
              <w:rPr>
                <w:rFonts w:ascii="Calibri" w:hAnsi="Calibri" w:cs="Calibri"/>
              </w:rPr>
              <w:t>-</w:t>
            </w:r>
          </w:p>
        </w:tc>
        <w:tc>
          <w:tcPr>
            <w:tcW w:w="529" w:type="pct"/>
          </w:tcPr>
          <w:p w14:paraId="180A1215" w14:textId="77777777" w:rsidR="001944DE" w:rsidRPr="00D633FF" w:rsidRDefault="001944DE" w:rsidP="001944DE">
            <w:pPr>
              <w:spacing w:after="0" w:line="240" w:lineRule="auto"/>
              <w:jc w:val="center"/>
              <w:rPr>
                <w:rFonts w:ascii="Calibri" w:hAnsi="Calibri" w:cs="Calibri"/>
              </w:rPr>
            </w:pPr>
            <w:r w:rsidRPr="00D633FF">
              <w:rPr>
                <w:rFonts w:ascii="Calibri" w:hAnsi="Calibri" w:cs="Calibri"/>
              </w:rPr>
              <w:t>-</w:t>
            </w:r>
          </w:p>
        </w:tc>
      </w:tr>
    </w:tbl>
    <w:p w14:paraId="74DFC13F" w14:textId="77777777" w:rsidR="00A833C5" w:rsidRPr="00D633FF" w:rsidRDefault="00A833C5" w:rsidP="00B9169C">
      <w:pPr>
        <w:pStyle w:val="Footer"/>
        <w:spacing w:line="276" w:lineRule="auto"/>
        <w:contextualSpacing/>
        <w:rPr>
          <w:rFonts w:ascii="Calibri" w:hAnsi="Calibri" w:cs="Calibri"/>
          <w:sz w:val="16"/>
          <w:szCs w:val="16"/>
        </w:rPr>
      </w:pPr>
      <w:r w:rsidRPr="00D633FF">
        <w:rPr>
          <w:rFonts w:ascii="Calibri" w:hAnsi="Calibri" w:cs="Calibri"/>
          <w:b/>
          <w:bCs/>
          <w:sz w:val="16"/>
          <w:szCs w:val="16"/>
        </w:rPr>
        <w:t>Abbreviations:</w:t>
      </w:r>
      <w:r w:rsidRPr="00D633FF">
        <w:rPr>
          <w:rFonts w:ascii="Calibri" w:hAnsi="Calibri" w:cs="Calibri"/>
          <w:sz w:val="16"/>
          <w:szCs w:val="16"/>
        </w:rPr>
        <w:t xml:space="preserve"> EVM, UK Expert Group on Vitamins and Minerals (UK); IOM, Institute of Medicine (US); NHMRC, National Health and Medical Research Council; SCF, Scientiﬁc Committee on Food; WHO/FAO, World Health Organization/Food and Agriculture Organization of the United Nations; UL: upper level.</w:t>
      </w:r>
    </w:p>
    <w:p w14:paraId="5F68ECAA" w14:textId="47058758" w:rsidR="00E738A7" w:rsidRPr="00D633FF" w:rsidRDefault="00A833C5" w:rsidP="00B9169C">
      <w:pPr>
        <w:spacing w:after="0"/>
        <w:rPr>
          <w:rFonts w:ascii="Calibri" w:hAnsi="Calibri" w:cs="Calibri"/>
          <w:sz w:val="16"/>
          <w:szCs w:val="16"/>
        </w:rPr>
      </w:pPr>
      <w:r w:rsidRPr="00D633FF">
        <w:rPr>
          <w:rFonts w:ascii="Calibri" w:eastAsia="Times New Roman" w:hAnsi="Calibri" w:cs="Calibri"/>
          <w:b/>
          <w:bCs/>
          <w:color w:val="000000"/>
          <w:sz w:val="16"/>
          <w:szCs w:val="16"/>
          <w:lang w:eastAsia="en-AU"/>
        </w:rPr>
        <w:t>#</w:t>
      </w:r>
      <w:r w:rsidRPr="00D633FF">
        <w:rPr>
          <w:rFonts w:ascii="Calibri" w:eastAsia="Times New Roman" w:hAnsi="Calibri" w:cs="Calibri"/>
          <w:color w:val="000000"/>
          <w:sz w:val="16"/>
          <w:szCs w:val="16"/>
          <w:lang w:eastAsia="en-AU"/>
        </w:rPr>
        <w:t xml:space="preserve"> </w:t>
      </w:r>
      <w:r w:rsidRPr="00D633FF">
        <w:rPr>
          <w:rFonts w:ascii="Calibri" w:hAnsi="Calibri" w:cs="Calibri"/>
          <w:sz w:val="16"/>
          <w:szCs w:val="16"/>
        </w:rPr>
        <w:t>Including pregnant and lactating women.</w:t>
      </w:r>
    </w:p>
    <w:p w14:paraId="01164A1F" w14:textId="2B3A00BF" w:rsidR="001713CF" w:rsidRPr="00D633FF" w:rsidRDefault="001713CF" w:rsidP="00B9169C">
      <w:pPr>
        <w:spacing w:after="0"/>
        <w:rPr>
          <w:rFonts w:ascii="Calibri" w:hAnsi="Calibri" w:cs="Calibri"/>
          <w:sz w:val="16"/>
          <w:szCs w:val="16"/>
        </w:rPr>
      </w:pPr>
      <w:r w:rsidRPr="00D633FF">
        <w:rPr>
          <w:rFonts w:ascii="Calibri" w:hAnsi="Calibri" w:cs="Calibri"/>
          <w:sz w:val="16"/>
          <w:szCs w:val="16"/>
        </w:rPr>
        <w:t>^</w:t>
      </w:r>
      <w:r w:rsidR="001B32C5" w:rsidRPr="00D633FF">
        <w:rPr>
          <w:rFonts w:ascii="Calibri" w:hAnsi="Calibri" w:cs="Calibri"/>
          <w:sz w:val="16"/>
          <w:szCs w:val="16"/>
        </w:rPr>
        <w:t xml:space="preserve"> no information provided on UL for pregnant or lactating women</w:t>
      </w:r>
    </w:p>
    <w:p w14:paraId="4F0B7019" w14:textId="00371F00" w:rsidR="0021380B" w:rsidRPr="00D633FF" w:rsidRDefault="0058507C" w:rsidP="00A9341C">
      <w:pPr>
        <w:rPr>
          <w:rFonts w:ascii="Calibri" w:hAnsi="Calibri" w:cs="Calibri"/>
        </w:rPr>
      </w:pPr>
      <w:r w:rsidRPr="00D633FF">
        <w:rPr>
          <w:rFonts w:ascii="Calibri" w:hAnsi="Calibri" w:cs="Calibri"/>
          <w:sz w:val="16"/>
          <w:szCs w:val="16"/>
        </w:rPr>
        <w:t>*</w:t>
      </w:r>
      <w:proofErr w:type="gramStart"/>
      <w:r w:rsidRPr="00D633FF">
        <w:rPr>
          <w:rFonts w:ascii="Calibri" w:hAnsi="Calibri" w:cs="Calibri"/>
          <w:sz w:val="16"/>
          <w:szCs w:val="16"/>
        </w:rPr>
        <w:t>adjusted</w:t>
      </w:r>
      <w:proofErr w:type="gramEnd"/>
      <w:r w:rsidRPr="00D633FF">
        <w:rPr>
          <w:rFonts w:ascii="Calibri" w:hAnsi="Calibri" w:cs="Calibri"/>
          <w:sz w:val="16"/>
          <w:szCs w:val="16"/>
        </w:rPr>
        <w:t xml:space="preserve"> </w:t>
      </w:r>
      <w:r w:rsidR="00A5213B" w:rsidRPr="00D633FF">
        <w:rPr>
          <w:rFonts w:ascii="Calibri" w:hAnsi="Calibri" w:cs="Calibri"/>
          <w:sz w:val="16"/>
          <w:szCs w:val="16"/>
        </w:rPr>
        <w:t xml:space="preserve">value to fit </w:t>
      </w:r>
      <w:r w:rsidR="00145268" w:rsidRPr="00D633FF">
        <w:rPr>
          <w:rFonts w:ascii="Calibri" w:hAnsi="Calibri" w:cs="Calibri"/>
          <w:sz w:val="16"/>
          <w:szCs w:val="16"/>
        </w:rPr>
        <w:t xml:space="preserve">alternative </w:t>
      </w:r>
      <w:r w:rsidR="00A5213B" w:rsidRPr="00D633FF">
        <w:rPr>
          <w:rFonts w:ascii="Calibri" w:hAnsi="Calibri" w:cs="Calibri"/>
          <w:sz w:val="16"/>
          <w:szCs w:val="16"/>
        </w:rPr>
        <w:t>age group</w:t>
      </w:r>
      <w:r w:rsidR="0033312B" w:rsidRPr="00D633FF">
        <w:rPr>
          <w:rFonts w:ascii="Calibri" w:hAnsi="Calibri" w:cs="Calibri"/>
          <w:szCs w:val="20"/>
        </w:rPr>
        <w:t xml:space="preserve"> </w:t>
      </w:r>
      <w:r w:rsidR="0033312B" w:rsidRPr="00D633FF">
        <w:rPr>
          <w:rFonts w:ascii="Calibri" w:eastAsia="Times New Roman" w:hAnsi="Calibri" w:cs="Calibri"/>
          <w:szCs w:val="20"/>
        </w:rPr>
        <w:t xml:space="preserve"> </w:t>
      </w:r>
    </w:p>
    <w:p w14:paraId="1F3B14CF" w14:textId="77777777" w:rsidR="00E738A7" w:rsidRPr="00D633FF" w:rsidRDefault="00E738A7" w:rsidP="00E738A7">
      <w:pPr>
        <w:rPr>
          <w:rFonts w:ascii="Calibri" w:hAnsi="Calibri" w:cs="Calibri"/>
        </w:rPr>
      </w:pPr>
    </w:p>
    <w:p w14:paraId="574C1A9C" w14:textId="77777777" w:rsidR="001944DE" w:rsidRPr="00D633FF" w:rsidRDefault="001944DE" w:rsidP="00E738A7">
      <w:pPr>
        <w:rPr>
          <w:rFonts w:ascii="Calibri" w:hAnsi="Calibri" w:cs="Calibri"/>
        </w:rPr>
        <w:sectPr w:rsidR="001944DE" w:rsidRPr="00D633FF" w:rsidSect="00E752E0">
          <w:footnotePr>
            <w:pos w:val="beneathText"/>
          </w:footnotePr>
          <w:pgSz w:w="11906" w:h="16838"/>
          <w:pgMar w:top="1440" w:right="1440" w:bottom="1440" w:left="1440" w:header="708" w:footer="708" w:gutter="0"/>
          <w:cols w:space="708"/>
          <w:docGrid w:linePitch="360"/>
        </w:sectPr>
      </w:pPr>
    </w:p>
    <w:p w14:paraId="1DA5BF3F" w14:textId="0A35DBAB" w:rsidR="00E738A7" w:rsidRPr="00D633FF" w:rsidRDefault="00E738A7" w:rsidP="00E738A7">
      <w:pPr>
        <w:pStyle w:val="Heading2"/>
        <w:rPr>
          <w:rFonts w:ascii="Calibri" w:hAnsi="Calibri" w:cs="Calibri"/>
        </w:rPr>
      </w:pPr>
      <w:bookmarkStart w:id="69" w:name="_Toc204170939"/>
      <w:bookmarkStart w:id="70" w:name="_Toc218527982"/>
      <w:r w:rsidRPr="00D633FF">
        <w:rPr>
          <w:rFonts w:ascii="Calibri" w:hAnsi="Calibri" w:cs="Calibri"/>
        </w:rPr>
        <w:lastRenderedPageBreak/>
        <w:t>Food system and foundation diet modelling</w:t>
      </w:r>
      <w:bookmarkEnd w:id="69"/>
      <w:bookmarkEnd w:id="70"/>
    </w:p>
    <w:p w14:paraId="55838F97" w14:textId="5084C8F0" w:rsidR="00CF7A0D" w:rsidRPr="00D633FF" w:rsidRDefault="00CF7A0D" w:rsidP="0078061C">
      <w:pPr>
        <w:spacing w:line="360" w:lineRule="auto"/>
        <w:rPr>
          <w:rFonts w:ascii="Calibri" w:hAnsi="Calibri" w:cs="Calibri"/>
        </w:rPr>
      </w:pPr>
      <w:bookmarkStart w:id="71" w:name="_Toc204170940"/>
      <w:r w:rsidRPr="00D633FF">
        <w:rPr>
          <w:rFonts w:ascii="Calibri" w:hAnsi="Calibri" w:cs="Calibri"/>
        </w:rPr>
        <w:t xml:space="preserve">Data from the food modelling system developed to inform revision to the Australian Dietary Guidelines (NHMRC 2011) were extracted for comparison with NRV recommendations. Extracted data are presented in </w:t>
      </w:r>
      <w:r w:rsidRPr="00D633FF">
        <w:rPr>
          <w:rFonts w:ascii="Calibri" w:hAnsi="Calibri" w:cs="Calibri"/>
        </w:rPr>
        <w:fldChar w:fldCharType="begin" w:fldLock="1"/>
      </w:r>
      <w:r w:rsidRPr="00D633FF">
        <w:rPr>
          <w:rFonts w:ascii="Calibri" w:hAnsi="Calibri" w:cs="Calibri"/>
        </w:rPr>
        <w:instrText xml:space="preserve"> REF _Ref205283661 \h  \* MERGEFORMAT </w:instrText>
      </w:r>
      <w:r w:rsidRPr="00D633FF">
        <w:rPr>
          <w:rFonts w:ascii="Calibri" w:hAnsi="Calibri" w:cs="Calibri"/>
        </w:rPr>
      </w:r>
      <w:r w:rsidRPr="00D633FF">
        <w:rPr>
          <w:rFonts w:ascii="Calibri" w:hAnsi="Calibri" w:cs="Calibri"/>
        </w:rPr>
        <w:fldChar w:fldCharType="separate"/>
      </w:r>
      <w:r w:rsidRPr="00D633FF">
        <w:rPr>
          <w:rFonts w:ascii="Calibri" w:hAnsi="Calibri" w:cs="Calibri"/>
        </w:rPr>
        <w:t xml:space="preserve">Table </w:t>
      </w:r>
      <w:r w:rsidR="00EC49B7" w:rsidRPr="00D633FF">
        <w:rPr>
          <w:rFonts w:ascii="Calibri" w:hAnsi="Calibri" w:cs="Calibri"/>
          <w:noProof/>
        </w:rPr>
        <w:t>13</w:t>
      </w:r>
      <w:r w:rsidRPr="00D633FF">
        <w:rPr>
          <w:rFonts w:ascii="Calibri" w:hAnsi="Calibri" w:cs="Calibri"/>
        </w:rPr>
        <w:fldChar w:fldCharType="end"/>
      </w:r>
      <w:r w:rsidRPr="00D633FF">
        <w:rPr>
          <w:rFonts w:ascii="Calibri" w:hAnsi="Calibri" w:cs="Calibri"/>
        </w:rPr>
        <w:t xml:space="preserve"> (adults), </w:t>
      </w:r>
      <w:r w:rsidRPr="00D633FF">
        <w:rPr>
          <w:rFonts w:ascii="Calibri" w:hAnsi="Calibri" w:cs="Calibri"/>
        </w:rPr>
        <w:fldChar w:fldCharType="begin" w:fldLock="1"/>
      </w:r>
      <w:r w:rsidRPr="00D633FF">
        <w:rPr>
          <w:rFonts w:ascii="Calibri" w:hAnsi="Calibri" w:cs="Calibri"/>
        </w:rPr>
        <w:instrText xml:space="preserve"> REF _Ref205283664 \h  \* MERGEFORMAT </w:instrText>
      </w:r>
      <w:r w:rsidRPr="00D633FF">
        <w:rPr>
          <w:rFonts w:ascii="Calibri" w:hAnsi="Calibri" w:cs="Calibri"/>
        </w:rPr>
      </w:r>
      <w:r w:rsidRPr="00D633FF">
        <w:rPr>
          <w:rFonts w:ascii="Calibri" w:hAnsi="Calibri" w:cs="Calibri"/>
        </w:rPr>
        <w:fldChar w:fldCharType="separate"/>
      </w:r>
      <w:r w:rsidRPr="00D633FF">
        <w:rPr>
          <w:rFonts w:ascii="Calibri" w:hAnsi="Calibri" w:cs="Calibri"/>
        </w:rPr>
        <w:t xml:space="preserve">Table </w:t>
      </w:r>
      <w:r w:rsidRPr="00D633FF">
        <w:rPr>
          <w:rFonts w:ascii="Calibri" w:hAnsi="Calibri" w:cs="Calibri"/>
          <w:noProof/>
        </w:rPr>
        <w:t>1</w:t>
      </w:r>
      <w:r w:rsidR="00EC49B7" w:rsidRPr="00D633FF">
        <w:rPr>
          <w:rFonts w:ascii="Calibri" w:hAnsi="Calibri" w:cs="Calibri"/>
          <w:noProof/>
        </w:rPr>
        <w:t>4</w:t>
      </w:r>
      <w:r w:rsidRPr="00D633FF">
        <w:rPr>
          <w:rFonts w:ascii="Calibri" w:hAnsi="Calibri" w:cs="Calibri"/>
        </w:rPr>
        <w:fldChar w:fldCharType="end"/>
      </w:r>
      <w:r w:rsidRPr="00D633FF">
        <w:rPr>
          <w:rFonts w:ascii="Calibri" w:hAnsi="Calibri" w:cs="Calibri"/>
        </w:rPr>
        <w:t xml:space="preserve"> (during pregnancy), </w:t>
      </w:r>
      <w:r w:rsidRPr="00D633FF">
        <w:rPr>
          <w:rFonts w:ascii="Calibri" w:hAnsi="Calibri" w:cs="Calibri"/>
        </w:rPr>
        <w:fldChar w:fldCharType="begin" w:fldLock="1"/>
      </w:r>
      <w:r w:rsidRPr="00D633FF">
        <w:rPr>
          <w:rFonts w:ascii="Calibri" w:hAnsi="Calibri" w:cs="Calibri"/>
        </w:rPr>
        <w:instrText xml:space="preserve"> REF _Ref205283665 \h  \* MERGEFORMAT </w:instrText>
      </w:r>
      <w:r w:rsidRPr="00D633FF">
        <w:rPr>
          <w:rFonts w:ascii="Calibri" w:hAnsi="Calibri" w:cs="Calibri"/>
        </w:rPr>
      </w:r>
      <w:r w:rsidRPr="00D633FF">
        <w:rPr>
          <w:rFonts w:ascii="Calibri" w:hAnsi="Calibri" w:cs="Calibri"/>
        </w:rPr>
        <w:fldChar w:fldCharType="separate"/>
      </w:r>
      <w:r w:rsidRPr="00D633FF">
        <w:rPr>
          <w:rFonts w:ascii="Calibri" w:hAnsi="Calibri" w:cs="Calibri"/>
        </w:rPr>
        <w:t xml:space="preserve">Table </w:t>
      </w:r>
      <w:r w:rsidRPr="00D633FF">
        <w:rPr>
          <w:rFonts w:ascii="Calibri" w:hAnsi="Calibri" w:cs="Calibri"/>
          <w:noProof/>
        </w:rPr>
        <w:t>1</w:t>
      </w:r>
      <w:r w:rsidR="00EC49B7" w:rsidRPr="00D633FF">
        <w:rPr>
          <w:rFonts w:ascii="Calibri" w:hAnsi="Calibri" w:cs="Calibri"/>
          <w:noProof/>
        </w:rPr>
        <w:t>5</w:t>
      </w:r>
      <w:r w:rsidRPr="00D633FF">
        <w:rPr>
          <w:rFonts w:ascii="Calibri" w:hAnsi="Calibri" w:cs="Calibri"/>
        </w:rPr>
        <w:fldChar w:fldCharType="end"/>
      </w:r>
      <w:r w:rsidRPr="00D633FF">
        <w:rPr>
          <w:rFonts w:ascii="Calibri" w:hAnsi="Calibri" w:cs="Calibri"/>
        </w:rPr>
        <w:t xml:space="preserve"> (during lactation), and </w:t>
      </w:r>
      <w:r w:rsidRPr="00D633FF">
        <w:rPr>
          <w:rFonts w:ascii="Calibri" w:hAnsi="Calibri" w:cs="Calibri"/>
        </w:rPr>
        <w:fldChar w:fldCharType="begin" w:fldLock="1"/>
      </w:r>
      <w:r w:rsidRPr="00D633FF">
        <w:rPr>
          <w:rFonts w:ascii="Calibri" w:hAnsi="Calibri" w:cs="Calibri"/>
        </w:rPr>
        <w:instrText xml:space="preserve"> REF _Ref205283666 \h  \* MERGEFORMAT </w:instrText>
      </w:r>
      <w:r w:rsidRPr="00D633FF">
        <w:rPr>
          <w:rFonts w:ascii="Calibri" w:hAnsi="Calibri" w:cs="Calibri"/>
        </w:rPr>
      </w:r>
      <w:r w:rsidRPr="00D633FF">
        <w:rPr>
          <w:rFonts w:ascii="Calibri" w:hAnsi="Calibri" w:cs="Calibri"/>
        </w:rPr>
        <w:fldChar w:fldCharType="separate"/>
      </w:r>
      <w:r w:rsidRPr="00D633FF">
        <w:rPr>
          <w:rFonts w:ascii="Calibri" w:hAnsi="Calibri" w:cs="Calibri"/>
        </w:rPr>
        <w:t xml:space="preserve">Table </w:t>
      </w:r>
      <w:r w:rsidRPr="00D633FF">
        <w:rPr>
          <w:rFonts w:ascii="Calibri" w:hAnsi="Calibri" w:cs="Calibri"/>
          <w:noProof/>
        </w:rPr>
        <w:t>1</w:t>
      </w:r>
      <w:r w:rsidR="00EC49B7" w:rsidRPr="00D633FF">
        <w:rPr>
          <w:rFonts w:ascii="Calibri" w:hAnsi="Calibri" w:cs="Calibri"/>
          <w:noProof/>
        </w:rPr>
        <w:t>6</w:t>
      </w:r>
      <w:r w:rsidRPr="00D633FF">
        <w:rPr>
          <w:rFonts w:ascii="Calibri" w:hAnsi="Calibri" w:cs="Calibri"/>
        </w:rPr>
        <w:fldChar w:fldCharType="end"/>
      </w:r>
      <w:r w:rsidRPr="00D633FF">
        <w:rPr>
          <w:rFonts w:ascii="Calibri" w:hAnsi="Calibri" w:cs="Calibri"/>
        </w:rPr>
        <w:t xml:space="preserve"> (children and adolescents). Estimates of dietary </w:t>
      </w:r>
      <w:r w:rsidR="00837D6C" w:rsidRPr="00D633FF">
        <w:rPr>
          <w:rFonts w:ascii="Calibri" w:hAnsi="Calibri" w:cs="Calibri"/>
        </w:rPr>
        <w:t>selenium</w:t>
      </w:r>
      <w:r w:rsidRPr="00D633FF">
        <w:rPr>
          <w:rFonts w:ascii="Calibri" w:hAnsi="Calibri" w:cs="Calibri"/>
        </w:rPr>
        <w:t xml:space="preserve"> intake </w:t>
      </w:r>
      <w:r w:rsidR="00837D6C" w:rsidRPr="00D633FF">
        <w:rPr>
          <w:rFonts w:ascii="Calibri" w:hAnsi="Calibri" w:cs="Calibri"/>
        </w:rPr>
        <w:t>among adults</w:t>
      </w:r>
      <w:r w:rsidR="00F5482A" w:rsidRPr="00D633FF">
        <w:rPr>
          <w:rFonts w:ascii="Calibri" w:hAnsi="Calibri" w:cs="Calibri"/>
        </w:rPr>
        <w:t>, including during pregnancy and lactation</w:t>
      </w:r>
      <w:r w:rsidR="005A4700" w:rsidRPr="00D633FF">
        <w:rPr>
          <w:rFonts w:ascii="Calibri" w:hAnsi="Calibri" w:cs="Calibri"/>
        </w:rPr>
        <w:t>,</w:t>
      </w:r>
      <w:r w:rsidR="00837D6C" w:rsidRPr="00D633FF">
        <w:rPr>
          <w:rFonts w:ascii="Calibri" w:hAnsi="Calibri" w:cs="Calibri"/>
        </w:rPr>
        <w:t xml:space="preserve"> </w:t>
      </w:r>
      <w:r w:rsidR="00837D6C" w:rsidRPr="00D633FF">
        <w:rPr>
          <w:rFonts w:ascii="Calibri" w:hAnsi="Calibri" w:cs="Calibri"/>
          <w:i/>
          <w:iCs/>
        </w:rPr>
        <w:t>consistently falls below both current and proposed ULs</w:t>
      </w:r>
      <w:r w:rsidR="005A4700" w:rsidRPr="00D633FF">
        <w:rPr>
          <w:rFonts w:ascii="Calibri" w:hAnsi="Calibri" w:cs="Calibri"/>
          <w:i/>
          <w:iCs/>
        </w:rPr>
        <w:t xml:space="preserve">, </w:t>
      </w:r>
      <w:r w:rsidR="00FF4ED2" w:rsidRPr="00D633FF">
        <w:rPr>
          <w:rFonts w:ascii="Calibri" w:hAnsi="Calibri" w:cs="Calibri"/>
        </w:rPr>
        <w:t>which suggests that a reduction in the UL would be safe and feasible.</w:t>
      </w:r>
    </w:p>
    <w:p w14:paraId="7AA68EED" w14:textId="4777AF0E" w:rsidR="00E738A7" w:rsidRPr="00D633FF" w:rsidRDefault="00E738A7" w:rsidP="00E738A7">
      <w:pPr>
        <w:pStyle w:val="Heading3"/>
        <w:rPr>
          <w:rFonts w:ascii="Calibri" w:hAnsi="Calibri" w:cs="Calibri"/>
        </w:rPr>
      </w:pPr>
      <w:bookmarkStart w:id="72" w:name="_Toc218527983"/>
      <w:r w:rsidRPr="00D633FF">
        <w:rPr>
          <w:rFonts w:ascii="Calibri" w:hAnsi="Calibri" w:cs="Calibri"/>
        </w:rPr>
        <w:t>Adults</w:t>
      </w:r>
      <w:bookmarkEnd w:id="71"/>
      <w:bookmarkEnd w:id="72"/>
    </w:p>
    <w:p w14:paraId="42CF75FC" w14:textId="7153F3D9" w:rsidR="00AC133C" w:rsidRPr="00D633FF" w:rsidRDefault="00864505" w:rsidP="00B07CC4">
      <w:pPr>
        <w:pStyle w:val="Caption"/>
        <w:spacing w:after="120"/>
        <w:rPr>
          <w:rFonts w:ascii="Calibri" w:hAnsi="Calibri" w:cs="Calibri"/>
          <w:b/>
          <w:bCs/>
          <w:sz w:val="20"/>
          <w:szCs w:val="20"/>
        </w:rPr>
      </w:pPr>
      <w:r w:rsidRPr="00D633FF">
        <w:rPr>
          <w:rFonts w:ascii="Calibri" w:hAnsi="Calibri" w:cs="Calibri"/>
          <w:b/>
          <w:bCs/>
          <w:sz w:val="20"/>
          <w:szCs w:val="20"/>
        </w:rPr>
        <w:t xml:space="preserve">Table </w:t>
      </w:r>
      <w:r w:rsidRPr="00D633FF">
        <w:rPr>
          <w:rFonts w:ascii="Calibri" w:hAnsi="Calibri" w:cs="Calibri"/>
          <w:b/>
          <w:bCs/>
          <w:sz w:val="20"/>
          <w:szCs w:val="20"/>
        </w:rPr>
        <w:fldChar w:fldCharType="begin"/>
      </w:r>
      <w:r w:rsidRPr="00D633FF">
        <w:rPr>
          <w:rFonts w:ascii="Calibri" w:hAnsi="Calibri" w:cs="Calibri"/>
          <w:b/>
          <w:bCs/>
          <w:sz w:val="20"/>
          <w:szCs w:val="20"/>
        </w:rPr>
        <w:instrText xml:space="preserve"> SEQ Table \* ARABIC </w:instrText>
      </w:r>
      <w:r w:rsidRPr="00D633FF">
        <w:rPr>
          <w:rFonts w:ascii="Calibri" w:hAnsi="Calibri" w:cs="Calibri"/>
          <w:b/>
          <w:bCs/>
          <w:sz w:val="20"/>
          <w:szCs w:val="20"/>
        </w:rPr>
        <w:fldChar w:fldCharType="separate"/>
      </w:r>
      <w:r w:rsidR="00CB6915">
        <w:rPr>
          <w:rFonts w:ascii="Calibri" w:hAnsi="Calibri" w:cs="Calibri"/>
          <w:b/>
          <w:bCs/>
          <w:noProof/>
          <w:sz w:val="20"/>
          <w:szCs w:val="20"/>
        </w:rPr>
        <w:t>13</w:t>
      </w:r>
      <w:r w:rsidRPr="00D633FF">
        <w:rPr>
          <w:rFonts w:ascii="Calibri" w:hAnsi="Calibri" w:cs="Calibri"/>
          <w:b/>
          <w:bCs/>
          <w:sz w:val="20"/>
          <w:szCs w:val="20"/>
        </w:rPr>
        <w:fldChar w:fldCharType="end"/>
      </w:r>
      <w:r w:rsidR="000854DE">
        <w:rPr>
          <w:rFonts w:ascii="Calibri" w:hAnsi="Calibri" w:cs="Calibri"/>
          <w:b/>
          <w:bCs/>
          <w:sz w:val="20"/>
          <w:szCs w:val="20"/>
        </w:rPr>
        <w:t>.</w:t>
      </w:r>
      <w:r w:rsidRPr="00D633FF">
        <w:rPr>
          <w:rFonts w:ascii="Calibri" w:hAnsi="Calibri" w:cs="Calibri"/>
          <w:b/>
          <w:bCs/>
          <w:sz w:val="20"/>
          <w:szCs w:val="20"/>
        </w:rPr>
        <w:t xml:space="preserve"> Estimated </w:t>
      </w:r>
      <w:r w:rsidR="00DE361F" w:rsidRPr="00D633FF">
        <w:rPr>
          <w:rFonts w:ascii="Calibri" w:hAnsi="Calibri" w:cs="Calibri"/>
          <w:b/>
          <w:bCs/>
          <w:sz w:val="20"/>
          <w:szCs w:val="20"/>
        </w:rPr>
        <w:t>selenium</w:t>
      </w:r>
      <w:r w:rsidRPr="00D633FF">
        <w:rPr>
          <w:rFonts w:ascii="Calibri" w:hAnsi="Calibri" w:cs="Calibri"/>
          <w:b/>
          <w:bCs/>
          <w:sz w:val="20"/>
          <w:szCs w:val="20"/>
        </w:rPr>
        <w:t xml:space="preserve"> intake in adults from food </w:t>
      </w:r>
      <w:r w:rsidRPr="00E21AFE">
        <w:rPr>
          <w:rFonts w:ascii="Calibri" w:hAnsi="Calibri" w:cs="Calibri"/>
          <w:b/>
          <w:bCs/>
          <w:color w:val="auto"/>
          <w:sz w:val="20"/>
          <w:szCs w:val="20"/>
        </w:rPr>
        <w:t>modelling</w:t>
      </w:r>
      <w:r w:rsidR="00E21AFE" w:rsidRPr="00E21AFE">
        <w:rPr>
          <w:rFonts w:ascii="Calibri" w:hAnsi="Calibri" w:cs="Calibri"/>
          <w:b/>
          <w:bCs/>
          <w:color w:val="auto"/>
          <w:sz w:val="20"/>
          <w:szCs w:val="20"/>
        </w:rPr>
        <w:t xml:space="preserve"> (</w:t>
      </w:r>
      <w:r w:rsidR="00E21AFE" w:rsidRPr="00E21AFE">
        <w:rPr>
          <w:rFonts w:ascii="Calibri" w:eastAsia="Times New Roman" w:hAnsi="Calibri" w:cs="Calibri"/>
          <w:b/>
          <w:bCs/>
          <w:color w:val="auto"/>
          <w:kern w:val="0"/>
          <w:sz w:val="20"/>
          <w:szCs w:val="20"/>
          <w:lang w:eastAsia="en-AU"/>
          <w14:ligatures w14:val="none"/>
        </w:rPr>
        <w:t>µg/day)</w:t>
      </w:r>
      <w:r w:rsidRPr="00E21AFE">
        <w:rPr>
          <w:rFonts w:ascii="Calibri" w:hAnsi="Calibri" w:cs="Calibri"/>
          <w:b/>
          <w:bCs/>
          <w:color w:val="auto"/>
          <w:sz w:val="20"/>
          <w:szCs w:val="20"/>
        </w:rPr>
        <w:t xml:space="preserve"> </w:t>
      </w:r>
      <w:r w:rsidRPr="000854DE">
        <w:rPr>
          <w:rFonts w:ascii="Calibri" w:hAnsi="Calibri" w:cs="Calibri"/>
          <w:color w:val="auto"/>
          <w:sz w:val="20"/>
          <w:szCs w:val="20"/>
        </w:rPr>
        <w:t>(</w:t>
      </w:r>
      <w:r w:rsidRPr="000854DE">
        <w:rPr>
          <w:rFonts w:ascii="Calibri" w:hAnsi="Calibri" w:cs="Calibri"/>
          <w:sz w:val="20"/>
          <w:szCs w:val="20"/>
        </w:rPr>
        <w:t xml:space="preserve">Source: </w:t>
      </w:r>
      <w:r w:rsidR="005B68F9" w:rsidRPr="000854DE">
        <w:rPr>
          <w:rFonts w:ascii="Calibri" w:hAnsi="Calibri" w:cs="Calibri"/>
          <w:noProof/>
          <w:sz w:val="20"/>
          <w:szCs w:val="20"/>
        </w:rPr>
        <w:t>Baghurst et al. 2011</w:t>
      </w:r>
      <w:r w:rsidRPr="000854DE">
        <w:rPr>
          <w:rFonts w:ascii="Calibri" w:hAnsi="Calibri" w:cs="Calibri"/>
          <w:sz w:val="20"/>
          <w:szCs w:val="20"/>
        </w:rPr>
        <w:t>)</w:t>
      </w:r>
    </w:p>
    <w:tbl>
      <w:tblPr>
        <w:tblW w:w="12120" w:type="dxa"/>
        <w:tblInd w:w="-10"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5140"/>
        <w:gridCol w:w="997"/>
        <w:gridCol w:w="1098"/>
        <w:gridCol w:w="896"/>
        <w:gridCol w:w="997"/>
        <w:gridCol w:w="997"/>
        <w:gridCol w:w="997"/>
        <w:gridCol w:w="998"/>
      </w:tblGrid>
      <w:tr w:rsidR="00FA5EE5" w:rsidRPr="00D633FF" w14:paraId="2446D752" w14:textId="77777777" w:rsidTr="00264163">
        <w:trPr>
          <w:cantSplit/>
          <w:trHeight w:val="1880"/>
        </w:trPr>
        <w:tc>
          <w:tcPr>
            <w:tcW w:w="5140" w:type="dxa"/>
            <w:tcBorders>
              <w:top w:val="single" w:sz="4" w:space="0" w:color="auto"/>
            </w:tcBorders>
            <w:shd w:val="clear" w:color="auto" w:fill="156082" w:themeFill="accent1"/>
            <w:vAlign w:val="bottom"/>
            <w:hideMark/>
          </w:tcPr>
          <w:p w14:paraId="666E394C" w14:textId="77777777" w:rsidR="002B0CF0" w:rsidRPr="00D633FF" w:rsidRDefault="002B0CF0">
            <w:pPr>
              <w:spacing w:after="0" w:line="240" w:lineRule="auto"/>
              <w:rPr>
                <w:rFonts w:ascii="Calibri" w:eastAsia="Times New Roman" w:hAnsi="Calibri" w:cs="Calibri"/>
                <w:b/>
                <w:bCs/>
                <w:color w:val="FFFFFF" w:themeColor="background1"/>
                <w:kern w:val="0"/>
                <w:sz w:val="20"/>
                <w:szCs w:val="20"/>
                <w:lang w:eastAsia="en-AU"/>
                <w14:ligatures w14:val="none"/>
              </w:rPr>
            </w:pPr>
            <w:r w:rsidRPr="00D633FF">
              <w:rPr>
                <w:rFonts w:ascii="Calibri" w:eastAsia="Times New Roman" w:hAnsi="Calibri" w:cs="Calibri"/>
                <w:b/>
                <w:bCs/>
                <w:color w:val="FFFFFF" w:themeColor="background1"/>
                <w:kern w:val="0"/>
                <w:sz w:val="20"/>
                <w:szCs w:val="20"/>
                <w:lang w:eastAsia="en-AU"/>
                <w14:ligatures w14:val="none"/>
              </w:rPr>
              <w:t>Population</w:t>
            </w:r>
          </w:p>
        </w:tc>
        <w:tc>
          <w:tcPr>
            <w:tcW w:w="997" w:type="dxa"/>
            <w:tcBorders>
              <w:top w:val="single" w:sz="4" w:space="0" w:color="auto"/>
            </w:tcBorders>
            <w:shd w:val="clear" w:color="auto" w:fill="156082" w:themeFill="accent1"/>
            <w:textDirection w:val="btLr"/>
            <w:vAlign w:val="center"/>
            <w:hideMark/>
          </w:tcPr>
          <w:p w14:paraId="2D9918F7" w14:textId="77777777" w:rsidR="002B0CF0" w:rsidRPr="00D633FF" w:rsidRDefault="002B0CF0">
            <w:pPr>
              <w:spacing w:after="0" w:line="240" w:lineRule="auto"/>
              <w:ind w:left="113" w:right="113"/>
              <w:rPr>
                <w:rFonts w:ascii="Calibri" w:eastAsia="Times New Roman" w:hAnsi="Calibri" w:cs="Calibri"/>
                <w:b/>
                <w:bCs/>
                <w:color w:val="FFFFFF" w:themeColor="background1"/>
                <w:kern w:val="0"/>
                <w:sz w:val="20"/>
                <w:szCs w:val="20"/>
                <w:lang w:eastAsia="en-AU"/>
                <w14:ligatures w14:val="none"/>
              </w:rPr>
            </w:pPr>
            <w:r w:rsidRPr="00D633FF">
              <w:rPr>
                <w:rFonts w:ascii="Calibri" w:eastAsia="Times New Roman" w:hAnsi="Calibri" w:cs="Calibri"/>
                <w:b/>
                <w:bCs/>
                <w:color w:val="FFFFFF" w:themeColor="background1"/>
                <w:kern w:val="0"/>
                <w:sz w:val="20"/>
                <w:szCs w:val="20"/>
                <w:lang w:eastAsia="en-AU"/>
                <w14:ligatures w14:val="none"/>
              </w:rPr>
              <w:t xml:space="preserve">Core food groups </w:t>
            </w:r>
          </w:p>
        </w:tc>
        <w:tc>
          <w:tcPr>
            <w:tcW w:w="1098" w:type="dxa"/>
            <w:tcBorders>
              <w:top w:val="single" w:sz="4" w:space="0" w:color="auto"/>
            </w:tcBorders>
            <w:shd w:val="clear" w:color="auto" w:fill="156082" w:themeFill="accent1"/>
            <w:textDirection w:val="btLr"/>
            <w:vAlign w:val="center"/>
            <w:hideMark/>
          </w:tcPr>
          <w:p w14:paraId="655F74F9" w14:textId="4D2242B2" w:rsidR="002B0CF0" w:rsidRPr="00D633FF" w:rsidRDefault="002B0CF0">
            <w:pPr>
              <w:spacing w:after="0" w:line="240" w:lineRule="auto"/>
              <w:ind w:left="113" w:right="113"/>
              <w:rPr>
                <w:rFonts w:ascii="Calibri" w:eastAsia="Times New Roman" w:hAnsi="Calibri" w:cs="Calibri"/>
                <w:b/>
                <w:bCs/>
                <w:color w:val="FFFFFF" w:themeColor="background1"/>
                <w:kern w:val="0"/>
                <w:sz w:val="20"/>
                <w:szCs w:val="20"/>
                <w:lang w:eastAsia="en-AU"/>
                <w14:ligatures w14:val="none"/>
              </w:rPr>
            </w:pPr>
            <w:r w:rsidRPr="00D633FF">
              <w:rPr>
                <w:rFonts w:ascii="Calibri" w:eastAsia="Times New Roman" w:hAnsi="Calibri" w:cs="Calibri"/>
                <w:b/>
                <w:bCs/>
                <w:color w:val="FFFFFF" w:themeColor="background1"/>
                <w:kern w:val="0"/>
                <w:sz w:val="20"/>
                <w:szCs w:val="20"/>
                <w:lang w:eastAsia="en-AU"/>
                <w14:ligatures w14:val="none"/>
              </w:rPr>
              <w:t xml:space="preserve">Aust. Guide to Healthy Eating </w:t>
            </w:r>
          </w:p>
        </w:tc>
        <w:tc>
          <w:tcPr>
            <w:tcW w:w="896" w:type="dxa"/>
            <w:tcBorders>
              <w:top w:val="single" w:sz="4" w:space="0" w:color="auto"/>
            </w:tcBorders>
            <w:shd w:val="clear" w:color="auto" w:fill="156082" w:themeFill="accent1"/>
            <w:textDirection w:val="btLr"/>
            <w:vAlign w:val="center"/>
          </w:tcPr>
          <w:p w14:paraId="1A176BF8" w14:textId="77777777" w:rsidR="002B0CF0" w:rsidRPr="00D633FF" w:rsidRDefault="002B0CF0">
            <w:pPr>
              <w:spacing w:after="0" w:line="240" w:lineRule="auto"/>
              <w:ind w:left="113" w:right="113"/>
              <w:rPr>
                <w:rFonts w:ascii="Calibri" w:eastAsia="Times New Roman" w:hAnsi="Calibri" w:cs="Calibri"/>
                <w:b/>
                <w:bCs/>
                <w:color w:val="FFFFFF" w:themeColor="background1"/>
                <w:kern w:val="0"/>
                <w:sz w:val="20"/>
                <w:szCs w:val="20"/>
                <w:lang w:eastAsia="en-AU"/>
                <w14:ligatures w14:val="none"/>
              </w:rPr>
            </w:pPr>
            <w:r w:rsidRPr="00D633FF">
              <w:rPr>
                <w:rFonts w:ascii="Calibri" w:eastAsia="Times New Roman" w:hAnsi="Calibri" w:cs="Calibri"/>
                <w:b/>
                <w:bCs/>
                <w:color w:val="FFFFFF" w:themeColor="background1"/>
                <w:kern w:val="0"/>
                <w:sz w:val="20"/>
                <w:szCs w:val="20"/>
                <w:lang w:eastAsia="en-AU"/>
                <w14:ligatures w14:val="none"/>
              </w:rPr>
              <w:t>Foundation diets - overall</w:t>
            </w:r>
          </w:p>
        </w:tc>
        <w:tc>
          <w:tcPr>
            <w:tcW w:w="997" w:type="dxa"/>
            <w:tcBorders>
              <w:top w:val="single" w:sz="4" w:space="0" w:color="auto"/>
            </w:tcBorders>
            <w:shd w:val="clear" w:color="auto" w:fill="156082" w:themeFill="accent1"/>
            <w:textDirection w:val="btLr"/>
            <w:vAlign w:val="center"/>
          </w:tcPr>
          <w:p w14:paraId="0F95D812" w14:textId="77777777" w:rsidR="002B0CF0" w:rsidRPr="00D633FF" w:rsidRDefault="002B0CF0">
            <w:pPr>
              <w:spacing w:after="0" w:line="240" w:lineRule="auto"/>
              <w:ind w:left="113" w:right="113"/>
              <w:rPr>
                <w:rFonts w:ascii="Calibri" w:eastAsia="Times New Roman" w:hAnsi="Calibri" w:cs="Calibri"/>
                <w:b/>
                <w:bCs/>
                <w:color w:val="FFFFFF" w:themeColor="background1"/>
                <w:kern w:val="0"/>
                <w:sz w:val="20"/>
                <w:szCs w:val="20"/>
                <w:lang w:eastAsia="en-AU"/>
                <w14:ligatures w14:val="none"/>
              </w:rPr>
            </w:pPr>
            <w:r w:rsidRPr="00D633FF">
              <w:rPr>
                <w:rFonts w:ascii="Calibri" w:eastAsia="Times New Roman" w:hAnsi="Calibri" w:cs="Calibri"/>
                <w:b/>
                <w:bCs/>
                <w:color w:val="FFFFFF" w:themeColor="background1"/>
                <w:kern w:val="0"/>
                <w:sz w:val="20"/>
                <w:szCs w:val="20"/>
                <w:lang w:eastAsia="en-AU"/>
                <w14:ligatures w14:val="none"/>
              </w:rPr>
              <w:t>Omnivore</w:t>
            </w:r>
          </w:p>
        </w:tc>
        <w:tc>
          <w:tcPr>
            <w:tcW w:w="997" w:type="dxa"/>
            <w:tcBorders>
              <w:top w:val="single" w:sz="4" w:space="0" w:color="auto"/>
            </w:tcBorders>
            <w:shd w:val="clear" w:color="auto" w:fill="156082" w:themeFill="accent1"/>
            <w:textDirection w:val="btLr"/>
            <w:vAlign w:val="center"/>
          </w:tcPr>
          <w:p w14:paraId="028EEF41" w14:textId="77777777" w:rsidR="002B0CF0" w:rsidRPr="00D633FF" w:rsidRDefault="002B0CF0">
            <w:pPr>
              <w:spacing w:after="0" w:line="240" w:lineRule="auto"/>
              <w:ind w:left="113" w:right="113"/>
              <w:rPr>
                <w:rFonts w:ascii="Calibri" w:eastAsia="Times New Roman" w:hAnsi="Calibri" w:cs="Calibri"/>
                <w:b/>
                <w:bCs/>
                <w:color w:val="FFFFFF" w:themeColor="background1"/>
                <w:kern w:val="0"/>
                <w:sz w:val="20"/>
                <w:szCs w:val="20"/>
                <w:lang w:eastAsia="en-AU"/>
                <w14:ligatures w14:val="none"/>
              </w:rPr>
            </w:pPr>
            <w:r w:rsidRPr="00D633FF">
              <w:rPr>
                <w:rFonts w:ascii="Calibri" w:eastAsia="Times New Roman" w:hAnsi="Calibri" w:cs="Calibri"/>
                <w:b/>
                <w:bCs/>
                <w:color w:val="FFFFFF" w:themeColor="background1"/>
                <w:kern w:val="0"/>
                <w:sz w:val="20"/>
                <w:szCs w:val="20"/>
                <w:lang w:eastAsia="en-AU"/>
                <w14:ligatures w14:val="none"/>
              </w:rPr>
              <w:t>Rice-based</w:t>
            </w:r>
          </w:p>
        </w:tc>
        <w:tc>
          <w:tcPr>
            <w:tcW w:w="997" w:type="dxa"/>
            <w:tcBorders>
              <w:top w:val="single" w:sz="4" w:space="0" w:color="auto"/>
            </w:tcBorders>
            <w:shd w:val="clear" w:color="auto" w:fill="156082" w:themeFill="accent1"/>
            <w:textDirection w:val="btLr"/>
            <w:vAlign w:val="center"/>
          </w:tcPr>
          <w:p w14:paraId="407D3361" w14:textId="77777777" w:rsidR="002B0CF0" w:rsidRPr="00D633FF" w:rsidRDefault="002B0CF0">
            <w:pPr>
              <w:spacing w:after="0" w:line="240" w:lineRule="auto"/>
              <w:ind w:left="113" w:right="113"/>
              <w:rPr>
                <w:rFonts w:ascii="Calibri" w:eastAsia="Times New Roman" w:hAnsi="Calibri" w:cs="Calibri"/>
                <w:b/>
                <w:bCs/>
                <w:color w:val="FFFFFF" w:themeColor="background1"/>
                <w:kern w:val="0"/>
                <w:sz w:val="20"/>
                <w:szCs w:val="20"/>
                <w:lang w:eastAsia="en-AU"/>
                <w14:ligatures w14:val="none"/>
              </w:rPr>
            </w:pPr>
            <w:r w:rsidRPr="00D633FF">
              <w:rPr>
                <w:rFonts w:ascii="Calibri" w:eastAsia="Times New Roman" w:hAnsi="Calibri" w:cs="Calibri"/>
                <w:b/>
                <w:bCs/>
                <w:color w:val="FFFFFF" w:themeColor="background1"/>
                <w:kern w:val="0"/>
                <w:sz w:val="20"/>
                <w:szCs w:val="20"/>
                <w:lang w:eastAsia="en-AU"/>
                <w14:ligatures w14:val="none"/>
              </w:rPr>
              <w:t>Pasta-based</w:t>
            </w:r>
          </w:p>
        </w:tc>
        <w:tc>
          <w:tcPr>
            <w:tcW w:w="998" w:type="dxa"/>
            <w:tcBorders>
              <w:top w:val="single" w:sz="4" w:space="0" w:color="auto"/>
            </w:tcBorders>
            <w:shd w:val="clear" w:color="auto" w:fill="156082" w:themeFill="accent1"/>
            <w:textDirection w:val="btLr"/>
            <w:vAlign w:val="center"/>
          </w:tcPr>
          <w:p w14:paraId="1E28F4DF" w14:textId="77777777" w:rsidR="002B0CF0" w:rsidRPr="00D633FF" w:rsidRDefault="002B0CF0">
            <w:pPr>
              <w:spacing w:after="0" w:line="240" w:lineRule="auto"/>
              <w:ind w:left="113" w:right="113"/>
              <w:rPr>
                <w:rFonts w:ascii="Calibri" w:eastAsia="Times New Roman" w:hAnsi="Calibri" w:cs="Calibri"/>
                <w:b/>
                <w:bCs/>
                <w:color w:val="FFFFFF" w:themeColor="background1"/>
                <w:kern w:val="0"/>
                <w:sz w:val="20"/>
                <w:szCs w:val="20"/>
                <w:lang w:eastAsia="en-AU"/>
                <w14:ligatures w14:val="none"/>
              </w:rPr>
            </w:pPr>
            <w:r w:rsidRPr="00D633FF">
              <w:rPr>
                <w:rFonts w:ascii="Calibri" w:eastAsia="Times New Roman" w:hAnsi="Calibri" w:cs="Calibri"/>
                <w:b/>
                <w:bCs/>
                <w:color w:val="FFFFFF" w:themeColor="background1"/>
                <w:kern w:val="0"/>
                <w:sz w:val="20"/>
                <w:szCs w:val="20"/>
                <w:lang w:eastAsia="en-AU"/>
                <w14:ligatures w14:val="none"/>
              </w:rPr>
              <w:t>Lacto-ovo-vegetarian</w:t>
            </w:r>
          </w:p>
        </w:tc>
      </w:tr>
      <w:tr w:rsidR="00015F62" w:rsidRPr="00D633FF" w14:paraId="553AF9EA" w14:textId="77777777" w:rsidTr="0043211D">
        <w:trPr>
          <w:trHeight w:val="300"/>
        </w:trPr>
        <w:tc>
          <w:tcPr>
            <w:tcW w:w="5140" w:type="dxa"/>
            <w:noWrap/>
            <w:vAlign w:val="bottom"/>
            <w:hideMark/>
          </w:tcPr>
          <w:p w14:paraId="4CBF2321" w14:textId="77777777" w:rsidR="00015F62" w:rsidRPr="00D633FF" w:rsidRDefault="00015F62" w:rsidP="00015F62">
            <w:pPr>
              <w:spacing w:after="0" w:line="24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Persons 19+ years</w:t>
            </w:r>
          </w:p>
        </w:tc>
        <w:tc>
          <w:tcPr>
            <w:tcW w:w="997" w:type="dxa"/>
            <w:noWrap/>
            <w:vAlign w:val="center"/>
          </w:tcPr>
          <w:p w14:paraId="5BB3879F" w14:textId="7FBD0AA4" w:rsidR="00015F62" w:rsidRPr="00D633FF" w:rsidRDefault="00015F62" w:rsidP="00015F62">
            <w:pPr>
              <w:spacing w:after="0" w:line="240" w:lineRule="auto"/>
              <w:jc w:val="center"/>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3</w:t>
            </w:r>
            <w:r w:rsidR="00DE361F" w:rsidRPr="00D633FF">
              <w:rPr>
                <w:rFonts w:ascii="Calibri" w:eastAsia="Times New Roman" w:hAnsi="Calibri" w:cs="Calibri"/>
                <w:color w:val="000000"/>
                <w:kern w:val="0"/>
                <w:sz w:val="20"/>
                <w:szCs w:val="20"/>
                <w:lang w:eastAsia="en-AU"/>
                <w14:ligatures w14:val="none"/>
              </w:rPr>
              <w:t>9</w:t>
            </w:r>
          </w:p>
        </w:tc>
        <w:tc>
          <w:tcPr>
            <w:tcW w:w="1098" w:type="dxa"/>
            <w:noWrap/>
          </w:tcPr>
          <w:p w14:paraId="1166C86A" w14:textId="2971AFE4"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896" w:type="dxa"/>
          </w:tcPr>
          <w:p w14:paraId="2F234255" w14:textId="09E1585C"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997" w:type="dxa"/>
          </w:tcPr>
          <w:p w14:paraId="76B476B7" w14:textId="052BA2A7"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997" w:type="dxa"/>
          </w:tcPr>
          <w:p w14:paraId="043B4165" w14:textId="59CF87FC"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997" w:type="dxa"/>
          </w:tcPr>
          <w:p w14:paraId="70487D5B" w14:textId="43479997"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998" w:type="dxa"/>
          </w:tcPr>
          <w:p w14:paraId="27FDF8B5" w14:textId="6702EC82"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r>
      <w:tr w:rsidR="00FA5EE5" w:rsidRPr="00D633FF" w14:paraId="669FC5AA" w14:textId="77777777" w:rsidTr="0043211D">
        <w:trPr>
          <w:trHeight w:val="300"/>
        </w:trPr>
        <w:tc>
          <w:tcPr>
            <w:tcW w:w="5140" w:type="dxa"/>
            <w:shd w:val="clear" w:color="auto" w:fill="DAE9F7" w:themeFill="text2" w:themeFillTint="1A"/>
            <w:noWrap/>
            <w:vAlign w:val="bottom"/>
            <w:hideMark/>
          </w:tcPr>
          <w:p w14:paraId="52926EC2" w14:textId="77777777" w:rsidR="00015F62" w:rsidRPr="00D633FF" w:rsidRDefault="00015F62" w:rsidP="00015F62">
            <w:pPr>
              <w:spacing w:after="0" w:line="24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Males 19 – 30 years</w:t>
            </w:r>
          </w:p>
        </w:tc>
        <w:tc>
          <w:tcPr>
            <w:tcW w:w="997" w:type="dxa"/>
            <w:shd w:val="clear" w:color="auto" w:fill="DAE9F7" w:themeFill="text2" w:themeFillTint="1A"/>
            <w:noWrap/>
          </w:tcPr>
          <w:p w14:paraId="56AFDFC4" w14:textId="539D2CAF" w:rsidR="00015F62" w:rsidRPr="00D633FF" w:rsidRDefault="00015F62" w:rsidP="00015F62">
            <w:pPr>
              <w:spacing w:after="0" w:line="240" w:lineRule="auto"/>
              <w:jc w:val="center"/>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1098" w:type="dxa"/>
            <w:shd w:val="clear" w:color="auto" w:fill="DAE9F7" w:themeFill="text2" w:themeFillTint="1A"/>
            <w:noWrap/>
          </w:tcPr>
          <w:p w14:paraId="3428537F" w14:textId="39CBA00F"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896" w:type="dxa"/>
            <w:shd w:val="clear" w:color="auto" w:fill="DAE9F7" w:themeFill="text2" w:themeFillTint="1A"/>
            <w:vAlign w:val="center"/>
          </w:tcPr>
          <w:p w14:paraId="0A17FB31" w14:textId="1C1987EA"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88</w:t>
            </w:r>
          </w:p>
        </w:tc>
        <w:tc>
          <w:tcPr>
            <w:tcW w:w="997" w:type="dxa"/>
            <w:shd w:val="clear" w:color="auto" w:fill="DAE9F7" w:themeFill="text2" w:themeFillTint="1A"/>
          </w:tcPr>
          <w:p w14:paraId="550C484A" w14:textId="2047E3B6"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997" w:type="dxa"/>
            <w:shd w:val="clear" w:color="auto" w:fill="DAE9F7" w:themeFill="text2" w:themeFillTint="1A"/>
            <w:vAlign w:val="center"/>
          </w:tcPr>
          <w:p w14:paraId="533E0F48" w14:textId="357DFFE0"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7</w:t>
            </w:r>
            <w:r w:rsidR="00DE361F" w:rsidRPr="00D633FF">
              <w:rPr>
                <w:rFonts w:ascii="Calibri" w:eastAsia="Times New Roman" w:hAnsi="Calibri" w:cs="Calibri"/>
                <w:color w:val="000000"/>
                <w:kern w:val="0"/>
                <w:sz w:val="20"/>
                <w:szCs w:val="20"/>
                <w:lang w:eastAsia="en-AU"/>
                <w14:ligatures w14:val="none"/>
              </w:rPr>
              <w:t>2</w:t>
            </w:r>
          </w:p>
        </w:tc>
        <w:tc>
          <w:tcPr>
            <w:tcW w:w="997" w:type="dxa"/>
            <w:shd w:val="clear" w:color="auto" w:fill="DAE9F7" w:themeFill="text2" w:themeFillTint="1A"/>
            <w:vAlign w:val="center"/>
          </w:tcPr>
          <w:p w14:paraId="0EDD132D" w14:textId="3C8C4084" w:rsidR="00015F62" w:rsidRPr="00D633FF" w:rsidRDefault="00DE361F"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81</w:t>
            </w:r>
          </w:p>
        </w:tc>
        <w:tc>
          <w:tcPr>
            <w:tcW w:w="998" w:type="dxa"/>
            <w:shd w:val="clear" w:color="auto" w:fill="DAE9F7" w:themeFill="text2" w:themeFillTint="1A"/>
            <w:vAlign w:val="center"/>
          </w:tcPr>
          <w:p w14:paraId="52356CE7" w14:textId="00E77EBD"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73</w:t>
            </w:r>
          </w:p>
        </w:tc>
      </w:tr>
      <w:tr w:rsidR="00FA5EE5" w:rsidRPr="00D633FF" w14:paraId="611FDEC3" w14:textId="77777777" w:rsidTr="0043211D">
        <w:trPr>
          <w:trHeight w:val="300"/>
        </w:trPr>
        <w:tc>
          <w:tcPr>
            <w:tcW w:w="5140" w:type="dxa"/>
            <w:shd w:val="clear" w:color="auto" w:fill="DAE9F7" w:themeFill="text2" w:themeFillTint="1A"/>
            <w:noWrap/>
            <w:vAlign w:val="bottom"/>
            <w:hideMark/>
          </w:tcPr>
          <w:p w14:paraId="1A6EEC3E" w14:textId="77777777" w:rsidR="00015F62" w:rsidRPr="00D633FF" w:rsidRDefault="00015F62" w:rsidP="00015F62">
            <w:pPr>
              <w:spacing w:after="0" w:line="24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 xml:space="preserve">Males 31 – 50 years </w:t>
            </w:r>
          </w:p>
        </w:tc>
        <w:tc>
          <w:tcPr>
            <w:tcW w:w="997" w:type="dxa"/>
            <w:shd w:val="clear" w:color="auto" w:fill="DAE9F7" w:themeFill="text2" w:themeFillTint="1A"/>
            <w:noWrap/>
          </w:tcPr>
          <w:p w14:paraId="2C69C610" w14:textId="3D59E7EE" w:rsidR="00015F62" w:rsidRPr="00D633FF" w:rsidRDefault="00015F62" w:rsidP="00015F62">
            <w:pPr>
              <w:spacing w:after="0" w:line="240" w:lineRule="auto"/>
              <w:jc w:val="center"/>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1098" w:type="dxa"/>
            <w:shd w:val="clear" w:color="auto" w:fill="DAE9F7" w:themeFill="text2" w:themeFillTint="1A"/>
            <w:noWrap/>
          </w:tcPr>
          <w:p w14:paraId="70E02ED9" w14:textId="3BE65183"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896" w:type="dxa"/>
            <w:shd w:val="clear" w:color="auto" w:fill="DAE9F7" w:themeFill="text2" w:themeFillTint="1A"/>
            <w:vAlign w:val="center"/>
          </w:tcPr>
          <w:p w14:paraId="63722F45" w14:textId="311F2F09"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9</w:t>
            </w:r>
            <w:r w:rsidR="00DE361F" w:rsidRPr="00D633FF">
              <w:rPr>
                <w:rFonts w:ascii="Calibri" w:eastAsia="Times New Roman" w:hAnsi="Calibri" w:cs="Calibri"/>
                <w:color w:val="000000"/>
                <w:kern w:val="0"/>
                <w:sz w:val="20"/>
                <w:szCs w:val="20"/>
                <w:lang w:eastAsia="en-AU"/>
                <w14:ligatures w14:val="none"/>
              </w:rPr>
              <w:t>1</w:t>
            </w:r>
          </w:p>
        </w:tc>
        <w:tc>
          <w:tcPr>
            <w:tcW w:w="997" w:type="dxa"/>
            <w:shd w:val="clear" w:color="auto" w:fill="DAE9F7" w:themeFill="text2" w:themeFillTint="1A"/>
          </w:tcPr>
          <w:p w14:paraId="2E8C4E66" w14:textId="0DC8BD98"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997" w:type="dxa"/>
            <w:shd w:val="clear" w:color="auto" w:fill="DAE9F7" w:themeFill="text2" w:themeFillTint="1A"/>
            <w:vAlign w:val="center"/>
          </w:tcPr>
          <w:p w14:paraId="57A85AD9" w14:textId="7EE460D1"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74</w:t>
            </w:r>
          </w:p>
        </w:tc>
        <w:tc>
          <w:tcPr>
            <w:tcW w:w="997" w:type="dxa"/>
            <w:shd w:val="clear" w:color="auto" w:fill="DAE9F7" w:themeFill="text2" w:themeFillTint="1A"/>
            <w:vAlign w:val="center"/>
          </w:tcPr>
          <w:p w14:paraId="70B20EB8" w14:textId="473A6096"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83</w:t>
            </w:r>
          </w:p>
        </w:tc>
        <w:tc>
          <w:tcPr>
            <w:tcW w:w="998" w:type="dxa"/>
            <w:shd w:val="clear" w:color="auto" w:fill="DAE9F7" w:themeFill="text2" w:themeFillTint="1A"/>
            <w:vAlign w:val="center"/>
          </w:tcPr>
          <w:p w14:paraId="79EBAB84" w14:textId="786A6FE2"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7</w:t>
            </w:r>
            <w:r w:rsidR="00DE361F" w:rsidRPr="00D633FF">
              <w:rPr>
                <w:rFonts w:ascii="Calibri" w:eastAsia="Times New Roman" w:hAnsi="Calibri" w:cs="Calibri"/>
                <w:color w:val="000000"/>
                <w:kern w:val="0"/>
                <w:sz w:val="20"/>
                <w:szCs w:val="20"/>
                <w:lang w:eastAsia="en-AU"/>
                <w14:ligatures w14:val="none"/>
              </w:rPr>
              <w:t>5</w:t>
            </w:r>
          </w:p>
        </w:tc>
      </w:tr>
      <w:tr w:rsidR="00FA5EE5" w:rsidRPr="00D633FF" w14:paraId="28E043A2" w14:textId="77777777" w:rsidTr="0043211D">
        <w:trPr>
          <w:trHeight w:val="300"/>
        </w:trPr>
        <w:tc>
          <w:tcPr>
            <w:tcW w:w="5140" w:type="dxa"/>
            <w:shd w:val="clear" w:color="auto" w:fill="DAE9F7" w:themeFill="text2" w:themeFillTint="1A"/>
            <w:noWrap/>
            <w:vAlign w:val="bottom"/>
            <w:hideMark/>
          </w:tcPr>
          <w:p w14:paraId="1EB1C9C4" w14:textId="77777777" w:rsidR="00015F62" w:rsidRPr="00D633FF" w:rsidRDefault="00015F62" w:rsidP="00015F62">
            <w:pPr>
              <w:spacing w:after="0" w:line="24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 xml:space="preserve">Males 51 – 70 years </w:t>
            </w:r>
          </w:p>
        </w:tc>
        <w:tc>
          <w:tcPr>
            <w:tcW w:w="997" w:type="dxa"/>
            <w:shd w:val="clear" w:color="auto" w:fill="DAE9F7" w:themeFill="text2" w:themeFillTint="1A"/>
            <w:noWrap/>
          </w:tcPr>
          <w:p w14:paraId="25961F66" w14:textId="3C85A66D" w:rsidR="00015F62" w:rsidRPr="00D633FF" w:rsidRDefault="00015F62" w:rsidP="00015F62">
            <w:pPr>
              <w:spacing w:after="0" w:line="240" w:lineRule="auto"/>
              <w:jc w:val="center"/>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1098" w:type="dxa"/>
            <w:shd w:val="clear" w:color="auto" w:fill="DAE9F7" w:themeFill="text2" w:themeFillTint="1A"/>
            <w:noWrap/>
          </w:tcPr>
          <w:p w14:paraId="0B3F5291" w14:textId="6FA121D8"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896" w:type="dxa"/>
            <w:shd w:val="clear" w:color="auto" w:fill="DAE9F7" w:themeFill="text2" w:themeFillTint="1A"/>
            <w:vAlign w:val="center"/>
          </w:tcPr>
          <w:p w14:paraId="174F353B" w14:textId="6C639632"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8</w:t>
            </w:r>
            <w:r w:rsidR="00DE361F" w:rsidRPr="00D633FF">
              <w:rPr>
                <w:rFonts w:ascii="Calibri" w:eastAsia="Times New Roman" w:hAnsi="Calibri" w:cs="Calibri"/>
                <w:color w:val="000000"/>
                <w:kern w:val="0"/>
                <w:sz w:val="20"/>
                <w:szCs w:val="20"/>
                <w:lang w:eastAsia="en-AU"/>
                <w14:ligatures w14:val="none"/>
              </w:rPr>
              <w:t>2</w:t>
            </w:r>
          </w:p>
        </w:tc>
        <w:tc>
          <w:tcPr>
            <w:tcW w:w="997" w:type="dxa"/>
            <w:shd w:val="clear" w:color="auto" w:fill="DAE9F7" w:themeFill="text2" w:themeFillTint="1A"/>
          </w:tcPr>
          <w:p w14:paraId="54B9E6E2" w14:textId="7578DD8F"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997" w:type="dxa"/>
            <w:shd w:val="clear" w:color="auto" w:fill="DAE9F7" w:themeFill="text2" w:themeFillTint="1A"/>
            <w:vAlign w:val="center"/>
          </w:tcPr>
          <w:p w14:paraId="7ADB4CC1" w14:textId="025D0C22"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7</w:t>
            </w:r>
            <w:r w:rsidR="00DE361F" w:rsidRPr="00D633FF">
              <w:rPr>
                <w:rFonts w:ascii="Calibri" w:eastAsia="Times New Roman" w:hAnsi="Calibri" w:cs="Calibri"/>
                <w:color w:val="000000"/>
                <w:kern w:val="0"/>
                <w:sz w:val="20"/>
                <w:szCs w:val="20"/>
                <w:lang w:eastAsia="en-AU"/>
                <w14:ligatures w14:val="none"/>
              </w:rPr>
              <w:t>1</w:t>
            </w:r>
          </w:p>
        </w:tc>
        <w:tc>
          <w:tcPr>
            <w:tcW w:w="997" w:type="dxa"/>
            <w:shd w:val="clear" w:color="auto" w:fill="DAE9F7" w:themeFill="text2" w:themeFillTint="1A"/>
            <w:vAlign w:val="center"/>
          </w:tcPr>
          <w:p w14:paraId="4A1C9474" w14:textId="3E9CC510"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79</w:t>
            </w:r>
          </w:p>
        </w:tc>
        <w:tc>
          <w:tcPr>
            <w:tcW w:w="998" w:type="dxa"/>
            <w:shd w:val="clear" w:color="auto" w:fill="DAE9F7" w:themeFill="text2" w:themeFillTint="1A"/>
            <w:vAlign w:val="center"/>
          </w:tcPr>
          <w:p w14:paraId="45780839" w14:textId="34109EF8"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65</w:t>
            </w:r>
          </w:p>
        </w:tc>
      </w:tr>
      <w:tr w:rsidR="00FA5EE5" w:rsidRPr="00D633FF" w14:paraId="04EEC877" w14:textId="77777777" w:rsidTr="0043211D">
        <w:trPr>
          <w:trHeight w:val="300"/>
        </w:trPr>
        <w:tc>
          <w:tcPr>
            <w:tcW w:w="5140" w:type="dxa"/>
            <w:shd w:val="clear" w:color="auto" w:fill="DAE9F7" w:themeFill="text2" w:themeFillTint="1A"/>
            <w:noWrap/>
            <w:vAlign w:val="bottom"/>
            <w:hideMark/>
          </w:tcPr>
          <w:p w14:paraId="3E8F57EC" w14:textId="77777777" w:rsidR="00015F62" w:rsidRPr="00D633FF" w:rsidRDefault="00015F62" w:rsidP="00015F62">
            <w:pPr>
              <w:spacing w:after="0" w:line="24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 xml:space="preserve">Males 70+ years </w:t>
            </w:r>
          </w:p>
        </w:tc>
        <w:tc>
          <w:tcPr>
            <w:tcW w:w="997" w:type="dxa"/>
            <w:shd w:val="clear" w:color="auto" w:fill="DAE9F7" w:themeFill="text2" w:themeFillTint="1A"/>
            <w:noWrap/>
          </w:tcPr>
          <w:p w14:paraId="1C2CC9CF" w14:textId="5C3DEE4D" w:rsidR="00015F62" w:rsidRPr="00D633FF" w:rsidRDefault="00015F62" w:rsidP="00015F62">
            <w:pPr>
              <w:spacing w:after="0" w:line="240" w:lineRule="auto"/>
              <w:jc w:val="center"/>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1098" w:type="dxa"/>
            <w:shd w:val="clear" w:color="auto" w:fill="DAE9F7" w:themeFill="text2" w:themeFillTint="1A"/>
            <w:noWrap/>
          </w:tcPr>
          <w:p w14:paraId="7D46D234" w14:textId="496870C9"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896" w:type="dxa"/>
            <w:shd w:val="clear" w:color="auto" w:fill="DAE9F7" w:themeFill="text2" w:themeFillTint="1A"/>
            <w:vAlign w:val="center"/>
          </w:tcPr>
          <w:p w14:paraId="20FB0416" w14:textId="58D0BAD5"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77</w:t>
            </w:r>
          </w:p>
        </w:tc>
        <w:tc>
          <w:tcPr>
            <w:tcW w:w="997" w:type="dxa"/>
            <w:shd w:val="clear" w:color="auto" w:fill="DAE9F7" w:themeFill="text2" w:themeFillTint="1A"/>
          </w:tcPr>
          <w:p w14:paraId="58D888BF" w14:textId="66BF6032"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997" w:type="dxa"/>
            <w:shd w:val="clear" w:color="auto" w:fill="DAE9F7" w:themeFill="text2" w:themeFillTint="1A"/>
            <w:vAlign w:val="center"/>
          </w:tcPr>
          <w:p w14:paraId="0602EF8A" w14:textId="0C26FA34"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67</w:t>
            </w:r>
          </w:p>
        </w:tc>
        <w:tc>
          <w:tcPr>
            <w:tcW w:w="997" w:type="dxa"/>
            <w:shd w:val="clear" w:color="auto" w:fill="DAE9F7" w:themeFill="text2" w:themeFillTint="1A"/>
            <w:vAlign w:val="center"/>
          </w:tcPr>
          <w:p w14:paraId="39AC470B" w14:textId="2F2D1FD7"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74</w:t>
            </w:r>
          </w:p>
        </w:tc>
        <w:tc>
          <w:tcPr>
            <w:tcW w:w="998" w:type="dxa"/>
            <w:shd w:val="clear" w:color="auto" w:fill="DAE9F7" w:themeFill="text2" w:themeFillTint="1A"/>
            <w:vAlign w:val="center"/>
          </w:tcPr>
          <w:p w14:paraId="212E3688" w14:textId="38437137"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6</w:t>
            </w:r>
            <w:r w:rsidR="00DE361F" w:rsidRPr="00D633FF">
              <w:rPr>
                <w:rFonts w:ascii="Calibri" w:eastAsia="Times New Roman" w:hAnsi="Calibri" w:cs="Calibri"/>
                <w:color w:val="000000"/>
                <w:kern w:val="0"/>
                <w:sz w:val="20"/>
                <w:szCs w:val="20"/>
                <w:lang w:eastAsia="en-AU"/>
                <w14:ligatures w14:val="none"/>
              </w:rPr>
              <w:t>3</w:t>
            </w:r>
          </w:p>
        </w:tc>
      </w:tr>
      <w:tr w:rsidR="00FA5EE5" w:rsidRPr="00D633FF" w14:paraId="535DE605" w14:textId="77777777" w:rsidTr="0043211D">
        <w:trPr>
          <w:trHeight w:val="300"/>
        </w:trPr>
        <w:tc>
          <w:tcPr>
            <w:tcW w:w="5140" w:type="dxa"/>
            <w:shd w:val="clear" w:color="auto" w:fill="F2CEED" w:themeFill="accent5" w:themeFillTint="33"/>
            <w:noWrap/>
            <w:vAlign w:val="bottom"/>
            <w:hideMark/>
          </w:tcPr>
          <w:p w14:paraId="578D3487" w14:textId="77777777" w:rsidR="00015F62" w:rsidRPr="00D633FF" w:rsidRDefault="00015F62" w:rsidP="00015F62">
            <w:pPr>
              <w:spacing w:after="0" w:line="24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 xml:space="preserve">Females 19 – 30 years </w:t>
            </w:r>
          </w:p>
        </w:tc>
        <w:tc>
          <w:tcPr>
            <w:tcW w:w="997" w:type="dxa"/>
            <w:shd w:val="clear" w:color="auto" w:fill="F2CEED" w:themeFill="accent5" w:themeFillTint="33"/>
            <w:noWrap/>
          </w:tcPr>
          <w:p w14:paraId="5F24FAD4" w14:textId="5BAD1213" w:rsidR="00015F62" w:rsidRPr="00D633FF" w:rsidRDefault="00015F62" w:rsidP="00015F62">
            <w:pPr>
              <w:spacing w:after="0" w:line="240" w:lineRule="auto"/>
              <w:jc w:val="center"/>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1098" w:type="dxa"/>
            <w:shd w:val="clear" w:color="auto" w:fill="F2CEED" w:themeFill="accent5" w:themeFillTint="33"/>
            <w:noWrap/>
          </w:tcPr>
          <w:p w14:paraId="28B7846A" w14:textId="03635A5E"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896" w:type="dxa"/>
            <w:shd w:val="clear" w:color="auto" w:fill="F2CEED" w:themeFill="accent5" w:themeFillTint="33"/>
            <w:vAlign w:val="center"/>
          </w:tcPr>
          <w:p w14:paraId="235F917A" w14:textId="56AECD48"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75</w:t>
            </w:r>
          </w:p>
        </w:tc>
        <w:tc>
          <w:tcPr>
            <w:tcW w:w="997" w:type="dxa"/>
            <w:shd w:val="clear" w:color="auto" w:fill="F2CEED" w:themeFill="accent5" w:themeFillTint="33"/>
          </w:tcPr>
          <w:p w14:paraId="245CCD4A" w14:textId="4DFB4BDD"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997" w:type="dxa"/>
            <w:shd w:val="clear" w:color="auto" w:fill="F2CEED" w:themeFill="accent5" w:themeFillTint="33"/>
            <w:vAlign w:val="center"/>
          </w:tcPr>
          <w:p w14:paraId="173C4CCD" w14:textId="6B4FC180" w:rsidR="00015F62" w:rsidRPr="00D633FF" w:rsidRDefault="00DE361F"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80</w:t>
            </w:r>
          </w:p>
        </w:tc>
        <w:tc>
          <w:tcPr>
            <w:tcW w:w="997" w:type="dxa"/>
            <w:shd w:val="clear" w:color="auto" w:fill="F2CEED" w:themeFill="accent5" w:themeFillTint="33"/>
            <w:vAlign w:val="center"/>
          </w:tcPr>
          <w:p w14:paraId="7F5B21CC" w14:textId="7BE50EB2"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92</w:t>
            </w:r>
          </w:p>
        </w:tc>
        <w:tc>
          <w:tcPr>
            <w:tcW w:w="998" w:type="dxa"/>
            <w:shd w:val="clear" w:color="auto" w:fill="F2CEED" w:themeFill="accent5" w:themeFillTint="33"/>
            <w:vAlign w:val="center"/>
          </w:tcPr>
          <w:p w14:paraId="662C7A54" w14:textId="3794D2D5"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5</w:t>
            </w:r>
            <w:r w:rsidR="00DE361F" w:rsidRPr="00D633FF">
              <w:rPr>
                <w:rFonts w:ascii="Calibri" w:eastAsia="Times New Roman" w:hAnsi="Calibri" w:cs="Calibri"/>
                <w:color w:val="000000"/>
                <w:kern w:val="0"/>
                <w:sz w:val="20"/>
                <w:szCs w:val="20"/>
                <w:lang w:eastAsia="en-AU"/>
                <w14:ligatures w14:val="none"/>
              </w:rPr>
              <w:t>8</w:t>
            </w:r>
          </w:p>
        </w:tc>
      </w:tr>
      <w:tr w:rsidR="00FA5EE5" w:rsidRPr="00D633FF" w14:paraId="1C25757B" w14:textId="77777777" w:rsidTr="0043211D">
        <w:trPr>
          <w:trHeight w:val="300"/>
        </w:trPr>
        <w:tc>
          <w:tcPr>
            <w:tcW w:w="5140" w:type="dxa"/>
            <w:shd w:val="clear" w:color="auto" w:fill="F2CEED" w:themeFill="accent5" w:themeFillTint="33"/>
            <w:noWrap/>
            <w:vAlign w:val="bottom"/>
          </w:tcPr>
          <w:p w14:paraId="544E312C" w14:textId="77777777" w:rsidR="00015F62" w:rsidRPr="00D633FF" w:rsidRDefault="00015F62" w:rsidP="00015F62">
            <w:pPr>
              <w:spacing w:after="0" w:line="24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 xml:space="preserve">Females 31 – 50 years </w:t>
            </w:r>
          </w:p>
        </w:tc>
        <w:tc>
          <w:tcPr>
            <w:tcW w:w="997" w:type="dxa"/>
            <w:shd w:val="clear" w:color="auto" w:fill="F2CEED" w:themeFill="accent5" w:themeFillTint="33"/>
            <w:noWrap/>
          </w:tcPr>
          <w:p w14:paraId="56C13947" w14:textId="2BDEE377" w:rsidR="00015F62" w:rsidRPr="00D633FF" w:rsidRDefault="00015F62" w:rsidP="00015F62">
            <w:pPr>
              <w:spacing w:after="0" w:line="240" w:lineRule="auto"/>
              <w:jc w:val="center"/>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1098" w:type="dxa"/>
            <w:shd w:val="clear" w:color="auto" w:fill="F2CEED" w:themeFill="accent5" w:themeFillTint="33"/>
            <w:noWrap/>
          </w:tcPr>
          <w:p w14:paraId="4DBF3FE5" w14:textId="10EED837"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896" w:type="dxa"/>
            <w:shd w:val="clear" w:color="auto" w:fill="F2CEED" w:themeFill="accent5" w:themeFillTint="33"/>
            <w:vAlign w:val="center"/>
          </w:tcPr>
          <w:p w14:paraId="3D030BA2" w14:textId="1DDD9BB2"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7</w:t>
            </w:r>
            <w:r w:rsidR="00DE361F" w:rsidRPr="00D633FF">
              <w:rPr>
                <w:rFonts w:ascii="Calibri" w:eastAsia="Times New Roman" w:hAnsi="Calibri" w:cs="Calibri"/>
                <w:color w:val="000000"/>
                <w:kern w:val="0"/>
                <w:sz w:val="20"/>
                <w:szCs w:val="20"/>
                <w:lang w:eastAsia="en-AU"/>
                <w14:ligatures w14:val="none"/>
              </w:rPr>
              <w:t>8</w:t>
            </w:r>
          </w:p>
        </w:tc>
        <w:tc>
          <w:tcPr>
            <w:tcW w:w="997" w:type="dxa"/>
            <w:shd w:val="clear" w:color="auto" w:fill="F2CEED" w:themeFill="accent5" w:themeFillTint="33"/>
          </w:tcPr>
          <w:p w14:paraId="38E21EB8" w14:textId="632865E3"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997" w:type="dxa"/>
            <w:shd w:val="clear" w:color="auto" w:fill="F2CEED" w:themeFill="accent5" w:themeFillTint="33"/>
            <w:vAlign w:val="center"/>
          </w:tcPr>
          <w:p w14:paraId="55C13CA7" w14:textId="0C15042D"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84</w:t>
            </w:r>
          </w:p>
        </w:tc>
        <w:tc>
          <w:tcPr>
            <w:tcW w:w="997" w:type="dxa"/>
            <w:shd w:val="clear" w:color="auto" w:fill="F2CEED" w:themeFill="accent5" w:themeFillTint="33"/>
            <w:vAlign w:val="center"/>
          </w:tcPr>
          <w:p w14:paraId="7140BB44" w14:textId="355D9B74"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9</w:t>
            </w:r>
            <w:r w:rsidR="00DE361F" w:rsidRPr="00D633FF">
              <w:rPr>
                <w:rFonts w:ascii="Calibri" w:eastAsia="Times New Roman" w:hAnsi="Calibri" w:cs="Calibri"/>
                <w:color w:val="000000"/>
                <w:kern w:val="0"/>
                <w:sz w:val="20"/>
                <w:szCs w:val="20"/>
                <w:lang w:eastAsia="en-AU"/>
                <w14:ligatures w14:val="none"/>
              </w:rPr>
              <w:t>6</w:t>
            </w:r>
          </w:p>
        </w:tc>
        <w:tc>
          <w:tcPr>
            <w:tcW w:w="998" w:type="dxa"/>
            <w:shd w:val="clear" w:color="auto" w:fill="F2CEED" w:themeFill="accent5" w:themeFillTint="33"/>
            <w:vAlign w:val="center"/>
          </w:tcPr>
          <w:p w14:paraId="5B5D0F6B" w14:textId="6276A065"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6</w:t>
            </w:r>
            <w:r w:rsidR="00DE361F" w:rsidRPr="00D633FF">
              <w:rPr>
                <w:rFonts w:ascii="Calibri" w:eastAsia="Times New Roman" w:hAnsi="Calibri" w:cs="Calibri"/>
                <w:color w:val="000000"/>
                <w:kern w:val="0"/>
                <w:sz w:val="20"/>
                <w:szCs w:val="20"/>
                <w:lang w:eastAsia="en-AU"/>
                <w14:ligatures w14:val="none"/>
              </w:rPr>
              <w:t>1</w:t>
            </w:r>
          </w:p>
        </w:tc>
      </w:tr>
      <w:tr w:rsidR="00FA5EE5" w:rsidRPr="00D633FF" w14:paraId="7899E81D" w14:textId="77777777" w:rsidTr="0043211D">
        <w:trPr>
          <w:trHeight w:val="300"/>
        </w:trPr>
        <w:tc>
          <w:tcPr>
            <w:tcW w:w="5140" w:type="dxa"/>
            <w:shd w:val="clear" w:color="auto" w:fill="F2CEED" w:themeFill="accent5" w:themeFillTint="33"/>
            <w:noWrap/>
            <w:vAlign w:val="bottom"/>
          </w:tcPr>
          <w:p w14:paraId="6418C1F4" w14:textId="77777777" w:rsidR="00015F62" w:rsidRPr="00D633FF" w:rsidRDefault="00015F62" w:rsidP="00015F62">
            <w:pPr>
              <w:spacing w:after="0" w:line="24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 xml:space="preserve">Females 51 – 70 years </w:t>
            </w:r>
          </w:p>
        </w:tc>
        <w:tc>
          <w:tcPr>
            <w:tcW w:w="997" w:type="dxa"/>
            <w:shd w:val="clear" w:color="auto" w:fill="F2CEED" w:themeFill="accent5" w:themeFillTint="33"/>
            <w:noWrap/>
          </w:tcPr>
          <w:p w14:paraId="24D5986A" w14:textId="68E01CDD" w:rsidR="00015F62" w:rsidRPr="00D633FF" w:rsidRDefault="00015F62" w:rsidP="00015F62">
            <w:pPr>
              <w:spacing w:after="0" w:line="240" w:lineRule="auto"/>
              <w:jc w:val="center"/>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1098" w:type="dxa"/>
            <w:shd w:val="clear" w:color="auto" w:fill="F2CEED" w:themeFill="accent5" w:themeFillTint="33"/>
            <w:noWrap/>
          </w:tcPr>
          <w:p w14:paraId="3144EE21" w14:textId="58E39333"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896" w:type="dxa"/>
            <w:shd w:val="clear" w:color="auto" w:fill="F2CEED" w:themeFill="accent5" w:themeFillTint="33"/>
            <w:vAlign w:val="center"/>
          </w:tcPr>
          <w:p w14:paraId="3C7036BD" w14:textId="750EE69A"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7</w:t>
            </w:r>
            <w:r w:rsidR="00DE361F" w:rsidRPr="00D633FF">
              <w:rPr>
                <w:rFonts w:ascii="Calibri" w:eastAsia="Times New Roman" w:hAnsi="Calibri" w:cs="Calibri"/>
                <w:color w:val="000000"/>
                <w:kern w:val="0"/>
                <w:sz w:val="20"/>
                <w:szCs w:val="20"/>
                <w:lang w:eastAsia="en-AU"/>
                <w14:ligatures w14:val="none"/>
              </w:rPr>
              <w:t>3</w:t>
            </w:r>
          </w:p>
        </w:tc>
        <w:tc>
          <w:tcPr>
            <w:tcW w:w="997" w:type="dxa"/>
            <w:shd w:val="clear" w:color="auto" w:fill="F2CEED" w:themeFill="accent5" w:themeFillTint="33"/>
          </w:tcPr>
          <w:p w14:paraId="37F0C6D4" w14:textId="02A47ED3"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997" w:type="dxa"/>
            <w:shd w:val="clear" w:color="auto" w:fill="F2CEED" w:themeFill="accent5" w:themeFillTint="33"/>
            <w:vAlign w:val="center"/>
          </w:tcPr>
          <w:p w14:paraId="2B088883" w14:textId="6286E4BD"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58</w:t>
            </w:r>
          </w:p>
        </w:tc>
        <w:tc>
          <w:tcPr>
            <w:tcW w:w="997" w:type="dxa"/>
            <w:shd w:val="clear" w:color="auto" w:fill="F2CEED" w:themeFill="accent5" w:themeFillTint="33"/>
            <w:vAlign w:val="center"/>
          </w:tcPr>
          <w:p w14:paraId="0169C6BC" w14:textId="2EED885A"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6</w:t>
            </w:r>
            <w:r w:rsidR="00DE361F" w:rsidRPr="00D633FF">
              <w:rPr>
                <w:rFonts w:ascii="Calibri" w:eastAsia="Times New Roman" w:hAnsi="Calibri" w:cs="Calibri"/>
                <w:color w:val="000000"/>
                <w:kern w:val="0"/>
                <w:sz w:val="20"/>
                <w:szCs w:val="20"/>
                <w:lang w:eastAsia="en-AU"/>
                <w14:ligatures w14:val="none"/>
              </w:rPr>
              <w:t>2</w:t>
            </w:r>
          </w:p>
        </w:tc>
        <w:tc>
          <w:tcPr>
            <w:tcW w:w="998" w:type="dxa"/>
            <w:shd w:val="clear" w:color="auto" w:fill="F2CEED" w:themeFill="accent5" w:themeFillTint="33"/>
            <w:vAlign w:val="center"/>
          </w:tcPr>
          <w:p w14:paraId="51F9D62A" w14:textId="4EF84E34"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54</w:t>
            </w:r>
          </w:p>
        </w:tc>
      </w:tr>
      <w:tr w:rsidR="00FA5EE5" w:rsidRPr="00D633FF" w14:paraId="2EE3CA77" w14:textId="77777777" w:rsidTr="0043211D">
        <w:trPr>
          <w:trHeight w:val="300"/>
        </w:trPr>
        <w:tc>
          <w:tcPr>
            <w:tcW w:w="5140" w:type="dxa"/>
            <w:shd w:val="clear" w:color="auto" w:fill="F2CEED" w:themeFill="accent5" w:themeFillTint="33"/>
            <w:noWrap/>
            <w:vAlign w:val="bottom"/>
            <w:hideMark/>
          </w:tcPr>
          <w:p w14:paraId="436AAA8E" w14:textId="77777777" w:rsidR="00015F62" w:rsidRPr="00D633FF" w:rsidRDefault="00015F62" w:rsidP="00015F62">
            <w:pPr>
              <w:spacing w:after="0" w:line="24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 xml:space="preserve">Females 70+ years </w:t>
            </w:r>
          </w:p>
        </w:tc>
        <w:tc>
          <w:tcPr>
            <w:tcW w:w="997" w:type="dxa"/>
            <w:shd w:val="clear" w:color="auto" w:fill="F2CEED" w:themeFill="accent5" w:themeFillTint="33"/>
            <w:noWrap/>
          </w:tcPr>
          <w:p w14:paraId="6E1DD38A" w14:textId="6B9E3E68" w:rsidR="00015F62" w:rsidRPr="00D633FF" w:rsidRDefault="00015F62" w:rsidP="00015F62">
            <w:pPr>
              <w:spacing w:after="0" w:line="240" w:lineRule="auto"/>
              <w:jc w:val="center"/>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1098" w:type="dxa"/>
            <w:shd w:val="clear" w:color="auto" w:fill="F2CEED" w:themeFill="accent5" w:themeFillTint="33"/>
            <w:noWrap/>
          </w:tcPr>
          <w:p w14:paraId="094939B1" w14:textId="54E0B6FC"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896" w:type="dxa"/>
            <w:shd w:val="clear" w:color="auto" w:fill="F2CEED" w:themeFill="accent5" w:themeFillTint="33"/>
            <w:vAlign w:val="center"/>
          </w:tcPr>
          <w:p w14:paraId="5936E5C9" w14:textId="4D91BE26"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6</w:t>
            </w:r>
            <w:r w:rsidR="00DE361F" w:rsidRPr="00D633FF">
              <w:rPr>
                <w:rFonts w:ascii="Calibri" w:eastAsia="Times New Roman" w:hAnsi="Calibri" w:cs="Calibri"/>
                <w:color w:val="000000"/>
                <w:kern w:val="0"/>
                <w:sz w:val="20"/>
                <w:szCs w:val="20"/>
                <w:lang w:eastAsia="en-AU"/>
                <w14:ligatures w14:val="none"/>
              </w:rPr>
              <w:t>5</w:t>
            </w:r>
          </w:p>
        </w:tc>
        <w:tc>
          <w:tcPr>
            <w:tcW w:w="997" w:type="dxa"/>
            <w:shd w:val="clear" w:color="auto" w:fill="F2CEED" w:themeFill="accent5" w:themeFillTint="33"/>
          </w:tcPr>
          <w:p w14:paraId="2A1A297C" w14:textId="043D136E"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997" w:type="dxa"/>
            <w:shd w:val="clear" w:color="auto" w:fill="F2CEED" w:themeFill="accent5" w:themeFillTint="33"/>
            <w:vAlign w:val="center"/>
          </w:tcPr>
          <w:p w14:paraId="48B64F3D" w14:textId="5376215C"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5</w:t>
            </w:r>
            <w:r w:rsidR="00DE361F" w:rsidRPr="00D633FF">
              <w:rPr>
                <w:rFonts w:ascii="Calibri" w:eastAsia="Times New Roman" w:hAnsi="Calibri" w:cs="Calibri"/>
                <w:color w:val="000000"/>
                <w:kern w:val="0"/>
                <w:sz w:val="20"/>
                <w:szCs w:val="20"/>
                <w:lang w:eastAsia="en-AU"/>
                <w14:ligatures w14:val="none"/>
              </w:rPr>
              <w:t>4</w:t>
            </w:r>
          </w:p>
        </w:tc>
        <w:tc>
          <w:tcPr>
            <w:tcW w:w="997" w:type="dxa"/>
            <w:shd w:val="clear" w:color="auto" w:fill="F2CEED" w:themeFill="accent5" w:themeFillTint="33"/>
            <w:vAlign w:val="center"/>
          </w:tcPr>
          <w:p w14:paraId="150AC528" w14:textId="48E3E933"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55</w:t>
            </w:r>
          </w:p>
        </w:tc>
        <w:tc>
          <w:tcPr>
            <w:tcW w:w="998" w:type="dxa"/>
            <w:shd w:val="clear" w:color="auto" w:fill="F2CEED" w:themeFill="accent5" w:themeFillTint="33"/>
            <w:vAlign w:val="center"/>
          </w:tcPr>
          <w:p w14:paraId="593A5BE2" w14:textId="220BA817"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4</w:t>
            </w:r>
            <w:r w:rsidR="00DE361F" w:rsidRPr="00D633FF">
              <w:rPr>
                <w:rFonts w:ascii="Calibri" w:eastAsia="Times New Roman" w:hAnsi="Calibri" w:cs="Calibri"/>
                <w:color w:val="000000"/>
                <w:kern w:val="0"/>
                <w:sz w:val="20"/>
                <w:szCs w:val="20"/>
                <w:lang w:eastAsia="en-AU"/>
                <w14:ligatures w14:val="none"/>
              </w:rPr>
              <w:t>8</w:t>
            </w:r>
          </w:p>
        </w:tc>
      </w:tr>
    </w:tbl>
    <w:p w14:paraId="73DAF724" w14:textId="58551F01" w:rsidR="002B0CF0" w:rsidRPr="00D633FF" w:rsidRDefault="00FE7B2F" w:rsidP="002B0CF0">
      <w:pPr>
        <w:spacing w:after="0" w:line="240" w:lineRule="auto"/>
        <w:rPr>
          <w:rFonts w:ascii="Calibri" w:eastAsia="Times New Roman" w:hAnsi="Calibri" w:cs="Calibri"/>
          <w:color w:val="000000"/>
          <w:kern w:val="0"/>
          <w:sz w:val="20"/>
          <w:szCs w:val="20"/>
          <w:lang w:eastAsia="en-AU"/>
          <w14:ligatures w14:val="none"/>
        </w:rPr>
      </w:pPr>
      <w:r w:rsidRPr="00B34BE7">
        <w:rPr>
          <w:rFonts w:ascii="Calibri" w:eastAsia="Arial" w:hAnsi="Calibri" w:cs="Calibri"/>
          <w:b/>
          <w:bCs/>
          <w:sz w:val="16"/>
          <w:szCs w:val="16"/>
        </w:rPr>
        <w:t>Source:</w:t>
      </w:r>
      <w:r w:rsidRPr="00D633FF">
        <w:rPr>
          <w:rFonts w:ascii="Calibri" w:eastAsia="Arial" w:hAnsi="Calibri" w:cs="Calibri"/>
          <w:sz w:val="16"/>
          <w:szCs w:val="16"/>
        </w:rPr>
        <w:t xml:space="preserve"> </w:t>
      </w:r>
      <w:hyperlink r:id="rId19" w:history="1">
        <w:r>
          <w:rPr>
            <w:rFonts w:ascii="Calibri" w:eastAsia="Arial" w:hAnsi="Calibri" w:cs="Calibri"/>
            <w:color w:val="0062B1"/>
            <w:sz w:val="16"/>
            <w:szCs w:val="16"/>
            <w:u w:val="single"/>
          </w:rPr>
          <w:t>A modelling system to inform the revision of the Australian Guide to Healthy Eating</w:t>
        </w:r>
      </w:hyperlink>
      <w:r w:rsidRPr="00BE2904">
        <w:rPr>
          <w:sz w:val="16"/>
          <w:szCs w:val="16"/>
        </w:rPr>
        <w:t xml:space="preserve"> (</w:t>
      </w:r>
      <w:proofErr w:type="spellStart"/>
      <w:r w:rsidRPr="00BE2904">
        <w:rPr>
          <w:sz w:val="16"/>
          <w:szCs w:val="16"/>
        </w:rPr>
        <w:t>Baghurst</w:t>
      </w:r>
      <w:proofErr w:type="spellEnd"/>
      <w:r w:rsidRPr="00BE2904">
        <w:rPr>
          <w:sz w:val="16"/>
          <w:szCs w:val="16"/>
        </w:rPr>
        <w:t xml:space="preserve"> et al. 2011)</w:t>
      </w:r>
    </w:p>
    <w:p w14:paraId="238EF760" w14:textId="77777777" w:rsidR="00E738A7" w:rsidRPr="00D633FF" w:rsidRDefault="00E738A7" w:rsidP="00E738A7">
      <w:pPr>
        <w:pStyle w:val="Heading3"/>
        <w:spacing w:before="360"/>
        <w:rPr>
          <w:rFonts w:ascii="Calibri" w:hAnsi="Calibri" w:cs="Calibri"/>
        </w:rPr>
      </w:pPr>
      <w:bookmarkStart w:id="73" w:name="_Toc204170941"/>
      <w:bookmarkStart w:id="74" w:name="_Toc218527984"/>
      <w:r w:rsidRPr="00D633FF">
        <w:rPr>
          <w:rFonts w:ascii="Calibri" w:hAnsi="Calibri" w:cs="Calibri"/>
        </w:rPr>
        <w:lastRenderedPageBreak/>
        <w:t>Pregnancy</w:t>
      </w:r>
      <w:bookmarkEnd w:id="73"/>
      <w:bookmarkEnd w:id="74"/>
    </w:p>
    <w:p w14:paraId="35DB574F" w14:textId="47890A8E" w:rsidR="002C0B9C" w:rsidRPr="00D633FF" w:rsidRDefault="002C0B9C" w:rsidP="00B07CC4">
      <w:pPr>
        <w:pStyle w:val="Caption"/>
        <w:keepNext/>
        <w:spacing w:after="120"/>
        <w:rPr>
          <w:rFonts w:ascii="Calibri" w:hAnsi="Calibri" w:cs="Calibri"/>
          <w:b/>
          <w:bCs/>
          <w:sz w:val="20"/>
          <w:szCs w:val="20"/>
        </w:rPr>
      </w:pPr>
      <w:bookmarkStart w:id="75" w:name="_Ref205283664"/>
      <w:r w:rsidRPr="00D633FF">
        <w:rPr>
          <w:rFonts w:ascii="Calibri" w:hAnsi="Calibri" w:cs="Calibri"/>
          <w:b/>
          <w:bCs/>
          <w:sz w:val="20"/>
          <w:szCs w:val="20"/>
        </w:rPr>
        <w:t xml:space="preserve">Table </w:t>
      </w:r>
      <w:r w:rsidRPr="00D633FF">
        <w:rPr>
          <w:rFonts w:ascii="Calibri" w:hAnsi="Calibri" w:cs="Calibri"/>
          <w:b/>
          <w:bCs/>
          <w:sz w:val="20"/>
          <w:szCs w:val="20"/>
        </w:rPr>
        <w:fldChar w:fldCharType="begin"/>
      </w:r>
      <w:r w:rsidRPr="00D633FF">
        <w:rPr>
          <w:rFonts w:ascii="Calibri" w:hAnsi="Calibri" w:cs="Calibri"/>
          <w:b/>
          <w:bCs/>
        </w:rPr>
        <w:instrText xml:space="preserve"> SEQ Table \* ARABIC </w:instrText>
      </w:r>
      <w:r w:rsidRPr="00D633FF">
        <w:rPr>
          <w:rFonts w:ascii="Calibri" w:hAnsi="Calibri" w:cs="Calibri"/>
          <w:b/>
          <w:bCs/>
          <w:sz w:val="20"/>
          <w:szCs w:val="20"/>
        </w:rPr>
        <w:fldChar w:fldCharType="separate"/>
      </w:r>
      <w:r w:rsidR="00CB6915">
        <w:rPr>
          <w:rFonts w:ascii="Calibri" w:hAnsi="Calibri" w:cs="Calibri"/>
          <w:b/>
          <w:bCs/>
          <w:noProof/>
        </w:rPr>
        <w:t>14</w:t>
      </w:r>
      <w:r w:rsidRPr="00D633FF">
        <w:rPr>
          <w:rFonts w:ascii="Calibri" w:hAnsi="Calibri" w:cs="Calibri"/>
          <w:b/>
          <w:bCs/>
          <w:noProof/>
          <w:sz w:val="20"/>
          <w:szCs w:val="20"/>
        </w:rPr>
        <w:fldChar w:fldCharType="end"/>
      </w:r>
      <w:bookmarkEnd w:id="75"/>
      <w:r w:rsidR="002540BA">
        <w:rPr>
          <w:rFonts w:ascii="Calibri" w:hAnsi="Calibri" w:cs="Calibri"/>
          <w:b/>
          <w:bCs/>
          <w:noProof/>
          <w:sz w:val="20"/>
          <w:szCs w:val="20"/>
        </w:rPr>
        <w:t>.</w:t>
      </w:r>
      <w:r w:rsidRPr="00D633FF">
        <w:rPr>
          <w:rFonts w:ascii="Calibri" w:hAnsi="Calibri" w:cs="Calibri"/>
          <w:b/>
          <w:bCs/>
          <w:sz w:val="20"/>
          <w:szCs w:val="20"/>
        </w:rPr>
        <w:t xml:space="preserve"> Estimated </w:t>
      </w:r>
      <w:r w:rsidR="00DE361F" w:rsidRPr="00D633FF">
        <w:rPr>
          <w:rFonts w:ascii="Calibri" w:hAnsi="Calibri" w:cs="Calibri"/>
          <w:b/>
          <w:bCs/>
          <w:sz w:val="20"/>
          <w:szCs w:val="20"/>
        </w:rPr>
        <w:t>selenium</w:t>
      </w:r>
      <w:r w:rsidRPr="00D633FF">
        <w:rPr>
          <w:rFonts w:ascii="Calibri" w:hAnsi="Calibri" w:cs="Calibri"/>
          <w:b/>
          <w:bCs/>
          <w:sz w:val="20"/>
          <w:szCs w:val="20"/>
        </w:rPr>
        <w:t xml:space="preserve"> intake during pregnancy from food </w:t>
      </w:r>
      <w:r w:rsidRPr="002558AE">
        <w:rPr>
          <w:rFonts w:ascii="Calibri" w:hAnsi="Calibri" w:cs="Calibri"/>
          <w:b/>
          <w:bCs/>
          <w:color w:val="auto"/>
          <w:sz w:val="20"/>
          <w:szCs w:val="20"/>
        </w:rPr>
        <w:t>modelling</w:t>
      </w:r>
      <w:r w:rsidR="002558AE" w:rsidRPr="002558AE">
        <w:rPr>
          <w:rFonts w:ascii="Calibri" w:hAnsi="Calibri" w:cs="Calibri"/>
          <w:b/>
          <w:bCs/>
          <w:color w:val="auto"/>
          <w:sz w:val="20"/>
          <w:szCs w:val="20"/>
        </w:rPr>
        <w:t xml:space="preserve"> </w:t>
      </w:r>
      <w:r w:rsidR="002558AE" w:rsidRPr="002558AE">
        <w:rPr>
          <w:rFonts w:ascii="Calibri" w:eastAsia="Times New Roman" w:hAnsi="Calibri" w:cs="Calibri"/>
          <w:b/>
          <w:bCs/>
          <w:color w:val="auto"/>
          <w:kern w:val="0"/>
          <w:sz w:val="20"/>
          <w:szCs w:val="20"/>
          <w:lang w:eastAsia="en-AU"/>
          <w14:ligatures w14:val="none"/>
        </w:rPr>
        <w:t>(µg/day)</w:t>
      </w:r>
      <w:r w:rsidR="00DA417F">
        <w:rPr>
          <w:rFonts w:ascii="Calibri" w:eastAsia="Times New Roman" w:hAnsi="Calibri" w:cs="Calibri"/>
          <w:b/>
          <w:bCs/>
          <w:color w:val="auto"/>
          <w:kern w:val="0"/>
          <w:sz w:val="20"/>
          <w:szCs w:val="20"/>
          <w:lang w:eastAsia="en-AU"/>
          <w14:ligatures w14:val="none"/>
        </w:rPr>
        <w:t xml:space="preserve"> </w:t>
      </w:r>
      <w:r w:rsidRPr="002540BA">
        <w:rPr>
          <w:rFonts w:ascii="Calibri" w:hAnsi="Calibri" w:cs="Calibri"/>
          <w:color w:val="auto"/>
          <w:sz w:val="20"/>
          <w:szCs w:val="20"/>
        </w:rPr>
        <w:t>(</w:t>
      </w:r>
      <w:r w:rsidR="005B68F9" w:rsidRPr="002540BA">
        <w:rPr>
          <w:rFonts w:ascii="Calibri" w:hAnsi="Calibri" w:cs="Calibri"/>
          <w:sz w:val="20"/>
          <w:szCs w:val="20"/>
        </w:rPr>
        <w:t xml:space="preserve">Source: </w:t>
      </w:r>
      <w:r w:rsidR="005B68F9" w:rsidRPr="002540BA">
        <w:rPr>
          <w:rFonts w:ascii="Calibri" w:hAnsi="Calibri" w:cs="Calibri"/>
          <w:noProof/>
          <w:sz w:val="20"/>
          <w:szCs w:val="20"/>
        </w:rPr>
        <w:t>Baghurst et al. 2011</w:t>
      </w:r>
      <w:r w:rsidRPr="002540BA">
        <w:rPr>
          <w:rFonts w:ascii="Calibri" w:hAnsi="Calibri" w:cs="Calibri"/>
          <w:sz w:val="20"/>
          <w:szCs w:val="20"/>
        </w:rPr>
        <w:t>)</w:t>
      </w:r>
    </w:p>
    <w:tbl>
      <w:tblPr>
        <w:tblW w:w="1212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3"/>
        <w:gridCol w:w="997"/>
        <w:gridCol w:w="997"/>
        <w:gridCol w:w="997"/>
        <w:gridCol w:w="997"/>
        <w:gridCol w:w="997"/>
        <w:gridCol w:w="997"/>
        <w:gridCol w:w="1000"/>
      </w:tblGrid>
      <w:tr w:rsidR="00FA5EE5" w:rsidRPr="00D633FF" w14:paraId="412842AE" w14:textId="77777777" w:rsidTr="00264163">
        <w:trPr>
          <w:cantSplit/>
          <w:trHeight w:val="1918"/>
        </w:trPr>
        <w:tc>
          <w:tcPr>
            <w:tcW w:w="5143" w:type="dxa"/>
            <w:tcBorders>
              <w:right w:val="nil"/>
            </w:tcBorders>
            <w:shd w:val="clear" w:color="auto" w:fill="156082" w:themeFill="accent1"/>
            <w:vAlign w:val="bottom"/>
            <w:hideMark/>
          </w:tcPr>
          <w:p w14:paraId="3EB4EB0D" w14:textId="77777777" w:rsidR="00E738A7" w:rsidRPr="00D633FF" w:rsidRDefault="00E738A7">
            <w:pPr>
              <w:spacing w:after="0" w:line="240" w:lineRule="auto"/>
              <w:rPr>
                <w:rFonts w:ascii="Calibri" w:eastAsia="Times New Roman" w:hAnsi="Calibri" w:cs="Calibri"/>
                <w:b/>
                <w:bCs/>
                <w:color w:val="FFFFFF" w:themeColor="background1"/>
                <w:kern w:val="0"/>
                <w:sz w:val="20"/>
                <w:szCs w:val="20"/>
                <w:lang w:eastAsia="en-AU"/>
                <w14:ligatures w14:val="none"/>
              </w:rPr>
            </w:pPr>
            <w:r w:rsidRPr="00D633FF">
              <w:rPr>
                <w:rFonts w:ascii="Calibri" w:eastAsia="Times New Roman" w:hAnsi="Calibri" w:cs="Calibri"/>
                <w:b/>
                <w:bCs/>
                <w:color w:val="FFFFFF" w:themeColor="background1"/>
                <w:kern w:val="0"/>
                <w:sz w:val="20"/>
                <w:szCs w:val="20"/>
                <w:lang w:eastAsia="en-AU"/>
                <w14:ligatures w14:val="none"/>
              </w:rPr>
              <w:t>Population</w:t>
            </w:r>
          </w:p>
        </w:tc>
        <w:tc>
          <w:tcPr>
            <w:tcW w:w="997" w:type="dxa"/>
            <w:tcBorders>
              <w:left w:val="nil"/>
              <w:right w:val="nil"/>
            </w:tcBorders>
            <w:shd w:val="clear" w:color="auto" w:fill="156082" w:themeFill="accent1"/>
            <w:textDirection w:val="btLr"/>
            <w:vAlign w:val="center"/>
            <w:hideMark/>
          </w:tcPr>
          <w:p w14:paraId="3DAA2F02" w14:textId="77777777" w:rsidR="00E738A7" w:rsidRPr="00D633FF" w:rsidRDefault="00E738A7">
            <w:pPr>
              <w:spacing w:after="0" w:line="240" w:lineRule="auto"/>
              <w:ind w:left="113" w:right="113"/>
              <w:rPr>
                <w:rFonts w:ascii="Calibri" w:eastAsia="Times New Roman" w:hAnsi="Calibri" w:cs="Calibri"/>
                <w:b/>
                <w:bCs/>
                <w:color w:val="FFFFFF" w:themeColor="background1"/>
                <w:kern w:val="0"/>
                <w:sz w:val="20"/>
                <w:szCs w:val="20"/>
                <w:lang w:eastAsia="en-AU"/>
                <w14:ligatures w14:val="none"/>
              </w:rPr>
            </w:pPr>
            <w:r w:rsidRPr="00D633FF">
              <w:rPr>
                <w:rFonts w:ascii="Calibri" w:eastAsia="Times New Roman" w:hAnsi="Calibri" w:cs="Calibri"/>
                <w:b/>
                <w:bCs/>
                <w:color w:val="FFFFFF" w:themeColor="background1"/>
                <w:kern w:val="0"/>
                <w:sz w:val="20"/>
                <w:szCs w:val="20"/>
                <w:lang w:eastAsia="en-AU"/>
                <w14:ligatures w14:val="none"/>
              </w:rPr>
              <w:t xml:space="preserve">Core food groups </w:t>
            </w:r>
          </w:p>
        </w:tc>
        <w:tc>
          <w:tcPr>
            <w:tcW w:w="997" w:type="dxa"/>
            <w:tcBorders>
              <w:left w:val="nil"/>
              <w:right w:val="nil"/>
            </w:tcBorders>
            <w:shd w:val="clear" w:color="auto" w:fill="156082" w:themeFill="accent1"/>
            <w:textDirection w:val="btLr"/>
            <w:vAlign w:val="center"/>
            <w:hideMark/>
          </w:tcPr>
          <w:p w14:paraId="44DA3F09" w14:textId="77777777" w:rsidR="00E738A7" w:rsidRPr="00D633FF" w:rsidRDefault="00E738A7">
            <w:pPr>
              <w:spacing w:after="0" w:line="240" w:lineRule="auto"/>
              <w:ind w:left="113" w:right="113"/>
              <w:rPr>
                <w:rFonts w:ascii="Calibri" w:eastAsia="Times New Roman" w:hAnsi="Calibri" w:cs="Calibri"/>
                <w:b/>
                <w:bCs/>
                <w:color w:val="FFFFFF" w:themeColor="background1"/>
                <w:kern w:val="0"/>
                <w:sz w:val="20"/>
                <w:szCs w:val="20"/>
                <w:lang w:eastAsia="en-AU"/>
                <w14:ligatures w14:val="none"/>
              </w:rPr>
            </w:pPr>
            <w:r w:rsidRPr="00D633FF">
              <w:rPr>
                <w:rFonts w:ascii="Calibri" w:eastAsia="Times New Roman" w:hAnsi="Calibri" w:cs="Calibri"/>
                <w:b/>
                <w:bCs/>
                <w:color w:val="FFFFFF" w:themeColor="background1"/>
                <w:kern w:val="0"/>
                <w:sz w:val="20"/>
                <w:szCs w:val="20"/>
                <w:lang w:eastAsia="en-AU"/>
                <w14:ligatures w14:val="none"/>
              </w:rPr>
              <w:t xml:space="preserve">Aust. Guide to Healthy Eating </w:t>
            </w:r>
          </w:p>
        </w:tc>
        <w:tc>
          <w:tcPr>
            <w:tcW w:w="997" w:type="dxa"/>
            <w:tcBorders>
              <w:left w:val="nil"/>
              <w:right w:val="nil"/>
            </w:tcBorders>
            <w:shd w:val="clear" w:color="auto" w:fill="156082" w:themeFill="accent1"/>
            <w:textDirection w:val="btLr"/>
            <w:vAlign w:val="center"/>
          </w:tcPr>
          <w:p w14:paraId="03B117E9" w14:textId="77777777" w:rsidR="00E738A7" w:rsidRPr="00D633FF" w:rsidRDefault="00E738A7">
            <w:pPr>
              <w:spacing w:after="0" w:line="240" w:lineRule="auto"/>
              <w:ind w:left="113" w:right="113"/>
              <w:rPr>
                <w:rFonts w:ascii="Calibri" w:eastAsia="Times New Roman" w:hAnsi="Calibri" w:cs="Calibri"/>
                <w:b/>
                <w:bCs/>
                <w:color w:val="FFFFFF" w:themeColor="background1"/>
                <w:kern w:val="0"/>
                <w:sz w:val="20"/>
                <w:szCs w:val="20"/>
                <w:lang w:eastAsia="en-AU"/>
                <w14:ligatures w14:val="none"/>
              </w:rPr>
            </w:pPr>
            <w:r w:rsidRPr="00D633FF">
              <w:rPr>
                <w:rFonts w:ascii="Calibri" w:eastAsia="Times New Roman" w:hAnsi="Calibri" w:cs="Calibri"/>
                <w:b/>
                <w:bCs/>
                <w:color w:val="FFFFFF" w:themeColor="background1"/>
                <w:kern w:val="0"/>
                <w:sz w:val="20"/>
                <w:szCs w:val="20"/>
                <w:lang w:eastAsia="en-AU"/>
                <w14:ligatures w14:val="none"/>
              </w:rPr>
              <w:t>Foundation diets - overall</w:t>
            </w:r>
          </w:p>
        </w:tc>
        <w:tc>
          <w:tcPr>
            <w:tcW w:w="997" w:type="dxa"/>
            <w:tcBorders>
              <w:left w:val="nil"/>
              <w:right w:val="nil"/>
            </w:tcBorders>
            <w:shd w:val="clear" w:color="auto" w:fill="156082" w:themeFill="accent1"/>
            <w:textDirection w:val="btLr"/>
            <w:vAlign w:val="center"/>
          </w:tcPr>
          <w:p w14:paraId="3BEEFEBE" w14:textId="77777777" w:rsidR="00E738A7" w:rsidRPr="00D633FF" w:rsidRDefault="00E738A7">
            <w:pPr>
              <w:spacing w:after="0" w:line="240" w:lineRule="auto"/>
              <w:ind w:left="113" w:right="113"/>
              <w:rPr>
                <w:rFonts w:ascii="Calibri" w:eastAsia="Times New Roman" w:hAnsi="Calibri" w:cs="Calibri"/>
                <w:b/>
                <w:bCs/>
                <w:color w:val="FFFFFF" w:themeColor="background1"/>
                <w:kern w:val="0"/>
                <w:sz w:val="20"/>
                <w:szCs w:val="20"/>
                <w:lang w:eastAsia="en-AU"/>
                <w14:ligatures w14:val="none"/>
              </w:rPr>
            </w:pPr>
            <w:r w:rsidRPr="00D633FF">
              <w:rPr>
                <w:rFonts w:ascii="Calibri" w:eastAsia="Times New Roman" w:hAnsi="Calibri" w:cs="Calibri"/>
                <w:b/>
                <w:bCs/>
                <w:color w:val="FFFFFF" w:themeColor="background1"/>
                <w:kern w:val="0"/>
                <w:sz w:val="20"/>
                <w:szCs w:val="20"/>
                <w:lang w:eastAsia="en-AU"/>
                <w14:ligatures w14:val="none"/>
              </w:rPr>
              <w:t>Omnivore</w:t>
            </w:r>
          </w:p>
        </w:tc>
        <w:tc>
          <w:tcPr>
            <w:tcW w:w="997" w:type="dxa"/>
            <w:tcBorders>
              <w:left w:val="nil"/>
              <w:right w:val="nil"/>
            </w:tcBorders>
            <w:shd w:val="clear" w:color="auto" w:fill="156082" w:themeFill="accent1"/>
            <w:textDirection w:val="btLr"/>
            <w:vAlign w:val="center"/>
          </w:tcPr>
          <w:p w14:paraId="5AAF823C" w14:textId="77777777" w:rsidR="00E738A7" w:rsidRPr="00D633FF" w:rsidRDefault="00E738A7">
            <w:pPr>
              <w:spacing w:after="0" w:line="240" w:lineRule="auto"/>
              <w:ind w:left="113" w:right="113"/>
              <w:rPr>
                <w:rFonts w:ascii="Calibri" w:eastAsia="Times New Roman" w:hAnsi="Calibri" w:cs="Calibri"/>
                <w:b/>
                <w:bCs/>
                <w:color w:val="FFFFFF" w:themeColor="background1"/>
                <w:kern w:val="0"/>
                <w:sz w:val="20"/>
                <w:szCs w:val="20"/>
                <w:lang w:eastAsia="en-AU"/>
                <w14:ligatures w14:val="none"/>
              </w:rPr>
            </w:pPr>
            <w:r w:rsidRPr="00D633FF">
              <w:rPr>
                <w:rFonts w:ascii="Calibri" w:eastAsia="Times New Roman" w:hAnsi="Calibri" w:cs="Calibri"/>
                <w:b/>
                <w:bCs/>
                <w:color w:val="FFFFFF" w:themeColor="background1"/>
                <w:kern w:val="0"/>
                <w:sz w:val="20"/>
                <w:szCs w:val="20"/>
                <w:lang w:eastAsia="en-AU"/>
                <w14:ligatures w14:val="none"/>
              </w:rPr>
              <w:t>Rice-based</w:t>
            </w:r>
          </w:p>
        </w:tc>
        <w:tc>
          <w:tcPr>
            <w:tcW w:w="997" w:type="dxa"/>
            <w:tcBorders>
              <w:left w:val="nil"/>
              <w:right w:val="nil"/>
            </w:tcBorders>
            <w:shd w:val="clear" w:color="auto" w:fill="156082" w:themeFill="accent1"/>
            <w:textDirection w:val="btLr"/>
            <w:vAlign w:val="center"/>
          </w:tcPr>
          <w:p w14:paraId="1A240F04" w14:textId="77777777" w:rsidR="00E738A7" w:rsidRPr="00D633FF" w:rsidRDefault="00E738A7">
            <w:pPr>
              <w:spacing w:after="0" w:line="240" w:lineRule="auto"/>
              <w:ind w:left="113" w:right="113"/>
              <w:rPr>
                <w:rFonts w:ascii="Calibri" w:eastAsia="Times New Roman" w:hAnsi="Calibri" w:cs="Calibri"/>
                <w:b/>
                <w:bCs/>
                <w:color w:val="FFFFFF" w:themeColor="background1"/>
                <w:kern w:val="0"/>
                <w:sz w:val="20"/>
                <w:szCs w:val="20"/>
                <w:lang w:eastAsia="en-AU"/>
                <w14:ligatures w14:val="none"/>
              </w:rPr>
            </w:pPr>
            <w:r w:rsidRPr="00D633FF">
              <w:rPr>
                <w:rFonts w:ascii="Calibri" w:eastAsia="Times New Roman" w:hAnsi="Calibri" w:cs="Calibri"/>
                <w:b/>
                <w:bCs/>
                <w:color w:val="FFFFFF" w:themeColor="background1"/>
                <w:kern w:val="0"/>
                <w:sz w:val="20"/>
                <w:szCs w:val="20"/>
                <w:lang w:eastAsia="en-AU"/>
                <w14:ligatures w14:val="none"/>
              </w:rPr>
              <w:t>Pasta-based</w:t>
            </w:r>
          </w:p>
        </w:tc>
        <w:tc>
          <w:tcPr>
            <w:tcW w:w="1000" w:type="dxa"/>
            <w:tcBorders>
              <w:left w:val="nil"/>
            </w:tcBorders>
            <w:shd w:val="clear" w:color="auto" w:fill="156082" w:themeFill="accent1"/>
            <w:textDirection w:val="btLr"/>
            <w:vAlign w:val="center"/>
          </w:tcPr>
          <w:p w14:paraId="7460D069" w14:textId="77777777" w:rsidR="00E738A7" w:rsidRPr="00D633FF" w:rsidRDefault="00E738A7">
            <w:pPr>
              <w:spacing w:after="0" w:line="240" w:lineRule="auto"/>
              <w:ind w:left="113" w:right="113"/>
              <w:rPr>
                <w:rFonts w:ascii="Calibri" w:eastAsia="Times New Roman" w:hAnsi="Calibri" w:cs="Calibri"/>
                <w:b/>
                <w:bCs/>
                <w:color w:val="FFFFFF" w:themeColor="background1"/>
                <w:kern w:val="0"/>
                <w:sz w:val="20"/>
                <w:szCs w:val="20"/>
                <w:lang w:eastAsia="en-AU"/>
                <w14:ligatures w14:val="none"/>
              </w:rPr>
            </w:pPr>
            <w:r w:rsidRPr="00D633FF">
              <w:rPr>
                <w:rFonts w:ascii="Calibri" w:eastAsia="Times New Roman" w:hAnsi="Calibri" w:cs="Calibri"/>
                <w:b/>
                <w:bCs/>
                <w:color w:val="FFFFFF" w:themeColor="background1"/>
                <w:kern w:val="0"/>
                <w:sz w:val="20"/>
                <w:szCs w:val="20"/>
                <w:lang w:eastAsia="en-AU"/>
                <w14:ligatures w14:val="none"/>
              </w:rPr>
              <w:t>Lacto-ovo-vegetarian</w:t>
            </w:r>
          </w:p>
        </w:tc>
      </w:tr>
      <w:tr w:rsidR="001B6D96" w:rsidRPr="00D633FF" w14:paraId="66AB3666" w14:textId="77777777" w:rsidTr="00DA417F">
        <w:trPr>
          <w:trHeight w:val="300"/>
        </w:trPr>
        <w:tc>
          <w:tcPr>
            <w:tcW w:w="5143" w:type="dxa"/>
            <w:tcBorders>
              <w:right w:val="nil"/>
            </w:tcBorders>
            <w:noWrap/>
            <w:vAlign w:val="bottom"/>
            <w:hideMark/>
          </w:tcPr>
          <w:p w14:paraId="4092F4D6" w14:textId="77777777" w:rsidR="00E738A7" w:rsidRPr="00D633FF" w:rsidRDefault="00E738A7">
            <w:pPr>
              <w:spacing w:after="0" w:line="24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Pregnant persons (age not specified)</w:t>
            </w:r>
          </w:p>
        </w:tc>
        <w:tc>
          <w:tcPr>
            <w:tcW w:w="997" w:type="dxa"/>
            <w:tcBorders>
              <w:left w:val="nil"/>
              <w:right w:val="nil"/>
            </w:tcBorders>
            <w:noWrap/>
            <w:vAlign w:val="center"/>
          </w:tcPr>
          <w:p w14:paraId="60C79799" w14:textId="365F5840" w:rsidR="00E738A7" w:rsidRPr="00D633FF" w:rsidRDefault="00A705C6">
            <w:pPr>
              <w:spacing w:after="0" w:line="240" w:lineRule="auto"/>
              <w:jc w:val="center"/>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997" w:type="dxa"/>
            <w:tcBorders>
              <w:left w:val="nil"/>
              <w:right w:val="nil"/>
            </w:tcBorders>
            <w:noWrap/>
            <w:vAlign w:val="center"/>
          </w:tcPr>
          <w:p w14:paraId="640FAAF6" w14:textId="77777777" w:rsidR="00E738A7" w:rsidRPr="00D633FF" w:rsidRDefault="00E738A7">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997" w:type="dxa"/>
            <w:tcBorders>
              <w:left w:val="nil"/>
              <w:right w:val="nil"/>
            </w:tcBorders>
            <w:vAlign w:val="center"/>
          </w:tcPr>
          <w:p w14:paraId="481E8C2A" w14:textId="77777777" w:rsidR="00E738A7" w:rsidRPr="00D633FF" w:rsidRDefault="00E738A7">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997" w:type="dxa"/>
            <w:tcBorders>
              <w:left w:val="nil"/>
              <w:right w:val="nil"/>
            </w:tcBorders>
            <w:vAlign w:val="center"/>
          </w:tcPr>
          <w:p w14:paraId="56F3F735" w14:textId="77777777" w:rsidR="00E738A7" w:rsidRPr="00D633FF" w:rsidRDefault="00E738A7">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997" w:type="dxa"/>
            <w:tcBorders>
              <w:left w:val="nil"/>
              <w:right w:val="nil"/>
            </w:tcBorders>
            <w:vAlign w:val="center"/>
          </w:tcPr>
          <w:p w14:paraId="685F7ED3" w14:textId="77777777" w:rsidR="00E738A7" w:rsidRPr="00D633FF" w:rsidRDefault="00E738A7">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997" w:type="dxa"/>
            <w:tcBorders>
              <w:left w:val="nil"/>
              <w:right w:val="nil"/>
            </w:tcBorders>
            <w:vAlign w:val="center"/>
          </w:tcPr>
          <w:p w14:paraId="329144F0" w14:textId="77777777" w:rsidR="00E738A7" w:rsidRPr="00D633FF" w:rsidRDefault="00E738A7">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1000" w:type="dxa"/>
            <w:tcBorders>
              <w:left w:val="nil"/>
            </w:tcBorders>
            <w:vAlign w:val="center"/>
          </w:tcPr>
          <w:p w14:paraId="0A0E6E54" w14:textId="77777777" w:rsidR="00E738A7" w:rsidRPr="00D633FF" w:rsidRDefault="00E738A7">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r>
      <w:tr w:rsidR="00A705C6" w:rsidRPr="00D633FF" w14:paraId="4A88709C" w14:textId="77777777" w:rsidTr="00DA417F">
        <w:trPr>
          <w:trHeight w:val="300"/>
        </w:trPr>
        <w:tc>
          <w:tcPr>
            <w:tcW w:w="5143" w:type="dxa"/>
            <w:tcBorders>
              <w:right w:val="nil"/>
            </w:tcBorders>
            <w:noWrap/>
            <w:vAlign w:val="bottom"/>
            <w:hideMark/>
          </w:tcPr>
          <w:p w14:paraId="5152D580" w14:textId="77777777" w:rsidR="00A705C6" w:rsidRPr="00D633FF" w:rsidRDefault="00A705C6" w:rsidP="00A705C6">
            <w:pPr>
              <w:spacing w:after="0" w:line="24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Pregnant females 14 – 18 years</w:t>
            </w:r>
          </w:p>
        </w:tc>
        <w:tc>
          <w:tcPr>
            <w:tcW w:w="997" w:type="dxa"/>
            <w:tcBorders>
              <w:left w:val="nil"/>
              <w:right w:val="nil"/>
            </w:tcBorders>
            <w:noWrap/>
            <w:vAlign w:val="center"/>
          </w:tcPr>
          <w:p w14:paraId="71D55F4C" w14:textId="77777777" w:rsidR="00A705C6" w:rsidRPr="00D633FF" w:rsidRDefault="00A705C6" w:rsidP="00A705C6">
            <w:pPr>
              <w:spacing w:after="0" w:line="240" w:lineRule="auto"/>
              <w:jc w:val="center"/>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997" w:type="dxa"/>
            <w:tcBorders>
              <w:left w:val="nil"/>
              <w:right w:val="nil"/>
            </w:tcBorders>
            <w:noWrap/>
            <w:vAlign w:val="center"/>
          </w:tcPr>
          <w:p w14:paraId="21B5D19C" w14:textId="77777777" w:rsidR="00A705C6" w:rsidRPr="00D633FF" w:rsidRDefault="00A705C6" w:rsidP="00A705C6">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997" w:type="dxa"/>
            <w:tcBorders>
              <w:left w:val="nil"/>
              <w:right w:val="nil"/>
            </w:tcBorders>
            <w:vAlign w:val="center"/>
          </w:tcPr>
          <w:p w14:paraId="57370FD5" w14:textId="3844C59D" w:rsidR="00A705C6" w:rsidRPr="00D633FF" w:rsidRDefault="00A705C6" w:rsidP="00A705C6">
            <w:pPr>
              <w:spacing w:after="0" w:line="240" w:lineRule="auto"/>
              <w:jc w:val="center"/>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11</w:t>
            </w:r>
            <w:r w:rsidR="00DE361F" w:rsidRPr="00D633FF">
              <w:rPr>
                <w:rFonts w:ascii="Calibri" w:eastAsia="Times New Roman" w:hAnsi="Calibri" w:cs="Calibri"/>
                <w:color w:val="000000"/>
                <w:kern w:val="0"/>
                <w:sz w:val="20"/>
                <w:szCs w:val="20"/>
                <w:lang w:eastAsia="en-AU"/>
                <w14:ligatures w14:val="none"/>
              </w:rPr>
              <w:t>6</w:t>
            </w:r>
          </w:p>
        </w:tc>
        <w:tc>
          <w:tcPr>
            <w:tcW w:w="997" w:type="dxa"/>
            <w:tcBorders>
              <w:left w:val="nil"/>
              <w:right w:val="nil"/>
            </w:tcBorders>
            <w:vAlign w:val="center"/>
          </w:tcPr>
          <w:p w14:paraId="76674720" w14:textId="77777777" w:rsidR="00A705C6" w:rsidRPr="00D633FF" w:rsidRDefault="00A705C6" w:rsidP="00A705C6">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997" w:type="dxa"/>
            <w:tcBorders>
              <w:left w:val="nil"/>
              <w:right w:val="nil"/>
            </w:tcBorders>
            <w:vAlign w:val="center"/>
          </w:tcPr>
          <w:p w14:paraId="73209447" w14:textId="77777777" w:rsidR="00A705C6" w:rsidRPr="00D633FF" w:rsidRDefault="00A705C6" w:rsidP="00A705C6">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997" w:type="dxa"/>
            <w:tcBorders>
              <w:left w:val="nil"/>
              <w:right w:val="nil"/>
            </w:tcBorders>
            <w:vAlign w:val="center"/>
          </w:tcPr>
          <w:p w14:paraId="43E55929" w14:textId="77777777" w:rsidR="00A705C6" w:rsidRPr="00D633FF" w:rsidRDefault="00A705C6" w:rsidP="00A705C6">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1000" w:type="dxa"/>
            <w:tcBorders>
              <w:left w:val="nil"/>
            </w:tcBorders>
            <w:vAlign w:val="center"/>
          </w:tcPr>
          <w:p w14:paraId="509A4CFD" w14:textId="77777777" w:rsidR="00A705C6" w:rsidRPr="00D633FF" w:rsidRDefault="00A705C6" w:rsidP="00A705C6">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r>
      <w:tr w:rsidR="00A705C6" w:rsidRPr="00D633FF" w14:paraId="33274CB4" w14:textId="77777777" w:rsidTr="00DA417F">
        <w:trPr>
          <w:trHeight w:val="300"/>
        </w:trPr>
        <w:tc>
          <w:tcPr>
            <w:tcW w:w="5143" w:type="dxa"/>
            <w:tcBorders>
              <w:right w:val="nil"/>
            </w:tcBorders>
            <w:noWrap/>
            <w:vAlign w:val="bottom"/>
            <w:hideMark/>
          </w:tcPr>
          <w:p w14:paraId="6F54DD52" w14:textId="77777777" w:rsidR="00A705C6" w:rsidRPr="00D633FF" w:rsidRDefault="00A705C6" w:rsidP="00A705C6">
            <w:pPr>
              <w:spacing w:after="0" w:line="24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Pregnant females 19 – 30 years</w:t>
            </w:r>
          </w:p>
        </w:tc>
        <w:tc>
          <w:tcPr>
            <w:tcW w:w="997" w:type="dxa"/>
            <w:tcBorders>
              <w:left w:val="nil"/>
              <w:right w:val="nil"/>
            </w:tcBorders>
            <w:noWrap/>
            <w:vAlign w:val="center"/>
          </w:tcPr>
          <w:p w14:paraId="25BB8C06" w14:textId="77777777" w:rsidR="00A705C6" w:rsidRPr="00D633FF" w:rsidRDefault="00A705C6" w:rsidP="00A705C6">
            <w:pPr>
              <w:spacing w:after="0" w:line="240" w:lineRule="auto"/>
              <w:jc w:val="center"/>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997" w:type="dxa"/>
            <w:tcBorders>
              <w:left w:val="nil"/>
              <w:right w:val="nil"/>
            </w:tcBorders>
            <w:noWrap/>
            <w:vAlign w:val="center"/>
          </w:tcPr>
          <w:p w14:paraId="26F79820" w14:textId="77777777" w:rsidR="00A705C6" w:rsidRPr="00D633FF" w:rsidRDefault="00A705C6" w:rsidP="00A705C6">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997" w:type="dxa"/>
            <w:tcBorders>
              <w:left w:val="nil"/>
              <w:right w:val="nil"/>
            </w:tcBorders>
            <w:vAlign w:val="center"/>
          </w:tcPr>
          <w:p w14:paraId="0393C438" w14:textId="62E89C4D" w:rsidR="00A705C6" w:rsidRPr="00D633FF" w:rsidRDefault="00A705C6" w:rsidP="00A705C6">
            <w:pPr>
              <w:spacing w:after="0" w:line="240" w:lineRule="auto"/>
              <w:jc w:val="center"/>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110</w:t>
            </w:r>
          </w:p>
        </w:tc>
        <w:tc>
          <w:tcPr>
            <w:tcW w:w="997" w:type="dxa"/>
            <w:tcBorders>
              <w:left w:val="nil"/>
              <w:right w:val="nil"/>
            </w:tcBorders>
            <w:vAlign w:val="center"/>
          </w:tcPr>
          <w:p w14:paraId="56DB3B7C" w14:textId="77777777" w:rsidR="00A705C6" w:rsidRPr="00D633FF" w:rsidRDefault="00A705C6" w:rsidP="00A705C6">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997" w:type="dxa"/>
            <w:tcBorders>
              <w:left w:val="nil"/>
              <w:right w:val="nil"/>
            </w:tcBorders>
            <w:vAlign w:val="center"/>
          </w:tcPr>
          <w:p w14:paraId="3385E528" w14:textId="77777777" w:rsidR="00A705C6" w:rsidRPr="00D633FF" w:rsidRDefault="00A705C6" w:rsidP="00A705C6">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997" w:type="dxa"/>
            <w:tcBorders>
              <w:left w:val="nil"/>
              <w:right w:val="nil"/>
            </w:tcBorders>
            <w:vAlign w:val="center"/>
          </w:tcPr>
          <w:p w14:paraId="32B4F298" w14:textId="77777777" w:rsidR="00A705C6" w:rsidRPr="00D633FF" w:rsidRDefault="00A705C6" w:rsidP="00A705C6">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1000" w:type="dxa"/>
            <w:tcBorders>
              <w:left w:val="nil"/>
            </w:tcBorders>
            <w:vAlign w:val="center"/>
          </w:tcPr>
          <w:p w14:paraId="62CB7A7F" w14:textId="77777777" w:rsidR="00A705C6" w:rsidRPr="00D633FF" w:rsidRDefault="00A705C6" w:rsidP="00A705C6">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r>
      <w:tr w:rsidR="00A705C6" w:rsidRPr="00D633FF" w14:paraId="09B2BAB6" w14:textId="77777777" w:rsidTr="00DA417F">
        <w:trPr>
          <w:trHeight w:val="300"/>
        </w:trPr>
        <w:tc>
          <w:tcPr>
            <w:tcW w:w="5143" w:type="dxa"/>
            <w:tcBorders>
              <w:right w:val="nil"/>
            </w:tcBorders>
            <w:noWrap/>
            <w:vAlign w:val="bottom"/>
          </w:tcPr>
          <w:p w14:paraId="05B664D2" w14:textId="77777777" w:rsidR="00A705C6" w:rsidRPr="00D633FF" w:rsidRDefault="00A705C6" w:rsidP="00A705C6">
            <w:pPr>
              <w:spacing w:after="0" w:line="24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Pregnant females 31 – 50 years</w:t>
            </w:r>
          </w:p>
        </w:tc>
        <w:tc>
          <w:tcPr>
            <w:tcW w:w="997" w:type="dxa"/>
            <w:tcBorders>
              <w:left w:val="nil"/>
              <w:right w:val="nil"/>
            </w:tcBorders>
            <w:noWrap/>
            <w:vAlign w:val="center"/>
          </w:tcPr>
          <w:p w14:paraId="41466E15" w14:textId="77777777" w:rsidR="00A705C6" w:rsidRPr="00D633FF" w:rsidRDefault="00A705C6" w:rsidP="00A705C6">
            <w:pPr>
              <w:spacing w:after="0" w:line="240" w:lineRule="auto"/>
              <w:jc w:val="center"/>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997" w:type="dxa"/>
            <w:tcBorders>
              <w:left w:val="nil"/>
              <w:right w:val="nil"/>
            </w:tcBorders>
            <w:noWrap/>
            <w:vAlign w:val="center"/>
          </w:tcPr>
          <w:p w14:paraId="45F9F265" w14:textId="77777777" w:rsidR="00A705C6" w:rsidRPr="00D633FF" w:rsidRDefault="00A705C6" w:rsidP="00A705C6">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997" w:type="dxa"/>
            <w:tcBorders>
              <w:left w:val="nil"/>
              <w:right w:val="nil"/>
            </w:tcBorders>
            <w:vAlign w:val="center"/>
          </w:tcPr>
          <w:p w14:paraId="20D4F392" w14:textId="776E9DC9" w:rsidR="00A705C6" w:rsidRPr="00D633FF" w:rsidRDefault="00A705C6" w:rsidP="00A705C6">
            <w:pPr>
              <w:spacing w:after="0" w:line="240" w:lineRule="auto"/>
              <w:jc w:val="center"/>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11</w:t>
            </w:r>
            <w:r w:rsidR="00DE361F" w:rsidRPr="00D633FF">
              <w:rPr>
                <w:rFonts w:ascii="Calibri" w:eastAsia="Times New Roman" w:hAnsi="Calibri" w:cs="Calibri"/>
                <w:color w:val="000000"/>
                <w:kern w:val="0"/>
                <w:sz w:val="20"/>
                <w:szCs w:val="20"/>
                <w:lang w:eastAsia="en-AU"/>
                <w14:ligatures w14:val="none"/>
              </w:rPr>
              <w:t>5</w:t>
            </w:r>
          </w:p>
        </w:tc>
        <w:tc>
          <w:tcPr>
            <w:tcW w:w="997" w:type="dxa"/>
            <w:tcBorders>
              <w:left w:val="nil"/>
              <w:right w:val="nil"/>
            </w:tcBorders>
            <w:vAlign w:val="center"/>
          </w:tcPr>
          <w:p w14:paraId="2490EA94" w14:textId="77777777" w:rsidR="00A705C6" w:rsidRPr="00D633FF" w:rsidRDefault="00A705C6" w:rsidP="00A705C6">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997" w:type="dxa"/>
            <w:tcBorders>
              <w:left w:val="nil"/>
              <w:right w:val="nil"/>
            </w:tcBorders>
            <w:vAlign w:val="center"/>
          </w:tcPr>
          <w:p w14:paraId="6683EEA1" w14:textId="77777777" w:rsidR="00A705C6" w:rsidRPr="00D633FF" w:rsidRDefault="00A705C6" w:rsidP="00A705C6">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997" w:type="dxa"/>
            <w:tcBorders>
              <w:left w:val="nil"/>
              <w:right w:val="nil"/>
            </w:tcBorders>
            <w:vAlign w:val="center"/>
          </w:tcPr>
          <w:p w14:paraId="6E667F89" w14:textId="77777777" w:rsidR="00A705C6" w:rsidRPr="00D633FF" w:rsidRDefault="00A705C6" w:rsidP="00A705C6">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1000" w:type="dxa"/>
            <w:tcBorders>
              <w:left w:val="nil"/>
            </w:tcBorders>
            <w:vAlign w:val="center"/>
          </w:tcPr>
          <w:p w14:paraId="6D379DEF" w14:textId="77777777" w:rsidR="00A705C6" w:rsidRPr="00D633FF" w:rsidRDefault="00A705C6" w:rsidP="00A705C6">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r>
    </w:tbl>
    <w:p w14:paraId="01CEA2BE" w14:textId="6ABEA697" w:rsidR="007D5562" w:rsidRPr="00D633FF" w:rsidRDefault="00FE7B2F" w:rsidP="00C13805">
      <w:pPr>
        <w:rPr>
          <w:rFonts w:ascii="Calibri" w:hAnsi="Calibri" w:cs="Calibri"/>
        </w:rPr>
      </w:pPr>
      <w:bookmarkStart w:id="76" w:name="_Toc204170942"/>
      <w:r w:rsidRPr="00B34BE7">
        <w:rPr>
          <w:rFonts w:ascii="Calibri" w:eastAsia="Arial" w:hAnsi="Calibri" w:cs="Calibri"/>
          <w:b/>
          <w:bCs/>
          <w:sz w:val="16"/>
          <w:szCs w:val="16"/>
        </w:rPr>
        <w:t>Source:</w:t>
      </w:r>
      <w:r w:rsidRPr="00D633FF">
        <w:rPr>
          <w:rFonts w:ascii="Calibri" w:eastAsia="Arial" w:hAnsi="Calibri" w:cs="Calibri"/>
          <w:sz w:val="16"/>
          <w:szCs w:val="16"/>
        </w:rPr>
        <w:t xml:space="preserve"> </w:t>
      </w:r>
      <w:hyperlink r:id="rId20" w:history="1">
        <w:r>
          <w:rPr>
            <w:rFonts w:ascii="Calibri" w:eastAsia="Arial" w:hAnsi="Calibri" w:cs="Calibri"/>
            <w:color w:val="0062B1"/>
            <w:sz w:val="16"/>
            <w:szCs w:val="16"/>
            <w:u w:val="single"/>
          </w:rPr>
          <w:t>A modelling system to inform the revision of the Australian Guide to Healthy Eating</w:t>
        </w:r>
      </w:hyperlink>
      <w:r w:rsidRPr="00BE2904">
        <w:rPr>
          <w:sz w:val="16"/>
          <w:szCs w:val="16"/>
        </w:rPr>
        <w:t xml:space="preserve"> (</w:t>
      </w:r>
      <w:proofErr w:type="spellStart"/>
      <w:r w:rsidRPr="00BE2904">
        <w:rPr>
          <w:sz w:val="16"/>
          <w:szCs w:val="16"/>
        </w:rPr>
        <w:t>Baghurst</w:t>
      </w:r>
      <w:proofErr w:type="spellEnd"/>
      <w:r w:rsidRPr="00BE2904">
        <w:rPr>
          <w:sz w:val="16"/>
          <w:szCs w:val="16"/>
        </w:rPr>
        <w:t xml:space="preserve"> et al. 2011)</w:t>
      </w:r>
    </w:p>
    <w:p w14:paraId="28B1865A" w14:textId="77777777" w:rsidR="00E738A7" w:rsidRPr="00D633FF" w:rsidRDefault="00E738A7" w:rsidP="00E738A7">
      <w:pPr>
        <w:pStyle w:val="Heading3"/>
        <w:spacing w:before="360"/>
        <w:rPr>
          <w:rFonts w:ascii="Calibri" w:hAnsi="Calibri" w:cs="Calibri"/>
        </w:rPr>
      </w:pPr>
      <w:bookmarkStart w:id="77" w:name="_Toc218527985"/>
      <w:r w:rsidRPr="00D633FF">
        <w:rPr>
          <w:rFonts w:ascii="Calibri" w:hAnsi="Calibri" w:cs="Calibri"/>
        </w:rPr>
        <w:t>Lactation</w:t>
      </w:r>
      <w:bookmarkEnd w:id="76"/>
      <w:bookmarkEnd w:id="77"/>
    </w:p>
    <w:p w14:paraId="1805DD5F" w14:textId="535E6A0A" w:rsidR="00D23D7B" w:rsidRPr="00D633FF" w:rsidRDefault="00D23D7B" w:rsidP="00B07CC4">
      <w:pPr>
        <w:pStyle w:val="Caption"/>
        <w:keepNext/>
        <w:spacing w:after="120"/>
        <w:rPr>
          <w:rFonts w:ascii="Calibri" w:hAnsi="Calibri" w:cs="Calibri"/>
          <w:b/>
          <w:bCs/>
          <w:sz w:val="20"/>
          <w:szCs w:val="20"/>
        </w:rPr>
      </w:pPr>
      <w:bookmarkStart w:id="78" w:name="_Ref205283665"/>
      <w:r w:rsidRPr="00D633FF">
        <w:rPr>
          <w:rFonts w:ascii="Calibri" w:hAnsi="Calibri" w:cs="Calibri"/>
          <w:b/>
          <w:bCs/>
          <w:sz w:val="20"/>
          <w:szCs w:val="20"/>
        </w:rPr>
        <w:t xml:space="preserve">Table </w:t>
      </w:r>
      <w:r w:rsidRPr="00D633FF">
        <w:rPr>
          <w:rFonts w:ascii="Calibri" w:hAnsi="Calibri" w:cs="Calibri"/>
          <w:b/>
          <w:bCs/>
          <w:sz w:val="20"/>
          <w:szCs w:val="20"/>
        </w:rPr>
        <w:fldChar w:fldCharType="begin"/>
      </w:r>
      <w:r w:rsidRPr="00D633FF">
        <w:rPr>
          <w:rFonts w:ascii="Calibri" w:hAnsi="Calibri" w:cs="Calibri"/>
          <w:b/>
          <w:bCs/>
        </w:rPr>
        <w:instrText xml:space="preserve"> SEQ Table \* ARABIC </w:instrText>
      </w:r>
      <w:r w:rsidRPr="00D633FF">
        <w:rPr>
          <w:rFonts w:ascii="Calibri" w:hAnsi="Calibri" w:cs="Calibri"/>
          <w:b/>
          <w:bCs/>
          <w:sz w:val="20"/>
          <w:szCs w:val="20"/>
        </w:rPr>
        <w:fldChar w:fldCharType="separate"/>
      </w:r>
      <w:r w:rsidR="00CB6915">
        <w:rPr>
          <w:rFonts w:ascii="Calibri" w:hAnsi="Calibri" w:cs="Calibri"/>
          <w:b/>
          <w:bCs/>
          <w:noProof/>
        </w:rPr>
        <w:t>15</w:t>
      </w:r>
      <w:r w:rsidRPr="00D633FF">
        <w:rPr>
          <w:rFonts w:ascii="Calibri" w:hAnsi="Calibri" w:cs="Calibri"/>
          <w:b/>
          <w:bCs/>
          <w:noProof/>
          <w:sz w:val="20"/>
          <w:szCs w:val="20"/>
        </w:rPr>
        <w:fldChar w:fldCharType="end"/>
      </w:r>
      <w:bookmarkEnd w:id="78"/>
      <w:r w:rsidR="002540BA">
        <w:rPr>
          <w:rFonts w:ascii="Calibri" w:hAnsi="Calibri" w:cs="Calibri"/>
          <w:b/>
          <w:bCs/>
          <w:noProof/>
          <w:sz w:val="20"/>
          <w:szCs w:val="20"/>
        </w:rPr>
        <w:t>.</w:t>
      </w:r>
      <w:r w:rsidRPr="00D633FF">
        <w:rPr>
          <w:rFonts w:ascii="Calibri" w:hAnsi="Calibri" w:cs="Calibri"/>
          <w:b/>
          <w:bCs/>
          <w:sz w:val="20"/>
          <w:szCs w:val="20"/>
        </w:rPr>
        <w:t xml:space="preserve"> Estimated </w:t>
      </w:r>
      <w:r w:rsidR="0087006E" w:rsidRPr="00D633FF">
        <w:rPr>
          <w:rFonts w:ascii="Calibri" w:hAnsi="Calibri" w:cs="Calibri"/>
          <w:b/>
          <w:bCs/>
          <w:sz w:val="20"/>
          <w:szCs w:val="20"/>
        </w:rPr>
        <w:t>selenium</w:t>
      </w:r>
      <w:r w:rsidRPr="00D633FF">
        <w:rPr>
          <w:rFonts w:ascii="Calibri" w:hAnsi="Calibri" w:cs="Calibri"/>
          <w:b/>
          <w:bCs/>
          <w:sz w:val="20"/>
          <w:szCs w:val="20"/>
        </w:rPr>
        <w:t xml:space="preserve"> intake during lactation from food modelling </w:t>
      </w:r>
      <w:r w:rsidR="00DA417F" w:rsidRPr="002558AE">
        <w:rPr>
          <w:rFonts w:ascii="Calibri" w:eastAsia="Times New Roman" w:hAnsi="Calibri" w:cs="Calibri"/>
          <w:b/>
          <w:bCs/>
          <w:color w:val="auto"/>
          <w:kern w:val="0"/>
          <w:sz w:val="20"/>
          <w:szCs w:val="20"/>
          <w:lang w:eastAsia="en-AU"/>
          <w14:ligatures w14:val="none"/>
        </w:rPr>
        <w:t>(µg/day)</w:t>
      </w:r>
      <w:r w:rsidR="00DA417F" w:rsidRPr="00D633FF">
        <w:rPr>
          <w:rFonts w:ascii="Calibri" w:hAnsi="Calibri" w:cs="Calibri"/>
          <w:b/>
          <w:bCs/>
          <w:sz w:val="20"/>
          <w:szCs w:val="20"/>
        </w:rPr>
        <w:t xml:space="preserve"> </w:t>
      </w:r>
      <w:r w:rsidRPr="002540BA">
        <w:rPr>
          <w:rFonts w:ascii="Calibri" w:hAnsi="Calibri" w:cs="Calibri"/>
          <w:sz w:val="20"/>
          <w:szCs w:val="20"/>
        </w:rPr>
        <w:t>(</w:t>
      </w:r>
      <w:r w:rsidR="005B68F9" w:rsidRPr="002540BA">
        <w:rPr>
          <w:rFonts w:ascii="Calibri" w:hAnsi="Calibri" w:cs="Calibri"/>
          <w:sz w:val="20"/>
          <w:szCs w:val="20"/>
        </w:rPr>
        <w:t xml:space="preserve">Source: </w:t>
      </w:r>
      <w:r w:rsidR="005B68F9" w:rsidRPr="002540BA">
        <w:rPr>
          <w:rFonts w:ascii="Calibri" w:hAnsi="Calibri" w:cs="Calibri"/>
          <w:noProof/>
          <w:sz w:val="20"/>
          <w:szCs w:val="20"/>
        </w:rPr>
        <w:t>Baghurst et al. 2011</w:t>
      </w:r>
      <w:r w:rsidRPr="002540BA">
        <w:rPr>
          <w:rFonts w:ascii="Calibri" w:hAnsi="Calibri" w:cs="Calibri"/>
          <w:sz w:val="20"/>
          <w:szCs w:val="20"/>
        </w:rPr>
        <w:t>)</w:t>
      </w:r>
    </w:p>
    <w:tbl>
      <w:tblPr>
        <w:tblW w:w="1212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3"/>
        <w:gridCol w:w="997"/>
        <w:gridCol w:w="997"/>
        <w:gridCol w:w="997"/>
        <w:gridCol w:w="997"/>
        <w:gridCol w:w="997"/>
        <w:gridCol w:w="997"/>
        <w:gridCol w:w="1000"/>
      </w:tblGrid>
      <w:tr w:rsidR="00FA5EE5" w:rsidRPr="00D633FF" w14:paraId="331FD49E" w14:textId="77777777" w:rsidTr="00264163">
        <w:trPr>
          <w:cantSplit/>
          <w:trHeight w:val="1754"/>
        </w:trPr>
        <w:tc>
          <w:tcPr>
            <w:tcW w:w="5143" w:type="dxa"/>
            <w:tcBorders>
              <w:right w:val="nil"/>
            </w:tcBorders>
            <w:shd w:val="clear" w:color="auto" w:fill="156082" w:themeFill="accent1"/>
            <w:vAlign w:val="bottom"/>
            <w:hideMark/>
          </w:tcPr>
          <w:p w14:paraId="3D7BE0F2" w14:textId="77777777" w:rsidR="00E738A7" w:rsidRPr="00D633FF" w:rsidRDefault="00E738A7">
            <w:pPr>
              <w:spacing w:after="0" w:line="240" w:lineRule="auto"/>
              <w:rPr>
                <w:rFonts w:ascii="Calibri" w:eastAsia="Times New Roman" w:hAnsi="Calibri" w:cs="Calibri"/>
                <w:b/>
                <w:bCs/>
                <w:color w:val="FFFFFF" w:themeColor="background1"/>
                <w:kern w:val="0"/>
                <w:sz w:val="20"/>
                <w:szCs w:val="20"/>
                <w:lang w:eastAsia="en-AU"/>
                <w14:ligatures w14:val="none"/>
              </w:rPr>
            </w:pPr>
            <w:r w:rsidRPr="00D633FF">
              <w:rPr>
                <w:rFonts w:ascii="Calibri" w:eastAsia="Times New Roman" w:hAnsi="Calibri" w:cs="Calibri"/>
                <w:b/>
                <w:bCs/>
                <w:color w:val="FFFFFF" w:themeColor="background1"/>
                <w:kern w:val="0"/>
                <w:sz w:val="20"/>
                <w:szCs w:val="20"/>
                <w:lang w:eastAsia="en-AU"/>
                <w14:ligatures w14:val="none"/>
              </w:rPr>
              <w:t>Population</w:t>
            </w:r>
          </w:p>
        </w:tc>
        <w:tc>
          <w:tcPr>
            <w:tcW w:w="997" w:type="dxa"/>
            <w:tcBorders>
              <w:left w:val="nil"/>
              <w:right w:val="nil"/>
            </w:tcBorders>
            <w:shd w:val="clear" w:color="auto" w:fill="156082" w:themeFill="accent1"/>
            <w:textDirection w:val="btLr"/>
            <w:vAlign w:val="center"/>
            <w:hideMark/>
          </w:tcPr>
          <w:p w14:paraId="54716ADF" w14:textId="77777777" w:rsidR="00E738A7" w:rsidRPr="00D633FF" w:rsidRDefault="00E738A7">
            <w:pPr>
              <w:spacing w:after="0" w:line="240" w:lineRule="auto"/>
              <w:ind w:left="113" w:right="113"/>
              <w:rPr>
                <w:rFonts w:ascii="Calibri" w:eastAsia="Times New Roman" w:hAnsi="Calibri" w:cs="Calibri"/>
                <w:b/>
                <w:bCs/>
                <w:color w:val="FFFFFF" w:themeColor="background1"/>
                <w:kern w:val="0"/>
                <w:sz w:val="20"/>
                <w:szCs w:val="20"/>
                <w:lang w:eastAsia="en-AU"/>
                <w14:ligatures w14:val="none"/>
              </w:rPr>
            </w:pPr>
            <w:r w:rsidRPr="00D633FF">
              <w:rPr>
                <w:rFonts w:ascii="Calibri" w:eastAsia="Times New Roman" w:hAnsi="Calibri" w:cs="Calibri"/>
                <w:b/>
                <w:bCs/>
                <w:color w:val="FFFFFF" w:themeColor="background1"/>
                <w:kern w:val="0"/>
                <w:sz w:val="20"/>
                <w:szCs w:val="20"/>
                <w:lang w:eastAsia="en-AU"/>
                <w14:ligatures w14:val="none"/>
              </w:rPr>
              <w:t xml:space="preserve">Core food groups </w:t>
            </w:r>
          </w:p>
        </w:tc>
        <w:tc>
          <w:tcPr>
            <w:tcW w:w="997" w:type="dxa"/>
            <w:tcBorders>
              <w:left w:val="nil"/>
              <w:right w:val="nil"/>
            </w:tcBorders>
            <w:shd w:val="clear" w:color="auto" w:fill="156082" w:themeFill="accent1"/>
            <w:textDirection w:val="btLr"/>
            <w:vAlign w:val="center"/>
            <w:hideMark/>
          </w:tcPr>
          <w:p w14:paraId="1E1DC761" w14:textId="77777777" w:rsidR="00E738A7" w:rsidRPr="00D633FF" w:rsidRDefault="00E738A7">
            <w:pPr>
              <w:spacing w:after="0" w:line="240" w:lineRule="auto"/>
              <w:ind w:left="113" w:right="113"/>
              <w:rPr>
                <w:rFonts w:ascii="Calibri" w:eastAsia="Times New Roman" w:hAnsi="Calibri" w:cs="Calibri"/>
                <w:b/>
                <w:bCs/>
                <w:color w:val="FFFFFF" w:themeColor="background1"/>
                <w:kern w:val="0"/>
                <w:sz w:val="20"/>
                <w:szCs w:val="20"/>
                <w:lang w:eastAsia="en-AU"/>
                <w14:ligatures w14:val="none"/>
              </w:rPr>
            </w:pPr>
            <w:r w:rsidRPr="00D633FF">
              <w:rPr>
                <w:rFonts w:ascii="Calibri" w:eastAsia="Times New Roman" w:hAnsi="Calibri" w:cs="Calibri"/>
                <w:b/>
                <w:bCs/>
                <w:color w:val="FFFFFF" w:themeColor="background1"/>
                <w:kern w:val="0"/>
                <w:sz w:val="20"/>
                <w:szCs w:val="20"/>
                <w:lang w:eastAsia="en-AU"/>
                <w14:ligatures w14:val="none"/>
              </w:rPr>
              <w:t xml:space="preserve">Aust. Guide to Healthy Eating </w:t>
            </w:r>
          </w:p>
        </w:tc>
        <w:tc>
          <w:tcPr>
            <w:tcW w:w="997" w:type="dxa"/>
            <w:tcBorders>
              <w:left w:val="nil"/>
              <w:right w:val="nil"/>
            </w:tcBorders>
            <w:shd w:val="clear" w:color="auto" w:fill="156082" w:themeFill="accent1"/>
            <w:textDirection w:val="btLr"/>
            <w:vAlign w:val="center"/>
          </w:tcPr>
          <w:p w14:paraId="777689F5" w14:textId="77777777" w:rsidR="00E738A7" w:rsidRPr="00D633FF" w:rsidRDefault="00E738A7">
            <w:pPr>
              <w:spacing w:after="0" w:line="240" w:lineRule="auto"/>
              <w:ind w:left="113" w:right="113"/>
              <w:rPr>
                <w:rFonts w:ascii="Calibri" w:eastAsia="Times New Roman" w:hAnsi="Calibri" w:cs="Calibri"/>
                <w:b/>
                <w:bCs/>
                <w:color w:val="FFFFFF" w:themeColor="background1"/>
                <w:kern w:val="0"/>
                <w:sz w:val="20"/>
                <w:szCs w:val="20"/>
                <w:lang w:eastAsia="en-AU"/>
                <w14:ligatures w14:val="none"/>
              </w:rPr>
            </w:pPr>
            <w:r w:rsidRPr="00D633FF">
              <w:rPr>
                <w:rFonts w:ascii="Calibri" w:eastAsia="Times New Roman" w:hAnsi="Calibri" w:cs="Calibri"/>
                <w:b/>
                <w:bCs/>
                <w:color w:val="FFFFFF" w:themeColor="background1"/>
                <w:kern w:val="0"/>
                <w:sz w:val="20"/>
                <w:szCs w:val="20"/>
                <w:lang w:eastAsia="en-AU"/>
                <w14:ligatures w14:val="none"/>
              </w:rPr>
              <w:t>Foundation diets - overall</w:t>
            </w:r>
          </w:p>
        </w:tc>
        <w:tc>
          <w:tcPr>
            <w:tcW w:w="997" w:type="dxa"/>
            <w:tcBorders>
              <w:left w:val="nil"/>
              <w:right w:val="nil"/>
            </w:tcBorders>
            <w:shd w:val="clear" w:color="auto" w:fill="156082" w:themeFill="accent1"/>
            <w:textDirection w:val="btLr"/>
            <w:vAlign w:val="center"/>
          </w:tcPr>
          <w:p w14:paraId="19978546" w14:textId="77777777" w:rsidR="00E738A7" w:rsidRPr="00D633FF" w:rsidRDefault="00E738A7">
            <w:pPr>
              <w:spacing w:after="0" w:line="240" w:lineRule="auto"/>
              <w:ind w:left="113" w:right="113"/>
              <w:rPr>
                <w:rFonts w:ascii="Calibri" w:eastAsia="Times New Roman" w:hAnsi="Calibri" w:cs="Calibri"/>
                <w:b/>
                <w:bCs/>
                <w:color w:val="FFFFFF" w:themeColor="background1"/>
                <w:kern w:val="0"/>
                <w:sz w:val="20"/>
                <w:szCs w:val="20"/>
                <w:lang w:eastAsia="en-AU"/>
                <w14:ligatures w14:val="none"/>
              </w:rPr>
            </w:pPr>
            <w:r w:rsidRPr="00D633FF">
              <w:rPr>
                <w:rFonts w:ascii="Calibri" w:eastAsia="Times New Roman" w:hAnsi="Calibri" w:cs="Calibri"/>
                <w:b/>
                <w:bCs/>
                <w:color w:val="FFFFFF" w:themeColor="background1"/>
                <w:kern w:val="0"/>
                <w:sz w:val="20"/>
                <w:szCs w:val="20"/>
                <w:lang w:eastAsia="en-AU"/>
                <w14:ligatures w14:val="none"/>
              </w:rPr>
              <w:t>Omnivore</w:t>
            </w:r>
          </w:p>
        </w:tc>
        <w:tc>
          <w:tcPr>
            <w:tcW w:w="997" w:type="dxa"/>
            <w:tcBorders>
              <w:left w:val="nil"/>
              <w:right w:val="nil"/>
            </w:tcBorders>
            <w:shd w:val="clear" w:color="auto" w:fill="156082" w:themeFill="accent1"/>
            <w:textDirection w:val="btLr"/>
            <w:vAlign w:val="center"/>
          </w:tcPr>
          <w:p w14:paraId="64E09F46" w14:textId="77777777" w:rsidR="00E738A7" w:rsidRPr="00D633FF" w:rsidRDefault="00E738A7">
            <w:pPr>
              <w:spacing w:after="0" w:line="240" w:lineRule="auto"/>
              <w:ind w:left="113" w:right="113"/>
              <w:rPr>
                <w:rFonts w:ascii="Calibri" w:eastAsia="Times New Roman" w:hAnsi="Calibri" w:cs="Calibri"/>
                <w:b/>
                <w:bCs/>
                <w:color w:val="FFFFFF" w:themeColor="background1"/>
                <w:kern w:val="0"/>
                <w:sz w:val="20"/>
                <w:szCs w:val="20"/>
                <w:lang w:eastAsia="en-AU"/>
                <w14:ligatures w14:val="none"/>
              </w:rPr>
            </w:pPr>
            <w:r w:rsidRPr="00D633FF">
              <w:rPr>
                <w:rFonts w:ascii="Calibri" w:eastAsia="Times New Roman" w:hAnsi="Calibri" w:cs="Calibri"/>
                <w:b/>
                <w:bCs/>
                <w:color w:val="FFFFFF" w:themeColor="background1"/>
                <w:kern w:val="0"/>
                <w:sz w:val="20"/>
                <w:szCs w:val="20"/>
                <w:lang w:eastAsia="en-AU"/>
                <w14:ligatures w14:val="none"/>
              </w:rPr>
              <w:t>Rice-based</w:t>
            </w:r>
          </w:p>
        </w:tc>
        <w:tc>
          <w:tcPr>
            <w:tcW w:w="997" w:type="dxa"/>
            <w:tcBorders>
              <w:left w:val="nil"/>
              <w:right w:val="nil"/>
            </w:tcBorders>
            <w:shd w:val="clear" w:color="auto" w:fill="156082" w:themeFill="accent1"/>
            <w:textDirection w:val="btLr"/>
            <w:vAlign w:val="center"/>
          </w:tcPr>
          <w:p w14:paraId="184B4043" w14:textId="77777777" w:rsidR="00E738A7" w:rsidRPr="00D633FF" w:rsidRDefault="00E738A7">
            <w:pPr>
              <w:spacing w:after="0" w:line="240" w:lineRule="auto"/>
              <w:ind w:left="113" w:right="113"/>
              <w:rPr>
                <w:rFonts w:ascii="Calibri" w:eastAsia="Times New Roman" w:hAnsi="Calibri" w:cs="Calibri"/>
                <w:b/>
                <w:bCs/>
                <w:color w:val="FFFFFF" w:themeColor="background1"/>
                <w:kern w:val="0"/>
                <w:sz w:val="20"/>
                <w:szCs w:val="20"/>
                <w:lang w:eastAsia="en-AU"/>
                <w14:ligatures w14:val="none"/>
              </w:rPr>
            </w:pPr>
            <w:r w:rsidRPr="00D633FF">
              <w:rPr>
                <w:rFonts w:ascii="Calibri" w:eastAsia="Times New Roman" w:hAnsi="Calibri" w:cs="Calibri"/>
                <w:b/>
                <w:bCs/>
                <w:color w:val="FFFFFF" w:themeColor="background1"/>
                <w:kern w:val="0"/>
                <w:sz w:val="20"/>
                <w:szCs w:val="20"/>
                <w:lang w:eastAsia="en-AU"/>
                <w14:ligatures w14:val="none"/>
              </w:rPr>
              <w:t>Pasta-based</w:t>
            </w:r>
          </w:p>
        </w:tc>
        <w:tc>
          <w:tcPr>
            <w:tcW w:w="1000" w:type="dxa"/>
            <w:tcBorders>
              <w:left w:val="nil"/>
            </w:tcBorders>
            <w:shd w:val="clear" w:color="auto" w:fill="156082" w:themeFill="accent1"/>
            <w:textDirection w:val="btLr"/>
            <w:vAlign w:val="center"/>
          </w:tcPr>
          <w:p w14:paraId="19ECF92C" w14:textId="77777777" w:rsidR="00E738A7" w:rsidRPr="00D633FF" w:rsidRDefault="00E738A7">
            <w:pPr>
              <w:spacing w:after="0" w:line="240" w:lineRule="auto"/>
              <w:ind w:left="113" w:right="113"/>
              <w:rPr>
                <w:rFonts w:ascii="Calibri" w:eastAsia="Times New Roman" w:hAnsi="Calibri" w:cs="Calibri"/>
                <w:b/>
                <w:bCs/>
                <w:color w:val="FFFFFF" w:themeColor="background1"/>
                <w:kern w:val="0"/>
                <w:sz w:val="20"/>
                <w:szCs w:val="20"/>
                <w:lang w:eastAsia="en-AU"/>
                <w14:ligatures w14:val="none"/>
              </w:rPr>
            </w:pPr>
            <w:r w:rsidRPr="00D633FF">
              <w:rPr>
                <w:rFonts w:ascii="Calibri" w:eastAsia="Times New Roman" w:hAnsi="Calibri" w:cs="Calibri"/>
                <w:b/>
                <w:bCs/>
                <w:color w:val="FFFFFF" w:themeColor="background1"/>
                <w:kern w:val="0"/>
                <w:sz w:val="20"/>
                <w:szCs w:val="20"/>
                <w:lang w:eastAsia="en-AU"/>
                <w14:ligatures w14:val="none"/>
              </w:rPr>
              <w:t>Lacto-ovo-vegetarian</w:t>
            </w:r>
          </w:p>
        </w:tc>
      </w:tr>
      <w:tr w:rsidR="001B6D96" w:rsidRPr="00D633FF" w14:paraId="13B98A62" w14:textId="77777777" w:rsidTr="00F51518">
        <w:trPr>
          <w:trHeight w:val="300"/>
        </w:trPr>
        <w:tc>
          <w:tcPr>
            <w:tcW w:w="5143" w:type="dxa"/>
            <w:tcBorders>
              <w:right w:val="nil"/>
            </w:tcBorders>
            <w:noWrap/>
            <w:vAlign w:val="bottom"/>
            <w:hideMark/>
          </w:tcPr>
          <w:p w14:paraId="672C7DC0" w14:textId="77777777" w:rsidR="00E738A7" w:rsidRPr="00D633FF" w:rsidRDefault="00E738A7">
            <w:pPr>
              <w:spacing w:after="0" w:line="24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Lactating persons (age not specified)</w:t>
            </w:r>
          </w:p>
        </w:tc>
        <w:tc>
          <w:tcPr>
            <w:tcW w:w="997" w:type="dxa"/>
            <w:tcBorders>
              <w:left w:val="nil"/>
              <w:right w:val="nil"/>
            </w:tcBorders>
            <w:noWrap/>
            <w:vAlign w:val="center"/>
          </w:tcPr>
          <w:p w14:paraId="30E10C1D" w14:textId="2A1943EE" w:rsidR="00E738A7" w:rsidRPr="00D633FF" w:rsidRDefault="00015F62">
            <w:pPr>
              <w:spacing w:after="0" w:line="240" w:lineRule="auto"/>
              <w:jc w:val="center"/>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997" w:type="dxa"/>
            <w:tcBorders>
              <w:left w:val="nil"/>
              <w:right w:val="nil"/>
            </w:tcBorders>
            <w:noWrap/>
            <w:vAlign w:val="center"/>
          </w:tcPr>
          <w:p w14:paraId="449A7473" w14:textId="77777777" w:rsidR="00E738A7" w:rsidRPr="00D633FF" w:rsidRDefault="00E738A7">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997" w:type="dxa"/>
            <w:tcBorders>
              <w:left w:val="nil"/>
              <w:right w:val="nil"/>
            </w:tcBorders>
            <w:vAlign w:val="center"/>
          </w:tcPr>
          <w:p w14:paraId="7472374A" w14:textId="77777777" w:rsidR="00E738A7" w:rsidRPr="00D633FF" w:rsidRDefault="00E738A7">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997" w:type="dxa"/>
            <w:tcBorders>
              <w:left w:val="nil"/>
              <w:right w:val="nil"/>
            </w:tcBorders>
            <w:vAlign w:val="center"/>
          </w:tcPr>
          <w:p w14:paraId="5CC01814" w14:textId="77777777" w:rsidR="00E738A7" w:rsidRPr="00D633FF" w:rsidRDefault="00E738A7">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997" w:type="dxa"/>
            <w:tcBorders>
              <w:left w:val="nil"/>
              <w:right w:val="nil"/>
            </w:tcBorders>
            <w:vAlign w:val="center"/>
          </w:tcPr>
          <w:p w14:paraId="50689D64" w14:textId="77777777" w:rsidR="00E738A7" w:rsidRPr="00D633FF" w:rsidRDefault="00E738A7">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997" w:type="dxa"/>
            <w:tcBorders>
              <w:left w:val="nil"/>
              <w:right w:val="nil"/>
            </w:tcBorders>
            <w:vAlign w:val="center"/>
          </w:tcPr>
          <w:p w14:paraId="586AF545" w14:textId="77777777" w:rsidR="00E738A7" w:rsidRPr="00D633FF" w:rsidRDefault="00E738A7">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1000" w:type="dxa"/>
            <w:tcBorders>
              <w:left w:val="nil"/>
            </w:tcBorders>
            <w:vAlign w:val="center"/>
          </w:tcPr>
          <w:p w14:paraId="1A504025" w14:textId="77777777" w:rsidR="00E738A7" w:rsidRPr="00D633FF" w:rsidRDefault="00E738A7">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r>
      <w:tr w:rsidR="0092399E" w:rsidRPr="00D633FF" w14:paraId="21296412" w14:textId="77777777" w:rsidTr="00F51518">
        <w:trPr>
          <w:trHeight w:val="300"/>
        </w:trPr>
        <w:tc>
          <w:tcPr>
            <w:tcW w:w="5143" w:type="dxa"/>
            <w:tcBorders>
              <w:right w:val="nil"/>
            </w:tcBorders>
            <w:noWrap/>
            <w:vAlign w:val="bottom"/>
            <w:hideMark/>
          </w:tcPr>
          <w:p w14:paraId="4FFE9B41" w14:textId="77777777" w:rsidR="00015F62" w:rsidRPr="00D633FF" w:rsidRDefault="00015F62" w:rsidP="00015F62">
            <w:pPr>
              <w:spacing w:after="0" w:line="24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Lactating females 14 – 18 years</w:t>
            </w:r>
          </w:p>
        </w:tc>
        <w:tc>
          <w:tcPr>
            <w:tcW w:w="997" w:type="dxa"/>
            <w:tcBorders>
              <w:left w:val="nil"/>
              <w:right w:val="nil"/>
            </w:tcBorders>
            <w:noWrap/>
            <w:vAlign w:val="center"/>
          </w:tcPr>
          <w:p w14:paraId="7596FBA7" w14:textId="77777777" w:rsidR="00015F62" w:rsidRPr="00D633FF" w:rsidRDefault="00015F62" w:rsidP="00015F62">
            <w:pPr>
              <w:spacing w:after="0" w:line="240" w:lineRule="auto"/>
              <w:jc w:val="center"/>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997" w:type="dxa"/>
            <w:tcBorders>
              <w:left w:val="nil"/>
              <w:right w:val="nil"/>
            </w:tcBorders>
            <w:noWrap/>
            <w:vAlign w:val="center"/>
          </w:tcPr>
          <w:p w14:paraId="3C413D37" w14:textId="77777777"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997" w:type="dxa"/>
            <w:tcBorders>
              <w:left w:val="nil"/>
              <w:right w:val="nil"/>
            </w:tcBorders>
            <w:vAlign w:val="center"/>
          </w:tcPr>
          <w:p w14:paraId="2DD63116" w14:textId="3E868E03" w:rsidR="00015F62" w:rsidRPr="00D633FF" w:rsidRDefault="00015F62" w:rsidP="00015F62">
            <w:pPr>
              <w:spacing w:after="0" w:line="240" w:lineRule="auto"/>
              <w:jc w:val="center"/>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93</w:t>
            </w:r>
          </w:p>
        </w:tc>
        <w:tc>
          <w:tcPr>
            <w:tcW w:w="997" w:type="dxa"/>
            <w:tcBorders>
              <w:left w:val="nil"/>
              <w:right w:val="nil"/>
            </w:tcBorders>
            <w:vAlign w:val="center"/>
          </w:tcPr>
          <w:p w14:paraId="0D25E51F" w14:textId="77777777"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997" w:type="dxa"/>
            <w:tcBorders>
              <w:left w:val="nil"/>
              <w:right w:val="nil"/>
            </w:tcBorders>
            <w:vAlign w:val="center"/>
          </w:tcPr>
          <w:p w14:paraId="01D39EB9" w14:textId="77777777"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997" w:type="dxa"/>
            <w:tcBorders>
              <w:left w:val="nil"/>
              <w:right w:val="nil"/>
            </w:tcBorders>
            <w:vAlign w:val="center"/>
          </w:tcPr>
          <w:p w14:paraId="2E7CC51F" w14:textId="77777777"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1000" w:type="dxa"/>
            <w:tcBorders>
              <w:left w:val="nil"/>
            </w:tcBorders>
            <w:vAlign w:val="center"/>
          </w:tcPr>
          <w:p w14:paraId="03A30CA9" w14:textId="77777777"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r>
      <w:tr w:rsidR="0092399E" w:rsidRPr="00D633FF" w14:paraId="4786F2BE" w14:textId="77777777" w:rsidTr="00F51518">
        <w:trPr>
          <w:trHeight w:val="300"/>
        </w:trPr>
        <w:tc>
          <w:tcPr>
            <w:tcW w:w="5143" w:type="dxa"/>
            <w:tcBorders>
              <w:right w:val="nil"/>
            </w:tcBorders>
            <w:noWrap/>
            <w:vAlign w:val="bottom"/>
            <w:hideMark/>
          </w:tcPr>
          <w:p w14:paraId="4BF0D49D" w14:textId="77777777" w:rsidR="00015F62" w:rsidRPr="00D633FF" w:rsidRDefault="00015F62" w:rsidP="00015F62">
            <w:pPr>
              <w:spacing w:after="0" w:line="24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Lactating females 19 – 30 years</w:t>
            </w:r>
          </w:p>
        </w:tc>
        <w:tc>
          <w:tcPr>
            <w:tcW w:w="997" w:type="dxa"/>
            <w:tcBorders>
              <w:left w:val="nil"/>
              <w:right w:val="nil"/>
            </w:tcBorders>
            <w:noWrap/>
            <w:vAlign w:val="center"/>
          </w:tcPr>
          <w:p w14:paraId="71196F36" w14:textId="77777777" w:rsidR="00015F62" w:rsidRPr="00D633FF" w:rsidRDefault="00015F62" w:rsidP="00015F62">
            <w:pPr>
              <w:spacing w:after="0" w:line="240" w:lineRule="auto"/>
              <w:jc w:val="center"/>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997" w:type="dxa"/>
            <w:tcBorders>
              <w:left w:val="nil"/>
              <w:right w:val="nil"/>
            </w:tcBorders>
            <w:noWrap/>
            <w:vAlign w:val="center"/>
          </w:tcPr>
          <w:p w14:paraId="77CC6532" w14:textId="77777777"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997" w:type="dxa"/>
            <w:tcBorders>
              <w:left w:val="nil"/>
              <w:right w:val="nil"/>
            </w:tcBorders>
            <w:vAlign w:val="center"/>
          </w:tcPr>
          <w:p w14:paraId="775335A8" w14:textId="423A1078" w:rsidR="00015F62" w:rsidRPr="00D633FF" w:rsidRDefault="00DE361F" w:rsidP="00015F62">
            <w:pPr>
              <w:spacing w:after="0" w:line="240" w:lineRule="auto"/>
              <w:jc w:val="center"/>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90</w:t>
            </w:r>
          </w:p>
        </w:tc>
        <w:tc>
          <w:tcPr>
            <w:tcW w:w="997" w:type="dxa"/>
            <w:tcBorders>
              <w:left w:val="nil"/>
              <w:right w:val="nil"/>
            </w:tcBorders>
            <w:vAlign w:val="center"/>
          </w:tcPr>
          <w:p w14:paraId="4E3E7008" w14:textId="77777777"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997" w:type="dxa"/>
            <w:tcBorders>
              <w:left w:val="nil"/>
              <w:right w:val="nil"/>
            </w:tcBorders>
            <w:vAlign w:val="center"/>
          </w:tcPr>
          <w:p w14:paraId="4C5CC270" w14:textId="77777777"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997" w:type="dxa"/>
            <w:tcBorders>
              <w:left w:val="nil"/>
              <w:right w:val="nil"/>
            </w:tcBorders>
            <w:vAlign w:val="center"/>
          </w:tcPr>
          <w:p w14:paraId="1D9C333B" w14:textId="77777777"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1000" w:type="dxa"/>
            <w:tcBorders>
              <w:left w:val="nil"/>
            </w:tcBorders>
            <w:vAlign w:val="center"/>
          </w:tcPr>
          <w:p w14:paraId="0C663188" w14:textId="77777777"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r>
      <w:tr w:rsidR="0092399E" w:rsidRPr="00D633FF" w14:paraId="6DE3C9F9" w14:textId="77777777" w:rsidTr="00F51518">
        <w:trPr>
          <w:trHeight w:val="300"/>
        </w:trPr>
        <w:tc>
          <w:tcPr>
            <w:tcW w:w="5143" w:type="dxa"/>
            <w:tcBorders>
              <w:right w:val="nil"/>
            </w:tcBorders>
            <w:noWrap/>
            <w:vAlign w:val="bottom"/>
          </w:tcPr>
          <w:p w14:paraId="1F1B2FAD" w14:textId="77777777" w:rsidR="00015F62" w:rsidRPr="00D633FF" w:rsidRDefault="00015F62" w:rsidP="00015F62">
            <w:pPr>
              <w:spacing w:after="0" w:line="24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Lactating females 31 – 50 years</w:t>
            </w:r>
          </w:p>
        </w:tc>
        <w:tc>
          <w:tcPr>
            <w:tcW w:w="997" w:type="dxa"/>
            <w:tcBorders>
              <w:left w:val="nil"/>
              <w:right w:val="nil"/>
            </w:tcBorders>
            <w:noWrap/>
            <w:vAlign w:val="center"/>
          </w:tcPr>
          <w:p w14:paraId="7100D2B7" w14:textId="77777777" w:rsidR="00015F62" w:rsidRPr="00D633FF" w:rsidRDefault="00015F62" w:rsidP="00015F62">
            <w:pPr>
              <w:spacing w:after="0" w:line="240" w:lineRule="auto"/>
              <w:jc w:val="center"/>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997" w:type="dxa"/>
            <w:tcBorders>
              <w:left w:val="nil"/>
              <w:right w:val="nil"/>
            </w:tcBorders>
            <w:noWrap/>
            <w:vAlign w:val="center"/>
          </w:tcPr>
          <w:p w14:paraId="47A0B2A3" w14:textId="77777777"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997" w:type="dxa"/>
            <w:tcBorders>
              <w:left w:val="nil"/>
              <w:right w:val="nil"/>
            </w:tcBorders>
            <w:vAlign w:val="center"/>
          </w:tcPr>
          <w:p w14:paraId="7AF1F04D" w14:textId="6F5A0043" w:rsidR="00015F62" w:rsidRPr="00D633FF" w:rsidRDefault="00015F62" w:rsidP="00015F62">
            <w:pPr>
              <w:spacing w:after="0" w:line="240" w:lineRule="auto"/>
              <w:jc w:val="center"/>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9</w:t>
            </w:r>
            <w:r w:rsidR="00DE361F" w:rsidRPr="00D633FF">
              <w:rPr>
                <w:rFonts w:ascii="Calibri" w:eastAsia="Times New Roman" w:hAnsi="Calibri" w:cs="Calibri"/>
                <w:color w:val="000000"/>
                <w:kern w:val="0"/>
                <w:sz w:val="20"/>
                <w:szCs w:val="20"/>
                <w:lang w:eastAsia="en-AU"/>
                <w14:ligatures w14:val="none"/>
              </w:rPr>
              <w:t>5</w:t>
            </w:r>
          </w:p>
        </w:tc>
        <w:tc>
          <w:tcPr>
            <w:tcW w:w="997" w:type="dxa"/>
            <w:tcBorders>
              <w:left w:val="nil"/>
              <w:right w:val="nil"/>
            </w:tcBorders>
            <w:vAlign w:val="center"/>
          </w:tcPr>
          <w:p w14:paraId="2E9CB90D" w14:textId="77777777"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997" w:type="dxa"/>
            <w:tcBorders>
              <w:left w:val="nil"/>
              <w:right w:val="nil"/>
            </w:tcBorders>
            <w:vAlign w:val="center"/>
          </w:tcPr>
          <w:p w14:paraId="4D7403F5" w14:textId="77777777"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997" w:type="dxa"/>
            <w:tcBorders>
              <w:left w:val="nil"/>
              <w:right w:val="nil"/>
            </w:tcBorders>
            <w:vAlign w:val="center"/>
          </w:tcPr>
          <w:p w14:paraId="76C8BED8" w14:textId="77777777"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c>
          <w:tcPr>
            <w:tcW w:w="1000" w:type="dxa"/>
            <w:tcBorders>
              <w:left w:val="nil"/>
            </w:tcBorders>
            <w:vAlign w:val="center"/>
          </w:tcPr>
          <w:p w14:paraId="0E4E5371" w14:textId="77777777" w:rsidR="00015F62" w:rsidRPr="00D633FF" w:rsidRDefault="00015F62" w:rsidP="00015F62">
            <w:pPr>
              <w:spacing w:after="0" w:line="240" w:lineRule="auto"/>
              <w:jc w:val="center"/>
              <w:rPr>
                <w:rFonts w:ascii="Calibri" w:eastAsia="Times New Roman" w:hAnsi="Calibri" w:cs="Calibri"/>
                <w:kern w:val="0"/>
                <w:sz w:val="20"/>
                <w:szCs w:val="20"/>
                <w:lang w:eastAsia="en-AU"/>
                <w14:ligatures w14:val="none"/>
              </w:rPr>
            </w:pPr>
            <w:r w:rsidRPr="00D633FF">
              <w:rPr>
                <w:rFonts w:ascii="Calibri" w:eastAsia="Times New Roman" w:hAnsi="Calibri" w:cs="Calibri"/>
                <w:kern w:val="0"/>
                <w:sz w:val="20"/>
                <w:szCs w:val="20"/>
                <w:lang w:eastAsia="en-AU"/>
                <w14:ligatures w14:val="none"/>
              </w:rPr>
              <w:t>-</w:t>
            </w:r>
          </w:p>
        </w:tc>
      </w:tr>
    </w:tbl>
    <w:p w14:paraId="24F8E517" w14:textId="3298590A" w:rsidR="004D173B" w:rsidRPr="00D633FF" w:rsidRDefault="00FE7B2F" w:rsidP="00FE7B2F">
      <w:pPr>
        <w:pStyle w:val="Heading3"/>
        <w:spacing w:before="0"/>
        <w:rPr>
          <w:rFonts w:ascii="Calibri" w:hAnsi="Calibri" w:cs="Calibri"/>
        </w:rPr>
        <w:sectPr w:rsidR="004D173B" w:rsidRPr="00D633FF" w:rsidSect="00E752E0">
          <w:footnotePr>
            <w:pos w:val="beneathText"/>
          </w:footnotePr>
          <w:pgSz w:w="16838" w:h="11906" w:orient="landscape"/>
          <w:pgMar w:top="993" w:right="1440" w:bottom="1440" w:left="1440" w:header="708" w:footer="708" w:gutter="0"/>
          <w:cols w:space="708"/>
          <w:docGrid w:linePitch="360"/>
        </w:sectPr>
      </w:pPr>
      <w:r w:rsidRPr="00B34BE7">
        <w:rPr>
          <w:rFonts w:ascii="Calibri" w:eastAsia="Arial" w:hAnsi="Calibri" w:cs="Calibri"/>
          <w:b/>
          <w:bCs/>
          <w:sz w:val="16"/>
          <w:szCs w:val="16"/>
        </w:rPr>
        <w:t>Source:</w:t>
      </w:r>
      <w:r w:rsidRPr="00D633FF">
        <w:rPr>
          <w:rFonts w:ascii="Calibri" w:eastAsia="Arial" w:hAnsi="Calibri" w:cs="Calibri"/>
          <w:sz w:val="16"/>
          <w:szCs w:val="16"/>
        </w:rPr>
        <w:t xml:space="preserve"> </w:t>
      </w:r>
      <w:hyperlink r:id="rId21" w:history="1">
        <w:r>
          <w:rPr>
            <w:rFonts w:ascii="Calibri" w:eastAsia="Arial" w:hAnsi="Calibri" w:cs="Calibri"/>
            <w:color w:val="0062B1"/>
            <w:sz w:val="16"/>
            <w:szCs w:val="16"/>
            <w:u w:val="single"/>
          </w:rPr>
          <w:t>A modelling system to inform the revision of the Australian Guide to Healthy Eating</w:t>
        </w:r>
      </w:hyperlink>
      <w:r w:rsidRPr="00BE2904">
        <w:rPr>
          <w:sz w:val="16"/>
          <w:szCs w:val="16"/>
        </w:rPr>
        <w:t xml:space="preserve"> (</w:t>
      </w:r>
      <w:proofErr w:type="spellStart"/>
      <w:r w:rsidRPr="00BE2904">
        <w:rPr>
          <w:sz w:val="16"/>
          <w:szCs w:val="16"/>
        </w:rPr>
        <w:t>Baghurst</w:t>
      </w:r>
      <w:proofErr w:type="spellEnd"/>
      <w:r w:rsidRPr="00BE2904">
        <w:rPr>
          <w:sz w:val="16"/>
          <w:szCs w:val="16"/>
        </w:rPr>
        <w:t xml:space="preserve"> et al. 2011)</w:t>
      </w:r>
    </w:p>
    <w:p w14:paraId="060FBA50" w14:textId="77777777" w:rsidR="000858D8" w:rsidRPr="00D633FF" w:rsidRDefault="000858D8" w:rsidP="000858D8">
      <w:pPr>
        <w:pStyle w:val="Heading3"/>
        <w:spacing w:before="360"/>
        <w:rPr>
          <w:rFonts w:ascii="Calibri" w:hAnsi="Calibri" w:cs="Calibri"/>
        </w:rPr>
      </w:pPr>
      <w:bookmarkStart w:id="79" w:name="_Toc207106867"/>
      <w:bookmarkStart w:id="80" w:name="_Toc218527986"/>
      <w:r w:rsidRPr="00D633FF">
        <w:rPr>
          <w:rFonts w:ascii="Calibri" w:hAnsi="Calibri" w:cs="Calibri"/>
        </w:rPr>
        <w:lastRenderedPageBreak/>
        <w:t>Children and adolescents</w:t>
      </w:r>
      <w:bookmarkEnd w:id="79"/>
      <w:bookmarkEnd w:id="80"/>
    </w:p>
    <w:p w14:paraId="55BA1DAC" w14:textId="2B16A540" w:rsidR="00310BE4" w:rsidRPr="00D633FF" w:rsidRDefault="00310BE4" w:rsidP="0078061C">
      <w:pPr>
        <w:spacing w:line="360" w:lineRule="auto"/>
        <w:ind w:right="204"/>
        <w:rPr>
          <w:rFonts w:ascii="Calibri" w:eastAsia="Times New Roman" w:hAnsi="Calibri" w:cs="Calibri"/>
          <w:iCs/>
        </w:rPr>
      </w:pPr>
      <w:r w:rsidRPr="00D633FF">
        <w:rPr>
          <w:rFonts w:ascii="Calibri" w:eastAsia="Times New Roman" w:hAnsi="Calibri" w:cs="Calibri"/>
          <w:iCs/>
        </w:rPr>
        <w:t xml:space="preserve">Modelled selenium intake data demonstrate that average intakes across infant, child and adolescent populations meet nutritional requirements while remaining well below current and proposed UL values. As shown in </w:t>
      </w:r>
      <w:r w:rsidRPr="00D633FF">
        <w:rPr>
          <w:rFonts w:ascii="Calibri" w:eastAsia="Times New Roman" w:hAnsi="Calibri" w:cs="Calibri"/>
          <w:iCs/>
        </w:rPr>
        <w:fldChar w:fldCharType="begin" w:fldLock="1"/>
      </w:r>
      <w:r w:rsidRPr="00D633FF">
        <w:rPr>
          <w:rFonts w:ascii="Calibri" w:eastAsia="Times New Roman" w:hAnsi="Calibri" w:cs="Calibri"/>
          <w:iCs/>
        </w:rPr>
        <w:instrText xml:space="preserve"> REF _Ref205218990 \h  \* MERGEFORMAT </w:instrText>
      </w:r>
      <w:r w:rsidRPr="00D633FF">
        <w:rPr>
          <w:rFonts w:ascii="Calibri" w:eastAsia="Times New Roman" w:hAnsi="Calibri" w:cs="Calibri"/>
          <w:iCs/>
        </w:rPr>
      </w:r>
      <w:r w:rsidRPr="00D633FF">
        <w:rPr>
          <w:rFonts w:ascii="Calibri" w:eastAsia="Times New Roman" w:hAnsi="Calibri" w:cs="Calibri"/>
          <w:iCs/>
        </w:rPr>
        <w:fldChar w:fldCharType="separate"/>
      </w:r>
      <w:r w:rsidRPr="00D633FF">
        <w:rPr>
          <w:rFonts w:ascii="Calibri" w:hAnsi="Calibri" w:cs="Calibri"/>
        </w:rPr>
        <w:t xml:space="preserve">Tables </w:t>
      </w:r>
      <w:r w:rsidR="00EC49B7" w:rsidRPr="00D633FF">
        <w:rPr>
          <w:rFonts w:ascii="Calibri" w:hAnsi="Calibri" w:cs="Calibri"/>
        </w:rPr>
        <w:t>16</w:t>
      </w:r>
      <w:r w:rsidRPr="00D633FF">
        <w:rPr>
          <w:rFonts w:ascii="Calibri" w:eastAsia="Times New Roman" w:hAnsi="Calibri" w:cs="Calibri"/>
          <w:iCs/>
        </w:rPr>
        <w:fldChar w:fldCharType="end"/>
      </w:r>
      <w:r w:rsidRPr="00D633FF">
        <w:rPr>
          <w:rFonts w:ascii="Calibri" w:eastAsia="Times New Roman" w:hAnsi="Calibri" w:cs="Calibri"/>
          <w:iCs/>
        </w:rPr>
        <w:t xml:space="preserve">, most modelled values </w:t>
      </w:r>
      <w:r w:rsidR="00DC48FC" w:rsidRPr="00D633FF">
        <w:rPr>
          <w:rFonts w:ascii="Calibri" w:eastAsia="Times New Roman" w:hAnsi="Calibri" w:cs="Calibri"/>
          <w:iCs/>
        </w:rPr>
        <w:t xml:space="preserve">– based on Foundation Diet modelling </w:t>
      </w:r>
      <w:r w:rsidR="00A66024">
        <w:rPr>
          <w:rFonts w:ascii="Calibri" w:eastAsia="Times New Roman" w:hAnsi="Calibri" w:cs="Calibri"/>
          <w:iCs/>
        </w:rPr>
        <w:t>–</w:t>
      </w:r>
      <w:r w:rsidR="00DC48FC" w:rsidRPr="00D633FF">
        <w:rPr>
          <w:rFonts w:ascii="Calibri" w:eastAsia="Times New Roman" w:hAnsi="Calibri" w:cs="Calibri"/>
          <w:iCs/>
        </w:rPr>
        <w:t xml:space="preserve"> </w:t>
      </w:r>
      <w:r w:rsidRPr="00D633FF">
        <w:rPr>
          <w:rFonts w:ascii="Calibri" w:eastAsia="Times New Roman" w:hAnsi="Calibri" w:cs="Calibri"/>
          <w:iCs/>
        </w:rPr>
        <w:t>are at or below half of the lowest proposed UL (</w:t>
      </w:r>
      <w:r w:rsidR="009D32ED" w:rsidRPr="00D633FF">
        <w:rPr>
          <w:rFonts w:ascii="Calibri" w:eastAsia="Times New Roman" w:hAnsi="Calibri" w:cs="Calibri"/>
          <w:iCs/>
        </w:rPr>
        <w:t>adapted EFSA UL</w:t>
      </w:r>
      <w:r w:rsidRPr="00D633FF">
        <w:rPr>
          <w:rFonts w:ascii="Calibri" w:eastAsia="Times New Roman" w:hAnsi="Calibri" w:cs="Calibri"/>
          <w:iCs/>
        </w:rPr>
        <w:t>). Despite potential underestimation due to selenium being modelled as an output rather than an input, and incomplete food composition data, the modelled intake patterns are consistent with empirical health data from both Australia and New Zealand (</w:t>
      </w:r>
      <w:r w:rsidRPr="00D633FF">
        <w:rPr>
          <w:rFonts w:ascii="Calibri" w:eastAsia="Times New Roman" w:hAnsi="Calibri" w:cs="Calibri"/>
          <w:iCs/>
          <w:szCs w:val="20"/>
        </w:rPr>
        <w:fldChar w:fldCharType="begin" w:fldLock="1"/>
      </w:r>
      <w:r w:rsidRPr="00D633FF">
        <w:rPr>
          <w:rFonts w:ascii="Calibri" w:eastAsia="Times New Roman" w:hAnsi="Calibri" w:cs="Calibri"/>
          <w:iCs/>
          <w:szCs w:val="20"/>
        </w:rPr>
        <w:instrText xml:space="preserve"> REF _Ref204265663 \h  \* MERGEFORMAT </w:instrText>
      </w:r>
      <w:r w:rsidRPr="00D633FF">
        <w:rPr>
          <w:rFonts w:ascii="Calibri" w:eastAsia="Times New Roman" w:hAnsi="Calibri" w:cs="Calibri"/>
          <w:iCs/>
          <w:szCs w:val="20"/>
        </w:rPr>
      </w:r>
      <w:r w:rsidRPr="00D633FF">
        <w:rPr>
          <w:rFonts w:ascii="Calibri" w:eastAsia="Times New Roman" w:hAnsi="Calibri" w:cs="Calibri"/>
          <w:iCs/>
          <w:szCs w:val="20"/>
        </w:rPr>
        <w:fldChar w:fldCharType="separate"/>
      </w:r>
      <w:r w:rsidRPr="00D633FF">
        <w:rPr>
          <w:rFonts w:ascii="Calibri" w:hAnsi="Calibri" w:cs="Calibri"/>
          <w:szCs w:val="20"/>
        </w:rPr>
        <w:t xml:space="preserve">Tables </w:t>
      </w:r>
      <w:r w:rsidR="00D6021E">
        <w:rPr>
          <w:rFonts w:ascii="Calibri" w:hAnsi="Calibri" w:cs="Calibri"/>
          <w:noProof/>
          <w:szCs w:val="20"/>
        </w:rPr>
        <w:t>4</w:t>
      </w:r>
      <w:r w:rsidRPr="00D633FF">
        <w:rPr>
          <w:rFonts w:ascii="Calibri" w:eastAsia="Times New Roman" w:hAnsi="Calibri" w:cs="Calibri"/>
          <w:iCs/>
          <w:szCs w:val="20"/>
        </w:rPr>
        <w:fldChar w:fldCharType="end"/>
      </w:r>
      <w:r w:rsidRPr="00D633FF">
        <w:rPr>
          <w:rFonts w:ascii="Calibri" w:eastAsia="Times New Roman" w:hAnsi="Calibri" w:cs="Calibri"/>
          <w:iCs/>
          <w:szCs w:val="20"/>
        </w:rPr>
        <w:t xml:space="preserve"> &amp; </w:t>
      </w:r>
      <w:r w:rsidR="00D6021E">
        <w:rPr>
          <w:rFonts w:ascii="Calibri" w:eastAsia="Times New Roman" w:hAnsi="Calibri" w:cs="Calibri"/>
          <w:iCs/>
          <w:szCs w:val="20"/>
        </w:rPr>
        <w:t>5</w:t>
      </w:r>
      <w:r w:rsidRPr="00D633FF">
        <w:rPr>
          <w:rFonts w:ascii="Calibri" w:eastAsia="Times New Roman" w:hAnsi="Calibri" w:cs="Calibri"/>
          <w:iCs/>
        </w:rPr>
        <w:t>). These findings support the feasibility of implementing a lower UL for children and adolescents without requiring changes to current dietary patterns.</w:t>
      </w:r>
    </w:p>
    <w:p w14:paraId="2884B8BE" w14:textId="77777777" w:rsidR="00864505" w:rsidRPr="00D633FF" w:rsidRDefault="00864505" w:rsidP="004D173B">
      <w:pPr>
        <w:pStyle w:val="Caption"/>
        <w:rPr>
          <w:rFonts w:ascii="Calibri" w:hAnsi="Calibri" w:cs="Calibri"/>
          <w:b/>
          <w:bCs/>
          <w:sz w:val="20"/>
          <w:szCs w:val="20"/>
        </w:rPr>
        <w:sectPr w:rsidR="00864505" w:rsidRPr="00D633FF" w:rsidSect="00E752E0">
          <w:footnotePr>
            <w:pos w:val="beneathText"/>
          </w:footnotePr>
          <w:pgSz w:w="16838" w:h="11906" w:orient="landscape"/>
          <w:pgMar w:top="993" w:right="1440" w:bottom="1440" w:left="1440" w:header="708" w:footer="708" w:gutter="0"/>
          <w:cols w:space="708"/>
          <w:docGrid w:linePitch="360"/>
        </w:sectPr>
      </w:pPr>
      <w:bookmarkStart w:id="81" w:name="_Ref205283666"/>
    </w:p>
    <w:p w14:paraId="2FBD989A" w14:textId="48BCFFE8" w:rsidR="001247A2" w:rsidRPr="00B549E3" w:rsidRDefault="00D208F9" w:rsidP="00B07CC4">
      <w:pPr>
        <w:pStyle w:val="Caption"/>
        <w:spacing w:after="120"/>
        <w:rPr>
          <w:rFonts w:ascii="Calibri" w:hAnsi="Calibri" w:cs="Calibri"/>
          <w:sz w:val="20"/>
          <w:szCs w:val="20"/>
        </w:rPr>
      </w:pPr>
      <w:r w:rsidRPr="00D633FF">
        <w:rPr>
          <w:rFonts w:ascii="Calibri" w:hAnsi="Calibri" w:cs="Calibri"/>
          <w:b/>
          <w:bCs/>
          <w:sz w:val="20"/>
          <w:szCs w:val="20"/>
        </w:rPr>
        <w:lastRenderedPageBreak/>
        <w:t xml:space="preserve">Table </w:t>
      </w:r>
      <w:r w:rsidRPr="00D633FF">
        <w:rPr>
          <w:rFonts w:ascii="Calibri" w:hAnsi="Calibri" w:cs="Calibri"/>
          <w:b/>
          <w:bCs/>
          <w:sz w:val="20"/>
          <w:szCs w:val="20"/>
        </w:rPr>
        <w:fldChar w:fldCharType="begin"/>
      </w:r>
      <w:r w:rsidRPr="00D633FF">
        <w:rPr>
          <w:rFonts w:ascii="Calibri" w:hAnsi="Calibri" w:cs="Calibri"/>
          <w:b/>
          <w:bCs/>
        </w:rPr>
        <w:instrText xml:space="preserve"> SEQ Table \* ARABIC </w:instrText>
      </w:r>
      <w:r w:rsidRPr="00D633FF">
        <w:rPr>
          <w:rFonts w:ascii="Calibri" w:hAnsi="Calibri" w:cs="Calibri"/>
          <w:b/>
          <w:bCs/>
          <w:sz w:val="20"/>
          <w:szCs w:val="20"/>
        </w:rPr>
        <w:fldChar w:fldCharType="separate"/>
      </w:r>
      <w:r w:rsidR="00CB6915">
        <w:rPr>
          <w:rFonts w:ascii="Calibri" w:hAnsi="Calibri" w:cs="Calibri"/>
          <w:b/>
          <w:bCs/>
          <w:noProof/>
        </w:rPr>
        <w:t>16</w:t>
      </w:r>
      <w:r w:rsidRPr="00D633FF">
        <w:rPr>
          <w:rFonts w:ascii="Calibri" w:hAnsi="Calibri" w:cs="Calibri"/>
          <w:b/>
          <w:bCs/>
          <w:sz w:val="20"/>
          <w:szCs w:val="20"/>
        </w:rPr>
        <w:fldChar w:fldCharType="end"/>
      </w:r>
      <w:bookmarkEnd w:id="81"/>
      <w:r w:rsidR="00B549E3">
        <w:rPr>
          <w:rFonts w:ascii="Calibri" w:hAnsi="Calibri" w:cs="Calibri"/>
          <w:b/>
          <w:bCs/>
          <w:sz w:val="20"/>
          <w:szCs w:val="20"/>
        </w:rPr>
        <w:t>.</w:t>
      </w:r>
      <w:r w:rsidR="001247A2" w:rsidRPr="00D633FF">
        <w:rPr>
          <w:rFonts w:ascii="Calibri" w:hAnsi="Calibri" w:cs="Calibri"/>
          <w:b/>
          <w:bCs/>
          <w:sz w:val="20"/>
          <w:szCs w:val="20"/>
        </w:rPr>
        <w:t xml:space="preserve"> Estimated selenium intake in children and adolescents from food modelling </w:t>
      </w:r>
      <w:r w:rsidR="002D7507" w:rsidRPr="002558AE">
        <w:rPr>
          <w:rFonts w:ascii="Calibri" w:eastAsia="Times New Roman" w:hAnsi="Calibri" w:cs="Calibri"/>
          <w:b/>
          <w:bCs/>
          <w:color w:val="auto"/>
          <w:kern w:val="0"/>
          <w:sz w:val="20"/>
          <w:szCs w:val="20"/>
          <w:lang w:eastAsia="en-AU"/>
          <w14:ligatures w14:val="none"/>
        </w:rPr>
        <w:t>(µg/day)</w:t>
      </w:r>
      <w:r w:rsidR="002D7507" w:rsidRPr="00D633FF">
        <w:rPr>
          <w:rFonts w:ascii="Calibri" w:hAnsi="Calibri" w:cs="Calibri"/>
          <w:b/>
          <w:bCs/>
          <w:sz w:val="20"/>
          <w:szCs w:val="20"/>
        </w:rPr>
        <w:t xml:space="preserve"> </w:t>
      </w:r>
      <w:r w:rsidR="001247A2" w:rsidRPr="00B549E3">
        <w:rPr>
          <w:rFonts w:ascii="Calibri" w:hAnsi="Calibri" w:cs="Calibri"/>
          <w:sz w:val="20"/>
          <w:szCs w:val="20"/>
        </w:rPr>
        <w:t>(</w:t>
      </w:r>
      <w:r w:rsidR="005B68F9" w:rsidRPr="00B549E3">
        <w:rPr>
          <w:rFonts w:ascii="Calibri" w:hAnsi="Calibri" w:cs="Calibri"/>
          <w:sz w:val="20"/>
          <w:szCs w:val="20"/>
        </w:rPr>
        <w:t xml:space="preserve">Source: </w:t>
      </w:r>
      <w:r w:rsidR="005B68F9" w:rsidRPr="00B549E3">
        <w:rPr>
          <w:rFonts w:ascii="Calibri" w:hAnsi="Calibri" w:cs="Calibri"/>
          <w:noProof/>
          <w:sz w:val="20"/>
          <w:szCs w:val="20"/>
        </w:rPr>
        <w:t>Baghurst et al. 2011</w:t>
      </w:r>
      <w:r w:rsidR="001247A2" w:rsidRPr="00B549E3">
        <w:rPr>
          <w:rFonts w:ascii="Calibri" w:hAnsi="Calibri" w:cs="Calibri"/>
          <w:sz w:val="20"/>
          <w:szCs w:val="20"/>
        </w:rPr>
        <w:t>)</w:t>
      </w:r>
    </w:p>
    <w:tbl>
      <w:tblPr>
        <w:tblW w:w="1148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4"/>
        <w:gridCol w:w="1194"/>
        <w:gridCol w:w="1195"/>
        <w:gridCol w:w="1195"/>
        <w:gridCol w:w="1194"/>
        <w:gridCol w:w="1195"/>
        <w:gridCol w:w="1195"/>
        <w:gridCol w:w="1195"/>
      </w:tblGrid>
      <w:tr w:rsidR="00FA5EE5" w:rsidRPr="00D633FF" w14:paraId="07A5B7BA" w14:textId="77777777" w:rsidTr="002D7507">
        <w:trPr>
          <w:cantSplit/>
          <w:trHeight w:val="1725"/>
        </w:trPr>
        <w:tc>
          <w:tcPr>
            <w:tcW w:w="3124" w:type="dxa"/>
            <w:tcBorders>
              <w:top w:val="single" w:sz="4" w:space="0" w:color="auto"/>
              <w:right w:val="nil"/>
            </w:tcBorders>
            <w:shd w:val="clear" w:color="auto" w:fill="156082" w:themeFill="accent1"/>
            <w:vAlign w:val="bottom"/>
            <w:hideMark/>
          </w:tcPr>
          <w:p w14:paraId="08AF385D" w14:textId="77777777" w:rsidR="001247A2" w:rsidRPr="00D633FF" w:rsidRDefault="001247A2">
            <w:pPr>
              <w:spacing w:after="0" w:line="240" w:lineRule="auto"/>
              <w:rPr>
                <w:rFonts w:ascii="Calibri" w:eastAsia="Times New Roman" w:hAnsi="Calibri" w:cs="Calibri"/>
                <w:b/>
                <w:bCs/>
                <w:color w:val="FFFFFF" w:themeColor="background1"/>
                <w:kern w:val="0"/>
                <w:sz w:val="20"/>
                <w:szCs w:val="20"/>
                <w:lang w:eastAsia="en-AU"/>
                <w14:ligatures w14:val="none"/>
              </w:rPr>
            </w:pPr>
            <w:r w:rsidRPr="00D633FF">
              <w:rPr>
                <w:rFonts w:ascii="Calibri" w:eastAsia="Times New Roman" w:hAnsi="Calibri" w:cs="Calibri"/>
                <w:b/>
                <w:bCs/>
                <w:color w:val="FFFFFF" w:themeColor="background1"/>
                <w:kern w:val="0"/>
                <w:sz w:val="20"/>
                <w:szCs w:val="20"/>
                <w:lang w:eastAsia="en-AU"/>
                <w14:ligatures w14:val="none"/>
              </w:rPr>
              <w:t>Population</w:t>
            </w:r>
          </w:p>
        </w:tc>
        <w:tc>
          <w:tcPr>
            <w:tcW w:w="1194" w:type="dxa"/>
            <w:tcBorders>
              <w:top w:val="single" w:sz="4" w:space="0" w:color="auto"/>
              <w:left w:val="nil"/>
              <w:right w:val="nil"/>
            </w:tcBorders>
            <w:shd w:val="clear" w:color="auto" w:fill="156082" w:themeFill="accent1"/>
            <w:textDirection w:val="btLr"/>
            <w:vAlign w:val="center"/>
            <w:hideMark/>
          </w:tcPr>
          <w:p w14:paraId="4511FD95" w14:textId="77777777" w:rsidR="001247A2" w:rsidRPr="00D633FF" w:rsidRDefault="001247A2">
            <w:pPr>
              <w:spacing w:after="0" w:line="240" w:lineRule="auto"/>
              <w:ind w:left="113" w:right="113"/>
              <w:rPr>
                <w:rFonts w:ascii="Calibri" w:eastAsia="Times New Roman" w:hAnsi="Calibri" w:cs="Calibri"/>
                <w:b/>
                <w:bCs/>
                <w:color w:val="FFFFFF" w:themeColor="background1"/>
                <w:kern w:val="0"/>
                <w:sz w:val="20"/>
                <w:szCs w:val="20"/>
                <w:lang w:eastAsia="en-AU"/>
                <w14:ligatures w14:val="none"/>
              </w:rPr>
            </w:pPr>
            <w:r w:rsidRPr="00D633FF">
              <w:rPr>
                <w:rFonts w:ascii="Calibri" w:eastAsia="Times New Roman" w:hAnsi="Calibri" w:cs="Calibri"/>
                <w:b/>
                <w:bCs/>
                <w:color w:val="FFFFFF" w:themeColor="background1"/>
                <w:kern w:val="0"/>
                <w:sz w:val="20"/>
                <w:szCs w:val="20"/>
                <w:lang w:eastAsia="en-AU"/>
                <w14:ligatures w14:val="none"/>
              </w:rPr>
              <w:t xml:space="preserve">Core food groups </w:t>
            </w:r>
          </w:p>
        </w:tc>
        <w:tc>
          <w:tcPr>
            <w:tcW w:w="1195" w:type="dxa"/>
            <w:tcBorders>
              <w:top w:val="single" w:sz="4" w:space="0" w:color="auto"/>
              <w:left w:val="nil"/>
              <w:right w:val="nil"/>
            </w:tcBorders>
            <w:shd w:val="clear" w:color="auto" w:fill="156082" w:themeFill="accent1"/>
            <w:textDirection w:val="btLr"/>
            <w:vAlign w:val="center"/>
            <w:hideMark/>
          </w:tcPr>
          <w:p w14:paraId="5E3A2700" w14:textId="77777777" w:rsidR="001247A2" w:rsidRPr="00D633FF" w:rsidRDefault="001247A2">
            <w:pPr>
              <w:spacing w:after="0" w:line="240" w:lineRule="auto"/>
              <w:ind w:left="113" w:right="113"/>
              <w:rPr>
                <w:rFonts w:ascii="Calibri" w:eastAsia="Times New Roman" w:hAnsi="Calibri" w:cs="Calibri"/>
                <w:b/>
                <w:bCs/>
                <w:color w:val="FFFFFF" w:themeColor="background1"/>
                <w:kern w:val="0"/>
                <w:sz w:val="20"/>
                <w:szCs w:val="20"/>
                <w:lang w:eastAsia="en-AU"/>
                <w14:ligatures w14:val="none"/>
              </w:rPr>
            </w:pPr>
            <w:r w:rsidRPr="00D633FF">
              <w:rPr>
                <w:rFonts w:ascii="Calibri" w:eastAsia="Times New Roman" w:hAnsi="Calibri" w:cs="Calibri"/>
                <w:b/>
                <w:bCs/>
                <w:color w:val="FFFFFF" w:themeColor="background1"/>
                <w:kern w:val="0"/>
                <w:sz w:val="20"/>
                <w:szCs w:val="20"/>
                <w:lang w:eastAsia="en-AU"/>
                <w14:ligatures w14:val="none"/>
              </w:rPr>
              <w:t xml:space="preserve">Aust. Guide to Healthy Eating </w:t>
            </w:r>
          </w:p>
        </w:tc>
        <w:tc>
          <w:tcPr>
            <w:tcW w:w="1195" w:type="dxa"/>
            <w:tcBorders>
              <w:top w:val="single" w:sz="4" w:space="0" w:color="auto"/>
              <w:left w:val="nil"/>
              <w:right w:val="nil"/>
            </w:tcBorders>
            <w:shd w:val="clear" w:color="auto" w:fill="156082" w:themeFill="accent1"/>
            <w:textDirection w:val="btLr"/>
            <w:vAlign w:val="center"/>
          </w:tcPr>
          <w:p w14:paraId="77F71E16" w14:textId="77777777" w:rsidR="001247A2" w:rsidRPr="00D633FF" w:rsidRDefault="001247A2">
            <w:pPr>
              <w:spacing w:after="0" w:line="240" w:lineRule="auto"/>
              <w:ind w:left="113" w:right="113"/>
              <w:rPr>
                <w:rFonts w:ascii="Calibri" w:eastAsia="Times New Roman" w:hAnsi="Calibri" w:cs="Calibri"/>
                <w:b/>
                <w:bCs/>
                <w:color w:val="FFFFFF" w:themeColor="background1"/>
                <w:kern w:val="0"/>
                <w:sz w:val="20"/>
                <w:szCs w:val="20"/>
                <w:lang w:eastAsia="en-AU"/>
                <w14:ligatures w14:val="none"/>
              </w:rPr>
            </w:pPr>
            <w:r w:rsidRPr="00D633FF">
              <w:rPr>
                <w:rFonts w:ascii="Calibri" w:eastAsia="Times New Roman" w:hAnsi="Calibri" w:cs="Calibri"/>
                <w:b/>
                <w:bCs/>
                <w:color w:val="FFFFFF" w:themeColor="background1"/>
                <w:kern w:val="0"/>
                <w:sz w:val="20"/>
                <w:szCs w:val="20"/>
                <w:lang w:eastAsia="en-AU"/>
                <w14:ligatures w14:val="none"/>
              </w:rPr>
              <w:t>Foundation diets - overall</w:t>
            </w:r>
          </w:p>
        </w:tc>
        <w:tc>
          <w:tcPr>
            <w:tcW w:w="1194" w:type="dxa"/>
            <w:tcBorders>
              <w:top w:val="single" w:sz="4" w:space="0" w:color="auto"/>
              <w:left w:val="nil"/>
              <w:right w:val="nil"/>
            </w:tcBorders>
            <w:shd w:val="clear" w:color="auto" w:fill="156082" w:themeFill="accent1"/>
            <w:textDirection w:val="btLr"/>
            <w:vAlign w:val="center"/>
          </w:tcPr>
          <w:p w14:paraId="5E4A3231" w14:textId="77777777" w:rsidR="001247A2" w:rsidRPr="00D633FF" w:rsidRDefault="001247A2">
            <w:pPr>
              <w:spacing w:after="0" w:line="240" w:lineRule="auto"/>
              <w:ind w:left="113" w:right="113"/>
              <w:rPr>
                <w:rFonts w:ascii="Calibri" w:eastAsia="Times New Roman" w:hAnsi="Calibri" w:cs="Calibri"/>
                <w:b/>
                <w:bCs/>
                <w:color w:val="FFFFFF" w:themeColor="background1"/>
                <w:kern w:val="0"/>
                <w:sz w:val="20"/>
                <w:szCs w:val="20"/>
                <w:lang w:eastAsia="en-AU"/>
                <w14:ligatures w14:val="none"/>
              </w:rPr>
            </w:pPr>
            <w:r w:rsidRPr="00D633FF">
              <w:rPr>
                <w:rFonts w:ascii="Calibri" w:eastAsia="Times New Roman" w:hAnsi="Calibri" w:cs="Calibri"/>
                <w:b/>
                <w:bCs/>
                <w:color w:val="FFFFFF" w:themeColor="background1"/>
                <w:kern w:val="0"/>
                <w:sz w:val="20"/>
                <w:szCs w:val="20"/>
                <w:lang w:eastAsia="en-AU"/>
                <w14:ligatures w14:val="none"/>
              </w:rPr>
              <w:t>Omnivore</w:t>
            </w:r>
          </w:p>
        </w:tc>
        <w:tc>
          <w:tcPr>
            <w:tcW w:w="1195" w:type="dxa"/>
            <w:tcBorders>
              <w:top w:val="single" w:sz="4" w:space="0" w:color="auto"/>
              <w:left w:val="nil"/>
              <w:right w:val="nil"/>
            </w:tcBorders>
            <w:shd w:val="clear" w:color="auto" w:fill="156082" w:themeFill="accent1"/>
            <w:textDirection w:val="btLr"/>
            <w:vAlign w:val="center"/>
          </w:tcPr>
          <w:p w14:paraId="5F7479E9" w14:textId="77777777" w:rsidR="001247A2" w:rsidRPr="00D633FF" w:rsidRDefault="001247A2">
            <w:pPr>
              <w:spacing w:after="0" w:line="240" w:lineRule="auto"/>
              <w:ind w:left="113" w:right="113"/>
              <w:rPr>
                <w:rFonts w:ascii="Calibri" w:eastAsia="Times New Roman" w:hAnsi="Calibri" w:cs="Calibri"/>
                <w:b/>
                <w:bCs/>
                <w:color w:val="FFFFFF" w:themeColor="background1"/>
                <w:kern w:val="0"/>
                <w:sz w:val="20"/>
                <w:szCs w:val="20"/>
                <w:lang w:eastAsia="en-AU"/>
                <w14:ligatures w14:val="none"/>
              </w:rPr>
            </w:pPr>
            <w:r w:rsidRPr="00D633FF">
              <w:rPr>
                <w:rFonts w:ascii="Calibri" w:eastAsia="Times New Roman" w:hAnsi="Calibri" w:cs="Calibri"/>
                <w:b/>
                <w:bCs/>
                <w:color w:val="FFFFFF" w:themeColor="background1"/>
                <w:kern w:val="0"/>
                <w:sz w:val="20"/>
                <w:szCs w:val="20"/>
                <w:lang w:eastAsia="en-AU"/>
                <w14:ligatures w14:val="none"/>
              </w:rPr>
              <w:t>Rice-based</w:t>
            </w:r>
          </w:p>
        </w:tc>
        <w:tc>
          <w:tcPr>
            <w:tcW w:w="1195" w:type="dxa"/>
            <w:tcBorders>
              <w:top w:val="single" w:sz="4" w:space="0" w:color="auto"/>
              <w:left w:val="nil"/>
              <w:right w:val="nil"/>
            </w:tcBorders>
            <w:shd w:val="clear" w:color="auto" w:fill="156082" w:themeFill="accent1"/>
            <w:textDirection w:val="btLr"/>
            <w:vAlign w:val="center"/>
          </w:tcPr>
          <w:p w14:paraId="1275C001" w14:textId="77777777" w:rsidR="001247A2" w:rsidRPr="00D633FF" w:rsidRDefault="001247A2">
            <w:pPr>
              <w:spacing w:after="0" w:line="240" w:lineRule="auto"/>
              <w:ind w:left="113" w:right="113"/>
              <w:rPr>
                <w:rFonts w:ascii="Calibri" w:eastAsia="Times New Roman" w:hAnsi="Calibri" w:cs="Calibri"/>
                <w:b/>
                <w:bCs/>
                <w:color w:val="FFFFFF" w:themeColor="background1"/>
                <w:kern w:val="0"/>
                <w:sz w:val="20"/>
                <w:szCs w:val="20"/>
                <w:lang w:eastAsia="en-AU"/>
                <w14:ligatures w14:val="none"/>
              </w:rPr>
            </w:pPr>
            <w:r w:rsidRPr="00D633FF">
              <w:rPr>
                <w:rFonts w:ascii="Calibri" w:eastAsia="Times New Roman" w:hAnsi="Calibri" w:cs="Calibri"/>
                <w:b/>
                <w:bCs/>
                <w:color w:val="FFFFFF" w:themeColor="background1"/>
                <w:kern w:val="0"/>
                <w:sz w:val="20"/>
                <w:szCs w:val="20"/>
                <w:lang w:eastAsia="en-AU"/>
                <w14:ligatures w14:val="none"/>
              </w:rPr>
              <w:t>Pasta-based</w:t>
            </w:r>
          </w:p>
        </w:tc>
        <w:tc>
          <w:tcPr>
            <w:tcW w:w="1195" w:type="dxa"/>
            <w:tcBorders>
              <w:top w:val="single" w:sz="4" w:space="0" w:color="auto"/>
              <w:left w:val="nil"/>
            </w:tcBorders>
            <w:shd w:val="clear" w:color="auto" w:fill="156082" w:themeFill="accent1"/>
            <w:textDirection w:val="btLr"/>
            <w:vAlign w:val="center"/>
          </w:tcPr>
          <w:p w14:paraId="4A53B078" w14:textId="77777777" w:rsidR="001247A2" w:rsidRPr="00D633FF" w:rsidRDefault="001247A2">
            <w:pPr>
              <w:spacing w:after="0" w:line="240" w:lineRule="auto"/>
              <w:ind w:left="113" w:right="113"/>
              <w:rPr>
                <w:rFonts w:ascii="Calibri" w:eastAsia="Times New Roman" w:hAnsi="Calibri" w:cs="Calibri"/>
                <w:b/>
                <w:bCs/>
                <w:color w:val="FFFFFF" w:themeColor="background1"/>
                <w:kern w:val="0"/>
                <w:sz w:val="20"/>
                <w:szCs w:val="20"/>
                <w:lang w:eastAsia="en-AU"/>
                <w14:ligatures w14:val="none"/>
              </w:rPr>
            </w:pPr>
            <w:r w:rsidRPr="00D633FF">
              <w:rPr>
                <w:rFonts w:ascii="Calibri" w:eastAsia="Times New Roman" w:hAnsi="Calibri" w:cs="Calibri"/>
                <w:b/>
                <w:bCs/>
                <w:color w:val="FFFFFF" w:themeColor="background1"/>
                <w:kern w:val="0"/>
                <w:sz w:val="20"/>
                <w:szCs w:val="20"/>
                <w:lang w:eastAsia="en-AU"/>
                <w14:ligatures w14:val="none"/>
              </w:rPr>
              <w:t>Lacto-ovo-vegetarian</w:t>
            </w:r>
          </w:p>
        </w:tc>
      </w:tr>
      <w:tr w:rsidR="007018CC" w:rsidRPr="00D633FF" w14:paraId="7158F92E" w14:textId="77777777" w:rsidTr="002D7507">
        <w:trPr>
          <w:trHeight w:val="300"/>
        </w:trPr>
        <w:tc>
          <w:tcPr>
            <w:tcW w:w="3124" w:type="dxa"/>
            <w:tcBorders>
              <w:right w:val="nil"/>
            </w:tcBorders>
            <w:noWrap/>
            <w:vAlign w:val="bottom"/>
            <w:hideMark/>
          </w:tcPr>
          <w:p w14:paraId="7B85FCA9" w14:textId="7A89AD91" w:rsidR="007018CC" w:rsidRPr="00D633FF" w:rsidRDefault="007018CC" w:rsidP="007018CC">
            <w:pPr>
              <w:spacing w:after="0" w:line="24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 xml:space="preserve">Persons 4 </w:t>
            </w:r>
            <w:r w:rsidR="004836EF">
              <w:rPr>
                <w:rFonts w:ascii="Calibri" w:eastAsia="Times New Roman" w:hAnsi="Calibri" w:cs="Calibri"/>
                <w:color w:val="000000"/>
                <w:kern w:val="0"/>
                <w:sz w:val="20"/>
                <w:szCs w:val="20"/>
                <w:lang w:eastAsia="en-AU"/>
                <w14:ligatures w14:val="none"/>
              </w:rPr>
              <w:t>–</w:t>
            </w:r>
            <w:r w:rsidRPr="00D633FF">
              <w:rPr>
                <w:rFonts w:ascii="Calibri" w:eastAsia="Times New Roman" w:hAnsi="Calibri" w:cs="Calibri"/>
                <w:color w:val="000000"/>
                <w:kern w:val="0"/>
                <w:sz w:val="20"/>
                <w:szCs w:val="20"/>
                <w:lang w:eastAsia="en-AU"/>
                <w14:ligatures w14:val="none"/>
              </w:rPr>
              <w:t xml:space="preserve"> 7 years</w:t>
            </w:r>
          </w:p>
        </w:tc>
        <w:tc>
          <w:tcPr>
            <w:tcW w:w="1194" w:type="dxa"/>
            <w:tcBorders>
              <w:left w:val="nil"/>
              <w:right w:val="nil"/>
            </w:tcBorders>
            <w:noWrap/>
            <w:vAlign w:val="center"/>
          </w:tcPr>
          <w:p w14:paraId="5E3AD209" w14:textId="6DAF2EBF" w:rsidR="007018CC" w:rsidRPr="00D633FF" w:rsidRDefault="007018CC" w:rsidP="007018CC">
            <w:pPr>
              <w:spacing w:after="0" w:line="240" w:lineRule="auto"/>
              <w:jc w:val="center"/>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right w:val="nil"/>
            </w:tcBorders>
            <w:noWrap/>
            <w:vAlign w:val="center"/>
          </w:tcPr>
          <w:p w14:paraId="119879D1" w14:textId="6DC370D5"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right w:val="nil"/>
            </w:tcBorders>
          </w:tcPr>
          <w:p w14:paraId="2185F289" w14:textId="23EBAD70"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4" w:type="dxa"/>
            <w:tcBorders>
              <w:left w:val="nil"/>
              <w:right w:val="nil"/>
            </w:tcBorders>
            <w:vAlign w:val="center"/>
          </w:tcPr>
          <w:p w14:paraId="2AB640AC" w14:textId="6F1626EC"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right w:val="nil"/>
            </w:tcBorders>
            <w:vAlign w:val="center"/>
          </w:tcPr>
          <w:p w14:paraId="2CDBC43A" w14:textId="56D54A13"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right w:val="nil"/>
            </w:tcBorders>
            <w:vAlign w:val="center"/>
          </w:tcPr>
          <w:p w14:paraId="0603B253" w14:textId="18B2D597"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tcBorders>
            <w:vAlign w:val="center"/>
          </w:tcPr>
          <w:p w14:paraId="56DCD80B" w14:textId="47F0C1BF"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r>
      <w:tr w:rsidR="007018CC" w:rsidRPr="00D633FF" w14:paraId="06F468C1" w14:textId="77777777" w:rsidTr="002D7507">
        <w:trPr>
          <w:trHeight w:val="300"/>
        </w:trPr>
        <w:tc>
          <w:tcPr>
            <w:tcW w:w="3124" w:type="dxa"/>
            <w:tcBorders>
              <w:right w:val="nil"/>
            </w:tcBorders>
            <w:noWrap/>
            <w:vAlign w:val="bottom"/>
          </w:tcPr>
          <w:p w14:paraId="7D5C5C15" w14:textId="0DCF3E2E" w:rsidR="007018CC" w:rsidRPr="00D633FF" w:rsidRDefault="007018CC" w:rsidP="007018CC">
            <w:pPr>
              <w:spacing w:after="0" w:line="24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 xml:space="preserve">Persons 8 </w:t>
            </w:r>
            <w:r w:rsidR="004836EF">
              <w:rPr>
                <w:rFonts w:ascii="Calibri" w:eastAsia="Times New Roman" w:hAnsi="Calibri" w:cs="Calibri"/>
                <w:color w:val="000000"/>
                <w:kern w:val="0"/>
                <w:sz w:val="20"/>
                <w:szCs w:val="20"/>
                <w:lang w:eastAsia="en-AU"/>
                <w14:ligatures w14:val="none"/>
              </w:rPr>
              <w:t>–</w:t>
            </w:r>
            <w:r w:rsidRPr="00D633FF">
              <w:rPr>
                <w:rFonts w:ascii="Calibri" w:eastAsia="Times New Roman" w:hAnsi="Calibri" w:cs="Calibri"/>
                <w:color w:val="000000"/>
                <w:kern w:val="0"/>
                <w:sz w:val="20"/>
                <w:szCs w:val="20"/>
                <w:lang w:eastAsia="en-AU"/>
                <w14:ligatures w14:val="none"/>
              </w:rPr>
              <w:t xml:space="preserve"> 11 years</w:t>
            </w:r>
          </w:p>
        </w:tc>
        <w:tc>
          <w:tcPr>
            <w:tcW w:w="1194" w:type="dxa"/>
            <w:tcBorders>
              <w:left w:val="nil"/>
              <w:right w:val="nil"/>
            </w:tcBorders>
            <w:noWrap/>
            <w:vAlign w:val="center"/>
          </w:tcPr>
          <w:p w14:paraId="5B4593EE" w14:textId="74A14CBF" w:rsidR="007018CC" w:rsidRPr="00D633FF" w:rsidRDefault="007018CC" w:rsidP="007018CC">
            <w:pPr>
              <w:spacing w:after="0" w:line="240" w:lineRule="auto"/>
              <w:jc w:val="center"/>
              <w:rPr>
                <w:rFonts w:ascii="Calibri" w:eastAsia="Times New Roman" w:hAnsi="Calibri" w:cs="Calibri"/>
                <w:color w:val="000000"/>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right w:val="nil"/>
            </w:tcBorders>
            <w:noWrap/>
            <w:vAlign w:val="center"/>
          </w:tcPr>
          <w:p w14:paraId="1748E682" w14:textId="7DCC80D4"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right w:val="nil"/>
            </w:tcBorders>
          </w:tcPr>
          <w:p w14:paraId="62BFC2EB" w14:textId="1B67F8C2"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4" w:type="dxa"/>
            <w:tcBorders>
              <w:left w:val="nil"/>
              <w:right w:val="nil"/>
            </w:tcBorders>
            <w:vAlign w:val="center"/>
          </w:tcPr>
          <w:p w14:paraId="71A5AC53" w14:textId="12C68D2F"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right w:val="nil"/>
            </w:tcBorders>
            <w:vAlign w:val="center"/>
          </w:tcPr>
          <w:p w14:paraId="7BD0EF20" w14:textId="1EACF6D8"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right w:val="nil"/>
            </w:tcBorders>
            <w:vAlign w:val="center"/>
          </w:tcPr>
          <w:p w14:paraId="19728BF3" w14:textId="0C6D4B6A"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tcBorders>
            <w:vAlign w:val="center"/>
          </w:tcPr>
          <w:p w14:paraId="5A6F9D5A" w14:textId="5C786B88"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r>
      <w:tr w:rsidR="007018CC" w:rsidRPr="00D633FF" w14:paraId="2968910C" w14:textId="77777777" w:rsidTr="002D7507">
        <w:trPr>
          <w:trHeight w:val="300"/>
        </w:trPr>
        <w:tc>
          <w:tcPr>
            <w:tcW w:w="3124" w:type="dxa"/>
            <w:tcBorders>
              <w:right w:val="nil"/>
            </w:tcBorders>
            <w:noWrap/>
            <w:vAlign w:val="bottom"/>
          </w:tcPr>
          <w:p w14:paraId="69636C88" w14:textId="73571395" w:rsidR="007018CC" w:rsidRPr="00D633FF" w:rsidRDefault="007018CC" w:rsidP="007018CC">
            <w:pPr>
              <w:spacing w:after="0" w:line="24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 xml:space="preserve">Persons 12 </w:t>
            </w:r>
            <w:r w:rsidR="004836EF">
              <w:rPr>
                <w:rFonts w:ascii="Calibri" w:eastAsia="Times New Roman" w:hAnsi="Calibri" w:cs="Calibri"/>
                <w:color w:val="000000"/>
                <w:kern w:val="0"/>
                <w:sz w:val="20"/>
                <w:szCs w:val="20"/>
                <w:lang w:eastAsia="en-AU"/>
                <w14:ligatures w14:val="none"/>
              </w:rPr>
              <w:t>–</w:t>
            </w:r>
            <w:r w:rsidRPr="00D633FF">
              <w:rPr>
                <w:rFonts w:ascii="Calibri" w:eastAsia="Times New Roman" w:hAnsi="Calibri" w:cs="Calibri"/>
                <w:color w:val="000000"/>
                <w:kern w:val="0"/>
                <w:sz w:val="20"/>
                <w:szCs w:val="20"/>
                <w:lang w:eastAsia="en-AU"/>
                <w14:ligatures w14:val="none"/>
              </w:rPr>
              <w:t xml:space="preserve"> 18 years</w:t>
            </w:r>
          </w:p>
        </w:tc>
        <w:tc>
          <w:tcPr>
            <w:tcW w:w="1194" w:type="dxa"/>
            <w:tcBorders>
              <w:left w:val="nil"/>
              <w:right w:val="nil"/>
            </w:tcBorders>
            <w:noWrap/>
            <w:vAlign w:val="center"/>
          </w:tcPr>
          <w:p w14:paraId="264794FE" w14:textId="6B0A22DC" w:rsidR="007018CC" w:rsidRPr="00D633FF" w:rsidRDefault="007018CC" w:rsidP="007018CC">
            <w:pPr>
              <w:spacing w:after="0" w:line="240" w:lineRule="auto"/>
              <w:jc w:val="center"/>
              <w:rPr>
                <w:rFonts w:ascii="Calibri" w:eastAsia="Times New Roman" w:hAnsi="Calibri" w:cs="Calibri"/>
                <w:color w:val="000000"/>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right w:val="nil"/>
            </w:tcBorders>
            <w:noWrap/>
            <w:vAlign w:val="center"/>
          </w:tcPr>
          <w:p w14:paraId="232BAA38" w14:textId="2977431F"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right w:val="nil"/>
            </w:tcBorders>
          </w:tcPr>
          <w:p w14:paraId="5D2DE6EE" w14:textId="7F4F3D87"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4" w:type="dxa"/>
            <w:tcBorders>
              <w:left w:val="nil"/>
              <w:right w:val="nil"/>
            </w:tcBorders>
            <w:vAlign w:val="center"/>
          </w:tcPr>
          <w:p w14:paraId="45012854" w14:textId="671DC6C8"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right w:val="nil"/>
            </w:tcBorders>
            <w:vAlign w:val="center"/>
          </w:tcPr>
          <w:p w14:paraId="5874FF9F" w14:textId="00D9D68A"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right w:val="nil"/>
            </w:tcBorders>
            <w:vAlign w:val="center"/>
          </w:tcPr>
          <w:p w14:paraId="1B7F6030" w14:textId="1D0C34C0"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tcBorders>
            <w:vAlign w:val="center"/>
          </w:tcPr>
          <w:p w14:paraId="0099DAB9" w14:textId="3D9D9BBA"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r>
      <w:tr w:rsidR="00FA5EE5" w:rsidRPr="00D633FF" w14:paraId="3806AAC0" w14:textId="77777777" w:rsidTr="002D7507">
        <w:trPr>
          <w:trHeight w:val="300"/>
        </w:trPr>
        <w:tc>
          <w:tcPr>
            <w:tcW w:w="3124" w:type="dxa"/>
            <w:tcBorders>
              <w:right w:val="nil"/>
            </w:tcBorders>
            <w:shd w:val="clear" w:color="auto" w:fill="DAE9F7" w:themeFill="text2" w:themeFillTint="1A"/>
            <w:noWrap/>
            <w:vAlign w:val="bottom"/>
            <w:hideMark/>
          </w:tcPr>
          <w:p w14:paraId="2B9148C9" w14:textId="77777777" w:rsidR="007018CC" w:rsidRPr="00D633FF" w:rsidRDefault="007018CC" w:rsidP="007018CC">
            <w:pPr>
              <w:spacing w:after="0" w:line="24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Males 13 – 23 months</w:t>
            </w:r>
          </w:p>
        </w:tc>
        <w:tc>
          <w:tcPr>
            <w:tcW w:w="1194" w:type="dxa"/>
            <w:tcBorders>
              <w:left w:val="nil"/>
              <w:right w:val="nil"/>
            </w:tcBorders>
            <w:shd w:val="clear" w:color="auto" w:fill="DAE9F7" w:themeFill="text2" w:themeFillTint="1A"/>
            <w:noWrap/>
            <w:vAlign w:val="center"/>
          </w:tcPr>
          <w:p w14:paraId="7FA21AAC" w14:textId="7EE84C47" w:rsidR="007018CC" w:rsidRPr="00D633FF" w:rsidRDefault="007018CC" w:rsidP="007018CC">
            <w:pPr>
              <w:spacing w:after="0" w:line="240" w:lineRule="auto"/>
              <w:jc w:val="center"/>
              <w:rPr>
                <w:rFonts w:ascii="Calibri" w:eastAsia="Times New Roman" w:hAnsi="Calibri" w:cs="Calibri"/>
                <w:color w:val="000000"/>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right w:val="nil"/>
            </w:tcBorders>
            <w:shd w:val="clear" w:color="auto" w:fill="DAE9F7" w:themeFill="text2" w:themeFillTint="1A"/>
            <w:noWrap/>
            <w:vAlign w:val="center"/>
          </w:tcPr>
          <w:p w14:paraId="08E64444" w14:textId="5F56CAB6"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right w:val="nil"/>
            </w:tcBorders>
            <w:shd w:val="clear" w:color="auto" w:fill="DAE9F7" w:themeFill="text2" w:themeFillTint="1A"/>
          </w:tcPr>
          <w:p w14:paraId="04D5A5AB" w14:textId="0BBD8B40" w:rsidR="007018CC" w:rsidRPr="00D633FF" w:rsidRDefault="007018CC" w:rsidP="007018CC">
            <w:pPr>
              <w:spacing w:after="0" w:line="240" w:lineRule="auto"/>
              <w:jc w:val="center"/>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38</w:t>
            </w:r>
          </w:p>
        </w:tc>
        <w:tc>
          <w:tcPr>
            <w:tcW w:w="1194" w:type="dxa"/>
            <w:tcBorders>
              <w:left w:val="nil"/>
              <w:right w:val="nil"/>
            </w:tcBorders>
            <w:shd w:val="clear" w:color="auto" w:fill="DAE9F7" w:themeFill="text2" w:themeFillTint="1A"/>
            <w:vAlign w:val="center"/>
          </w:tcPr>
          <w:p w14:paraId="1341571B" w14:textId="00DE7483"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right w:val="nil"/>
            </w:tcBorders>
            <w:shd w:val="clear" w:color="auto" w:fill="DAE9F7" w:themeFill="text2" w:themeFillTint="1A"/>
            <w:vAlign w:val="center"/>
          </w:tcPr>
          <w:p w14:paraId="4CB7734F" w14:textId="151899AC"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right w:val="nil"/>
            </w:tcBorders>
            <w:shd w:val="clear" w:color="auto" w:fill="DAE9F7" w:themeFill="text2" w:themeFillTint="1A"/>
            <w:vAlign w:val="center"/>
          </w:tcPr>
          <w:p w14:paraId="34CF88FF" w14:textId="42149DB4"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tcBorders>
            <w:shd w:val="clear" w:color="auto" w:fill="DAE9F7" w:themeFill="text2" w:themeFillTint="1A"/>
            <w:vAlign w:val="center"/>
          </w:tcPr>
          <w:p w14:paraId="18C77CAD" w14:textId="67A21DC2"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r>
      <w:tr w:rsidR="00FA5EE5" w:rsidRPr="00D633FF" w14:paraId="32C74B6C" w14:textId="77777777" w:rsidTr="002D7507">
        <w:trPr>
          <w:trHeight w:val="300"/>
        </w:trPr>
        <w:tc>
          <w:tcPr>
            <w:tcW w:w="3124" w:type="dxa"/>
            <w:tcBorders>
              <w:right w:val="nil"/>
            </w:tcBorders>
            <w:shd w:val="clear" w:color="auto" w:fill="DAE9F7" w:themeFill="text2" w:themeFillTint="1A"/>
            <w:noWrap/>
            <w:vAlign w:val="bottom"/>
            <w:hideMark/>
          </w:tcPr>
          <w:p w14:paraId="72D1608A" w14:textId="77777777" w:rsidR="007018CC" w:rsidRPr="00D633FF" w:rsidRDefault="007018CC" w:rsidP="007018CC">
            <w:pPr>
              <w:spacing w:after="0" w:line="24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Males 2 – 3 years</w:t>
            </w:r>
          </w:p>
        </w:tc>
        <w:tc>
          <w:tcPr>
            <w:tcW w:w="1194" w:type="dxa"/>
            <w:tcBorders>
              <w:left w:val="nil"/>
              <w:right w:val="nil"/>
            </w:tcBorders>
            <w:shd w:val="clear" w:color="auto" w:fill="DAE9F7" w:themeFill="text2" w:themeFillTint="1A"/>
            <w:noWrap/>
            <w:vAlign w:val="center"/>
          </w:tcPr>
          <w:p w14:paraId="65717156" w14:textId="30C33176" w:rsidR="007018CC" w:rsidRPr="00D633FF" w:rsidRDefault="007018CC" w:rsidP="007018CC">
            <w:pPr>
              <w:spacing w:after="0" w:line="240" w:lineRule="auto"/>
              <w:jc w:val="center"/>
              <w:rPr>
                <w:rFonts w:ascii="Calibri" w:eastAsia="Times New Roman" w:hAnsi="Calibri" w:cs="Calibri"/>
                <w:color w:val="000000"/>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right w:val="nil"/>
            </w:tcBorders>
            <w:shd w:val="clear" w:color="auto" w:fill="DAE9F7" w:themeFill="text2" w:themeFillTint="1A"/>
            <w:noWrap/>
            <w:vAlign w:val="center"/>
          </w:tcPr>
          <w:p w14:paraId="4C15DCF6" w14:textId="1FAB88C7"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right w:val="nil"/>
            </w:tcBorders>
            <w:shd w:val="clear" w:color="auto" w:fill="DAE9F7" w:themeFill="text2" w:themeFillTint="1A"/>
          </w:tcPr>
          <w:p w14:paraId="7DCAB8B5" w14:textId="385947E0" w:rsidR="007018CC" w:rsidRPr="00D633FF" w:rsidRDefault="007018CC" w:rsidP="007018CC">
            <w:pPr>
              <w:spacing w:after="0" w:line="240" w:lineRule="auto"/>
              <w:jc w:val="center"/>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41</w:t>
            </w:r>
          </w:p>
        </w:tc>
        <w:tc>
          <w:tcPr>
            <w:tcW w:w="1194" w:type="dxa"/>
            <w:tcBorders>
              <w:left w:val="nil"/>
              <w:right w:val="nil"/>
            </w:tcBorders>
            <w:shd w:val="clear" w:color="auto" w:fill="DAE9F7" w:themeFill="text2" w:themeFillTint="1A"/>
            <w:vAlign w:val="center"/>
          </w:tcPr>
          <w:p w14:paraId="651CF4CF" w14:textId="3657EE44"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right w:val="nil"/>
            </w:tcBorders>
            <w:shd w:val="clear" w:color="auto" w:fill="DAE9F7" w:themeFill="text2" w:themeFillTint="1A"/>
            <w:vAlign w:val="center"/>
          </w:tcPr>
          <w:p w14:paraId="22E8892F" w14:textId="101E9141"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right w:val="nil"/>
            </w:tcBorders>
            <w:shd w:val="clear" w:color="auto" w:fill="DAE9F7" w:themeFill="text2" w:themeFillTint="1A"/>
            <w:vAlign w:val="center"/>
          </w:tcPr>
          <w:p w14:paraId="4DE39DB3" w14:textId="1D87A5A9"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tcBorders>
            <w:shd w:val="clear" w:color="auto" w:fill="DAE9F7" w:themeFill="text2" w:themeFillTint="1A"/>
            <w:vAlign w:val="center"/>
          </w:tcPr>
          <w:p w14:paraId="3025BCC3" w14:textId="68D8B35D"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r>
      <w:tr w:rsidR="00FA5EE5" w:rsidRPr="00D633FF" w14:paraId="39424832" w14:textId="77777777" w:rsidTr="002D7507">
        <w:trPr>
          <w:trHeight w:val="300"/>
        </w:trPr>
        <w:tc>
          <w:tcPr>
            <w:tcW w:w="3124" w:type="dxa"/>
            <w:tcBorders>
              <w:right w:val="nil"/>
            </w:tcBorders>
            <w:shd w:val="clear" w:color="auto" w:fill="DAE9F7" w:themeFill="text2" w:themeFillTint="1A"/>
            <w:noWrap/>
            <w:vAlign w:val="bottom"/>
            <w:hideMark/>
          </w:tcPr>
          <w:p w14:paraId="22A54C1F" w14:textId="77777777" w:rsidR="007018CC" w:rsidRPr="00D633FF" w:rsidRDefault="007018CC" w:rsidP="007018CC">
            <w:pPr>
              <w:spacing w:after="0" w:line="24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Males 4 – 8 years</w:t>
            </w:r>
          </w:p>
        </w:tc>
        <w:tc>
          <w:tcPr>
            <w:tcW w:w="1194" w:type="dxa"/>
            <w:tcBorders>
              <w:left w:val="nil"/>
              <w:right w:val="nil"/>
            </w:tcBorders>
            <w:shd w:val="clear" w:color="auto" w:fill="DAE9F7" w:themeFill="text2" w:themeFillTint="1A"/>
            <w:noWrap/>
            <w:vAlign w:val="center"/>
          </w:tcPr>
          <w:p w14:paraId="3A660B97" w14:textId="4B4D4479" w:rsidR="007018CC" w:rsidRPr="00D633FF" w:rsidRDefault="007018CC" w:rsidP="007018CC">
            <w:pPr>
              <w:spacing w:after="0" w:line="240" w:lineRule="auto"/>
              <w:jc w:val="center"/>
              <w:rPr>
                <w:rFonts w:ascii="Calibri" w:eastAsia="Times New Roman" w:hAnsi="Calibri" w:cs="Calibri"/>
                <w:color w:val="000000"/>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right w:val="nil"/>
            </w:tcBorders>
            <w:shd w:val="clear" w:color="auto" w:fill="DAE9F7" w:themeFill="text2" w:themeFillTint="1A"/>
            <w:noWrap/>
            <w:vAlign w:val="center"/>
          </w:tcPr>
          <w:p w14:paraId="77D780E2" w14:textId="12AAF9E9"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right w:val="nil"/>
            </w:tcBorders>
            <w:shd w:val="clear" w:color="auto" w:fill="DAE9F7" w:themeFill="text2" w:themeFillTint="1A"/>
          </w:tcPr>
          <w:p w14:paraId="217866EC" w14:textId="21667C5A" w:rsidR="007018CC" w:rsidRPr="00D633FF" w:rsidRDefault="007018CC" w:rsidP="007018CC">
            <w:pPr>
              <w:spacing w:after="0" w:line="240" w:lineRule="auto"/>
              <w:jc w:val="center"/>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54</w:t>
            </w:r>
          </w:p>
        </w:tc>
        <w:tc>
          <w:tcPr>
            <w:tcW w:w="1194" w:type="dxa"/>
            <w:tcBorders>
              <w:left w:val="nil"/>
              <w:right w:val="nil"/>
            </w:tcBorders>
            <w:shd w:val="clear" w:color="auto" w:fill="DAE9F7" w:themeFill="text2" w:themeFillTint="1A"/>
            <w:vAlign w:val="center"/>
          </w:tcPr>
          <w:p w14:paraId="2311394A" w14:textId="06182209"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right w:val="nil"/>
            </w:tcBorders>
            <w:shd w:val="clear" w:color="auto" w:fill="DAE9F7" w:themeFill="text2" w:themeFillTint="1A"/>
            <w:vAlign w:val="center"/>
          </w:tcPr>
          <w:p w14:paraId="66CF7F48" w14:textId="323A854D"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right w:val="nil"/>
            </w:tcBorders>
            <w:shd w:val="clear" w:color="auto" w:fill="DAE9F7" w:themeFill="text2" w:themeFillTint="1A"/>
            <w:vAlign w:val="center"/>
          </w:tcPr>
          <w:p w14:paraId="4152DE39" w14:textId="107286CD"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tcBorders>
            <w:shd w:val="clear" w:color="auto" w:fill="DAE9F7" w:themeFill="text2" w:themeFillTint="1A"/>
            <w:vAlign w:val="center"/>
          </w:tcPr>
          <w:p w14:paraId="23240E38" w14:textId="4C3776CF"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r>
      <w:tr w:rsidR="00FA5EE5" w:rsidRPr="00D633FF" w14:paraId="494475BA" w14:textId="77777777" w:rsidTr="002D7507">
        <w:trPr>
          <w:trHeight w:val="300"/>
        </w:trPr>
        <w:tc>
          <w:tcPr>
            <w:tcW w:w="3124" w:type="dxa"/>
            <w:tcBorders>
              <w:right w:val="nil"/>
            </w:tcBorders>
            <w:shd w:val="clear" w:color="auto" w:fill="DAE9F7" w:themeFill="text2" w:themeFillTint="1A"/>
            <w:noWrap/>
            <w:vAlign w:val="bottom"/>
            <w:hideMark/>
          </w:tcPr>
          <w:p w14:paraId="3ED87570" w14:textId="77777777" w:rsidR="007018CC" w:rsidRPr="00D633FF" w:rsidRDefault="007018CC" w:rsidP="007018CC">
            <w:pPr>
              <w:spacing w:after="0" w:line="24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Males 9 – 11 years</w:t>
            </w:r>
          </w:p>
        </w:tc>
        <w:tc>
          <w:tcPr>
            <w:tcW w:w="1194" w:type="dxa"/>
            <w:tcBorders>
              <w:left w:val="nil"/>
              <w:right w:val="nil"/>
            </w:tcBorders>
            <w:shd w:val="clear" w:color="auto" w:fill="DAE9F7" w:themeFill="text2" w:themeFillTint="1A"/>
            <w:noWrap/>
            <w:vAlign w:val="center"/>
          </w:tcPr>
          <w:p w14:paraId="111E2A46" w14:textId="6E48B02B" w:rsidR="007018CC" w:rsidRPr="00D633FF" w:rsidRDefault="007018CC" w:rsidP="007018CC">
            <w:pPr>
              <w:spacing w:after="0" w:line="240" w:lineRule="auto"/>
              <w:jc w:val="center"/>
              <w:rPr>
                <w:rFonts w:ascii="Calibri" w:eastAsia="Times New Roman" w:hAnsi="Calibri" w:cs="Calibri"/>
                <w:color w:val="000000"/>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right w:val="nil"/>
            </w:tcBorders>
            <w:shd w:val="clear" w:color="auto" w:fill="DAE9F7" w:themeFill="text2" w:themeFillTint="1A"/>
            <w:noWrap/>
            <w:vAlign w:val="center"/>
          </w:tcPr>
          <w:p w14:paraId="4D487813" w14:textId="44421B4A"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right w:val="nil"/>
            </w:tcBorders>
            <w:shd w:val="clear" w:color="auto" w:fill="DAE9F7" w:themeFill="text2" w:themeFillTint="1A"/>
          </w:tcPr>
          <w:p w14:paraId="70335707" w14:textId="05818883" w:rsidR="007018CC" w:rsidRPr="00D633FF" w:rsidRDefault="007018CC" w:rsidP="007018CC">
            <w:pPr>
              <w:spacing w:after="0" w:line="240" w:lineRule="auto"/>
              <w:jc w:val="center"/>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6</w:t>
            </w:r>
            <w:r w:rsidR="00E67516" w:rsidRPr="00D633FF">
              <w:rPr>
                <w:rFonts w:ascii="Calibri" w:eastAsia="Times New Roman" w:hAnsi="Calibri" w:cs="Calibri"/>
                <w:color w:val="000000"/>
                <w:kern w:val="0"/>
                <w:sz w:val="20"/>
                <w:szCs w:val="20"/>
                <w:lang w:eastAsia="en-AU"/>
                <w14:ligatures w14:val="none"/>
              </w:rPr>
              <w:t>8</w:t>
            </w:r>
          </w:p>
        </w:tc>
        <w:tc>
          <w:tcPr>
            <w:tcW w:w="1194" w:type="dxa"/>
            <w:tcBorders>
              <w:left w:val="nil"/>
              <w:right w:val="nil"/>
            </w:tcBorders>
            <w:shd w:val="clear" w:color="auto" w:fill="DAE9F7" w:themeFill="text2" w:themeFillTint="1A"/>
            <w:vAlign w:val="center"/>
          </w:tcPr>
          <w:p w14:paraId="7C9E977C" w14:textId="7A835CCD"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right w:val="nil"/>
            </w:tcBorders>
            <w:shd w:val="clear" w:color="auto" w:fill="DAE9F7" w:themeFill="text2" w:themeFillTint="1A"/>
            <w:vAlign w:val="center"/>
          </w:tcPr>
          <w:p w14:paraId="6B265845" w14:textId="6DE68360"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right w:val="nil"/>
            </w:tcBorders>
            <w:shd w:val="clear" w:color="auto" w:fill="DAE9F7" w:themeFill="text2" w:themeFillTint="1A"/>
            <w:vAlign w:val="center"/>
          </w:tcPr>
          <w:p w14:paraId="39154262" w14:textId="5EE5B79A"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tcBorders>
            <w:shd w:val="clear" w:color="auto" w:fill="DAE9F7" w:themeFill="text2" w:themeFillTint="1A"/>
            <w:vAlign w:val="center"/>
          </w:tcPr>
          <w:p w14:paraId="7FA0720E" w14:textId="5248E8B7"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r>
      <w:tr w:rsidR="00FA5EE5" w:rsidRPr="00D633FF" w14:paraId="07228862" w14:textId="77777777" w:rsidTr="002D7507">
        <w:trPr>
          <w:trHeight w:val="300"/>
        </w:trPr>
        <w:tc>
          <w:tcPr>
            <w:tcW w:w="3124" w:type="dxa"/>
            <w:tcBorders>
              <w:right w:val="nil"/>
            </w:tcBorders>
            <w:shd w:val="clear" w:color="auto" w:fill="DAE9F7" w:themeFill="text2" w:themeFillTint="1A"/>
            <w:noWrap/>
            <w:vAlign w:val="bottom"/>
          </w:tcPr>
          <w:p w14:paraId="6265371C" w14:textId="77777777" w:rsidR="007018CC" w:rsidRPr="00D633FF" w:rsidRDefault="007018CC" w:rsidP="007018CC">
            <w:pPr>
              <w:spacing w:after="0" w:line="24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Males 12 – 13 years</w:t>
            </w:r>
          </w:p>
        </w:tc>
        <w:tc>
          <w:tcPr>
            <w:tcW w:w="1194" w:type="dxa"/>
            <w:tcBorders>
              <w:left w:val="nil"/>
              <w:right w:val="nil"/>
            </w:tcBorders>
            <w:shd w:val="clear" w:color="auto" w:fill="DAE9F7" w:themeFill="text2" w:themeFillTint="1A"/>
            <w:noWrap/>
            <w:vAlign w:val="center"/>
          </w:tcPr>
          <w:p w14:paraId="60002581" w14:textId="759B5622" w:rsidR="007018CC" w:rsidRPr="00D633FF" w:rsidRDefault="007018CC" w:rsidP="007018CC">
            <w:pPr>
              <w:spacing w:after="0" w:line="240" w:lineRule="auto"/>
              <w:jc w:val="center"/>
              <w:rPr>
                <w:rFonts w:ascii="Calibri" w:eastAsia="Times New Roman" w:hAnsi="Calibri" w:cs="Calibri"/>
                <w:color w:val="000000"/>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right w:val="nil"/>
            </w:tcBorders>
            <w:shd w:val="clear" w:color="auto" w:fill="DAE9F7" w:themeFill="text2" w:themeFillTint="1A"/>
            <w:noWrap/>
            <w:vAlign w:val="center"/>
          </w:tcPr>
          <w:p w14:paraId="00ABBB21" w14:textId="371DAFD7"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right w:val="nil"/>
            </w:tcBorders>
            <w:shd w:val="clear" w:color="auto" w:fill="DAE9F7" w:themeFill="text2" w:themeFillTint="1A"/>
          </w:tcPr>
          <w:p w14:paraId="57369EBA" w14:textId="6767DBE0" w:rsidR="007018CC" w:rsidRPr="00D633FF" w:rsidRDefault="007018CC" w:rsidP="007018CC">
            <w:pPr>
              <w:spacing w:after="0" w:line="240" w:lineRule="auto"/>
              <w:jc w:val="center"/>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7</w:t>
            </w:r>
            <w:r w:rsidR="00E67516" w:rsidRPr="00D633FF">
              <w:rPr>
                <w:rFonts w:ascii="Calibri" w:eastAsia="Times New Roman" w:hAnsi="Calibri" w:cs="Calibri"/>
                <w:color w:val="000000"/>
                <w:kern w:val="0"/>
                <w:sz w:val="20"/>
                <w:szCs w:val="20"/>
                <w:lang w:eastAsia="en-AU"/>
                <w14:ligatures w14:val="none"/>
              </w:rPr>
              <w:t>5</w:t>
            </w:r>
          </w:p>
        </w:tc>
        <w:tc>
          <w:tcPr>
            <w:tcW w:w="1194" w:type="dxa"/>
            <w:tcBorders>
              <w:left w:val="nil"/>
              <w:right w:val="nil"/>
            </w:tcBorders>
            <w:shd w:val="clear" w:color="auto" w:fill="DAE9F7" w:themeFill="text2" w:themeFillTint="1A"/>
            <w:vAlign w:val="center"/>
          </w:tcPr>
          <w:p w14:paraId="6574392F" w14:textId="45A766C5"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right w:val="nil"/>
            </w:tcBorders>
            <w:shd w:val="clear" w:color="auto" w:fill="DAE9F7" w:themeFill="text2" w:themeFillTint="1A"/>
            <w:vAlign w:val="center"/>
          </w:tcPr>
          <w:p w14:paraId="36C2AFCB" w14:textId="36A88E35"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right w:val="nil"/>
            </w:tcBorders>
            <w:shd w:val="clear" w:color="auto" w:fill="DAE9F7" w:themeFill="text2" w:themeFillTint="1A"/>
            <w:vAlign w:val="center"/>
          </w:tcPr>
          <w:p w14:paraId="65DED1EA" w14:textId="6F7BFD16"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tcBorders>
            <w:shd w:val="clear" w:color="auto" w:fill="DAE9F7" w:themeFill="text2" w:themeFillTint="1A"/>
            <w:vAlign w:val="center"/>
          </w:tcPr>
          <w:p w14:paraId="3027EFAD" w14:textId="7BD2585E"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r>
      <w:tr w:rsidR="00FA5EE5" w:rsidRPr="00D633FF" w14:paraId="6BCAADFE" w14:textId="77777777" w:rsidTr="002D7507">
        <w:trPr>
          <w:trHeight w:val="300"/>
        </w:trPr>
        <w:tc>
          <w:tcPr>
            <w:tcW w:w="3124" w:type="dxa"/>
            <w:tcBorders>
              <w:right w:val="nil"/>
            </w:tcBorders>
            <w:shd w:val="clear" w:color="auto" w:fill="DAE9F7" w:themeFill="text2" w:themeFillTint="1A"/>
            <w:noWrap/>
            <w:vAlign w:val="bottom"/>
          </w:tcPr>
          <w:p w14:paraId="52D6C47C" w14:textId="77777777" w:rsidR="007018CC" w:rsidRPr="00D633FF" w:rsidRDefault="007018CC" w:rsidP="007018CC">
            <w:pPr>
              <w:spacing w:after="0" w:line="24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Males 14 – 18 years</w:t>
            </w:r>
          </w:p>
        </w:tc>
        <w:tc>
          <w:tcPr>
            <w:tcW w:w="1194" w:type="dxa"/>
            <w:tcBorders>
              <w:left w:val="nil"/>
              <w:right w:val="nil"/>
            </w:tcBorders>
            <w:shd w:val="clear" w:color="auto" w:fill="DAE9F7" w:themeFill="text2" w:themeFillTint="1A"/>
            <w:noWrap/>
            <w:vAlign w:val="center"/>
          </w:tcPr>
          <w:p w14:paraId="143C9B52" w14:textId="63444192" w:rsidR="007018CC" w:rsidRPr="00D633FF" w:rsidRDefault="007018CC" w:rsidP="007018CC">
            <w:pPr>
              <w:spacing w:after="0" w:line="240" w:lineRule="auto"/>
              <w:jc w:val="center"/>
              <w:rPr>
                <w:rFonts w:ascii="Calibri" w:eastAsia="Times New Roman" w:hAnsi="Calibri" w:cs="Calibri"/>
                <w:color w:val="000000"/>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right w:val="nil"/>
            </w:tcBorders>
            <w:shd w:val="clear" w:color="auto" w:fill="DAE9F7" w:themeFill="text2" w:themeFillTint="1A"/>
            <w:noWrap/>
            <w:vAlign w:val="center"/>
          </w:tcPr>
          <w:p w14:paraId="741F5D32" w14:textId="08EF894D"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right w:val="nil"/>
            </w:tcBorders>
            <w:shd w:val="clear" w:color="auto" w:fill="DAE9F7" w:themeFill="text2" w:themeFillTint="1A"/>
          </w:tcPr>
          <w:p w14:paraId="72474125" w14:textId="131B4FF8" w:rsidR="007018CC" w:rsidRPr="00D633FF" w:rsidRDefault="007018CC" w:rsidP="007018CC">
            <w:pPr>
              <w:spacing w:after="0" w:line="240" w:lineRule="auto"/>
              <w:jc w:val="center"/>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78</w:t>
            </w:r>
          </w:p>
        </w:tc>
        <w:tc>
          <w:tcPr>
            <w:tcW w:w="1194" w:type="dxa"/>
            <w:tcBorders>
              <w:left w:val="nil"/>
              <w:right w:val="nil"/>
            </w:tcBorders>
            <w:shd w:val="clear" w:color="auto" w:fill="DAE9F7" w:themeFill="text2" w:themeFillTint="1A"/>
            <w:vAlign w:val="center"/>
          </w:tcPr>
          <w:p w14:paraId="329B1D8E" w14:textId="23EDA53D"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right w:val="nil"/>
            </w:tcBorders>
            <w:shd w:val="clear" w:color="auto" w:fill="DAE9F7" w:themeFill="text2" w:themeFillTint="1A"/>
            <w:vAlign w:val="center"/>
          </w:tcPr>
          <w:p w14:paraId="03C9A6D5" w14:textId="55358428"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right w:val="nil"/>
            </w:tcBorders>
            <w:shd w:val="clear" w:color="auto" w:fill="DAE9F7" w:themeFill="text2" w:themeFillTint="1A"/>
            <w:vAlign w:val="center"/>
          </w:tcPr>
          <w:p w14:paraId="6A11EF7A" w14:textId="2E59A8B5"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tcBorders>
            <w:shd w:val="clear" w:color="auto" w:fill="DAE9F7" w:themeFill="text2" w:themeFillTint="1A"/>
            <w:vAlign w:val="center"/>
          </w:tcPr>
          <w:p w14:paraId="4D1CFAB4" w14:textId="252EDA9E"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r>
      <w:tr w:rsidR="00FA5EE5" w:rsidRPr="00D633FF" w14:paraId="797EEAC5" w14:textId="77777777" w:rsidTr="002D7507">
        <w:trPr>
          <w:trHeight w:val="300"/>
        </w:trPr>
        <w:tc>
          <w:tcPr>
            <w:tcW w:w="3124" w:type="dxa"/>
            <w:tcBorders>
              <w:right w:val="nil"/>
            </w:tcBorders>
            <w:shd w:val="clear" w:color="auto" w:fill="F2CEED" w:themeFill="accent5" w:themeFillTint="33"/>
            <w:noWrap/>
            <w:vAlign w:val="bottom"/>
            <w:hideMark/>
          </w:tcPr>
          <w:p w14:paraId="5981EAF9" w14:textId="77777777" w:rsidR="007018CC" w:rsidRPr="00D633FF" w:rsidRDefault="007018CC" w:rsidP="007018CC">
            <w:pPr>
              <w:spacing w:after="0" w:line="24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Females 13 – 23 months</w:t>
            </w:r>
          </w:p>
        </w:tc>
        <w:tc>
          <w:tcPr>
            <w:tcW w:w="1194" w:type="dxa"/>
            <w:tcBorders>
              <w:left w:val="nil"/>
              <w:right w:val="nil"/>
            </w:tcBorders>
            <w:shd w:val="clear" w:color="auto" w:fill="F2CEED" w:themeFill="accent5" w:themeFillTint="33"/>
            <w:noWrap/>
            <w:vAlign w:val="center"/>
          </w:tcPr>
          <w:p w14:paraId="68203C7A" w14:textId="4C947B8B" w:rsidR="007018CC" w:rsidRPr="00D633FF" w:rsidRDefault="007018CC" w:rsidP="007018CC">
            <w:pPr>
              <w:spacing w:after="0" w:line="240" w:lineRule="auto"/>
              <w:jc w:val="center"/>
              <w:rPr>
                <w:rFonts w:ascii="Calibri" w:eastAsia="Times New Roman" w:hAnsi="Calibri" w:cs="Calibri"/>
                <w:color w:val="000000"/>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right w:val="nil"/>
            </w:tcBorders>
            <w:shd w:val="clear" w:color="auto" w:fill="F2CEED" w:themeFill="accent5" w:themeFillTint="33"/>
            <w:noWrap/>
            <w:vAlign w:val="center"/>
          </w:tcPr>
          <w:p w14:paraId="37BD1559" w14:textId="6872F94E"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right w:val="nil"/>
            </w:tcBorders>
            <w:shd w:val="clear" w:color="auto" w:fill="F2CEED" w:themeFill="accent5" w:themeFillTint="33"/>
          </w:tcPr>
          <w:p w14:paraId="6BE8C8ED" w14:textId="4147DA7D" w:rsidR="007018CC" w:rsidRPr="00D633FF" w:rsidRDefault="007018CC" w:rsidP="007018CC">
            <w:pPr>
              <w:spacing w:after="0" w:line="240" w:lineRule="auto"/>
              <w:jc w:val="center"/>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3</w:t>
            </w:r>
            <w:r w:rsidR="00E67516" w:rsidRPr="00D633FF">
              <w:rPr>
                <w:rFonts w:ascii="Calibri" w:eastAsia="Times New Roman" w:hAnsi="Calibri" w:cs="Calibri"/>
                <w:color w:val="000000"/>
                <w:kern w:val="0"/>
                <w:sz w:val="20"/>
                <w:szCs w:val="20"/>
                <w:lang w:eastAsia="en-AU"/>
                <w14:ligatures w14:val="none"/>
              </w:rPr>
              <w:t>6</w:t>
            </w:r>
          </w:p>
        </w:tc>
        <w:tc>
          <w:tcPr>
            <w:tcW w:w="1194" w:type="dxa"/>
            <w:tcBorders>
              <w:left w:val="nil"/>
              <w:right w:val="nil"/>
            </w:tcBorders>
            <w:shd w:val="clear" w:color="auto" w:fill="F2CEED" w:themeFill="accent5" w:themeFillTint="33"/>
            <w:vAlign w:val="center"/>
          </w:tcPr>
          <w:p w14:paraId="5C7124E1" w14:textId="78EF0720"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right w:val="nil"/>
            </w:tcBorders>
            <w:shd w:val="clear" w:color="auto" w:fill="F2CEED" w:themeFill="accent5" w:themeFillTint="33"/>
            <w:vAlign w:val="center"/>
          </w:tcPr>
          <w:p w14:paraId="7BA0C472" w14:textId="243C9603"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right w:val="nil"/>
            </w:tcBorders>
            <w:shd w:val="clear" w:color="auto" w:fill="F2CEED" w:themeFill="accent5" w:themeFillTint="33"/>
            <w:vAlign w:val="center"/>
          </w:tcPr>
          <w:p w14:paraId="619D3B27" w14:textId="54AD3129"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tcBorders>
            <w:shd w:val="clear" w:color="auto" w:fill="F2CEED" w:themeFill="accent5" w:themeFillTint="33"/>
            <w:vAlign w:val="center"/>
          </w:tcPr>
          <w:p w14:paraId="67F33D2E" w14:textId="4C690CA9"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r>
      <w:tr w:rsidR="00FA5EE5" w:rsidRPr="00D633FF" w14:paraId="2D5B2D5B" w14:textId="77777777" w:rsidTr="002D7507">
        <w:trPr>
          <w:trHeight w:val="300"/>
        </w:trPr>
        <w:tc>
          <w:tcPr>
            <w:tcW w:w="3124" w:type="dxa"/>
            <w:tcBorders>
              <w:right w:val="nil"/>
            </w:tcBorders>
            <w:shd w:val="clear" w:color="auto" w:fill="F2CEED" w:themeFill="accent5" w:themeFillTint="33"/>
            <w:noWrap/>
            <w:vAlign w:val="bottom"/>
          </w:tcPr>
          <w:p w14:paraId="15017856" w14:textId="77777777" w:rsidR="007018CC" w:rsidRPr="00D633FF" w:rsidRDefault="007018CC" w:rsidP="007018CC">
            <w:pPr>
              <w:spacing w:after="0" w:line="24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Females 2 – 3 years</w:t>
            </w:r>
          </w:p>
        </w:tc>
        <w:tc>
          <w:tcPr>
            <w:tcW w:w="1194" w:type="dxa"/>
            <w:tcBorders>
              <w:left w:val="nil"/>
              <w:right w:val="nil"/>
            </w:tcBorders>
            <w:shd w:val="clear" w:color="auto" w:fill="F2CEED" w:themeFill="accent5" w:themeFillTint="33"/>
            <w:noWrap/>
            <w:vAlign w:val="center"/>
          </w:tcPr>
          <w:p w14:paraId="74723CF4" w14:textId="775466D9" w:rsidR="007018CC" w:rsidRPr="00D633FF" w:rsidRDefault="007018CC" w:rsidP="007018CC">
            <w:pPr>
              <w:spacing w:after="0" w:line="240" w:lineRule="auto"/>
              <w:jc w:val="center"/>
              <w:rPr>
                <w:rFonts w:ascii="Calibri" w:eastAsia="Times New Roman" w:hAnsi="Calibri" w:cs="Calibri"/>
                <w:color w:val="000000"/>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right w:val="nil"/>
            </w:tcBorders>
            <w:shd w:val="clear" w:color="auto" w:fill="F2CEED" w:themeFill="accent5" w:themeFillTint="33"/>
            <w:noWrap/>
            <w:vAlign w:val="center"/>
          </w:tcPr>
          <w:p w14:paraId="5D9941F1" w14:textId="1DD3173B"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right w:val="nil"/>
            </w:tcBorders>
            <w:shd w:val="clear" w:color="auto" w:fill="F2CEED" w:themeFill="accent5" w:themeFillTint="33"/>
          </w:tcPr>
          <w:p w14:paraId="5B83AA91" w14:textId="192F137B" w:rsidR="007018CC" w:rsidRPr="00D633FF" w:rsidRDefault="007018CC" w:rsidP="007018CC">
            <w:pPr>
              <w:spacing w:after="0" w:line="240" w:lineRule="auto"/>
              <w:jc w:val="center"/>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39</w:t>
            </w:r>
          </w:p>
        </w:tc>
        <w:tc>
          <w:tcPr>
            <w:tcW w:w="1194" w:type="dxa"/>
            <w:tcBorders>
              <w:left w:val="nil"/>
              <w:right w:val="nil"/>
            </w:tcBorders>
            <w:shd w:val="clear" w:color="auto" w:fill="F2CEED" w:themeFill="accent5" w:themeFillTint="33"/>
            <w:vAlign w:val="center"/>
          </w:tcPr>
          <w:p w14:paraId="65336BB8" w14:textId="39CAD2B2"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right w:val="nil"/>
            </w:tcBorders>
            <w:shd w:val="clear" w:color="auto" w:fill="F2CEED" w:themeFill="accent5" w:themeFillTint="33"/>
            <w:vAlign w:val="center"/>
          </w:tcPr>
          <w:p w14:paraId="00B85308" w14:textId="7C305C96"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right w:val="nil"/>
            </w:tcBorders>
            <w:shd w:val="clear" w:color="auto" w:fill="F2CEED" w:themeFill="accent5" w:themeFillTint="33"/>
            <w:vAlign w:val="center"/>
          </w:tcPr>
          <w:p w14:paraId="3A55FD93" w14:textId="2CA0A950"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tcBorders>
            <w:shd w:val="clear" w:color="auto" w:fill="F2CEED" w:themeFill="accent5" w:themeFillTint="33"/>
            <w:vAlign w:val="center"/>
          </w:tcPr>
          <w:p w14:paraId="0FEDB591" w14:textId="210D0A96"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r>
      <w:tr w:rsidR="00FA5EE5" w:rsidRPr="00D633FF" w14:paraId="1C3BC134" w14:textId="77777777" w:rsidTr="002D7507">
        <w:trPr>
          <w:trHeight w:val="300"/>
        </w:trPr>
        <w:tc>
          <w:tcPr>
            <w:tcW w:w="3124" w:type="dxa"/>
            <w:tcBorders>
              <w:right w:val="nil"/>
            </w:tcBorders>
            <w:shd w:val="clear" w:color="auto" w:fill="F2CEED" w:themeFill="accent5" w:themeFillTint="33"/>
            <w:noWrap/>
            <w:vAlign w:val="bottom"/>
          </w:tcPr>
          <w:p w14:paraId="1DE7BFF2" w14:textId="77777777" w:rsidR="007018CC" w:rsidRPr="00D633FF" w:rsidRDefault="007018CC" w:rsidP="007018CC">
            <w:pPr>
              <w:spacing w:after="0" w:line="24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Females 4 – 8 years</w:t>
            </w:r>
          </w:p>
        </w:tc>
        <w:tc>
          <w:tcPr>
            <w:tcW w:w="1194" w:type="dxa"/>
            <w:tcBorders>
              <w:left w:val="nil"/>
              <w:right w:val="nil"/>
            </w:tcBorders>
            <w:shd w:val="clear" w:color="auto" w:fill="F2CEED" w:themeFill="accent5" w:themeFillTint="33"/>
            <w:noWrap/>
            <w:vAlign w:val="center"/>
          </w:tcPr>
          <w:p w14:paraId="5EBB701E" w14:textId="7BFA8D7C" w:rsidR="007018CC" w:rsidRPr="00D633FF" w:rsidRDefault="007018CC" w:rsidP="007018CC">
            <w:pPr>
              <w:spacing w:after="0" w:line="240" w:lineRule="auto"/>
              <w:jc w:val="center"/>
              <w:rPr>
                <w:rFonts w:ascii="Calibri" w:eastAsia="Times New Roman" w:hAnsi="Calibri" w:cs="Calibri"/>
                <w:color w:val="000000"/>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right w:val="nil"/>
            </w:tcBorders>
            <w:shd w:val="clear" w:color="auto" w:fill="F2CEED" w:themeFill="accent5" w:themeFillTint="33"/>
            <w:noWrap/>
            <w:vAlign w:val="center"/>
          </w:tcPr>
          <w:p w14:paraId="57C91A7F" w14:textId="462EE981"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right w:val="nil"/>
            </w:tcBorders>
            <w:shd w:val="clear" w:color="auto" w:fill="F2CEED" w:themeFill="accent5" w:themeFillTint="33"/>
          </w:tcPr>
          <w:p w14:paraId="590A4DAE" w14:textId="74CF6FAD" w:rsidR="007018CC" w:rsidRPr="00D633FF" w:rsidRDefault="007018CC" w:rsidP="007018CC">
            <w:pPr>
              <w:spacing w:after="0" w:line="240" w:lineRule="auto"/>
              <w:jc w:val="center"/>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52</w:t>
            </w:r>
          </w:p>
        </w:tc>
        <w:tc>
          <w:tcPr>
            <w:tcW w:w="1194" w:type="dxa"/>
            <w:tcBorders>
              <w:left w:val="nil"/>
              <w:right w:val="nil"/>
            </w:tcBorders>
            <w:shd w:val="clear" w:color="auto" w:fill="F2CEED" w:themeFill="accent5" w:themeFillTint="33"/>
            <w:vAlign w:val="center"/>
          </w:tcPr>
          <w:p w14:paraId="7B52FA5A" w14:textId="1E80FAE1"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right w:val="nil"/>
            </w:tcBorders>
            <w:shd w:val="clear" w:color="auto" w:fill="F2CEED" w:themeFill="accent5" w:themeFillTint="33"/>
            <w:vAlign w:val="center"/>
          </w:tcPr>
          <w:p w14:paraId="395B4F59" w14:textId="1347C0CB"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right w:val="nil"/>
            </w:tcBorders>
            <w:shd w:val="clear" w:color="auto" w:fill="F2CEED" w:themeFill="accent5" w:themeFillTint="33"/>
            <w:vAlign w:val="center"/>
          </w:tcPr>
          <w:p w14:paraId="7EFFDE86" w14:textId="5EEEB517"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tcBorders>
            <w:shd w:val="clear" w:color="auto" w:fill="F2CEED" w:themeFill="accent5" w:themeFillTint="33"/>
            <w:vAlign w:val="center"/>
          </w:tcPr>
          <w:p w14:paraId="3908A8AD" w14:textId="3B5716F8"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r>
      <w:tr w:rsidR="00FA5EE5" w:rsidRPr="00D633FF" w14:paraId="590EFB0A" w14:textId="77777777" w:rsidTr="002D7507">
        <w:trPr>
          <w:trHeight w:val="300"/>
        </w:trPr>
        <w:tc>
          <w:tcPr>
            <w:tcW w:w="3124" w:type="dxa"/>
            <w:tcBorders>
              <w:right w:val="nil"/>
            </w:tcBorders>
            <w:shd w:val="clear" w:color="auto" w:fill="F2CEED" w:themeFill="accent5" w:themeFillTint="33"/>
            <w:noWrap/>
            <w:vAlign w:val="bottom"/>
            <w:hideMark/>
          </w:tcPr>
          <w:p w14:paraId="3B6F9EE3" w14:textId="77777777" w:rsidR="007018CC" w:rsidRPr="00D633FF" w:rsidRDefault="007018CC" w:rsidP="007018CC">
            <w:pPr>
              <w:spacing w:after="0" w:line="24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Females 9 – 11 years</w:t>
            </w:r>
          </w:p>
        </w:tc>
        <w:tc>
          <w:tcPr>
            <w:tcW w:w="1194" w:type="dxa"/>
            <w:tcBorders>
              <w:left w:val="nil"/>
              <w:right w:val="nil"/>
            </w:tcBorders>
            <w:shd w:val="clear" w:color="auto" w:fill="F2CEED" w:themeFill="accent5" w:themeFillTint="33"/>
            <w:noWrap/>
            <w:vAlign w:val="center"/>
          </w:tcPr>
          <w:p w14:paraId="442F50BE" w14:textId="5612DB96" w:rsidR="007018CC" w:rsidRPr="00D633FF" w:rsidRDefault="007018CC" w:rsidP="007018CC">
            <w:pPr>
              <w:spacing w:after="0" w:line="240" w:lineRule="auto"/>
              <w:jc w:val="center"/>
              <w:rPr>
                <w:rFonts w:ascii="Calibri" w:eastAsia="Times New Roman" w:hAnsi="Calibri" w:cs="Calibri"/>
                <w:color w:val="000000"/>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right w:val="nil"/>
            </w:tcBorders>
            <w:shd w:val="clear" w:color="auto" w:fill="F2CEED" w:themeFill="accent5" w:themeFillTint="33"/>
            <w:noWrap/>
            <w:vAlign w:val="center"/>
          </w:tcPr>
          <w:p w14:paraId="6639608A" w14:textId="10C0E71D"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right w:val="nil"/>
            </w:tcBorders>
            <w:shd w:val="clear" w:color="auto" w:fill="F2CEED" w:themeFill="accent5" w:themeFillTint="33"/>
          </w:tcPr>
          <w:p w14:paraId="42396DF7" w14:textId="7282E389" w:rsidR="007018CC" w:rsidRPr="00D633FF" w:rsidRDefault="007018CC" w:rsidP="007018CC">
            <w:pPr>
              <w:spacing w:after="0" w:line="240" w:lineRule="auto"/>
              <w:jc w:val="center"/>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67</w:t>
            </w:r>
          </w:p>
        </w:tc>
        <w:tc>
          <w:tcPr>
            <w:tcW w:w="1194" w:type="dxa"/>
            <w:tcBorders>
              <w:left w:val="nil"/>
              <w:right w:val="nil"/>
            </w:tcBorders>
            <w:shd w:val="clear" w:color="auto" w:fill="F2CEED" w:themeFill="accent5" w:themeFillTint="33"/>
            <w:vAlign w:val="center"/>
          </w:tcPr>
          <w:p w14:paraId="303C82C9" w14:textId="11AA0D25"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right w:val="nil"/>
            </w:tcBorders>
            <w:shd w:val="clear" w:color="auto" w:fill="F2CEED" w:themeFill="accent5" w:themeFillTint="33"/>
            <w:vAlign w:val="center"/>
          </w:tcPr>
          <w:p w14:paraId="1C721BA2" w14:textId="3DAE7106"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right w:val="nil"/>
            </w:tcBorders>
            <w:shd w:val="clear" w:color="auto" w:fill="F2CEED" w:themeFill="accent5" w:themeFillTint="33"/>
            <w:vAlign w:val="center"/>
          </w:tcPr>
          <w:p w14:paraId="609ADBAF" w14:textId="2F3D5BD5"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tcBorders>
            <w:shd w:val="clear" w:color="auto" w:fill="F2CEED" w:themeFill="accent5" w:themeFillTint="33"/>
            <w:vAlign w:val="center"/>
          </w:tcPr>
          <w:p w14:paraId="2FEAAD81" w14:textId="36B3B0C1"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r>
      <w:tr w:rsidR="00FA5EE5" w:rsidRPr="00D633FF" w14:paraId="04787DBF" w14:textId="77777777" w:rsidTr="002D7507">
        <w:trPr>
          <w:trHeight w:val="300"/>
        </w:trPr>
        <w:tc>
          <w:tcPr>
            <w:tcW w:w="3124" w:type="dxa"/>
            <w:tcBorders>
              <w:right w:val="nil"/>
            </w:tcBorders>
            <w:shd w:val="clear" w:color="auto" w:fill="F2CEED" w:themeFill="accent5" w:themeFillTint="33"/>
            <w:noWrap/>
            <w:vAlign w:val="bottom"/>
          </w:tcPr>
          <w:p w14:paraId="2EC18BEB" w14:textId="77777777" w:rsidR="007018CC" w:rsidRPr="00D633FF" w:rsidRDefault="007018CC" w:rsidP="007018CC">
            <w:pPr>
              <w:spacing w:after="0" w:line="24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Females 12 – 13 years</w:t>
            </w:r>
          </w:p>
        </w:tc>
        <w:tc>
          <w:tcPr>
            <w:tcW w:w="1194" w:type="dxa"/>
            <w:tcBorders>
              <w:left w:val="nil"/>
              <w:right w:val="nil"/>
            </w:tcBorders>
            <w:shd w:val="clear" w:color="auto" w:fill="F2CEED" w:themeFill="accent5" w:themeFillTint="33"/>
            <w:noWrap/>
            <w:vAlign w:val="center"/>
          </w:tcPr>
          <w:p w14:paraId="522195AE" w14:textId="2C7EE7FA" w:rsidR="007018CC" w:rsidRPr="00D633FF" w:rsidRDefault="007018CC" w:rsidP="007018CC">
            <w:pPr>
              <w:spacing w:after="0" w:line="240" w:lineRule="auto"/>
              <w:jc w:val="center"/>
              <w:rPr>
                <w:rFonts w:ascii="Calibri" w:eastAsia="Times New Roman" w:hAnsi="Calibri" w:cs="Calibri"/>
                <w:color w:val="000000"/>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right w:val="nil"/>
            </w:tcBorders>
            <w:shd w:val="clear" w:color="auto" w:fill="F2CEED" w:themeFill="accent5" w:themeFillTint="33"/>
            <w:noWrap/>
            <w:vAlign w:val="center"/>
          </w:tcPr>
          <w:p w14:paraId="6D780FD9" w14:textId="536EF091"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right w:val="nil"/>
            </w:tcBorders>
            <w:shd w:val="clear" w:color="auto" w:fill="F2CEED" w:themeFill="accent5" w:themeFillTint="33"/>
          </w:tcPr>
          <w:p w14:paraId="3204D74B" w14:textId="0114F607" w:rsidR="007018CC" w:rsidRPr="00D633FF" w:rsidRDefault="007018CC" w:rsidP="007018CC">
            <w:pPr>
              <w:spacing w:after="0" w:line="240" w:lineRule="auto"/>
              <w:jc w:val="center"/>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72</w:t>
            </w:r>
          </w:p>
        </w:tc>
        <w:tc>
          <w:tcPr>
            <w:tcW w:w="1194" w:type="dxa"/>
            <w:tcBorders>
              <w:left w:val="nil"/>
              <w:right w:val="nil"/>
            </w:tcBorders>
            <w:shd w:val="clear" w:color="auto" w:fill="F2CEED" w:themeFill="accent5" w:themeFillTint="33"/>
            <w:vAlign w:val="center"/>
          </w:tcPr>
          <w:p w14:paraId="7EC41B9A" w14:textId="459747B8"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right w:val="nil"/>
            </w:tcBorders>
            <w:shd w:val="clear" w:color="auto" w:fill="F2CEED" w:themeFill="accent5" w:themeFillTint="33"/>
            <w:vAlign w:val="center"/>
          </w:tcPr>
          <w:p w14:paraId="4463EE76" w14:textId="004EE63A"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right w:val="nil"/>
            </w:tcBorders>
            <w:shd w:val="clear" w:color="auto" w:fill="F2CEED" w:themeFill="accent5" w:themeFillTint="33"/>
            <w:vAlign w:val="center"/>
          </w:tcPr>
          <w:p w14:paraId="48C00719" w14:textId="65AD9423"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tcBorders>
            <w:shd w:val="clear" w:color="auto" w:fill="F2CEED" w:themeFill="accent5" w:themeFillTint="33"/>
            <w:vAlign w:val="center"/>
          </w:tcPr>
          <w:p w14:paraId="09DD28F2" w14:textId="1725B463"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r>
      <w:tr w:rsidR="00FA5EE5" w:rsidRPr="00D633FF" w14:paraId="22A12D6A" w14:textId="77777777" w:rsidTr="002D7507">
        <w:trPr>
          <w:trHeight w:val="300"/>
        </w:trPr>
        <w:tc>
          <w:tcPr>
            <w:tcW w:w="3124" w:type="dxa"/>
            <w:tcBorders>
              <w:right w:val="nil"/>
            </w:tcBorders>
            <w:shd w:val="clear" w:color="auto" w:fill="F2CEED" w:themeFill="accent5" w:themeFillTint="33"/>
            <w:noWrap/>
            <w:vAlign w:val="bottom"/>
          </w:tcPr>
          <w:p w14:paraId="1D7CB3D9" w14:textId="77777777" w:rsidR="007018CC" w:rsidRPr="00D633FF" w:rsidRDefault="007018CC" w:rsidP="007018CC">
            <w:pPr>
              <w:spacing w:after="0" w:line="240" w:lineRule="auto"/>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Females 14 – 18 years</w:t>
            </w:r>
          </w:p>
        </w:tc>
        <w:tc>
          <w:tcPr>
            <w:tcW w:w="1194" w:type="dxa"/>
            <w:tcBorders>
              <w:left w:val="nil"/>
              <w:right w:val="nil"/>
            </w:tcBorders>
            <w:shd w:val="clear" w:color="auto" w:fill="F2CEED" w:themeFill="accent5" w:themeFillTint="33"/>
            <w:noWrap/>
            <w:vAlign w:val="center"/>
          </w:tcPr>
          <w:p w14:paraId="540C4CCB" w14:textId="1B963D89" w:rsidR="007018CC" w:rsidRPr="00D633FF" w:rsidRDefault="007018CC" w:rsidP="007018CC">
            <w:pPr>
              <w:spacing w:after="0" w:line="240" w:lineRule="auto"/>
              <w:jc w:val="center"/>
              <w:rPr>
                <w:rFonts w:ascii="Calibri" w:eastAsia="Times New Roman" w:hAnsi="Calibri" w:cs="Calibri"/>
                <w:color w:val="000000"/>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right w:val="nil"/>
            </w:tcBorders>
            <w:shd w:val="clear" w:color="auto" w:fill="F2CEED" w:themeFill="accent5" w:themeFillTint="33"/>
            <w:noWrap/>
            <w:vAlign w:val="center"/>
          </w:tcPr>
          <w:p w14:paraId="76EAF417" w14:textId="620FCAE2"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right w:val="nil"/>
            </w:tcBorders>
            <w:shd w:val="clear" w:color="auto" w:fill="F2CEED" w:themeFill="accent5" w:themeFillTint="33"/>
          </w:tcPr>
          <w:p w14:paraId="2EA30939" w14:textId="14CA5C17" w:rsidR="007018CC" w:rsidRPr="00D633FF" w:rsidRDefault="007018CC" w:rsidP="007018CC">
            <w:pPr>
              <w:spacing w:after="0" w:line="240" w:lineRule="auto"/>
              <w:jc w:val="center"/>
              <w:rPr>
                <w:rFonts w:ascii="Calibri" w:eastAsia="Times New Roman" w:hAnsi="Calibri" w:cs="Calibri"/>
                <w:color w:val="000000"/>
                <w:kern w:val="0"/>
                <w:sz w:val="20"/>
                <w:szCs w:val="20"/>
                <w:lang w:eastAsia="en-AU"/>
                <w14:ligatures w14:val="none"/>
              </w:rPr>
            </w:pPr>
            <w:r w:rsidRPr="00D633FF">
              <w:rPr>
                <w:rFonts w:ascii="Calibri" w:eastAsia="Times New Roman" w:hAnsi="Calibri" w:cs="Calibri"/>
                <w:color w:val="000000"/>
                <w:kern w:val="0"/>
                <w:sz w:val="20"/>
                <w:szCs w:val="20"/>
                <w:lang w:eastAsia="en-AU"/>
                <w14:ligatures w14:val="none"/>
              </w:rPr>
              <w:t>8</w:t>
            </w:r>
            <w:r w:rsidR="00E67516" w:rsidRPr="00D633FF">
              <w:rPr>
                <w:rFonts w:ascii="Calibri" w:eastAsia="Times New Roman" w:hAnsi="Calibri" w:cs="Calibri"/>
                <w:color w:val="000000"/>
                <w:kern w:val="0"/>
                <w:sz w:val="20"/>
                <w:szCs w:val="20"/>
                <w:lang w:eastAsia="en-AU"/>
                <w14:ligatures w14:val="none"/>
              </w:rPr>
              <w:t>2</w:t>
            </w:r>
          </w:p>
        </w:tc>
        <w:tc>
          <w:tcPr>
            <w:tcW w:w="1194" w:type="dxa"/>
            <w:tcBorders>
              <w:left w:val="nil"/>
              <w:right w:val="nil"/>
            </w:tcBorders>
            <w:shd w:val="clear" w:color="auto" w:fill="F2CEED" w:themeFill="accent5" w:themeFillTint="33"/>
            <w:vAlign w:val="center"/>
          </w:tcPr>
          <w:p w14:paraId="3FA594B7" w14:textId="47B94798"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right w:val="nil"/>
            </w:tcBorders>
            <w:shd w:val="clear" w:color="auto" w:fill="F2CEED" w:themeFill="accent5" w:themeFillTint="33"/>
            <w:vAlign w:val="center"/>
          </w:tcPr>
          <w:p w14:paraId="4E47157C" w14:textId="334C7B64"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right w:val="nil"/>
            </w:tcBorders>
            <w:shd w:val="clear" w:color="auto" w:fill="F2CEED" w:themeFill="accent5" w:themeFillTint="33"/>
            <w:vAlign w:val="center"/>
          </w:tcPr>
          <w:p w14:paraId="18100A32" w14:textId="0BC5D7BD"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c>
          <w:tcPr>
            <w:tcW w:w="1195" w:type="dxa"/>
            <w:tcBorders>
              <w:left w:val="nil"/>
            </w:tcBorders>
            <w:shd w:val="clear" w:color="auto" w:fill="F2CEED" w:themeFill="accent5" w:themeFillTint="33"/>
            <w:vAlign w:val="center"/>
          </w:tcPr>
          <w:p w14:paraId="3A63D2F7" w14:textId="59EA0E99" w:rsidR="007018CC" w:rsidRPr="00D633FF" w:rsidRDefault="007018CC" w:rsidP="007018CC">
            <w:pPr>
              <w:spacing w:after="0" w:line="240" w:lineRule="auto"/>
              <w:jc w:val="center"/>
              <w:rPr>
                <w:rFonts w:ascii="Calibri" w:eastAsia="Times New Roman" w:hAnsi="Calibri" w:cs="Calibri"/>
                <w:kern w:val="0"/>
                <w:sz w:val="20"/>
                <w:szCs w:val="20"/>
                <w:highlight w:val="lightGray"/>
                <w:lang w:eastAsia="en-AU"/>
                <w14:ligatures w14:val="none"/>
              </w:rPr>
            </w:pPr>
            <w:r w:rsidRPr="00D633FF">
              <w:rPr>
                <w:rFonts w:ascii="Calibri" w:eastAsia="Times New Roman" w:hAnsi="Calibri" w:cs="Calibri"/>
                <w:color w:val="000000"/>
                <w:kern w:val="0"/>
                <w:sz w:val="20"/>
                <w:szCs w:val="20"/>
                <w:lang w:eastAsia="en-AU"/>
                <w14:ligatures w14:val="none"/>
              </w:rPr>
              <w:t>-</w:t>
            </w:r>
          </w:p>
        </w:tc>
      </w:tr>
    </w:tbl>
    <w:p w14:paraId="58F80DF8" w14:textId="3F3CC4BA" w:rsidR="00C845A3" w:rsidRDefault="00C845A3" w:rsidP="00FE7B2F">
      <w:pPr>
        <w:rPr>
          <w:rFonts w:ascii="Calibri" w:hAnsi="Calibri" w:cs="Calibri"/>
        </w:rPr>
      </w:pPr>
      <w:r w:rsidRPr="00B34BE7">
        <w:rPr>
          <w:rFonts w:ascii="Calibri" w:eastAsia="Arial" w:hAnsi="Calibri" w:cs="Calibri"/>
          <w:b/>
          <w:bCs/>
          <w:sz w:val="16"/>
          <w:szCs w:val="16"/>
        </w:rPr>
        <w:t>Source:</w:t>
      </w:r>
      <w:r w:rsidRPr="00D633FF">
        <w:rPr>
          <w:rFonts w:ascii="Calibri" w:eastAsia="Arial" w:hAnsi="Calibri" w:cs="Calibri"/>
          <w:sz w:val="16"/>
          <w:szCs w:val="16"/>
        </w:rPr>
        <w:t xml:space="preserve"> </w:t>
      </w:r>
      <w:hyperlink r:id="rId22" w:history="1">
        <w:r>
          <w:rPr>
            <w:rFonts w:ascii="Calibri" w:eastAsia="Arial" w:hAnsi="Calibri" w:cs="Calibri"/>
            <w:color w:val="0062B1"/>
            <w:sz w:val="16"/>
            <w:szCs w:val="16"/>
            <w:u w:val="single"/>
          </w:rPr>
          <w:t>A modelling system to inform the revision of the Australian Guide to Healthy Eating</w:t>
        </w:r>
      </w:hyperlink>
      <w:r w:rsidRPr="00BE2904">
        <w:rPr>
          <w:sz w:val="16"/>
          <w:szCs w:val="16"/>
        </w:rPr>
        <w:t xml:space="preserve"> (</w:t>
      </w:r>
      <w:proofErr w:type="spellStart"/>
      <w:r w:rsidRPr="00BE2904">
        <w:rPr>
          <w:sz w:val="16"/>
          <w:szCs w:val="16"/>
        </w:rPr>
        <w:t>Baghurst</w:t>
      </w:r>
      <w:proofErr w:type="spellEnd"/>
      <w:r w:rsidRPr="00BE2904">
        <w:rPr>
          <w:sz w:val="16"/>
          <w:szCs w:val="16"/>
        </w:rPr>
        <w:t xml:space="preserve"> et al. 2011)</w:t>
      </w:r>
    </w:p>
    <w:p w14:paraId="1C5813A0" w14:textId="13FFD76C" w:rsidR="001247A2" w:rsidRPr="00D633FF" w:rsidRDefault="001247A2" w:rsidP="001247A2">
      <w:pPr>
        <w:pStyle w:val="Heading2"/>
        <w:rPr>
          <w:rFonts w:ascii="Calibri" w:hAnsi="Calibri" w:cs="Calibri"/>
        </w:rPr>
        <w:sectPr w:rsidR="001247A2" w:rsidRPr="00D633FF" w:rsidSect="00E752E0">
          <w:footnotePr>
            <w:pos w:val="beneathText"/>
          </w:footnotePr>
          <w:pgSz w:w="16838" w:h="11906" w:orient="landscape"/>
          <w:pgMar w:top="993" w:right="1440" w:bottom="1440" w:left="1440" w:header="708" w:footer="708" w:gutter="0"/>
          <w:cols w:space="708"/>
          <w:docGrid w:linePitch="360"/>
        </w:sectPr>
      </w:pPr>
      <w:r w:rsidRPr="00D633FF">
        <w:rPr>
          <w:rFonts w:ascii="Calibri" w:hAnsi="Calibri" w:cs="Calibri"/>
        </w:rPr>
        <w:br w:type="page"/>
      </w:r>
    </w:p>
    <w:p w14:paraId="1215D392" w14:textId="1783CB31" w:rsidR="005623B2" w:rsidRPr="00D633FF" w:rsidRDefault="005623B2" w:rsidP="005623B2">
      <w:pPr>
        <w:pStyle w:val="Heading1"/>
        <w:tabs>
          <w:tab w:val="left" w:pos="3686"/>
        </w:tabs>
        <w:rPr>
          <w:rFonts w:ascii="Calibri" w:hAnsi="Calibri" w:cs="Calibri"/>
          <w:b/>
          <w:bCs/>
        </w:rPr>
      </w:pPr>
      <w:bookmarkStart w:id="82" w:name="_Toc207106868"/>
      <w:bookmarkStart w:id="83" w:name="_Toc218527987"/>
      <w:r w:rsidRPr="00D633FF">
        <w:rPr>
          <w:rFonts w:ascii="Calibri" w:hAnsi="Calibri" w:cs="Calibri"/>
          <w:b/>
          <w:bCs/>
        </w:rPr>
        <w:lastRenderedPageBreak/>
        <w:t>Proposed Recommendations</w:t>
      </w:r>
      <w:bookmarkEnd w:id="82"/>
      <w:bookmarkEnd w:id="83"/>
    </w:p>
    <w:tbl>
      <w:tblPr>
        <w:tblStyle w:val="TableGrid"/>
        <w:tblW w:w="9356" w:type="dxa"/>
        <w:tblInd w:w="-14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245"/>
        <w:gridCol w:w="1135"/>
        <w:gridCol w:w="1135"/>
        <w:gridCol w:w="1134"/>
        <w:gridCol w:w="1134"/>
        <w:gridCol w:w="1573"/>
      </w:tblGrid>
      <w:tr w:rsidR="00745573" w:rsidRPr="00D633FF" w14:paraId="50AA7980" w14:textId="77777777" w:rsidTr="003E5DAC">
        <w:tc>
          <w:tcPr>
            <w:tcW w:w="3245" w:type="dxa"/>
            <w:shd w:val="clear" w:color="auto" w:fill="156082"/>
          </w:tcPr>
          <w:p w14:paraId="6A62457A" w14:textId="77777777" w:rsidR="005623B2" w:rsidRPr="00D633FF" w:rsidRDefault="005623B2">
            <w:pPr>
              <w:jc w:val="center"/>
              <w:rPr>
                <w:rFonts w:ascii="Calibri" w:hAnsi="Calibri" w:cs="Calibri"/>
                <w:b/>
                <w:bCs/>
                <w:color w:val="FFFFFF" w:themeColor="background1"/>
              </w:rPr>
            </w:pPr>
            <w:r w:rsidRPr="00D633FF">
              <w:rPr>
                <w:rFonts w:ascii="Calibri" w:hAnsi="Calibri" w:cs="Calibri"/>
                <w:b/>
                <w:bCs/>
                <w:color w:val="FFFFFF" w:themeColor="background1"/>
              </w:rPr>
              <w:t>Population</w:t>
            </w:r>
          </w:p>
        </w:tc>
        <w:tc>
          <w:tcPr>
            <w:tcW w:w="1135" w:type="dxa"/>
            <w:shd w:val="clear" w:color="auto" w:fill="156082"/>
          </w:tcPr>
          <w:p w14:paraId="5710576C" w14:textId="77777777" w:rsidR="005623B2" w:rsidRPr="00D633FF" w:rsidRDefault="005623B2">
            <w:pPr>
              <w:jc w:val="center"/>
              <w:rPr>
                <w:rFonts w:ascii="Calibri" w:hAnsi="Calibri" w:cs="Calibri"/>
                <w:b/>
                <w:bCs/>
                <w:color w:val="FFFFFF" w:themeColor="background1"/>
              </w:rPr>
            </w:pPr>
            <w:r w:rsidRPr="00D633FF">
              <w:rPr>
                <w:rFonts w:ascii="Calibri" w:hAnsi="Calibri" w:cs="Calibri"/>
                <w:b/>
                <w:bCs/>
                <w:color w:val="FFFFFF" w:themeColor="background1"/>
              </w:rPr>
              <w:t>EAR</w:t>
            </w:r>
          </w:p>
          <w:p w14:paraId="28F6BEF9" w14:textId="77777777" w:rsidR="005623B2" w:rsidRPr="00D633FF" w:rsidRDefault="005623B2">
            <w:pPr>
              <w:jc w:val="center"/>
              <w:rPr>
                <w:rFonts w:ascii="Calibri" w:hAnsi="Calibri" w:cs="Calibri"/>
                <w:b/>
                <w:bCs/>
                <w:color w:val="FFFFFF" w:themeColor="background1"/>
              </w:rPr>
            </w:pPr>
            <w:r w:rsidRPr="00D633FF">
              <w:rPr>
                <w:rFonts w:ascii="Calibri" w:hAnsi="Calibri" w:cs="Calibri"/>
                <w:b/>
                <w:bCs/>
                <w:color w:val="FFFFFF" w:themeColor="background1"/>
              </w:rPr>
              <w:t>(µg/day)</w:t>
            </w:r>
          </w:p>
        </w:tc>
        <w:tc>
          <w:tcPr>
            <w:tcW w:w="1135" w:type="dxa"/>
            <w:shd w:val="clear" w:color="auto" w:fill="156082"/>
          </w:tcPr>
          <w:p w14:paraId="1D093026" w14:textId="77777777" w:rsidR="005623B2" w:rsidRPr="00D633FF" w:rsidRDefault="005623B2">
            <w:pPr>
              <w:jc w:val="center"/>
              <w:rPr>
                <w:rFonts w:ascii="Calibri" w:hAnsi="Calibri" w:cs="Calibri"/>
                <w:b/>
                <w:bCs/>
                <w:color w:val="FFFFFF" w:themeColor="background1"/>
              </w:rPr>
            </w:pPr>
            <w:r w:rsidRPr="00D633FF">
              <w:rPr>
                <w:rFonts w:ascii="Calibri" w:hAnsi="Calibri" w:cs="Calibri"/>
                <w:b/>
                <w:bCs/>
                <w:color w:val="FFFFFF" w:themeColor="background1"/>
              </w:rPr>
              <w:t>RDI</w:t>
            </w:r>
          </w:p>
          <w:p w14:paraId="0488E58B" w14:textId="77777777" w:rsidR="005623B2" w:rsidRPr="00D633FF" w:rsidRDefault="005623B2">
            <w:pPr>
              <w:jc w:val="center"/>
              <w:rPr>
                <w:rFonts w:ascii="Calibri" w:hAnsi="Calibri" w:cs="Calibri"/>
                <w:b/>
                <w:bCs/>
                <w:color w:val="FFFFFF" w:themeColor="background1"/>
              </w:rPr>
            </w:pPr>
            <w:r w:rsidRPr="00D633FF">
              <w:rPr>
                <w:rFonts w:ascii="Calibri" w:hAnsi="Calibri" w:cs="Calibri"/>
                <w:b/>
                <w:bCs/>
                <w:color w:val="FFFFFF" w:themeColor="background1"/>
              </w:rPr>
              <w:t>(µg/day)</w:t>
            </w:r>
          </w:p>
        </w:tc>
        <w:tc>
          <w:tcPr>
            <w:tcW w:w="1134" w:type="dxa"/>
            <w:shd w:val="clear" w:color="auto" w:fill="156082"/>
          </w:tcPr>
          <w:p w14:paraId="12DAC0C4" w14:textId="77777777" w:rsidR="005623B2" w:rsidRPr="00D633FF" w:rsidRDefault="005623B2">
            <w:pPr>
              <w:jc w:val="center"/>
              <w:rPr>
                <w:rFonts w:ascii="Calibri" w:hAnsi="Calibri" w:cs="Calibri"/>
                <w:b/>
                <w:bCs/>
                <w:color w:val="FFFFFF" w:themeColor="background1"/>
              </w:rPr>
            </w:pPr>
            <w:r w:rsidRPr="00D633FF">
              <w:rPr>
                <w:rFonts w:ascii="Calibri" w:hAnsi="Calibri" w:cs="Calibri"/>
                <w:b/>
                <w:bCs/>
                <w:color w:val="FFFFFF" w:themeColor="background1"/>
              </w:rPr>
              <w:t>AI</w:t>
            </w:r>
          </w:p>
          <w:p w14:paraId="6D21ECAD" w14:textId="77777777" w:rsidR="005623B2" w:rsidRPr="00D633FF" w:rsidRDefault="005623B2">
            <w:pPr>
              <w:jc w:val="center"/>
              <w:rPr>
                <w:rFonts w:ascii="Calibri" w:hAnsi="Calibri" w:cs="Calibri"/>
                <w:b/>
                <w:bCs/>
                <w:color w:val="FFFFFF" w:themeColor="background1"/>
              </w:rPr>
            </w:pPr>
            <w:r w:rsidRPr="00D633FF">
              <w:rPr>
                <w:rFonts w:ascii="Calibri" w:hAnsi="Calibri" w:cs="Calibri"/>
                <w:b/>
                <w:bCs/>
                <w:color w:val="FFFFFF" w:themeColor="background1"/>
              </w:rPr>
              <w:t>(µg/day)</w:t>
            </w:r>
          </w:p>
        </w:tc>
        <w:tc>
          <w:tcPr>
            <w:tcW w:w="1134" w:type="dxa"/>
            <w:shd w:val="clear" w:color="auto" w:fill="156082"/>
          </w:tcPr>
          <w:p w14:paraId="4981A202" w14:textId="77777777" w:rsidR="005623B2" w:rsidRPr="00D633FF" w:rsidRDefault="005623B2">
            <w:pPr>
              <w:jc w:val="center"/>
              <w:rPr>
                <w:rFonts w:ascii="Calibri" w:hAnsi="Calibri" w:cs="Calibri"/>
                <w:b/>
                <w:bCs/>
                <w:color w:val="FFFFFF" w:themeColor="background1"/>
              </w:rPr>
            </w:pPr>
            <w:r w:rsidRPr="00D633FF">
              <w:rPr>
                <w:rFonts w:ascii="Calibri" w:hAnsi="Calibri" w:cs="Calibri"/>
                <w:b/>
                <w:bCs/>
                <w:color w:val="FFFFFF" w:themeColor="background1"/>
              </w:rPr>
              <w:t>UL</w:t>
            </w:r>
          </w:p>
          <w:p w14:paraId="0D30F5A1" w14:textId="77777777" w:rsidR="005623B2" w:rsidRPr="00D633FF" w:rsidRDefault="005623B2">
            <w:pPr>
              <w:jc w:val="center"/>
              <w:rPr>
                <w:rFonts w:ascii="Calibri" w:hAnsi="Calibri" w:cs="Calibri"/>
                <w:b/>
                <w:bCs/>
                <w:color w:val="FFFFFF" w:themeColor="background1"/>
              </w:rPr>
            </w:pPr>
            <w:r w:rsidRPr="00D633FF">
              <w:rPr>
                <w:rFonts w:ascii="Calibri" w:hAnsi="Calibri" w:cs="Calibri"/>
                <w:b/>
                <w:bCs/>
                <w:color w:val="FFFFFF" w:themeColor="background1"/>
              </w:rPr>
              <w:t>(µg/day)</w:t>
            </w:r>
          </w:p>
        </w:tc>
        <w:tc>
          <w:tcPr>
            <w:tcW w:w="1573" w:type="dxa"/>
            <w:shd w:val="clear" w:color="auto" w:fill="156082"/>
          </w:tcPr>
          <w:p w14:paraId="2A4BDF3B" w14:textId="77777777" w:rsidR="005623B2" w:rsidRPr="00D633FF" w:rsidRDefault="005623B2">
            <w:pPr>
              <w:rPr>
                <w:rFonts w:ascii="Calibri" w:hAnsi="Calibri" w:cs="Calibri"/>
                <w:b/>
                <w:bCs/>
                <w:color w:val="FFFFFF" w:themeColor="background1"/>
              </w:rPr>
            </w:pPr>
            <w:r w:rsidRPr="00D633FF">
              <w:rPr>
                <w:rFonts w:ascii="Calibri" w:hAnsi="Calibri" w:cs="Calibri"/>
                <w:b/>
                <w:bCs/>
                <w:color w:val="FFFFFF" w:themeColor="background1"/>
              </w:rPr>
              <w:t>Comment</w:t>
            </w:r>
          </w:p>
        </w:tc>
      </w:tr>
      <w:tr w:rsidR="00B3666C" w:rsidRPr="00D633FF" w14:paraId="25DEC4BF" w14:textId="77777777" w:rsidTr="003E5DAC">
        <w:tc>
          <w:tcPr>
            <w:tcW w:w="3245" w:type="dxa"/>
            <w:shd w:val="clear" w:color="auto" w:fill="156082"/>
          </w:tcPr>
          <w:p w14:paraId="699BD846" w14:textId="1DF096D4" w:rsidR="00B3666C" w:rsidRPr="00D633FF" w:rsidRDefault="00B3666C" w:rsidP="00B3666C">
            <w:pPr>
              <w:rPr>
                <w:rFonts w:ascii="Calibri" w:hAnsi="Calibri" w:cs="Calibri"/>
                <w:b/>
                <w:bCs/>
                <w:color w:val="FFFFFF" w:themeColor="background1"/>
              </w:rPr>
            </w:pPr>
            <w:r w:rsidRPr="00D633FF">
              <w:rPr>
                <w:rFonts w:ascii="Calibri" w:hAnsi="Calibri" w:cs="Calibri"/>
                <w:color w:val="FFFFFF" w:themeColor="background1"/>
              </w:rPr>
              <w:t>Infants</w:t>
            </w:r>
          </w:p>
        </w:tc>
        <w:tc>
          <w:tcPr>
            <w:tcW w:w="1135" w:type="dxa"/>
            <w:shd w:val="clear" w:color="auto" w:fill="156082"/>
          </w:tcPr>
          <w:p w14:paraId="1AC4D411" w14:textId="77777777" w:rsidR="00B3666C" w:rsidRPr="00D633FF" w:rsidRDefault="00B3666C">
            <w:pPr>
              <w:jc w:val="center"/>
              <w:rPr>
                <w:rFonts w:ascii="Calibri" w:hAnsi="Calibri" w:cs="Calibri"/>
                <w:b/>
                <w:bCs/>
                <w:color w:val="FFFFFF" w:themeColor="background1"/>
              </w:rPr>
            </w:pPr>
          </w:p>
        </w:tc>
        <w:tc>
          <w:tcPr>
            <w:tcW w:w="1135" w:type="dxa"/>
            <w:shd w:val="clear" w:color="auto" w:fill="156082"/>
          </w:tcPr>
          <w:p w14:paraId="0C0861DA" w14:textId="77777777" w:rsidR="00B3666C" w:rsidRPr="00D633FF" w:rsidRDefault="00B3666C">
            <w:pPr>
              <w:jc w:val="center"/>
              <w:rPr>
                <w:rFonts w:ascii="Calibri" w:hAnsi="Calibri" w:cs="Calibri"/>
                <w:b/>
                <w:bCs/>
                <w:color w:val="FFFFFF" w:themeColor="background1"/>
              </w:rPr>
            </w:pPr>
          </w:p>
        </w:tc>
        <w:tc>
          <w:tcPr>
            <w:tcW w:w="1134" w:type="dxa"/>
            <w:shd w:val="clear" w:color="auto" w:fill="156082"/>
          </w:tcPr>
          <w:p w14:paraId="389E9B39" w14:textId="77777777" w:rsidR="00B3666C" w:rsidRPr="00D633FF" w:rsidRDefault="00B3666C">
            <w:pPr>
              <w:jc w:val="center"/>
              <w:rPr>
                <w:rFonts w:ascii="Calibri" w:hAnsi="Calibri" w:cs="Calibri"/>
                <w:b/>
                <w:bCs/>
                <w:color w:val="FFFFFF" w:themeColor="background1"/>
              </w:rPr>
            </w:pPr>
          </w:p>
        </w:tc>
        <w:tc>
          <w:tcPr>
            <w:tcW w:w="1134" w:type="dxa"/>
            <w:shd w:val="clear" w:color="auto" w:fill="156082"/>
          </w:tcPr>
          <w:p w14:paraId="37B5A7EF" w14:textId="77777777" w:rsidR="00B3666C" w:rsidRPr="00D633FF" w:rsidRDefault="00B3666C">
            <w:pPr>
              <w:jc w:val="center"/>
              <w:rPr>
                <w:rFonts w:ascii="Calibri" w:hAnsi="Calibri" w:cs="Calibri"/>
                <w:b/>
                <w:bCs/>
                <w:color w:val="FFFFFF" w:themeColor="background1"/>
              </w:rPr>
            </w:pPr>
          </w:p>
        </w:tc>
        <w:tc>
          <w:tcPr>
            <w:tcW w:w="1573" w:type="dxa"/>
            <w:shd w:val="clear" w:color="auto" w:fill="156082"/>
          </w:tcPr>
          <w:p w14:paraId="4EF84793" w14:textId="77777777" w:rsidR="00B3666C" w:rsidRPr="00D633FF" w:rsidRDefault="00B3666C">
            <w:pPr>
              <w:rPr>
                <w:rFonts w:ascii="Calibri" w:hAnsi="Calibri" w:cs="Calibri"/>
                <w:b/>
                <w:bCs/>
                <w:color w:val="FFFFFF" w:themeColor="background1"/>
              </w:rPr>
            </w:pPr>
          </w:p>
        </w:tc>
      </w:tr>
      <w:tr w:rsidR="00382C99" w:rsidRPr="00D633FF" w14:paraId="770B6D75" w14:textId="77777777" w:rsidTr="003E5DAC">
        <w:tc>
          <w:tcPr>
            <w:tcW w:w="3245" w:type="dxa"/>
          </w:tcPr>
          <w:p w14:paraId="6B914FDA" w14:textId="3DC420CF" w:rsidR="00382C99" w:rsidRPr="00D633FF" w:rsidRDefault="00382C99" w:rsidP="00FA1D5B">
            <w:pPr>
              <w:ind w:left="190"/>
              <w:rPr>
                <w:rFonts w:ascii="Calibri" w:hAnsi="Calibri" w:cs="Calibri"/>
              </w:rPr>
            </w:pPr>
            <w:r w:rsidRPr="00D633FF">
              <w:rPr>
                <w:rFonts w:ascii="Calibri" w:hAnsi="Calibri" w:cs="Calibri"/>
              </w:rPr>
              <w:t>0 to under 7 months</w:t>
            </w:r>
          </w:p>
        </w:tc>
        <w:tc>
          <w:tcPr>
            <w:tcW w:w="1135" w:type="dxa"/>
          </w:tcPr>
          <w:p w14:paraId="377B33A6" w14:textId="77777777" w:rsidR="00382C99" w:rsidRPr="00D633FF" w:rsidRDefault="00382C99">
            <w:pPr>
              <w:jc w:val="center"/>
              <w:rPr>
                <w:rFonts w:ascii="Calibri" w:hAnsi="Calibri" w:cs="Calibri"/>
              </w:rPr>
            </w:pPr>
          </w:p>
        </w:tc>
        <w:tc>
          <w:tcPr>
            <w:tcW w:w="1135" w:type="dxa"/>
          </w:tcPr>
          <w:p w14:paraId="40B1599A" w14:textId="132CC481" w:rsidR="00382C99" w:rsidRPr="00D633FF" w:rsidRDefault="00382C99">
            <w:pPr>
              <w:jc w:val="center"/>
              <w:rPr>
                <w:rFonts w:ascii="Calibri" w:hAnsi="Calibri" w:cs="Calibri"/>
              </w:rPr>
            </w:pPr>
          </w:p>
        </w:tc>
        <w:tc>
          <w:tcPr>
            <w:tcW w:w="1134" w:type="dxa"/>
          </w:tcPr>
          <w:p w14:paraId="6EC74913" w14:textId="75EC79A2" w:rsidR="00382C99" w:rsidRPr="00D633FF" w:rsidRDefault="00382C99">
            <w:pPr>
              <w:jc w:val="center"/>
              <w:rPr>
                <w:rFonts w:ascii="Calibri" w:hAnsi="Calibri" w:cs="Calibri"/>
              </w:rPr>
            </w:pPr>
            <w:r w:rsidRPr="00D633FF">
              <w:rPr>
                <w:rFonts w:ascii="Calibri" w:hAnsi="Calibri" w:cs="Calibri"/>
              </w:rPr>
              <w:t>12</w:t>
            </w:r>
          </w:p>
        </w:tc>
        <w:tc>
          <w:tcPr>
            <w:tcW w:w="1134" w:type="dxa"/>
          </w:tcPr>
          <w:p w14:paraId="6E4B5FD3" w14:textId="4A44C43C" w:rsidR="00382C99" w:rsidRPr="00D633FF" w:rsidRDefault="00382C99">
            <w:pPr>
              <w:jc w:val="center"/>
              <w:rPr>
                <w:rFonts w:ascii="Calibri" w:hAnsi="Calibri" w:cs="Calibri"/>
              </w:rPr>
            </w:pPr>
            <w:r w:rsidRPr="00D633FF">
              <w:rPr>
                <w:rFonts w:ascii="Calibri" w:hAnsi="Calibri" w:cs="Calibri"/>
              </w:rPr>
              <w:t>45</w:t>
            </w:r>
          </w:p>
        </w:tc>
        <w:tc>
          <w:tcPr>
            <w:tcW w:w="1573" w:type="dxa"/>
          </w:tcPr>
          <w:p w14:paraId="5CA820A8" w14:textId="7A085C21" w:rsidR="00382C99" w:rsidRPr="00D633FF" w:rsidRDefault="00382C99">
            <w:pPr>
              <w:rPr>
                <w:rFonts w:ascii="Calibri" w:hAnsi="Calibri" w:cs="Calibri"/>
                <w:i/>
                <w:iCs/>
              </w:rPr>
            </w:pPr>
            <w:r w:rsidRPr="00D633FF">
              <w:rPr>
                <w:rFonts w:ascii="Calibri" w:hAnsi="Calibri" w:cs="Calibri"/>
                <w:i/>
                <w:iCs/>
              </w:rPr>
              <w:t>Not updated</w:t>
            </w:r>
          </w:p>
        </w:tc>
      </w:tr>
      <w:tr w:rsidR="00382C99" w:rsidRPr="00D633FF" w14:paraId="3C762A91" w14:textId="77777777" w:rsidTr="003E5DAC">
        <w:tc>
          <w:tcPr>
            <w:tcW w:w="3245" w:type="dxa"/>
          </w:tcPr>
          <w:p w14:paraId="64EB6386" w14:textId="605FA5E5" w:rsidR="00382C99" w:rsidRPr="00D633FF" w:rsidRDefault="00382C99" w:rsidP="00FA1D5B">
            <w:pPr>
              <w:ind w:left="190"/>
              <w:rPr>
                <w:rFonts w:ascii="Calibri" w:hAnsi="Calibri" w:cs="Calibri"/>
              </w:rPr>
            </w:pPr>
            <w:r w:rsidRPr="00D633FF">
              <w:rPr>
                <w:rFonts w:ascii="Calibri" w:hAnsi="Calibri" w:cs="Calibri"/>
              </w:rPr>
              <w:t>7 to under 12 months</w:t>
            </w:r>
          </w:p>
        </w:tc>
        <w:tc>
          <w:tcPr>
            <w:tcW w:w="1135" w:type="dxa"/>
          </w:tcPr>
          <w:p w14:paraId="52CFF7DA" w14:textId="77777777" w:rsidR="00382C99" w:rsidRPr="00D633FF" w:rsidRDefault="00382C99">
            <w:pPr>
              <w:jc w:val="center"/>
              <w:rPr>
                <w:rFonts w:ascii="Calibri" w:hAnsi="Calibri" w:cs="Calibri"/>
              </w:rPr>
            </w:pPr>
          </w:p>
        </w:tc>
        <w:tc>
          <w:tcPr>
            <w:tcW w:w="1135" w:type="dxa"/>
          </w:tcPr>
          <w:p w14:paraId="3555E9CA" w14:textId="65BE5BAD" w:rsidR="00382C99" w:rsidRPr="00D633FF" w:rsidRDefault="00382C99">
            <w:pPr>
              <w:jc w:val="center"/>
              <w:rPr>
                <w:rFonts w:ascii="Calibri" w:hAnsi="Calibri" w:cs="Calibri"/>
              </w:rPr>
            </w:pPr>
          </w:p>
        </w:tc>
        <w:tc>
          <w:tcPr>
            <w:tcW w:w="1134" w:type="dxa"/>
          </w:tcPr>
          <w:p w14:paraId="3BF6C99E" w14:textId="05AC0BC1" w:rsidR="00382C99" w:rsidRPr="00D633FF" w:rsidRDefault="00382C99">
            <w:pPr>
              <w:jc w:val="center"/>
              <w:rPr>
                <w:rFonts w:ascii="Calibri" w:hAnsi="Calibri" w:cs="Calibri"/>
              </w:rPr>
            </w:pPr>
            <w:r w:rsidRPr="00D633FF">
              <w:rPr>
                <w:rFonts w:ascii="Calibri" w:hAnsi="Calibri" w:cs="Calibri"/>
              </w:rPr>
              <w:t>15</w:t>
            </w:r>
          </w:p>
        </w:tc>
        <w:tc>
          <w:tcPr>
            <w:tcW w:w="1134" w:type="dxa"/>
          </w:tcPr>
          <w:p w14:paraId="05A18712" w14:textId="68579881" w:rsidR="00382C99" w:rsidRPr="00D633FF" w:rsidRDefault="00382C99">
            <w:pPr>
              <w:jc w:val="center"/>
              <w:rPr>
                <w:rFonts w:ascii="Calibri" w:hAnsi="Calibri" w:cs="Calibri"/>
              </w:rPr>
            </w:pPr>
            <w:r w:rsidRPr="00D633FF">
              <w:rPr>
                <w:rFonts w:ascii="Calibri" w:hAnsi="Calibri" w:cs="Calibri"/>
              </w:rPr>
              <w:t>60</w:t>
            </w:r>
          </w:p>
        </w:tc>
        <w:tc>
          <w:tcPr>
            <w:tcW w:w="1573" w:type="dxa"/>
          </w:tcPr>
          <w:p w14:paraId="20C77AC2" w14:textId="73C73E23" w:rsidR="00382C99" w:rsidRPr="00D633FF" w:rsidRDefault="00B44D57">
            <w:pPr>
              <w:rPr>
                <w:rFonts w:ascii="Calibri" w:hAnsi="Calibri" w:cs="Calibri"/>
              </w:rPr>
            </w:pPr>
            <w:r w:rsidRPr="00D633FF">
              <w:rPr>
                <w:rFonts w:ascii="Calibri" w:hAnsi="Calibri" w:cs="Calibri"/>
                <w:i/>
                <w:iCs/>
              </w:rPr>
              <w:t>Not updated</w:t>
            </w:r>
          </w:p>
        </w:tc>
      </w:tr>
      <w:tr w:rsidR="00B3666C" w:rsidRPr="00D633FF" w14:paraId="0973C9BF" w14:textId="77777777" w:rsidTr="003E5DAC">
        <w:tc>
          <w:tcPr>
            <w:tcW w:w="3245" w:type="dxa"/>
            <w:shd w:val="clear" w:color="auto" w:fill="156082"/>
          </w:tcPr>
          <w:p w14:paraId="52D5FB96" w14:textId="67DA7781" w:rsidR="00B3666C" w:rsidRPr="00D633FF" w:rsidRDefault="00B3666C" w:rsidP="00AC2C25">
            <w:pPr>
              <w:rPr>
                <w:rFonts w:ascii="Calibri" w:hAnsi="Calibri" w:cs="Calibri"/>
                <w:b/>
                <w:bCs/>
                <w:color w:val="FFFFFF" w:themeColor="background1"/>
              </w:rPr>
            </w:pPr>
            <w:r w:rsidRPr="00D633FF">
              <w:rPr>
                <w:rFonts w:ascii="Calibri" w:hAnsi="Calibri" w:cs="Calibri"/>
                <w:color w:val="FFFFFF" w:themeColor="background1"/>
              </w:rPr>
              <w:t>Children and adolescents</w:t>
            </w:r>
          </w:p>
        </w:tc>
        <w:tc>
          <w:tcPr>
            <w:tcW w:w="1135" w:type="dxa"/>
            <w:shd w:val="clear" w:color="auto" w:fill="156082"/>
          </w:tcPr>
          <w:p w14:paraId="76219E4D" w14:textId="77777777" w:rsidR="00B3666C" w:rsidRPr="00D633FF" w:rsidRDefault="00B3666C" w:rsidP="00AC2C25">
            <w:pPr>
              <w:jc w:val="center"/>
              <w:rPr>
                <w:rFonts w:ascii="Calibri" w:hAnsi="Calibri" w:cs="Calibri"/>
                <w:b/>
                <w:bCs/>
                <w:color w:val="FFFFFF" w:themeColor="background1"/>
              </w:rPr>
            </w:pPr>
          </w:p>
        </w:tc>
        <w:tc>
          <w:tcPr>
            <w:tcW w:w="1135" w:type="dxa"/>
            <w:shd w:val="clear" w:color="auto" w:fill="156082"/>
          </w:tcPr>
          <w:p w14:paraId="02C2F6FF" w14:textId="77777777" w:rsidR="00B3666C" w:rsidRPr="00D633FF" w:rsidRDefault="00B3666C" w:rsidP="00AC2C25">
            <w:pPr>
              <w:jc w:val="center"/>
              <w:rPr>
                <w:rFonts w:ascii="Calibri" w:hAnsi="Calibri" w:cs="Calibri"/>
                <w:b/>
                <w:bCs/>
                <w:color w:val="FFFFFF" w:themeColor="background1"/>
              </w:rPr>
            </w:pPr>
          </w:p>
        </w:tc>
        <w:tc>
          <w:tcPr>
            <w:tcW w:w="1134" w:type="dxa"/>
            <w:shd w:val="clear" w:color="auto" w:fill="156082"/>
          </w:tcPr>
          <w:p w14:paraId="0C8A5467" w14:textId="77777777" w:rsidR="00B3666C" w:rsidRPr="00D633FF" w:rsidRDefault="00B3666C" w:rsidP="00AC2C25">
            <w:pPr>
              <w:jc w:val="center"/>
              <w:rPr>
                <w:rFonts w:ascii="Calibri" w:hAnsi="Calibri" w:cs="Calibri"/>
                <w:b/>
                <w:bCs/>
                <w:color w:val="FFFFFF" w:themeColor="background1"/>
              </w:rPr>
            </w:pPr>
          </w:p>
        </w:tc>
        <w:tc>
          <w:tcPr>
            <w:tcW w:w="1134" w:type="dxa"/>
            <w:shd w:val="clear" w:color="auto" w:fill="156082"/>
          </w:tcPr>
          <w:p w14:paraId="31D4BD00" w14:textId="77777777" w:rsidR="00B3666C" w:rsidRPr="00D633FF" w:rsidRDefault="00B3666C" w:rsidP="00AC2C25">
            <w:pPr>
              <w:jc w:val="center"/>
              <w:rPr>
                <w:rFonts w:ascii="Calibri" w:hAnsi="Calibri" w:cs="Calibri"/>
                <w:b/>
                <w:bCs/>
                <w:color w:val="FFFFFF" w:themeColor="background1"/>
              </w:rPr>
            </w:pPr>
          </w:p>
        </w:tc>
        <w:tc>
          <w:tcPr>
            <w:tcW w:w="1573" w:type="dxa"/>
            <w:shd w:val="clear" w:color="auto" w:fill="156082"/>
          </w:tcPr>
          <w:p w14:paraId="496381B5" w14:textId="77777777" w:rsidR="00B3666C" w:rsidRPr="00D633FF" w:rsidRDefault="00B3666C" w:rsidP="00AC2C25">
            <w:pPr>
              <w:rPr>
                <w:rFonts w:ascii="Calibri" w:hAnsi="Calibri" w:cs="Calibri"/>
                <w:b/>
                <w:bCs/>
                <w:color w:val="FFFFFF" w:themeColor="background1"/>
              </w:rPr>
            </w:pPr>
          </w:p>
        </w:tc>
      </w:tr>
      <w:tr w:rsidR="00B34364" w:rsidRPr="00D633FF" w14:paraId="3DA58B47" w14:textId="77777777" w:rsidTr="003E5DAC">
        <w:tc>
          <w:tcPr>
            <w:tcW w:w="3245" w:type="dxa"/>
          </w:tcPr>
          <w:p w14:paraId="45A47F8C" w14:textId="6044C09B" w:rsidR="00B34364" w:rsidRPr="00D633FF" w:rsidRDefault="00B34364" w:rsidP="00FA1D5B">
            <w:pPr>
              <w:ind w:left="190"/>
              <w:rPr>
                <w:rFonts w:ascii="Calibri" w:hAnsi="Calibri" w:cs="Calibri"/>
              </w:rPr>
            </w:pPr>
            <w:r w:rsidRPr="00D633FF">
              <w:rPr>
                <w:rFonts w:ascii="Calibri" w:hAnsi="Calibri" w:cs="Calibri"/>
              </w:rPr>
              <w:t>1 to under 4 years</w:t>
            </w:r>
          </w:p>
        </w:tc>
        <w:tc>
          <w:tcPr>
            <w:tcW w:w="1135" w:type="dxa"/>
          </w:tcPr>
          <w:p w14:paraId="52BDE5B8" w14:textId="2D3D883D" w:rsidR="00B34364" w:rsidRPr="00D633FF" w:rsidRDefault="00B34364" w:rsidP="00F13B7C">
            <w:pPr>
              <w:jc w:val="center"/>
              <w:rPr>
                <w:rFonts w:ascii="Calibri" w:hAnsi="Calibri" w:cs="Calibri"/>
              </w:rPr>
            </w:pPr>
            <w:r w:rsidRPr="00D633FF">
              <w:rPr>
                <w:rFonts w:ascii="Calibri" w:hAnsi="Calibri" w:cs="Calibri"/>
              </w:rPr>
              <w:t>20</w:t>
            </w:r>
          </w:p>
        </w:tc>
        <w:tc>
          <w:tcPr>
            <w:tcW w:w="1135" w:type="dxa"/>
          </w:tcPr>
          <w:p w14:paraId="5A2295BD" w14:textId="662C2996" w:rsidR="00B34364" w:rsidRPr="00D633FF" w:rsidRDefault="00B34364" w:rsidP="00F13B7C">
            <w:pPr>
              <w:jc w:val="center"/>
              <w:rPr>
                <w:rFonts w:ascii="Calibri" w:hAnsi="Calibri" w:cs="Calibri"/>
              </w:rPr>
            </w:pPr>
            <w:r w:rsidRPr="00D633FF">
              <w:rPr>
                <w:rFonts w:ascii="Calibri" w:hAnsi="Calibri" w:cs="Calibri"/>
              </w:rPr>
              <w:t>25</w:t>
            </w:r>
          </w:p>
        </w:tc>
        <w:tc>
          <w:tcPr>
            <w:tcW w:w="1134" w:type="dxa"/>
          </w:tcPr>
          <w:p w14:paraId="7BD761F4" w14:textId="77777777" w:rsidR="00B34364" w:rsidRPr="00D633FF" w:rsidRDefault="00B34364" w:rsidP="00F13B7C">
            <w:pPr>
              <w:jc w:val="center"/>
              <w:rPr>
                <w:rFonts w:ascii="Calibri" w:hAnsi="Calibri" w:cs="Calibri"/>
                <w:highlight w:val="lightGray"/>
              </w:rPr>
            </w:pPr>
          </w:p>
        </w:tc>
        <w:tc>
          <w:tcPr>
            <w:tcW w:w="1134" w:type="dxa"/>
          </w:tcPr>
          <w:p w14:paraId="10D5B5DE" w14:textId="481CD264" w:rsidR="00B34364" w:rsidRPr="00D633FF" w:rsidRDefault="00B34364" w:rsidP="00F13B7C">
            <w:pPr>
              <w:jc w:val="center"/>
              <w:rPr>
                <w:rFonts w:ascii="Calibri" w:hAnsi="Calibri" w:cs="Calibri"/>
              </w:rPr>
            </w:pPr>
            <w:r w:rsidRPr="00D633FF">
              <w:rPr>
                <w:rFonts w:ascii="Calibri" w:hAnsi="Calibri" w:cs="Calibri"/>
              </w:rPr>
              <w:t>100</w:t>
            </w:r>
          </w:p>
        </w:tc>
        <w:tc>
          <w:tcPr>
            <w:tcW w:w="1573" w:type="dxa"/>
          </w:tcPr>
          <w:p w14:paraId="71AED299" w14:textId="77777777" w:rsidR="00B34364" w:rsidRPr="00D633FF" w:rsidRDefault="00B34364" w:rsidP="00F13B7C">
            <w:pPr>
              <w:rPr>
                <w:rFonts w:ascii="Calibri" w:hAnsi="Calibri" w:cs="Calibri"/>
              </w:rPr>
            </w:pPr>
          </w:p>
        </w:tc>
      </w:tr>
      <w:tr w:rsidR="00B34364" w:rsidRPr="00D633FF" w14:paraId="1B25C062" w14:textId="77777777" w:rsidTr="003E5DAC">
        <w:tc>
          <w:tcPr>
            <w:tcW w:w="3245" w:type="dxa"/>
          </w:tcPr>
          <w:p w14:paraId="05F81DE9" w14:textId="55BAB57B" w:rsidR="00B34364" w:rsidRPr="00D633FF" w:rsidRDefault="00B34364" w:rsidP="00FA1D5B">
            <w:pPr>
              <w:ind w:left="190"/>
              <w:rPr>
                <w:rFonts w:ascii="Calibri" w:hAnsi="Calibri" w:cs="Calibri"/>
              </w:rPr>
            </w:pPr>
            <w:r w:rsidRPr="00D633FF">
              <w:rPr>
                <w:rFonts w:ascii="Calibri" w:hAnsi="Calibri" w:cs="Calibri"/>
              </w:rPr>
              <w:t>4 to under 9 years</w:t>
            </w:r>
          </w:p>
        </w:tc>
        <w:tc>
          <w:tcPr>
            <w:tcW w:w="1135" w:type="dxa"/>
          </w:tcPr>
          <w:p w14:paraId="1AA02F11" w14:textId="6A45A345" w:rsidR="00B34364" w:rsidRPr="00D633FF" w:rsidRDefault="00B34364" w:rsidP="00F13B7C">
            <w:pPr>
              <w:jc w:val="center"/>
              <w:rPr>
                <w:rFonts w:ascii="Calibri" w:hAnsi="Calibri" w:cs="Calibri"/>
              </w:rPr>
            </w:pPr>
            <w:r w:rsidRPr="00D633FF">
              <w:rPr>
                <w:rFonts w:ascii="Calibri" w:hAnsi="Calibri" w:cs="Calibri"/>
              </w:rPr>
              <w:t>25</w:t>
            </w:r>
          </w:p>
        </w:tc>
        <w:tc>
          <w:tcPr>
            <w:tcW w:w="1135" w:type="dxa"/>
          </w:tcPr>
          <w:p w14:paraId="0E3A543A" w14:textId="12025ECB" w:rsidR="00B34364" w:rsidRPr="00D633FF" w:rsidRDefault="00B34364" w:rsidP="00F13B7C">
            <w:pPr>
              <w:jc w:val="center"/>
              <w:rPr>
                <w:rFonts w:ascii="Calibri" w:hAnsi="Calibri" w:cs="Calibri"/>
              </w:rPr>
            </w:pPr>
            <w:r w:rsidRPr="00D633FF">
              <w:rPr>
                <w:rFonts w:ascii="Calibri" w:hAnsi="Calibri" w:cs="Calibri"/>
              </w:rPr>
              <w:t>30</w:t>
            </w:r>
          </w:p>
        </w:tc>
        <w:tc>
          <w:tcPr>
            <w:tcW w:w="1134" w:type="dxa"/>
          </w:tcPr>
          <w:p w14:paraId="6EBDFF9F" w14:textId="77777777" w:rsidR="00B34364" w:rsidRPr="00D633FF" w:rsidRDefault="00B34364" w:rsidP="00F13B7C">
            <w:pPr>
              <w:jc w:val="center"/>
              <w:rPr>
                <w:rFonts w:ascii="Calibri" w:hAnsi="Calibri" w:cs="Calibri"/>
                <w:highlight w:val="lightGray"/>
              </w:rPr>
            </w:pPr>
          </w:p>
        </w:tc>
        <w:tc>
          <w:tcPr>
            <w:tcW w:w="1134" w:type="dxa"/>
          </w:tcPr>
          <w:p w14:paraId="0A046CB4" w14:textId="490D1661" w:rsidR="00B34364" w:rsidRPr="00D633FF" w:rsidRDefault="00B34364" w:rsidP="00F13B7C">
            <w:pPr>
              <w:jc w:val="center"/>
              <w:rPr>
                <w:rFonts w:ascii="Calibri" w:hAnsi="Calibri" w:cs="Calibri"/>
              </w:rPr>
            </w:pPr>
            <w:r w:rsidRPr="00D633FF">
              <w:rPr>
                <w:rFonts w:ascii="Calibri" w:hAnsi="Calibri" w:cs="Calibri"/>
              </w:rPr>
              <w:t>150</w:t>
            </w:r>
          </w:p>
        </w:tc>
        <w:tc>
          <w:tcPr>
            <w:tcW w:w="1573" w:type="dxa"/>
          </w:tcPr>
          <w:p w14:paraId="66CAE545" w14:textId="77777777" w:rsidR="00B34364" w:rsidRPr="00D633FF" w:rsidRDefault="00B34364" w:rsidP="00F13B7C">
            <w:pPr>
              <w:rPr>
                <w:rFonts w:ascii="Calibri" w:hAnsi="Calibri" w:cs="Calibri"/>
              </w:rPr>
            </w:pPr>
          </w:p>
        </w:tc>
      </w:tr>
      <w:tr w:rsidR="00B34364" w:rsidRPr="00D633FF" w14:paraId="580EB725" w14:textId="77777777" w:rsidTr="003E5DAC">
        <w:tc>
          <w:tcPr>
            <w:tcW w:w="3245" w:type="dxa"/>
          </w:tcPr>
          <w:p w14:paraId="16BC2E35" w14:textId="32C1CA92" w:rsidR="00B34364" w:rsidRPr="00D633FF" w:rsidRDefault="00B34364" w:rsidP="00FA1D5B">
            <w:pPr>
              <w:ind w:left="190"/>
              <w:rPr>
                <w:rFonts w:ascii="Calibri" w:hAnsi="Calibri" w:cs="Calibri"/>
              </w:rPr>
            </w:pPr>
            <w:r w:rsidRPr="00D633FF">
              <w:rPr>
                <w:rFonts w:ascii="Calibri" w:hAnsi="Calibri" w:cs="Calibri"/>
              </w:rPr>
              <w:t>9 to under 14 years</w:t>
            </w:r>
          </w:p>
        </w:tc>
        <w:tc>
          <w:tcPr>
            <w:tcW w:w="1135" w:type="dxa"/>
          </w:tcPr>
          <w:p w14:paraId="4C455C3A" w14:textId="7F47ED51" w:rsidR="00B34364" w:rsidRPr="00D633FF" w:rsidRDefault="00B34364" w:rsidP="00F13B7C">
            <w:pPr>
              <w:jc w:val="center"/>
              <w:rPr>
                <w:rFonts w:ascii="Calibri" w:hAnsi="Calibri" w:cs="Calibri"/>
              </w:rPr>
            </w:pPr>
            <w:r w:rsidRPr="00D633FF">
              <w:rPr>
                <w:rFonts w:ascii="Calibri" w:hAnsi="Calibri" w:cs="Calibri"/>
              </w:rPr>
              <w:t>40</w:t>
            </w:r>
          </w:p>
        </w:tc>
        <w:tc>
          <w:tcPr>
            <w:tcW w:w="1135" w:type="dxa"/>
          </w:tcPr>
          <w:p w14:paraId="1BF00705" w14:textId="20B283E3" w:rsidR="00B34364" w:rsidRPr="00D633FF" w:rsidRDefault="00B34364" w:rsidP="00F13B7C">
            <w:pPr>
              <w:jc w:val="center"/>
              <w:rPr>
                <w:rFonts w:ascii="Calibri" w:hAnsi="Calibri" w:cs="Calibri"/>
              </w:rPr>
            </w:pPr>
            <w:r w:rsidRPr="00D633FF">
              <w:rPr>
                <w:rFonts w:ascii="Calibri" w:hAnsi="Calibri" w:cs="Calibri"/>
              </w:rPr>
              <w:t>50</w:t>
            </w:r>
          </w:p>
        </w:tc>
        <w:tc>
          <w:tcPr>
            <w:tcW w:w="1134" w:type="dxa"/>
          </w:tcPr>
          <w:p w14:paraId="624A1E82" w14:textId="77777777" w:rsidR="00B34364" w:rsidRPr="00D633FF" w:rsidRDefault="00B34364" w:rsidP="00F13B7C">
            <w:pPr>
              <w:jc w:val="center"/>
              <w:rPr>
                <w:rFonts w:ascii="Calibri" w:hAnsi="Calibri" w:cs="Calibri"/>
                <w:highlight w:val="lightGray"/>
              </w:rPr>
            </w:pPr>
          </w:p>
        </w:tc>
        <w:tc>
          <w:tcPr>
            <w:tcW w:w="1134" w:type="dxa"/>
          </w:tcPr>
          <w:p w14:paraId="50815D4F" w14:textId="52406EEF" w:rsidR="00B34364" w:rsidRPr="00D633FF" w:rsidRDefault="00B34364" w:rsidP="00F13B7C">
            <w:pPr>
              <w:jc w:val="center"/>
              <w:rPr>
                <w:rFonts w:ascii="Calibri" w:hAnsi="Calibri" w:cs="Calibri"/>
              </w:rPr>
            </w:pPr>
            <w:r w:rsidRPr="00D633FF">
              <w:rPr>
                <w:rFonts w:ascii="Calibri" w:hAnsi="Calibri" w:cs="Calibri"/>
              </w:rPr>
              <w:t>235</w:t>
            </w:r>
          </w:p>
        </w:tc>
        <w:tc>
          <w:tcPr>
            <w:tcW w:w="1573" w:type="dxa"/>
          </w:tcPr>
          <w:p w14:paraId="0DE571C0" w14:textId="77777777" w:rsidR="00B34364" w:rsidRPr="00D633FF" w:rsidRDefault="00B34364" w:rsidP="00F13B7C">
            <w:pPr>
              <w:rPr>
                <w:rFonts w:ascii="Calibri" w:hAnsi="Calibri" w:cs="Calibri"/>
              </w:rPr>
            </w:pPr>
          </w:p>
        </w:tc>
      </w:tr>
      <w:tr w:rsidR="00B34364" w:rsidRPr="00D633FF" w14:paraId="0E676FF6" w14:textId="77777777" w:rsidTr="003E5DAC">
        <w:tc>
          <w:tcPr>
            <w:tcW w:w="3245" w:type="dxa"/>
            <w:shd w:val="clear" w:color="auto" w:fill="DAE9F7" w:themeFill="text2" w:themeFillTint="1A"/>
          </w:tcPr>
          <w:p w14:paraId="3059D636" w14:textId="5C983486" w:rsidR="00B34364" w:rsidRPr="00D633FF" w:rsidRDefault="00B34364" w:rsidP="00FA1D5B">
            <w:pPr>
              <w:ind w:left="190"/>
              <w:rPr>
                <w:rFonts w:ascii="Calibri" w:hAnsi="Calibri" w:cs="Calibri"/>
              </w:rPr>
            </w:pPr>
            <w:r w:rsidRPr="00D633FF">
              <w:rPr>
                <w:rFonts w:ascii="Calibri" w:hAnsi="Calibri" w:cs="Calibri"/>
              </w:rPr>
              <w:t>Males 14 to under 18 years</w:t>
            </w:r>
          </w:p>
        </w:tc>
        <w:tc>
          <w:tcPr>
            <w:tcW w:w="1135" w:type="dxa"/>
            <w:shd w:val="clear" w:color="auto" w:fill="DAE9F7" w:themeFill="text2" w:themeFillTint="1A"/>
          </w:tcPr>
          <w:p w14:paraId="017B8FFE" w14:textId="7B2BC8A1" w:rsidR="00B34364" w:rsidRPr="00D633FF" w:rsidRDefault="00B34364" w:rsidP="00F13B7C">
            <w:pPr>
              <w:jc w:val="center"/>
              <w:rPr>
                <w:rFonts w:ascii="Calibri" w:hAnsi="Calibri" w:cs="Calibri"/>
              </w:rPr>
            </w:pPr>
            <w:r w:rsidRPr="00D633FF">
              <w:rPr>
                <w:rFonts w:ascii="Calibri" w:hAnsi="Calibri" w:cs="Calibri"/>
              </w:rPr>
              <w:t>60</w:t>
            </w:r>
          </w:p>
        </w:tc>
        <w:tc>
          <w:tcPr>
            <w:tcW w:w="1135" w:type="dxa"/>
            <w:shd w:val="clear" w:color="auto" w:fill="DAE9F7" w:themeFill="text2" w:themeFillTint="1A"/>
          </w:tcPr>
          <w:p w14:paraId="7C4FA37D" w14:textId="57312373" w:rsidR="00B34364" w:rsidRPr="00D633FF" w:rsidRDefault="00B34364" w:rsidP="00F13B7C">
            <w:pPr>
              <w:jc w:val="center"/>
              <w:rPr>
                <w:rFonts w:ascii="Calibri" w:hAnsi="Calibri" w:cs="Calibri"/>
              </w:rPr>
            </w:pPr>
            <w:r w:rsidRPr="00D633FF">
              <w:rPr>
                <w:rFonts w:ascii="Calibri" w:hAnsi="Calibri" w:cs="Calibri"/>
              </w:rPr>
              <w:t>70</w:t>
            </w:r>
          </w:p>
        </w:tc>
        <w:tc>
          <w:tcPr>
            <w:tcW w:w="1134" w:type="dxa"/>
          </w:tcPr>
          <w:p w14:paraId="163FF6AA" w14:textId="77777777" w:rsidR="00B34364" w:rsidRPr="00D633FF" w:rsidRDefault="00B34364" w:rsidP="00F13B7C">
            <w:pPr>
              <w:jc w:val="center"/>
              <w:rPr>
                <w:rFonts w:ascii="Calibri" w:hAnsi="Calibri" w:cs="Calibri"/>
                <w:highlight w:val="lightGray"/>
              </w:rPr>
            </w:pPr>
          </w:p>
        </w:tc>
        <w:tc>
          <w:tcPr>
            <w:tcW w:w="1134" w:type="dxa"/>
            <w:shd w:val="clear" w:color="auto" w:fill="DAE9F7" w:themeFill="text2" w:themeFillTint="1A"/>
          </w:tcPr>
          <w:p w14:paraId="2EE68757" w14:textId="297A6ECB" w:rsidR="00B34364" w:rsidRPr="00D633FF" w:rsidRDefault="00B34364" w:rsidP="00F13B7C">
            <w:pPr>
              <w:jc w:val="center"/>
              <w:rPr>
                <w:rFonts w:ascii="Calibri" w:hAnsi="Calibri" w:cs="Calibri"/>
              </w:rPr>
            </w:pPr>
            <w:r w:rsidRPr="00D633FF">
              <w:rPr>
                <w:rFonts w:ascii="Calibri" w:hAnsi="Calibri" w:cs="Calibri"/>
              </w:rPr>
              <w:t>305</w:t>
            </w:r>
          </w:p>
        </w:tc>
        <w:tc>
          <w:tcPr>
            <w:tcW w:w="1573" w:type="dxa"/>
            <w:shd w:val="clear" w:color="auto" w:fill="DAE9F7" w:themeFill="text2" w:themeFillTint="1A"/>
          </w:tcPr>
          <w:p w14:paraId="5CE2D531" w14:textId="77777777" w:rsidR="00B34364" w:rsidRPr="00D633FF" w:rsidRDefault="00B34364" w:rsidP="00F13B7C">
            <w:pPr>
              <w:rPr>
                <w:rFonts w:ascii="Calibri" w:hAnsi="Calibri" w:cs="Calibri"/>
              </w:rPr>
            </w:pPr>
          </w:p>
        </w:tc>
      </w:tr>
      <w:tr w:rsidR="00B34364" w:rsidRPr="00D633FF" w14:paraId="28CE11F5" w14:textId="77777777" w:rsidTr="003E5DAC">
        <w:tc>
          <w:tcPr>
            <w:tcW w:w="3245" w:type="dxa"/>
            <w:shd w:val="clear" w:color="auto" w:fill="F2CEED" w:themeFill="accent5" w:themeFillTint="33"/>
          </w:tcPr>
          <w:p w14:paraId="1AAD0FCE" w14:textId="0A193EBB" w:rsidR="00B34364" w:rsidRPr="00D633FF" w:rsidRDefault="00B34364" w:rsidP="00FA1D5B">
            <w:pPr>
              <w:ind w:left="190"/>
              <w:rPr>
                <w:rFonts w:ascii="Calibri" w:hAnsi="Calibri" w:cs="Calibri"/>
              </w:rPr>
            </w:pPr>
            <w:r w:rsidRPr="00D633FF">
              <w:rPr>
                <w:rFonts w:ascii="Calibri" w:hAnsi="Calibri" w:cs="Calibri"/>
              </w:rPr>
              <w:t>Females 14 to under 18 years</w:t>
            </w:r>
          </w:p>
        </w:tc>
        <w:tc>
          <w:tcPr>
            <w:tcW w:w="1135" w:type="dxa"/>
            <w:shd w:val="clear" w:color="auto" w:fill="F2CEED" w:themeFill="accent5" w:themeFillTint="33"/>
          </w:tcPr>
          <w:p w14:paraId="7C440FB0" w14:textId="44D98012" w:rsidR="00B34364" w:rsidRPr="00D633FF" w:rsidRDefault="00B34364" w:rsidP="00F13B7C">
            <w:pPr>
              <w:jc w:val="center"/>
              <w:rPr>
                <w:rFonts w:ascii="Calibri" w:hAnsi="Calibri" w:cs="Calibri"/>
              </w:rPr>
            </w:pPr>
            <w:r w:rsidRPr="00D633FF">
              <w:rPr>
                <w:rFonts w:ascii="Calibri" w:hAnsi="Calibri" w:cs="Calibri"/>
              </w:rPr>
              <w:t>50</w:t>
            </w:r>
          </w:p>
        </w:tc>
        <w:tc>
          <w:tcPr>
            <w:tcW w:w="1135" w:type="dxa"/>
            <w:shd w:val="clear" w:color="auto" w:fill="F2CEED" w:themeFill="accent5" w:themeFillTint="33"/>
          </w:tcPr>
          <w:p w14:paraId="5A1ABDD2" w14:textId="02566F43" w:rsidR="00B34364" w:rsidRPr="00D633FF" w:rsidRDefault="00B34364" w:rsidP="00F13B7C">
            <w:pPr>
              <w:jc w:val="center"/>
              <w:rPr>
                <w:rFonts w:ascii="Calibri" w:hAnsi="Calibri" w:cs="Calibri"/>
              </w:rPr>
            </w:pPr>
            <w:r w:rsidRPr="00D633FF">
              <w:rPr>
                <w:rFonts w:ascii="Calibri" w:hAnsi="Calibri" w:cs="Calibri"/>
              </w:rPr>
              <w:t>60</w:t>
            </w:r>
          </w:p>
        </w:tc>
        <w:tc>
          <w:tcPr>
            <w:tcW w:w="1134" w:type="dxa"/>
          </w:tcPr>
          <w:p w14:paraId="4EF112A8" w14:textId="77777777" w:rsidR="00B34364" w:rsidRPr="00D633FF" w:rsidRDefault="00B34364" w:rsidP="00F13B7C">
            <w:pPr>
              <w:jc w:val="center"/>
              <w:rPr>
                <w:rFonts w:ascii="Calibri" w:hAnsi="Calibri" w:cs="Calibri"/>
                <w:highlight w:val="lightGray"/>
              </w:rPr>
            </w:pPr>
          </w:p>
        </w:tc>
        <w:tc>
          <w:tcPr>
            <w:tcW w:w="1134" w:type="dxa"/>
            <w:shd w:val="clear" w:color="auto" w:fill="F2CEED" w:themeFill="accent5" w:themeFillTint="33"/>
          </w:tcPr>
          <w:p w14:paraId="11658A0E" w14:textId="39F4DBCB" w:rsidR="00B34364" w:rsidRPr="00D633FF" w:rsidRDefault="00B34364" w:rsidP="00F13B7C">
            <w:pPr>
              <w:jc w:val="center"/>
              <w:rPr>
                <w:rFonts w:ascii="Calibri" w:hAnsi="Calibri" w:cs="Calibri"/>
              </w:rPr>
            </w:pPr>
            <w:r w:rsidRPr="00D633FF">
              <w:rPr>
                <w:rFonts w:ascii="Calibri" w:hAnsi="Calibri" w:cs="Calibri"/>
              </w:rPr>
              <w:t>305</w:t>
            </w:r>
          </w:p>
        </w:tc>
        <w:tc>
          <w:tcPr>
            <w:tcW w:w="1573" w:type="dxa"/>
            <w:shd w:val="clear" w:color="auto" w:fill="F2CEED" w:themeFill="accent5" w:themeFillTint="33"/>
          </w:tcPr>
          <w:p w14:paraId="7F6DF873" w14:textId="77777777" w:rsidR="00B34364" w:rsidRPr="00D633FF" w:rsidRDefault="00B34364" w:rsidP="00F13B7C">
            <w:pPr>
              <w:rPr>
                <w:rFonts w:ascii="Calibri" w:hAnsi="Calibri" w:cs="Calibri"/>
              </w:rPr>
            </w:pPr>
          </w:p>
        </w:tc>
      </w:tr>
      <w:tr w:rsidR="00B3666C" w:rsidRPr="00D633FF" w14:paraId="5EE20EFE" w14:textId="77777777" w:rsidTr="003E5DAC">
        <w:tc>
          <w:tcPr>
            <w:tcW w:w="3245" w:type="dxa"/>
            <w:shd w:val="clear" w:color="auto" w:fill="156082"/>
          </w:tcPr>
          <w:p w14:paraId="26AB2654" w14:textId="7DAEC5CA" w:rsidR="00B3666C" w:rsidRPr="00D633FF" w:rsidRDefault="00B3666C" w:rsidP="00AC2C25">
            <w:pPr>
              <w:rPr>
                <w:rFonts w:ascii="Calibri" w:hAnsi="Calibri" w:cs="Calibri"/>
                <w:b/>
                <w:bCs/>
                <w:color w:val="FFFFFF" w:themeColor="background1"/>
              </w:rPr>
            </w:pPr>
            <w:r w:rsidRPr="00D633FF">
              <w:rPr>
                <w:rFonts w:ascii="Calibri" w:hAnsi="Calibri" w:cs="Calibri"/>
                <w:color w:val="FFFFFF" w:themeColor="background1"/>
              </w:rPr>
              <w:t>Adults</w:t>
            </w:r>
          </w:p>
        </w:tc>
        <w:tc>
          <w:tcPr>
            <w:tcW w:w="1135" w:type="dxa"/>
            <w:shd w:val="clear" w:color="auto" w:fill="156082"/>
          </w:tcPr>
          <w:p w14:paraId="0EEA3B5C" w14:textId="77777777" w:rsidR="00B3666C" w:rsidRPr="00D633FF" w:rsidRDefault="00B3666C" w:rsidP="00AC2C25">
            <w:pPr>
              <w:jc w:val="center"/>
              <w:rPr>
                <w:rFonts w:ascii="Calibri" w:hAnsi="Calibri" w:cs="Calibri"/>
                <w:b/>
                <w:bCs/>
                <w:color w:val="FFFFFF" w:themeColor="background1"/>
              </w:rPr>
            </w:pPr>
          </w:p>
        </w:tc>
        <w:tc>
          <w:tcPr>
            <w:tcW w:w="1135" w:type="dxa"/>
            <w:shd w:val="clear" w:color="auto" w:fill="156082"/>
          </w:tcPr>
          <w:p w14:paraId="4AF3FFE7" w14:textId="77777777" w:rsidR="00B3666C" w:rsidRPr="00D633FF" w:rsidRDefault="00B3666C" w:rsidP="00AC2C25">
            <w:pPr>
              <w:jc w:val="center"/>
              <w:rPr>
                <w:rFonts w:ascii="Calibri" w:hAnsi="Calibri" w:cs="Calibri"/>
                <w:b/>
                <w:bCs/>
                <w:color w:val="FFFFFF" w:themeColor="background1"/>
              </w:rPr>
            </w:pPr>
          </w:p>
        </w:tc>
        <w:tc>
          <w:tcPr>
            <w:tcW w:w="1134" w:type="dxa"/>
            <w:shd w:val="clear" w:color="auto" w:fill="156082"/>
          </w:tcPr>
          <w:p w14:paraId="0DAD25B3" w14:textId="77777777" w:rsidR="00B3666C" w:rsidRPr="00D633FF" w:rsidRDefault="00B3666C" w:rsidP="00AC2C25">
            <w:pPr>
              <w:jc w:val="center"/>
              <w:rPr>
                <w:rFonts w:ascii="Calibri" w:hAnsi="Calibri" w:cs="Calibri"/>
                <w:b/>
                <w:bCs/>
                <w:color w:val="FFFFFF" w:themeColor="background1"/>
              </w:rPr>
            </w:pPr>
          </w:p>
        </w:tc>
        <w:tc>
          <w:tcPr>
            <w:tcW w:w="1134" w:type="dxa"/>
            <w:shd w:val="clear" w:color="auto" w:fill="156082"/>
          </w:tcPr>
          <w:p w14:paraId="468C0344" w14:textId="77777777" w:rsidR="00B3666C" w:rsidRPr="00D633FF" w:rsidRDefault="00B3666C" w:rsidP="00AC2C25">
            <w:pPr>
              <w:jc w:val="center"/>
              <w:rPr>
                <w:rFonts w:ascii="Calibri" w:hAnsi="Calibri" w:cs="Calibri"/>
                <w:b/>
                <w:bCs/>
                <w:color w:val="FFFFFF" w:themeColor="background1"/>
              </w:rPr>
            </w:pPr>
          </w:p>
        </w:tc>
        <w:tc>
          <w:tcPr>
            <w:tcW w:w="1573" w:type="dxa"/>
            <w:shd w:val="clear" w:color="auto" w:fill="156082"/>
          </w:tcPr>
          <w:p w14:paraId="04662D3C" w14:textId="77777777" w:rsidR="00B3666C" w:rsidRPr="00D633FF" w:rsidRDefault="00B3666C" w:rsidP="00AC2C25">
            <w:pPr>
              <w:rPr>
                <w:rFonts w:ascii="Calibri" w:hAnsi="Calibri" w:cs="Calibri"/>
                <w:b/>
                <w:bCs/>
                <w:color w:val="FFFFFF" w:themeColor="background1"/>
              </w:rPr>
            </w:pPr>
          </w:p>
        </w:tc>
      </w:tr>
      <w:tr w:rsidR="00B34364" w:rsidRPr="00D633FF" w14:paraId="235C8CB0" w14:textId="77777777" w:rsidTr="003E5DAC">
        <w:tc>
          <w:tcPr>
            <w:tcW w:w="3245" w:type="dxa"/>
            <w:shd w:val="clear" w:color="auto" w:fill="DAE9F7" w:themeFill="text2" w:themeFillTint="1A"/>
            <w:vAlign w:val="center"/>
          </w:tcPr>
          <w:p w14:paraId="376C5939" w14:textId="3823D6C5" w:rsidR="00B34364" w:rsidRPr="00D633FF" w:rsidRDefault="00B34364" w:rsidP="00FA1D5B">
            <w:pPr>
              <w:ind w:left="190"/>
              <w:rPr>
                <w:rFonts w:ascii="Calibri" w:hAnsi="Calibri" w:cs="Calibri"/>
              </w:rPr>
            </w:pPr>
            <w:r w:rsidRPr="00D633FF">
              <w:rPr>
                <w:rFonts w:ascii="Calibri" w:hAnsi="Calibri" w:cs="Calibri"/>
              </w:rPr>
              <w:t>Males 18 to under 30 years</w:t>
            </w:r>
          </w:p>
        </w:tc>
        <w:tc>
          <w:tcPr>
            <w:tcW w:w="1135" w:type="dxa"/>
            <w:shd w:val="clear" w:color="auto" w:fill="DAE9F7" w:themeFill="text2" w:themeFillTint="1A"/>
          </w:tcPr>
          <w:p w14:paraId="52A7BD11" w14:textId="0D02A0B8" w:rsidR="00B34364" w:rsidRPr="00D633FF" w:rsidRDefault="00B34364">
            <w:pPr>
              <w:jc w:val="center"/>
              <w:rPr>
                <w:rFonts w:ascii="Calibri" w:hAnsi="Calibri" w:cs="Calibri"/>
                <w:highlight w:val="lightGray"/>
              </w:rPr>
            </w:pPr>
            <w:r w:rsidRPr="00D633FF">
              <w:rPr>
                <w:rFonts w:ascii="Calibri" w:hAnsi="Calibri" w:cs="Calibri"/>
              </w:rPr>
              <w:t>60</w:t>
            </w:r>
          </w:p>
        </w:tc>
        <w:tc>
          <w:tcPr>
            <w:tcW w:w="1135" w:type="dxa"/>
            <w:shd w:val="clear" w:color="auto" w:fill="DAE9F7" w:themeFill="text2" w:themeFillTint="1A"/>
          </w:tcPr>
          <w:p w14:paraId="080D1B75" w14:textId="1D6BED25" w:rsidR="00B34364" w:rsidRPr="00D633FF" w:rsidRDefault="00B34364">
            <w:pPr>
              <w:jc w:val="center"/>
              <w:rPr>
                <w:rFonts w:ascii="Calibri" w:hAnsi="Calibri" w:cs="Calibri"/>
                <w:highlight w:val="lightGray"/>
              </w:rPr>
            </w:pPr>
            <w:r w:rsidRPr="00D633FF">
              <w:rPr>
                <w:rFonts w:ascii="Calibri" w:hAnsi="Calibri" w:cs="Calibri"/>
              </w:rPr>
              <w:t>70</w:t>
            </w:r>
          </w:p>
        </w:tc>
        <w:tc>
          <w:tcPr>
            <w:tcW w:w="1134" w:type="dxa"/>
          </w:tcPr>
          <w:p w14:paraId="79E308A7" w14:textId="77777777" w:rsidR="00B34364" w:rsidRPr="00D633FF" w:rsidRDefault="00B34364">
            <w:pPr>
              <w:jc w:val="center"/>
              <w:rPr>
                <w:rFonts w:ascii="Calibri" w:hAnsi="Calibri" w:cs="Calibri"/>
                <w:highlight w:val="lightGray"/>
              </w:rPr>
            </w:pPr>
          </w:p>
        </w:tc>
        <w:tc>
          <w:tcPr>
            <w:tcW w:w="1134" w:type="dxa"/>
            <w:shd w:val="clear" w:color="auto" w:fill="DAE9F7" w:themeFill="text2" w:themeFillTint="1A"/>
          </w:tcPr>
          <w:p w14:paraId="15CFF4DE" w14:textId="56BD188B" w:rsidR="00B34364" w:rsidRPr="00D633FF" w:rsidRDefault="00B34364">
            <w:pPr>
              <w:jc w:val="center"/>
              <w:rPr>
                <w:rFonts w:ascii="Calibri" w:hAnsi="Calibri" w:cs="Calibri"/>
                <w:highlight w:val="lightGray"/>
              </w:rPr>
            </w:pPr>
            <w:r w:rsidRPr="00D633FF">
              <w:rPr>
                <w:rFonts w:ascii="Calibri" w:hAnsi="Calibri" w:cs="Calibri"/>
              </w:rPr>
              <w:t>330</w:t>
            </w:r>
          </w:p>
        </w:tc>
        <w:tc>
          <w:tcPr>
            <w:tcW w:w="1573" w:type="dxa"/>
            <w:shd w:val="clear" w:color="auto" w:fill="DAE9F7" w:themeFill="text2" w:themeFillTint="1A"/>
          </w:tcPr>
          <w:p w14:paraId="65F1A869" w14:textId="77777777" w:rsidR="00B34364" w:rsidRPr="00D633FF" w:rsidRDefault="00B34364">
            <w:pPr>
              <w:rPr>
                <w:rFonts w:ascii="Calibri" w:hAnsi="Calibri" w:cs="Calibri"/>
              </w:rPr>
            </w:pPr>
          </w:p>
        </w:tc>
      </w:tr>
      <w:tr w:rsidR="00B34364" w:rsidRPr="00D633FF" w14:paraId="67D0A647" w14:textId="77777777" w:rsidTr="003E5DAC">
        <w:tc>
          <w:tcPr>
            <w:tcW w:w="3245" w:type="dxa"/>
            <w:shd w:val="clear" w:color="auto" w:fill="DAE9F7" w:themeFill="text2" w:themeFillTint="1A"/>
            <w:vAlign w:val="center"/>
          </w:tcPr>
          <w:p w14:paraId="6121A97B" w14:textId="5F043245" w:rsidR="00B34364" w:rsidRPr="00D633FF" w:rsidRDefault="00B34364" w:rsidP="00FA1D5B">
            <w:pPr>
              <w:ind w:left="190"/>
              <w:rPr>
                <w:rFonts w:ascii="Calibri" w:hAnsi="Calibri" w:cs="Calibri"/>
              </w:rPr>
            </w:pPr>
            <w:r w:rsidRPr="00D633FF">
              <w:rPr>
                <w:rFonts w:ascii="Calibri" w:hAnsi="Calibri" w:cs="Calibri"/>
              </w:rPr>
              <w:t>Males 30 to under 50 years</w:t>
            </w:r>
          </w:p>
        </w:tc>
        <w:tc>
          <w:tcPr>
            <w:tcW w:w="1135" w:type="dxa"/>
            <w:shd w:val="clear" w:color="auto" w:fill="DAE9F7" w:themeFill="text2" w:themeFillTint="1A"/>
          </w:tcPr>
          <w:p w14:paraId="636FB456" w14:textId="3E0509FA" w:rsidR="00B34364" w:rsidRPr="00D633FF" w:rsidRDefault="00B34364" w:rsidP="00CF497F">
            <w:pPr>
              <w:jc w:val="center"/>
              <w:rPr>
                <w:rFonts w:ascii="Calibri" w:hAnsi="Calibri" w:cs="Calibri"/>
                <w:highlight w:val="lightGray"/>
              </w:rPr>
            </w:pPr>
            <w:r w:rsidRPr="00D633FF">
              <w:rPr>
                <w:rFonts w:ascii="Calibri" w:hAnsi="Calibri" w:cs="Calibri"/>
              </w:rPr>
              <w:t>60</w:t>
            </w:r>
          </w:p>
        </w:tc>
        <w:tc>
          <w:tcPr>
            <w:tcW w:w="1135" w:type="dxa"/>
            <w:shd w:val="clear" w:color="auto" w:fill="DAE9F7" w:themeFill="text2" w:themeFillTint="1A"/>
          </w:tcPr>
          <w:p w14:paraId="4F662594" w14:textId="058E0DB1" w:rsidR="00B34364" w:rsidRPr="00D633FF" w:rsidRDefault="00B34364" w:rsidP="00CF497F">
            <w:pPr>
              <w:jc w:val="center"/>
              <w:rPr>
                <w:rFonts w:ascii="Calibri" w:hAnsi="Calibri" w:cs="Calibri"/>
                <w:highlight w:val="lightGray"/>
              </w:rPr>
            </w:pPr>
            <w:r w:rsidRPr="00D633FF">
              <w:rPr>
                <w:rFonts w:ascii="Calibri" w:hAnsi="Calibri" w:cs="Calibri"/>
              </w:rPr>
              <w:t>70</w:t>
            </w:r>
          </w:p>
        </w:tc>
        <w:tc>
          <w:tcPr>
            <w:tcW w:w="1134" w:type="dxa"/>
          </w:tcPr>
          <w:p w14:paraId="1CBC6C8B" w14:textId="77777777" w:rsidR="00B34364" w:rsidRPr="00D633FF" w:rsidRDefault="00B34364" w:rsidP="00CF497F">
            <w:pPr>
              <w:jc w:val="center"/>
              <w:rPr>
                <w:rFonts w:ascii="Calibri" w:hAnsi="Calibri" w:cs="Calibri"/>
                <w:highlight w:val="lightGray"/>
              </w:rPr>
            </w:pPr>
          </w:p>
        </w:tc>
        <w:tc>
          <w:tcPr>
            <w:tcW w:w="1134" w:type="dxa"/>
            <w:shd w:val="clear" w:color="auto" w:fill="DAE9F7" w:themeFill="text2" w:themeFillTint="1A"/>
          </w:tcPr>
          <w:p w14:paraId="039CD8CE" w14:textId="43BAF9D7" w:rsidR="00B34364" w:rsidRPr="00D633FF" w:rsidRDefault="00B34364" w:rsidP="00CF497F">
            <w:pPr>
              <w:jc w:val="center"/>
              <w:rPr>
                <w:rFonts w:ascii="Calibri" w:hAnsi="Calibri" w:cs="Calibri"/>
                <w:highlight w:val="lightGray"/>
              </w:rPr>
            </w:pPr>
            <w:r w:rsidRPr="00D633FF">
              <w:rPr>
                <w:rFonts w:ascii="Calibri" w:hAnsi="Calibri" w:cs="Calibri"/>
              </w:rPr>
              <w:t>330</w:t>
            </w:r>
          </w:p>
        </w:tc>
        <w:tc>
          <w:tcPr>
            <w:tcW w:w="1573" w:type="dxa"/>
            <w:shd w:val="clear" w:color="auto" w:fill="DAE9F7" w:themeFill="text2" w:themeFillTint="1A"/>
          </w:tcPr>
          <w:p w14:paraId="3336152D" w14:textId="77777777" w:rsidR="00B34364" w:rsidRPr="00D633FF" w:rsidRDefault="00B34364" w:rsidP="00CF497F">
            <w:pPr>
              <w:rPr>
                <w:rFonts w:ascii="Calibri" w:hAnsi="Calibri" w:cs="Calibri"/>
              </w:rPr>
            </w:pPr>
          </w:p>
        </w:tc>
      </w:tr>
      <w:tr w:rsidR="00B34364" w:rsidRPr="00D633FF" w14:paraId="023EBD3E" w14:textId="77777777" w:rsidTr="003E5DAC">
        <w:tc>
          <w:tcPr>
            <w:tcW w:w="3245" w:type="dxa"/>
            <w:shd w:val="clear" w:color="auto" w:fill="DAE9F7" w:themeFill="text2" w:themeFillTint="1A"/>
            <w:vAlign w:val="center"/>
          </w:tcPr>
          <w:p w14:paraId="2C735C91" w14:textId="1E7A97D0" w:rsidR="00B34364" w:rsidRPr="00D633FF" w:rsidRDefault="00B34364" w:rsidP="00FA1D5B">
            <w:pPr>
              <w:ind w:left="190"/>
              <w:rPr>
                <w:rFonts w:ascii="Calibri" w:hAnsi="Calibri" w:cs="Calibri"/>
              </w:rPr>
            </w:pPr>
            <w:r w:rsidRPr="00D633FF">
              <w:rPr>
                <w:rFonts w:ascii="Calibri" w:hAnsi="Calibri" w:cs="Calibri"/>
              </w:rPr>
              <w:t>Males 50 to under 65 years</w:t>
            </w:r>
          </w:p>
        </w:tc>
        <w:tc>
          <w:tcPr>
            <w:tcW w:w="1135" w:type="dxa"/>
            <w:shd w:val="clear" w:color="auto" w:fill="DAE9F7" w:themeFill="text2" w:themeFillTint="1A"/>
          </w:tcPr>
          <w:p w14:paraId="60B2E683" w14:textId="122325E2" w:rsidR="00B34364" w:rsidRPr="00D633FF" w:rsidRDefault="00B34364" w:rsidP="00CF497F">
            <w:pPr>
              <w:jc w:val="center"/>
              <w:rPr>
                <w:rFonts w:ascii="Calibri" w:hAnsi="Calibri" w:cs="Calibri"/>
                <w:highlight w:val="lightGray"/>
              </w:rPr>
            </w:pPr>
            <w:r w:rsidRPr="00D633FF">
              <w:rPr>
                <w:rFonts w:ascii="Calibri" w:hAnsi="Calibri" w:cs="Calibri"/>
              </w:rPr>
              <w:t>60</w:t>
            </w:r>
          </w:p>
        </w:tc>
        <w:tc>
          <w:tcPr>
            <w:tcW w:w="1135" w:type="dxa"/>
            <w:shd w:val="clear" w:color="auto" w:fill="DAE9F7" w:themeFill="text2" w:themeFillTint="1A"/>
          </w:tcPr>
          <w:p w14:paraId="4A422680" w14:textId="3B93FBDC" w:rsidR="00B34364" w:rsidRPr="00D633FF" w:rsidRDefault="00B34364" w:rsidP="00CF497F">
            <w:pPr>
              <w:jc w:val="center"/>
              <w:rPr>
                <w:rFonts w:ascii="Calibri" w:hAnsi="Calibri" w:cs="Calibri"/>
                <w:highlight w:val="lightGray"/>
              </w:rPr>
            </w:pPr>
            <w:r w:rsidRPr="00D633FF">
              <w:rPr>
                <w:rFonts w:ascii="Calibri" w:hAnsi="Calibri" w:cs="Calibri"/>
              </w:rPr>
              <w:t>70</w:t>
            </w:r>
          </w:p>
        </w:tc>
        <w:tc>
          <w:tcPr>
            <w:tcW w:w="1134" w:type="dxa"/>
          </w:tcPr>
          <w:p w14:paraId="66CBE074" w14:textId="77777777" w:rsidR="00B34364" w:rsidRPr="00D633FF" w:rsidRDefault="00B34364" w:rsidP="00CF497F">
            <w:pPr>
              <w:jc w:val="center"/>
              <w:rPr>
                <w:rFonts w:ascii="Calibri" w:hAnsi="Calibri" w:cs="Calibri"/>
                <w:highlight w:val="lightGray"/>
              </w:rPr>
            </w:pPr>
          </w:p>
        </w:tc>
        <w:tc>
          <w:tcPr>
            <w:tcW w:w="1134" w:type="dxa"/>
            <w:shd w:val="clear" w:color="auto" w:fill="DAE9F7" w:themeFill="text2" w:themeFillTint="1A"/>
          </w:tcPr>
          <w:p w14:paraId="366EA7D2" w14:textId="2959E7DB" w:rsidR="00B34364" w:rsidRPr="00D633FF" w:rsidRDefault="00B34364" w:rsidP="00CF497F">
            <w:pPr>
              <w:jc w:val="center"/>
              <w:rPr>
                <w:rFonts w:ascii="Calibri" w:hAnsi="Calibri" w:cs="Calibri"/>
                <w:highlight w:val="lightGray"/>
              </w:rPr>
            </w:pPr>
            <w:r w:rsidRPr="00D633FF">
              <w:rPr>
                <w:rFonts w:ascii="Calibri" w:hAnsi="Calibri" w:cs="Calibri"/>
              </w:rPr>
              <w:t>330</w:t>
            </w:r>
          </w:p>
        </w:tc>
        <w:tc>
          <w:tcPr>
            <w:tcW w:w="1573" w:type="dxa"/>
            <w:shd w:val="clear" w:color="auto" w:fill="DAE9F7" w:themeFill="text2" w:themeFillTint="1A"/>
          </w:tcPr>
          <w:p w14:paraId="4E28E96C" w14:textId="77777777" w:rsidR="00B34364" w:rsidRPr="00D633FF" w:rsidRDefault="00B34364" w:rsidP="00CF497F">
            <w:pPr>
              <w:rPr>
                <w:rFonts w:ascii="Calibri" w:hAnsi="Calibri" w:cs="Calibri"/>
              </w:rPr>
            </w:pPr>
          </w:p>
        </w:tc>
      </w:tr>
      <w:tr w:rsidR="00B34364" w:rsidRPr="00D633FF" w14:paraId="21E83A38" w14:textId="77777777" w:rsidTr="003E5DAC">
        <w:tc>
          <w:tcPr>
            <w:tcW w:w="3245" w:type="dxa"/>
            <w:shd w:val="clear" w:color="auto" w:fill="DAE9F7" w:themeFill="text2" w:themeFillTint="1A"/>
            <w:vAlign w:val="center"/>
          </w:tcPr>
          <w:p w14:paraId="2D888FEB" w14:textId="0AF430C1" w:rsidR="00B34364" w:rsidRPr="00D633FF" w:rsidRDefault="00B34364" w:rsidP="00FA1D5B">
            <w:pPr>
              <w:ind w:left="190"/>
              <w:rPr>
                <w:rFonts w:ascii="Calibri" w:hAnsi="Calibri" w:cs="Calibri"/>
              </w:rPr>
            </w:pPr>
            <w:r w:rsidRPr="00D633FF">
              <w:rPr>
                <w:rFonts w:ascii="Calibri" w:hAnsi="Calibri" w:cs="Calibri"/>
              </w:rPr>
              <w:t>Males 65 to under 75 years</w:t>
            </w:r>
          </w:p>
        </w:tc>
        <w:tc>
          <w:tcPr>
            <w:tcW w:w="1135" w:type="dxa"/>
            <w:shd w:val="clear" w:color="auto" w:fill="DAE9F7" w:themeFill="text2" w:themeFillTint="1A"/>
          </w:tcPr>
          <w:p w14:paraId="6B05FB97" w14:textId="31DE1E06" w:rsidR="00B34364" w:rsidRPr="00D633FF" w:rsidRDefault="00B34364" w:rsidP="00CF497F">
            <w:pPr>
              <w:jc w:val="center"/>
              <w:rPr>
                <w:rFonts w:ascii="Calibri" w:hAnsi="Calibri" w:cs="Calibri"/>
                <w:highlight w:val="lightGray"/>
              </w:rPr>
            </w:pPr>
            <w:r w:rsidRPr="00D633FF">
              <w:rPr>
                <w:rFonts w:ascii="Calibri" w:hAnsi="Calibri" w:cs="Calibri"/>
              </w:rPr>
              <w:t>60</w:t>
            </w:r>
          </w:p>
        </w:tc>
        <w:tc>
          <w:tcPr>
            <w:tcW w:w="1135" w:type="dxa"/>
            <w:shd w:val="clear" w:color="auto" w:fill="DAE9F7" w:themeFill="text2" w:themeFillTint="1A"/>
          </w:tcPr>
          <w:p w14:paraId="5F91CC29" w14:textId="14094DE1" w:rsidR="00B34364" w:rsidRPr="00D633FF" w:rsidRDefault="00B34364" w:rsidP="00CF497F">
            <w:pPr>
              <w:jc w:val="center"/>
              <w:rPr>
                <w:rFonts w:ascii="Calibri" w:hAnsi="Calibri" w:cs="Calibri"/>
                <w:highlight w:val="lightGray"/>
              </w:rPr>
            </w:pPr>
            <w:r w:rsidRPr="00D633FF">
              <w:rPr>
                <w:rFonts w:ascii="Calibri" w:hAnsi="Calibri" w:cs="Calibri"/>
              </w:rPr>
              <w:t>70</w:t>
            </w:r>
          </w:p>
        </w:tc>
        <w:tc>
          <w:tcPr>
            <w:tcW w:w="1134" w:type="dxa"/>
          </w:tcPr>
          <w:p w14:paraId="775227EB" w14:textId="77777777" w:rsidR="00B34364" w:rsidRPr="00D633FF" w:rsidRDefault="00B34364" w:rsidP="00CF497F">
            <w:pPr>
              <w:jc w:val="center"/>
              <w:rPr>
                <w:rFonts w:ascii="Calibri" w:hAnsi="Calibri" w:cs="Calibri"/>
                <w:highlight w:val="lightGray"/>
              </w:rPr>
            </w:pPr>
          </w:p>
        </w:tc>
        <w:tc>
          <w:tcPr>
            <w:tcW w:w="1134" w:type="dxa"/>
            <w:shd w:val="clear" w:color="auto" w:fill="DAE9F7" w:themeFill="text2" w:themeFillTint="1A"/>
          </w:tcPr>
          <w:p w14:paraId="25D25936" w14:textId="6F8A7781" w:rsidR="00B34364" w:rsidRPr="00D633FF" w:rsidRDefault="00B34364" w:rsidP="00CF497F">
            <w:pPr>
              <w:jc w:val="center"/>
              <w:rPr>
                <w:rFonts w:ascii="Calibri" w:hAnsi="Calibri" w:cs="Calibri"/>
                <w:highlight w:val="lightGray"/>
              </w:rPr>
            </w:pPr>
            <w:r w:rsidRPr="00D633FF">
              <w:rPr>
                <w:rFonts w:ascii="Calibri" w:hAnsi="Calibri" w:cs="Calibri"/>
              </w:rPr>
              <w:t>330</w:t>
            </w:r>
          </w:p>
        </w:tc>
        <w:tc>
          <w:tcPr>
            <w:tcW w:w="1573" w:type="dxa"/>
            <w:shd w:val="clear" w:color="auto" w:fill="DAE9F7" w:themeFill="text2" w:themeFillTint="1A"/>
          </w:tcPr>
          <w:p w14:paraId="11B52365" w14:textId="77777777" w:rsidR="00B34364" w:rsidRPr="00D633FF" w:rsidRDefault="00B34364" w:rsidP="00CF497F">
            <w:pPr>
              <w:rPr>
                <w:rFonts w:ascii="Calibri" w:hAnsi="Calibri" w:cs="Calibri"/>
              </w:rPr>
            </w:pPr>
          </w:p>
        </w:tc>
      </w:tr>
      <w:tr w:rsidR="00B34364" w:rsidRPr="00D633FF" w14:paraId="2FD82B7D" w14:textId="77777777" w:rsidTr="003E5DAC">
        <w:tc>
          <w:tcPr>
            <w:tcW w:w="3245" w:type="dxa"/>
            <w:shd w:val="clear" w:color="auto" w:fill="DAE9F7" w:themeFill="text2" w:themeFillTint="1A"/>
            <w:vAlign w:val="center"/>
          </w:tcPr>
          <w:p w14:paraId="54AF6511" w14:textId="55D579AE" w:rsidR="00B34364" w:rsidRPr="00D633FF" w:rsidRDefault="00B34364" w:rsidP="00FA1D5B">
            <w:pPr>
              <w:ind w:left="190"/>
              <w:rPr>
                <w:rFonts w:ascii="Calibri" w:hAnsi="Calibri" w:cs="Calibri"/>
              </w:rPr>
            </w:pPr>
            <w:r w:rsidRPr="00D633FF">
              <w:rPr>
                <w:rFonts w:ascii="Calibri" w:hAnsi="Calibri" w:cs="Calibri"/>
              </w:rPr>
              <w:t>Males 75 years and over</w:t>
            </w:r>
          </w:p>
        </w:tc>
        <w:tc>
          <w:tcPr>
            <w:tcW w:w="1135" w:type="dxa"/>
            <w:shd w:val="clear" w:color="auto" w:fill="DAE9F7" w:themeFill="text2" w:themeFillTint="1A"/>
          </w:tcPr>
          <w:p w14:paraId="67C50E65" w14:textId="7A945379" w:rsidR="00B34364" w:rsidRPr="00D633FF" w:rsidRDefault="00B34364" w:rsidP="00CF497F">
            <w:pPr>
              <w:jc w:val="center"/>
              <w:rPr>
                <w:rFonts w:ascii="Calibri" w:hAnsi="Calibri" w:cs="Calibri"/>
                <w:highlight w:val="lightGray"/>
              </w:rPr>
            </w:pPr>
            <w:r w:rsidRPr="00D633FF">
              <w:rPr>
                <w:rFonts w:ascii="Calibri" w:hAnsi="Calibri" w:cs="Calibri"/>
              </w:rPr>
              <w:t>60</w:t>
            </w:r>
          </w:p>
        </w:tc>
        <w:tc>
          <w:tcPr>
            <w:tcW w:w="1135" w:type="dxa"/>
            <w:shd w:val="clear" w:color="auto" w:fill="DAE9F7" w:themeFill="text2" w:themeFillTint="1A"/>
          </w:tcPr>
          <w:p w14:paraId="0DC63500" w14:textId="69B87222" w:rsidR="00B34364" w:rsidRPr="00D633FF" w:rsidRDefault="00B34364" w:rsidP="00CF497F">
            <w:pPr>
              <w:jc w:val="center"/>
              <w:rPr>
                <w:rFonts w:ascii="Calibri" w:hAnsi="Calibri" w:cs="Calibri"/>
                <w:highlight w:val="lightGray"/>
              </w:rPr>
            </w:pPr>
            <w:r w:rsidRPr="00D633FF">
              <w:rPr>
                <w:rFonts w:ascii="Calibri" w:hAnsi="Calibri" w:cs="Calibri"/>
              </w:rPr>
              <w:t>70</w:t>
            </w:r>
          </w:p>
        </w:tc>
        <w:tc>
          <w:tcPr>
            <w:tcW w:w="1134" w:type="dxa"/>
          </w:tcPr>
          <w:p w14:paraId="07EC0198" w14:textId="77777777" w:rsidR="00B34364" w:rsidRPr="00D633FF" w:rsidRDefault="00B34364" w:rsidP="00CF497F">
            <w:pPr>
              <w:jc w:val="center"/>
              <w:rPr>
                <w:rFonts w:ascii="Calibri" w:hAnsi="Calibri" w:cs="Calibri"/>
                <w:highlight w:val="lightGray"/>
              </w:rPr>
            </w:pPr>
          </w:p>
        </w:tc>
        <w:tc>
          <w:tcPr>
            <w:tcW w:w="1134" w:type="dxa"/>
            <w:shd w:val="clear" w:color="auto" w:fill="DAE9F7" w:themeFill="text2" w:themeFillTint="1A"/>
          </w:tcPr>
          <w:p w14:paraId="0405C75D" w14:textId="566F4B68" w:rsidR="00B34364" w:rsidRPr="00D633FF" w:rsidRDefault="00B34364" w:rsidP="00CF497F">
            <w:pPr>
              <w:jc w:val="center"/>
              <w:rPr>
                <w:rFonts w:ascii="Calibri" w:hAnsi="Calibri" w:cs="Calibri"/>
                <w:highlight w:val="lightGray"/>
              </w:rPr>
            </w:pPr>
            <w:r w:rsidRPr="00D633FF">
              <w:rPr>
                <w:rFonts w:ascii="Calibri" w:hAnsi="Calibri" w:cs="Calibri"/>
              </w:rPr>
              <w:t>330</w:t>
            </w:r>
          </w:p>
        </w:tc>
        <w:tc>
          <w:tcPr>
            <w:tcW w:w="1573" w:type="dxa"/>
            <w:shd w:val="clear" w:color="auto" w:fill="DAE9F7" w:themeFill="text2" w:themeFillTint="1A"/>
          </w:tcPr>
          <w:p w14:paraId="6CBDF587" w14:textId="77777777" w:rsidR="00B34364" w:rsidRPr="00D633FF" w:rsidRDefault="00B34364" w:rsidP="00CF497F">
            <w:pPr>
              <w:rPr>
                <w:rFonts w:ascii="Calibri" w:hAnsi="Calibri" w:cs="Calibri"/>
              </w:rPr>
            </w:pPr>
          </w:p>
        </w:tc>
      </w:tr>
      <w:tr w:rsidR="00B34364" w:rsidRPr="00D633FF" w14:paraId="55EAAEA5" w14:textId="77777777" w:rsidTr="003E5DAC">
        <w:tc>
          <w:tcPr>
            <w:tcW w:w="3245" w:type="dxa"/>
            <w:shd w:val="clear" w:color="auto" w:fill="F2CEED" w:themeFill="accent5" w:themeFillTint="33"/>
            <w:vAlign w:val="center"/>
          </w:tcPr>
          <w:p w14:paraId="03E5C6CF" w14:textId="69872D31" w:rsidR="00B34364" w:rsidRPr="00D633FF" w:rsidRDefault="00B34364" w:rsidP="00FA1D5B">
            <w:pPr>
              <w:ind w:left="190"/>
              <w:rPr>
                <w:rFonts w:ascii="Calibri" w:hAnsi="Calibri" w:cs="Calibri"/>
              </w:rPr>
            </w:pPr>
            <w:r w:rsidRPr="00D633FF">
              <w:rPr>
                <w:rFonts w:ascii="Calibri" w:hAnsi="Calibri" w:cs="Calibri"/>
              </w:rPr>
              <w:t>Females 18 to under 30 years</w:t>
            </w:r>
          </w:p>
        </w:tc>
        <w:tc>
          <w:tcPr>
            <w:tcW w:w="1135" w:type="dxa"/>
            <w:shd w:val="clear" w:color="auto" w:fill="F2CEED" w:themeFill="accent5" w:themeFillTint="33"/>
          </w:tcPr>
          <w:p w14:paraId="2108B2E4" w14:textId="639EB1C7" w:rsidR="00B34364" w:rsidRPr="00D633FF" w:rsidRDefault="00B34364">
            <w:pPr>
              <w:jc w:val="center"/>
              <w:rPr>
                <w:rFonts w:ascii="Calibri" w:hAnsi="Calibri" w:cs="Calibri"/>
                <w:highlight w:val="lightGray"/>
              </w:rPr>
            </w:pPr>
            <w:r w:rsidRPr="00D633FF">
              <w:rPr>
                <w:rFonts w:ascii="Calibri" w:hAnsi="Calibri" w:cs="Calibri"/>
              </w:rPr>
              <w:t>50</w:t>
            </w:r>
          </w:p>
        </w:tc>
        <w:tc>
          <w:tcPr>
            <w:tcW w:w="1135" w:type="dxa"/>
            <w:shd w:val="clear" w:color="auto" w:fill="F2CEED" w:themeFill="accent5" w:themeFillTint="33"/>
          </w:tcPr>
          <w:p w14:paraId="65C39770" w14:textId="4B371542" w:rsidR="00B34364" w:rsidRPr="00D633FF" w:rsidRDefault="00B34364">
            <w:pPr>
              <w:jc w:val="center"/>
              <w:rPr>
                <w:rFonts w:ascii="Calibri" w:hAnsi="Calibri" w:cs="Calibri"/>
                <w:highlight w:val="lightGray"/>
              </w:rPr>
            </w:pPr>
            <w:r w:rsidRPr="00D633FF">
              <w:rPr>
                <w:rFonts w:ascii="Calibri" w:hAnsi="Calibri" w:cs="Calibri"/>
              </w:rPr>
              <w:t>60</w:t>
            </w:r>
          </w:p>
        </w:tc>
        <w:tc>
          <w:tcPr>
            <w:tcW w:w="1134" w:type="dxa"/>
          </w:tcPr>
          <w:p w14:paraId="1B958FE3" w14:textId="77777777" w:rsidR="00B34364" w:rsidRPr="00D633FF" w:rsidRDefault="00B34364">
            <w:pPr>
              <w:jc w:val="center"/>
              <w:rPr>
                <w:rFonts w:ascii="Calibri" w:hAnsi="Calibri" w:cs="Calibri"/>
                <w:highlight w:val="lightGray"/>
              </w:rPr>
            </w:pPr>
          </w:p>
        </w:tc>
        <w:tc>
          <w:tcPr>
            <w:tcW w:w="1134" w:type="dxa"/>
            <w:shd w:val="clear" w:color="auto" w:fill="F2CEED" w:themeFill="accent5" w:themeFillTint="33"/>
          </w:tcPr>
          <w:p w14:paraId="53BDB607" w14:textId="77777777" w:rsidR="00B34364" w:rsidRPr="00D633FF" w:rsidRDefault="00B34364">
            <w:pPr>
              <w:jc w:val="center"/>
              <w:rPr>
                <w:rFonts w:ascii="Calibri" w:hAnsi="Calibri" w:cs="Calibri"/>
                <w:highlight w:val="lightGray"/>
              </w:rPr>
            </w:pPr>
            <w:r w:rsidRPr="00D633FF">
              <w:rPr>
                <w:rFonts w:ascii="Calibri" w:hAnsi="Calibri" w:cs="Calibri"/>
              </w:rPr>
              <w:t>330</w:t>
            </w:r>
          </w:p>
        </w:tc>
        <w:tc>
          <w:tcPr>
            <w:tcW w:w="1573" w:type="dxa"/>
            <w:shd w:val="clear" w:color="auto" w:fill="F2CEED" w:themeFill="accent5" w:themeFillTint="33"/>
          </w:tcPr>
          <w:p w14:paraId="2FFD1E15" w14:textId="77777777" w:rsidR="00B34364" w:rsidRPr="00D633FF" w:rsidRDefault="00B34364">
            <w:pPr>
              <w:rPr>
                <w:rFonts w:ascii="Calibri" w:hAnsi="Calibri" w:cs="Calibri"/>
              </w:rPr>
            </w:pPr>
          </w:p>
        </w:tc>
      </w:tr>
      <w:tr w:rsidR="00B34364" w:rsidRPr="00D633FF" w14:paraId="38C43E84" w14:textId="77777777" w:rsidTr="003E5DAC">
        <w:tc>
          <w:tcPr>
            <w:tcW w:w="3245" w:type="dxa"/>
            <w:shd w:val="clear" w:color="auto" w:fill="F2CEED" w:themeFill="accent5" w:themeFillTint="33"/>
            <w:vAlign w:val="center"/>
          </w:tcPr>
          <w:p w14:paraId="11905711" w14:textId="23FED5A6" w:rsidR="00B34364" w:rsidRPr="00D633FF" w:rsidRDefault="00B34364" w:rsidP="00FA1D5B">
            <w:pPr>
              <w:ind w:left="190"/>
              <w:rPr>
                <w:rFonts w:ascii="Calibri" w:hAnsi="Calibri" w:cs="Calibri"/>
              </w:rPr>
            </w:pPr>
            <w:r w:rsidRPr="00D633FF">
              <w:rPr>
                <w:rFonts w:ascii="Calibri" w:hAnsi="Calibri" w:cs="Calibri"/>
              </w:rPr>
              <w:t>Females 30 to under 50 years</w:t>
            </w:r>
          </w:p>
        </w:tc>
        <w:tc>
          <w:tcPr>
            <w:tcW w:w="1135" w:type="dxa"/>
            <w:shd w:val="clear" w:color="auto" w:fill="F2CEED" w:themeFill="accent5" w:themeFillTint="33"/>
          </w:tcPr>
          <w:p w14:paraId="6968E045" w14:textId="51A2C8F0" w:rsidR="00B34364" w:rsidRPr="00D633FF" w:rsidRDefault="00B34364" w:rsidP="00D03186">
            <w:pPr>
              <w:jc w:val="center"/>
              <w:rPr>
                <w:rFonts w:ascii="Calibri" w:hAnsi="Calibri" w:cs="Calibri"/>
                <w:highlight w:val="lightGray"/>
              </w:rPr>
            </w:pPr>
            <w:r w:rsidRPr="00D633FF">
              <w:rPr>
                <w:rFonts w:ascii="Calibri" w:hAnsi="Calibri" w:cs="Calibri"/>
              </w:rPr>
              <w:t>50</w:t>
            </w:r>
          </w:p>
        </w:tc>
        <w:tc>
          <w:tcPr>
            <w:tcW w:w="1135" w:type="dxa"/>
            <w:shd w:val="clear" w:color="auto" w:fill="F2CEED" w:themeFill="accent5" w:themeFillTint="33"/>
          </w:tcPr>
          <w:p w14:paraId="7770A0A3" w14:textId="396F09CA" w:rsidR="00B34364" w:rsidRPr="00D633FF" w:rsidRDefault="00B34364" w:rsidP="00D03186">
            <w:pPr>
              <w:jc w:val="center"/>
              <w:rPr>
                <w:rFonts w:ascii="Calibri" w:hAnsi="Calibri" w:cs="Calibri"/>
                <w:highlight w:val="lightGray"/>
              </w:rPr>
            </w:pPr>
            <w:r w:rsidRPr="00D633FF">
              <w:rPr>
                <w:rFonts w:ascii="Calibri" w:hAnsi="Calibri" w:cs="Calibri"/>
              </w:rPr>
              <w:t>60</w:t>
            </w:r>
          </w:p>
        </w:tc>
        <w:tc>
          <w:tcPr>
            <w:tcW w:w="1134" w:type="dxa"/>
          </w:tcPr>
          <w:p w14:paraId="36CF8ACC" w14:textId="77777777" w:rsidR="00B34364" w:rsidRPr="00D633FF" w:rsidRDefault="00B34364" w:rsidP="00D03186">
            <w:pPr>
              <w:jc w:val="center"/>
              <w:rPr>
                <w:rFonts w:ascii="Calibri" w:hAnsi="Calibri" w:cs="Calibri"/>
                <w:highlight w:val="lightGray"/>
              </w:rPr>
            </w:pPr>
          </w:p>
        </w:tc>
        <w:tc>
          <w:tcPr>
            <w:tcW w:w="1134" w:type="dxa"/>
            <w:shd w:val="clear" w:color="auto" w:fill="F2CEED" w:themeFill="accent5" w:themeFillTint="33"/>
          </w:tcPr>
          <w:p w14:paraId="530C7812" w14:textId="77777777" w:rsidR="00B34364" w:rsidRPr="00D633FF" w:rsidRDefault="00B34364" w:rsidP="00D03186">
            <w:pPr>
              <w:jc w:val="center"/>
              <w:rPr>
                <w:rFonts w:ascii="Calibri" w:hAnsi="Calibri" w:cs="Calibri"/>
                <w:highlight w:val="lightGray"/>
              </w:rPr>
            </w:pPr>
            <w:r w:rsidRPr="00D633FF">
              <w:rPr>
                <w:rFonts w:ascii="Calibri" w:hAnsi="Calibri" w:cs="Calibri"/>
              </w:rPr>
              <w:t>330</w:t>
            </w:r>
          </w:p>
        </w:tc>
        <w:tc>
          <w:tcPr>
            <w:tcW w:w="1573" w:type="dxa"/>
            <w:shd w:val="clear" w:color="auto" w:fill="F2CEED" w:themeFill="accent5" w:themeFillTint="33"/>
          </w:tcPr>
          <w:p w14:paraId="20671AB7" w14:textId="77777777" w:rsidR="00B34364" w:rsidRPr="00D633FF" w:rsidRDefault="00B34364" w:rsidP="00D03186">
            <w:pPr>
              <w:rPr>
                <w:rFonts w:ascii="Calibri" w:hAnsi="Calibri" w:cs="Calibri"/>
              </w:rPr>
            </w:pPr>
          </w:p>
        </w:tc>
      </w:tr>
      <w:tr w:rsidR="00B34364" w:rsidRPr="00D633FF" w14:paraId="066186ED" w14:textId="77777777" w:rsidTr="003E5DAC">
        <w:tc>
          <w:tcPr>
            <w:tcW w:w="3245" w:type="dxa"/>
            <w:shd w:val="clear" w:color="auto" w:fill="F2CEED" w:themeFill="accent5" w:themeFillTint="33"/>
            <w:vAlign w:val="center"/>
          </w:tcPr>
          <w:p w14:paraId="6B1B4F56" w14:textId="4A6E6C7D" w:rsidR="00B34364" w:rsidRPr="00D633FF" w:rsidRDefault="00B34364" w:rsidP="00FA1D5B">
            <w:pPr>
              <w:ind w:left="190"/>
              <w:rPr>
                <w:rFonts w:ascii="Calibri" w:hAnsi="Calibri" w:cs="Calibri"/>
              </w:rPr>
            </w:pPr>
            <w:r w:rsidRPr="00D633FF">
              <w:rPr>
                <w:rFonts w:ascii="Calibri" w:hAnsi="Calibri" w:cs="Calibri"/>
              </w:rPr>
              <w:t>Females 50 to under 65 years</w:t>
            </w:r>
          </w:p>
        </w:tc>
        <w:tc>
          <w:tcPr>
            <w:tcW w:w="1135" w:type="dxa"/>
            <w:shd w:val="clear" w:color="auto" w:fill="F2CEED" w:themeFill="accent5" w:themeFillTint="33"/>
          </w:tcPr>
          <w:p w14:paraId="11BF824B" w14:textId="3832DFA2" w:rsidR="00B34364" w:rsidRPr="00D633FF" w:rsidRDefault="00B34364" w:rsidP="00D03186">
            <w:pPr>
              <w:jc w:val="center"/>
              <w:rPr>
                <w:rFonts w:ascii="Calibri" w:hAnsi="Calibri" w:cs="Calibri"/>
                <w:highlight w:val="lightGray"/>
              </w:rPr>
            </w:pPr>
            <w:r w:rsidRPr="00D633FF">
              <w:rPr>
                <w:rFonts w:ascii="Calibri" w:hAnsi="Calibri" w:cs="Calibri"/>
              </w:rPr>
              <w:t>50</w:t>
            </w:r>
          </w:p>
        </w:tc>
        <w:tc>
          <w:tcPr>
            <w:tcW w:w="1135" w:type="dxa"/>
            <w:shd w:val="clear" w:color="auto" w:fill="F2CEED" w:themeFill="accent5" w:themeFillTint="33"/>
          </w:tcPr>
          <w:p w14:paraId="7AF62805" w14:textId="29D368E1" w:rsidR="00B34364" w:rsidRPr="00D633FF" w:rsidRDefault="00B34364" w:rsidP="00D03186">
            <w:pPr>
              <w:jc w:val="center"/>
              <w:rPr>
                <w:rFonts w:ascii="Calibri" w:hAnsi="Calibri" w:cs="Calibri"/>
                <w:highlight w:val="lightGray"/>
              </w:rPr>
            </w:pPr>
            <w:r w:rsidRPr="00D633FF">
              <w:rPr>
                <w:rFonts w:ascii="Calibri" w:hAnsi="Calibri" w:cs="Calibri"/>
              </w:rPr>
              <w:t>60</w:t>
            </w:r>
          </w:p>
        </w:tc>
        <w:tc>
          <w:tcPr>
            <w:tcW w:w="1134" w:type="dxa"/>
          </w:tcPr>
          <w:p w14:paraId="506A5189" w14:textId="77777777" w:rsidR="00B34364" w:rsidRPr="00D633FF" w:rsidRDefault="00B34364" w:rsidP="00D03186">
            <w:pPr>
              <w:jc w:val="center"/>
              <w:rPr>
                <w:rFonts w:ascii="Calibri" w:hAnsi="Calibri" w:cs="Calibri"/>
                <w:highlight w:val="lightGray"/>
              </w:rPr>
            </w:pPr>
          </w:p>
        </w:tc>
        <w:tc>
          <w:tcPr>
            <w:tcW w:w="1134" w:type="dxa"/>
            <w:shd w:val="clear" w:color="auto" w:fill="F2CEED" w:themeFill="accent5" w:themeFillTint="33"/>
          </w:tcPr>
          <w:p w14:paraId="19C6C937" w14:textId="77777777" w:rsidR="00B34364" w:rsidRPr="00D633FF" w:rsidRDefault="00B34364" w:rsidP="00D03186">
            <w:pPr>
              <w:jc w:val="center"/>
              <w:rPr>
                <w:rFonts w:ascii="Calibri" w:hAnsi="Calibri" w:cs="Calibri"/>
                <w:highlight w:val="lightGray"/>
              </w:rPr>
            </w:pPr>
            <w:r w:rsidRPr="00D633FF">
              <w:rPr>
                <w:rFonts w:ascii="Calibri" w:hAnsi="Calibri" w:cs="Calibri"/>
              </w:rPr>
              <w:t>330</w:t>
            </w:r>
          </w:p>
        </w:tc>
        <w:tc>
          <w:tcPr>
            <w:tcW w:w="1573" w:type="dxa"/>
            <w:shd w:val="clear" w:color="auto" w:fill="F2CEED" w:themeFill="accent5" w:themeFillTint="33"/>
          </w:tcPr>
          <w:p w14:paraId="7A2211A7" w14:textId="77777777" w:rsidR="00B34364" w:rsidRPr="00D633FF" w:rsidRDefault="00B34364" w:rsidP="00D03186">
            <w:pPr>
              <w:rPr>
                <w:rFonts w:ascii="Calibri" w:hAnsi="Calibri" w:cs="Calibri"/>
              </w:rPr>
            </w:pPr>
          </w:p>
        </w:tc>
      </w:tr>
      <w:tr w:rsidR="00B34364" w:rsidRPr="00D633FF" w14:paraId="5AD0D327" w14:textId="77777777" w:rsidTr="003E5DAC">
        <w:tc>
          <w:tcPr>
            <w:tcW w:w="3245" w:type="dxa"/>
            <w:shd w:val="clear" w:color="auto" w:fill="F2CEED" w:themeFill="accent5" w:themeFillTint="33"/>
            <w:vAlign w:val="center"/>
          </w:tcPr>
          <w:p w14:paraId="0D0A0D5D" w14:textId="13D047B8" w:rsidR="00B34364" w:rsidRPr="00D633FF" w:rsidRDefault="00B34364" w:rsidP="00FA1D5B">
            <w:pPr>
              <w:ind w:left="190"/>
              <w:rPr>
                <w:rFonts w:ascii="Calibri" w:hAnsi="Calibri" w:cs="Calibri"/>
              </w:rPr>
            </w:pPr>
            <w:r w:rsidRPr="00D633FF">
              <w:rPr>
                <w:rFonts w:ascii="Calibri" w:hAnsi="Calibri" w:cs="Calibri"/>
              </w:rPr>
              <w:t>Females 65 to under 75 years</w:t>
            </w:r>
          </w:p>
        </w:tc>
        <w:tc>
          <w:tcPr>
            <w:tcW w:w="1135" w:type="dxa"/>
            <w:shd w:val="clear" w:color="auto" w:fill="F2CEED" w:themeFill="accent5" w:themeFillTint="33"/>
          </w:tcPr>
          <w:p w14:paraId="55AF640D" w14:textId="05F8BD04" w:rsidR="00B34364" w:rsidRPr="00D633FF" w:rsidRDefault="00B34364" w:rsidP="00D03186">
            <w:pPr>
              <w:jc w:val="center"/>
              <w:rPr>
                <w:rFonts w:ascii="Calibri" w:hAnsi="Calibri" w:cs="Calibri"/>
                <w:highlight w:val="lightGray"/>
              </w:rPr>
            </w:pPr>
            <w:r w:rsidRPr="00D633FF">
              <w:rPr>
                <w:rFonts w:ascii="Calibri" w:hAnsi="Calibri" w:cs="Calibri"/>
              </w:rPr>
              <w:t>50</w:t>
            </w:r>
          </w:p>
        </w:tc>
        <w:tc>
          <w:tcPr>
            <w:tcW w:w="1135" w:type="dxa"/>
            <w:shd w:val="clear" w:color="auto" w:fill="F2CEED" w:themeFill="accent5" w:themeFillTint="33"/>
          </w:tcPr>
          <w:p w14:paraId="449E3A90" w14:textId="65F3E479" w:rsidR="00B34364" w:rsidRPr="00D633FF" w:rsidRDefault="00B34364" w:rsidP="00D03186">
            <w:pPr>
              <w:jc w:val="center"/>
              <w:rPr>
                <w:rFonts w:ascii="Calibri" w:hAnsi="Calibri" w:cs="Calibri"/>
                <w:highlight w:val="lightGray"/>
              </w:rPr>
            </w:pPr>
            <w:r w:rsidRPr="00D633FF">
              <w:rPr>
                <w:rFonts w:ascii="Calibri" w:hAnsi="Calibri" w:cs="Calibri"/>
              </w:rPr>
              <w:t>60</w:t>
            </w:r>
          </w:p>
        </w:tc>
        <w:tc>
          <w:tcPr>
            <w:tcW w:w="1134" w:type="dxa"/>
          </w:tcPr>
          <w:p w14:paraId="0539791D" w14:textId="77777777" w:rsidR="00B34364" w:rsidRPr="00D633FF" w:rsidRDefault="00B34364" w:rsidP="00D03186">
            <w:pPr>
              <w:jc w:val="center"/>
              <w:rPr>
                <w:rFonts w:ascii="Calibri" w:hAnsi="Calibri" w:cs="Calibri"/>
                <w:highlight w:val="lightGray"/>
              </w:rPr>
            </w:pPr>
          </w:p>
        </w:tc>
        <w:tc>
          <w:tcPr>
            <w:tcW w:w="1134" w:type="dxa"/>
            <w:shd w:val="clear" w:color="auto" w:fill="F2CEED" w:themeFill="accent5" w:themeFillTint="33"/>
          </w:tcPr>
          <w:p w14:paraId="08E7F600" w14:textId="77777777" w:rsidR="00B34364" w:rsidRPr="00D633FF" w:rsidRDefault="00B34364" w:rsidP="00D03186">
            <w:pPr>
              <w:jc w:val="center"/>
              <w:rPr>
                <w:rFonts w:ascii="Calibri" w:hAnsi="Calibri" w:cs="Calibri"/>
                <w:highlight w:val="lightGray"/>
              </w:rPr>
            </w:pPr>
            <w:r w:rsidRPr="00D633FF">
              <w:rPr>
                <w:rFonts w:ascii="Calibri" w:hAnsi="Calibri" w:cs="Calibri"/>
              </w:rPr>
              <w:t>330</w:t>
            </w:r>
          </w:p>
        </w:tc>
        <w:tc>
          <w:tcPr>
            <w:tcW w:w="1573" w:type="dxa"/>
            <w:shd w:val="clear" w:color="auto" w:fill="F2CEED" w:themeFill="accent5" w:themeFillTint="33"/>
          </w:tcPr>
          <w:p w14:paraId="45D514C6" w14:textId="77777777" w:rsidR="00B34364" w:rsidRPr="00D633FF" w:rsidRDefault="00B34364" w:rsidP="00D03186">
            <w:pPr>
              <w:rPr>
                <w:rFonts w:ascii="Calibri" w:hAnsi="Calibri" w:cs="Calibri"/>
              </w:rPr>
            </w:pPr>
          </w:p>
        </w:tc>
      </w:tr>
      <w:tr w:rsidR="00B34364" w:rsidRPr="00D633FF" w14:paraId="2EBFDAC8" w14:textId="77777777" w:rsidTr="003E5DAC">
        <w:tc>
          <w:tcPr>
            <w:tcW w:w="3245" w:type="dxa"/>
            <w:shd w:val="clear" w:color="auto" w:fill="F2CEED" w:themeFill="accent5" w:themeFillTint="33"/>
            <w:vAlign w:val="center"/>
          </w:tcPr>
          <w:p w14:paraId="59A9ABE7" w14:textId="083A8D3D" w:rsidR="00B34364" w:rsidRPr="00D633FF" w:rsidRDefault="00B34364" w:rsidP="00FA1D5B">
            <w:pPr>
              <w:ind w:left="190"/>
              <w:rPr>
                <w:rFonts w:ascii="Calibri" w:hAnsi="Calibri" w:cs="Calibri"/>
              </w:rPr>
            </w:pPr>
            <w:r w:rsidRPr="00D633FF">
              <w:rPr>
                <w:rFonts w:ascii="Calibri" w:hAnsi="Calibri" w:cs="Calibri"/>
              </w:rPr>
              <w:t>Females 75 years and over</w:t>
            </w:r>
          </w:p>
        </w:tc>
        <w:tc>
          <w:tcPr>
            <w:tcW w:w="1135" w:type="dxa"/>
            <w:shd w:val="clear" w:color="auto" w:fill="F2CEED" w:themeFill="accent5" w:themeFillTint="33"/>
          </w:tcPr>
          <w:p w14:paraId="5D34AD89" w14:textId="4075ADDF" w:rsidR="00B34364" w:rsidRPr="00D633FF" w:rsidRDefault="00B34364" w:rsidP="00D03186">
            <w:pPr>
              <w:jc w:val="center"/>
              <w:rPr>
                <w:rFonts w:ascii="Calibri" w:hAnsi="Calibri" w:cs="Calibri"/>
                <w:highlight w:val="lightGray"/>
              </w:rPr>
            </w:pPr>
            <w:r w:rsidRPr="00D633FF">
              <w:rPr>
                <w:rFonts w:ascii="Calibri" w:hAnsi="Calibri" w:cs="Calibri"/>
              </w:rPr>
              <w:t>50</w:t>
            </w:r>
          </w:p>
        </w:tc>
        <w:tc>
          <w:tcPr>
            <w:tcW w:w="1135" w:type="dxa"/>
            <w:shd w:val="clear" w:color="auto" w:fill="F2CEED" w:themeFill="accent5" w:themeFillTint="33"/>
          </w:tcPr>
          <w:p w14:paraId="48F23AD5" w14:textId="4846C259" w:rsidR="00B34364" w:rsidRPr="00D633FF" w:rsidRDefault="00B34364" w:rsidP="00D03186">
            <w:pPr>
              <w:jc w:val="center"/>
              <w:rPr>
                <w:rFonts w:ascii="Calibri" w:hAnsi="Calibri" w:cs="Calibri"/>
                <w:highlight w:val="lightGray"/>
              </w:rPr>
            </w:pPr>
            <w:r w:rsidRPr="00D633FF">
              <w:rPr>
                <w:rFonts w:ascii="Calibri" w:hAnsi="Calibri" w:cs="Calibri"/>
              </w:rPr>
              <w:t>60</w:t>
            </w:r>
          </w:p>
        </w:tc>
        <w:tc>
          <w:tcPr>
            <w:tcW w:w="1134" w:type="dxa"/>
          </w:tcPr>
          <w:p w14:paraId="0FC7E3F6" w14:textId="77777777" w:rsidR="00B34364" w:rsidRPr="00D633FF" w:rsidRDefault="00B34364" w:rsidP="00D03186">
            <w:pPr>
              <w:jc w:val="center"/>
              <w:rPr>
                <w:rFonts w:ascii="Calibri" w:hAnsi="Calibri" w:cs="Calibri"/>
                <w:highlight w:val="lightGray"/>
              </w:rPr>
            </w:pPr>
          </w:p>
        </w:tc>
        <w:tc>
          <w:tcPr>
            <w:tcW w:w="1134" w:type="dxa"/>
            <w:shd w:val="clear" w:color="auto" w:fill="F2CEED" w:themeFill="accent5" w:themeFillTint="33"/>
          </w:tcPr>
          <w:p w14:paraId="0280FB09" w14:textId="77777777" w:rsidR="00B34364" w:rsidRPr="00D633FF" w:rsidRDefault="00B34364" w:rsidP="00D03186">
            <w:pPr>
              <w:jc w:val="center"/>
              <w:rPr>
                <w:rFonts w:ascii="Calibri" w:hAnsi="Calibri" w:cs="Calibri"/>
                <w:highlight w:val="lightGray"/>
              </w:rPr>
            </w:pPr>
            <w:r w:rsidRPr="00D633FF">
              <w:rPr>
                <w:rFonts w:ascii="Calibri" w:hAnsi="Calibri" w:cs="Calibri"/>
              </w:rPr>
              <w:t>330</w:t>
            </w:r>
          </w:p>
        </w:tc>
        <w:tc>
          <w:tcPr>
            <w:tcW w:w="1573" w:type="dxa"/>
            <w:shd w:val="clear" w:color="auto" w:fill="F2CEED" w:themeFill="accent5" w:themeFillTint="33"/>
          </w:tcPr>
          <w:p w14:paraId="292B3142" w14:textId="77777777" w:rsidR="00B34364" w:rsidRPr="00D633FF" w:rsidRDefault="00B34364" w:rsidP="00D03186">
            <w:pPr>
              <w:rPr>
                <w:rFonts w:ascii="Calibri" w:hAnsi="Calibri" w:cs="Calibri"/>
              </w:rPr>
            </w:pPr>
          </w:p>
        </w:tc>
      </w:tr>
      <w:tr w:rsidR="00B3666C" w:rsidRPr="00D633FF" w14:paraId="190F6215" w14:textId="77777777" w:rsidTr="003E5DAC">
        <w:tc>
          <w:tcPr>
            <w:tcW w:w="3245" w:type="dxa"/>
            <w:shd w:val="clear" w:color="auto" w:fill="156082"/>
          </w:tcPr>
          <w:p w14:paraId="6DD1C0A4" w14:textId="1512CD44" w:rsidR="00B3666C" w:rsidRPr="00D633FF" w:rsidRDefault="00B3666C" w:rsidP="00AC2C25">
            <w:pPr>
              <w:rPr>
                <w:rFonts w:ascii="Calibri" w:hAnsi="Calibri" w:cs="Calibri"/>
                <w:b/>
                <w:bCs/>
                <w:color w:val="FFFFFF" w:themeColor="background1"/>
              </w:rPr>
            </w:pPr>
            <w:r w:rsidRPr="00D633FF">
              <w:rPr>
                <w:rFonts w:ascii="Calibri" w:hAnsi="Calibri" w:cs="Calibri"/>
                <w:color w:val="FFFFFF" w:themeColor="background1"/>
              </w:rPr>
              <w:t>Pregnancy</w:t>
            </w:r>
          </w:p>
        </w:tc>
        <w:tc>
          <w:tcPr>
            <w:tcW w:w="1135" w:type="dxa"/>
            <w:shd w:val="clear" w:color="auto" w:fill="156082"/>
          </w:tcPr>
          <w:p w14:paraId="22D858A7" w14:textId="77777777" w:rsidR="00B3666C" w:rsidRPr="00D633FF" w:rsidRDefault="00B3666C" w:rsidP="00AC2C25">
            <w:pPr>
              <w:jc w:val="center"/>
              <w:rPr>
                <w:rFonts w:ascii="Calibri" w:hAnsi="Calibri" w:cs="Calibri"/>
                <w:b/>
                <w:bCs/>
                <w:color w:val="FFFFFF" w:themeColor="background1"/>
              </w:rPr>
            </w:pPr>
          </w:p>
        </w:tc>
        <w:tc>
          <w:tcPr>
            <w:tcW w:w="1135" w:type="dxa"/>
            <w:shd w:val="clear" w:color="auto" w:fill="156082"/>
          </w:tcPr>
          <w:p w14:paraId="60CDC8EC" w14:textId="77777777" w:rsidR="00B3666C" w:rsidRPr="00D633FF" w:rsidRDefault="00B3666C" w:rsidP="00AC2C25">
            <w:pPr>
              <w:jc w:val="center"/>
              <w:rPr>
                <w:rFonts w:ascii="Calibri" w:hAnsi="Calibri" w:cs="Calibri"/>
                <w:b/>
                <w:bCs/>
                <w:color w:val="FFFFFF" w:themeColor="background1"/>
              </w:rPr>
            </w:pPr>
          </w:p>
        </w:tc>
        <w:tc>
          <w:tcPr>
            <w:tcW w:w="1134" w:type="dxa"/>
            <w:shd w:val="clear" w:color="auto" w:fill="156082"/>
          </w:tcPr>
          <w:p w14:paraId="51A1DFCC" w14:textId="77777777" w:rsidR="00B3666C" w:rsidRPr="00D633FF" w:rsidRDefault="00B3666C" w:rsidP="00AC2C25">
            <w:pPr>
              <w:jc w:val="center"/>
              <w:rPr>
                <w:rFonts w:ascii="Calibri" w:hAnsi="Calibri" w:cs="Calibri"/>
                <w:b/>
                <w:bCs/>
                <w:color w:val="FFFFFF" w:themeColor="background1"/>
              </w:rPr>
            </w:pPr>
          </w:p>
        </w:tc>
        <w:tc>
          <w:tcPr>
            <w:tcW w:w="1134" w:type="dxa"/>
            <w:shd w:val="clear" w:color="auto" w:fill="156082"/>
          </w:tcPr>
          <w:p w14:paraId="4A137BB0" w14:textId="77777777" w:rsidR="00B3666C" w:rsidRPr="00D633FF" w:rsidRDefault="00B3666C" w:rsidP="00AC2C25">
            <w:pPr>
              <w:jc w:val="center"/>
              <w:rPr>
                <w:rFonts w:ascii="Calibri" w:hAnsi="Calibri" w:cs="Calibri"/>
                <w:b/>
                <w:bCs/>
                <w:color w:val="FFFFFF" w:themeColor="background1"/>
              </w:rPr>
            </w:pPr>
          </w:p>
        </w:tc>
        <w:tc>
          <w:tcPr>
            <w:tcW w:w="1573" w:type="dxa"/>
            <w:shd w:val="clear" w:color="auto" w:fill="156082"/>
          </w:tcPr>
          <w:p w14:paraId="687CDBF6" w14:textId="77777777" w:rsidR="00B3666C" w:rsidRPr="00D633FF" w:rsidRDefault="00B3666C" w:rsidP="00AC2C25">
            <w:pPr>
              <w:rPr>
                <w:rFonts w:ascii="Calibri" w:hAnsi="Calibri" w:cs="Calibri"/>
                <w:b/>
                <w:bCs/>
                <w:color w:val="FFFFFF" w:themeColor="background1"/>
              </w:rPr>
            </w:pPr>
          </w:p>
        </w:tc>
      </w:tr>
      <w:tr w:rsidR="00B34364" w:rsidRPr="00D633FF" w14:paraId="3F8EFD6F" w14:textId="77777777" w:rsidTr="003E5DAC">
        <w:tc>
          <w:tcPr>
            <w:tcW w:w="3245" w:type="dxa"/>
          </w:tcPr>
          <w:p w14:paraId="6AC06728" w14:textId="58624CBC" w:rsidR="00B34364" w:rsidRPr="00D633FF" w:rsidRDefault="00B34364" w:rsidP="00FA1D5B">
            <w:pPr>
              <w:ind w:left="190"/>
              <w:rPr>
                <w:rFonts w:ascii="Calibri" w:hAnsi="Calibri" w:cs="Calibri"/>
              </w:rPr>
            </w:pPr>
            <w:r w:rsidRPr="00D633FF">
              <w:rPr>
                <w:rFonts w:ascii="Calibri" w:hAnsi="Calibri" w:cs="Calibri"/>
              </w:rPr>
              <w:t>Any age</w:t>
            </w:r>
          </w:p>
        </w:tc>
        <w:tc>
          <w:tcPr>
            <w:tcW w:w="1135" w:type="dxa"/>
          </w:tcPr>
          <w:p w14:paraId="72426323" w14:textId="2C26012B" w:rsidR="00B34364" w:rsidRPr="00D633FF" w:rsidRDefault="00B34364">
            <w:pPr>
              <w:jc w:val="center"/>
              <w:rPr>
                <w:rFonts w:ascii="Calibri" w:hAnsi="Calibri" w:cs="Calibri"/>
              </w:rPr>
            </w:pPr>
            <w:r w:rsidRPr="00D633FF">
              <w:rPr>
                <w:rFonts w:ascii="Calibri" w:hAnsi="Calibri" w:cs="Calibri"/>
              </w:rPr>
              <w:t>55</w:t>
            </w:r>
          </w:p>
        </w:tc>
        <w:tc>
          <w:tcPr>
            <w:tcW w:w="1135" w:type="dxa"/>
          </w:tcPr>
          <w:p w14:paraId="77E22E59" w14:textId="2D624EFF" w:rsidR="00B34364" w:rsidRPr="00D633FF" w:rsidRDefault="00B34364">
            <w:pPr>
              <w:jc w:val="center"/>
              <w:rPr>
                <w:rFonts w:ascii="Calibri" w:hAnsi="Calibri" w:cs="Calibri"/>
              </w:rPr>
            </w:pPr>
            <w:r w:rsidRPr="00D633FF">
              <w:rPr>
                <w:rFonts w:ascii="Calibri" w:hAnsi="Calibri" w:cs="Calibri"/>
              </w:rPr>
              <w:t>65</w:t>
            </w:r>
          </w:p>
        </w:tc>
        <w:tc>
          <w:tcPr>
            <w:tcW w:w="1134" w:type="dxa"/>
          </w:tcPr>
          <w:p w14:paraId="3B18F741" w14:textId="77777777" w:rsidR="00B34364" w:rsidRPr="00D633FF" w:rsidRDefault="00B34364">
            <w:pPr>
              <w:jc w:val="center"/>
              <w:rPr>
                <w:rFonts w:ascii="Calibri" w:hAnsi="Calibri" w:cs="Calibri"/>
                <w:highlight w:val="lightGray"/>
              </w:rPr>
            </w:pPr>
          </w:p>
        </w:tc>
        <w:tc>
          <w:tcPr>
            <w:tcW w:w="1134" w:type="dxa"/>
          </w:tcPr>
          <w:p w14:paraId="47D25A3F" w14:textId="3A26764B" w:rsidR="00B34364" w:rsidRPr="00D633FF" w:rsidRDefault="00B34364">
            <w:pPr>
              <w:jc w:val="center"/>
              <w:rPr>
                <w:rFonts w:ascii="Calibri" w:hAnsi="Calibri" w:cs="Calibri"/>
                <w:highlight w:val="lightGray"/>
              </w:rPr>
            </w:pPr>
            <w:r w:rsidRPr="00D633FF">
              <w:rPr>
                <w:rFonts w:ascii="Calibri" w:hAnsi="Calibri" w:cs="Calibri"/>
              </w:rPr>
              <w:t>330</w:t>
            </w:r>
          </w:p>
        </w:tc>
        <w:tc>
          <w:tcPr>
            <w:tcW w:w="1573" w:type="dxa"/>
          </w:tcPr>
          <w:p w14:paraId="6BDCF05C" w14:textId="77777777" w:rsidR="00B34364" w:rsidRPr="00D633FF" w:rsidRDefault="00B34364">
            <w:pPr>
              <w:rPr>
                <w:rFonts w:ascii="Calibri" w:hAnsi="Calibri" w:cs="Calibri"/>
              </w:rPr>
            </w:pPr>
          </w:p>
        </w:tc>
      </w:tr>
      <w:tr w:rsidR="00B3666C" w:rsidRPr="00D633FF" w14:paraId="03161C61" w14:textId="77777777" w:rsidTr="003E5DAC">
        <w:tc>
          <w:tcPr>
            <w:tcW w:w="3245" w:type="dxa"/>
            <w:shd w:val="clear" w:color="auto" w:fill="156082"/>
          </w:tcPr>
          <w:p w14:paraId="4B00557F" w14:textId="12F4DD5D" w:rsidR="00B3666C" w:rsidRPr="00D633FF" w:rsidRDefault="00B3666C" w:rsidP="00AC2C25">
            <w:pPr>
              <w:rPr>
                <w:rFonts w:ascii="Calibri" w:hAnsi="Calibri" w:cs="Calibri"/>
                <w:b/>
                <w:bCs/>
                <w:color w:val="FFFFFF" w:themeColor="background1"/>
              </w:rPr>
            </w:pPr>
            <w:r w:rsidRPr="00D633FF">
              <w:rPr>
                <w:rFonts w:ascii="Calibri" w:hAnsi="Calibri" w:cs="Calibri"/>
                <w:color w:val="FFFFFF" w:themeColor="background1"/>
              </w:rPr>
              <w:t>Lactation</w:t>
            </w:r>
          </w:p>
        </w:tc>
        <w:tc>
          <w:tcPr>
            <w:tcW w:w="1135" w:type="dxa"/>
            <w:shd w:val="clear" w:color="auto" w:fill="156082"/>
          </w:tcPr>
          <w:p w14:paraId="66DCD8C7" w14:textId="77777777" w:rsidR="00B3666C" w:rsidRPr="00D633FF" w:rsidRDefault="00B3666C" w:rsidP="00AC2C25">
            <w:pPr>
              <w:jc w:val="center"/>
              <w:rPr>
                <w:rFonts w:ascii="Calibri" w:hAnsi="Calibri" w:cs="Calibri"/>
                <w:b/>
                <w:bCs/>
                <w:color w:val="FFFFFF" w:themeColor="background1"/>
              </w:rPr>
            </w:pPr>
          </w:p>
        </w:tc>
        <w:tc>
          <w:tcPr>
            <w:tcW w:w="1135" w:type="dxa"/>
            <w:shd w:val="clear" w:color="auto" w:fill="156082"/>
          </w:tcPr>
          <w:p w14:paraId="41753CDC" w14:textId="77777777" w:rsidR="00B3666C" w:rsidRPr="00D633FF" w:rsidRDefault="00B3666C" w:rsidP="00AC2C25">
            <w:pPr>
              <w:jc w:val="center"/>
              <w:rPr>
                <w:rFonts w:ascii="Calibri" w:hAnsi="Calibri" w:cs="Calibri"/>
                <w:b/>
                <w:bCs/>
                <w:color w:val="FFFFFF" w:themeColor="background1"/>
              </w:rPr>
            </w:pPr>
          </w:p>
        </w:tc>
        <w:tc>
          <w:tcPr>
            <w:tcW w:w="1134" w:type="dxa"/>
            <w:shd w:val="clear" w:color="auto" w:fill="156082"/>
          </w:tcPr>
          <w:p w14:paraId="49AC9358" w14:textId="77777777" w:rsidR="00B3666C" w:rsidRPr="00D633FF" w:rsidRDefault="00B3666C" w:rsidP="00AC2C25">
            <w:pPr>
              <w:jc w:val="center"/>
              <w:rPr>
                <w:rFonts w:ascii="Calibri" w:hAnsi="Calibri" w:cs="Calibri"/>
                <w:b/>
                <w:bCs/>
                <w:color w:val="FFFFFF" w:themeColor="background1"/>
              </w:rPr>
            </w:pPr>
          </w:p>
        </w:tc>
        <w:tc>
          <w:tcPr>
            <w:tcW w:w="1134" w:type="dxa"/>
            <w:shd w:val="clear" w:color="auto" w:fill="156082"/>
          </w:tcPr>
          <w:p w14:paraId="7C9D857C" w14:textId="77777777" w:rsidR="00B3666C" w:rsidRPr="00D633FF" w:rsidRDefault="00B3666C" w:rsidP="00AC2C25">
            <w:pPr>
              <w:jc w:val="center"/>
              <w:rPr>
                <w:rFonts w:ascii="Calibri" w:hAnsi="Calibri" w:cs="Calibri"/>
                <w:b/>
                <w:bCs/>
                <w:color w:val="FFFFFF" w:themeColor="background1"/>
              </w:rPr>
            </w:pPr>
          </w:p>
        </w:tc>
        <w:tc>
          <w:tcPr>
            <w:tcW w:w="1573" w:type="dxa"/>
            <w:shd w:val="clear" w:color="auto" w:fill="156082"/>
          </w:tcPr>
          <w:p w14:paraId="4216E32D" w14:textId="77777777" w:rsidR="00B3666C" w:rsidRPr="00D633FF" w:rsidRDefault="00B3666C" w:rsidP="00AC2C25">
            <w:pPr>
              <w:rPr>
                <w:rFonts w:ascii="Calibri" w:hAnsi="Calibri" w:cs="Calibri"/>
                <w:b/>
                <w:bCs/>
                <w:color w:val="FFFFFF" w:themeColor="background1"/>
              </w:rPr>
            </w:pPr>
          </w:p>
        </w:tc>
      </w:tr>
      <w:tr w:rsidR="00B34364" w:rsidRPr="00D633FF" w14:paraId="4038831F" w14:textId="77777777" w:rsidTr="003E5DAC">
        <w:tc>
          <w:tcPr>
            <w:tcW w:w="3245" w:type="dxa"/>
          </w:tcPr>
          <w:p w14:paraId="5C59B5EA" w14:textId="144833D0" w:rsidR="00B34364" w:rsidRPr="00D633FF" w:rsidRDefault="00B34364" w:rsidP="00FA1D5B">
            <w:pPr>
              <w:ind w:left="190"/>
              <w:rPr>
                <w:rFonts w:ascii="Calibri" w:hAnsi="Calibri" w:cs="Calibri"/>
              </w:rPr>
            </w:pPr>
            <w:r w:rsidRPr="00D633FF">
              <w:rPr>
                <w:rFonts w:ascii="Calibri" w:hAnsi="Calibri" w:cs="Calibri"/>
              </w:rPr>
              <w:t>Any age</w:t>
            </w:r>
          </w:p>
        </w:tc>
        <w:tc>
          <w:tcPr>
            <w:tcW w:w="1135" w:type="dxa"/>
          </w:tcPr>
          <w:p w14:paraId="78A4B429" w14:textId="732A93DE" w:rsidR="00B34364" w:rsidRPr="00D633FF" w:rsidRDefault="00B34364">
            <w:pPr>
              <w:jc w:val="center"/>
              <w:rPr>
                <w:rFonts w:ascii="Calibri" w:hAnsi="Calibri" w:cs="Calibri"/>
              </w:rPr>
            </w:pPr>
            <w:r w:rsidRPr="00D633FF">
              <w:rPr>
                <w:rFonts w:ascii="Calibri" w:hAnsi="Calibri" w:cs="Calibri"/>
              </w:rPr>
              <w:t>65</w:t>
            </w:r>
          </w:p>
        </w:tc>
        <w:tc>
          <w:tcPr>
            <w:tcW w:w="1135" w:type="dxa"/>
          </w:tcPr>
          <w:p w14:paraId="61A08726" w14:textId="5B305D17" w:rsidR="00B34364" w:rsidRPr="00D633FF" w:rsidRDefault="00B34364">
            <w:pPr>
              <w:jc w:val="center"/>
              <w:rPr>
                <w:rFonts w:ascii="Calibri" w:hAnsi="Calibri" w:cs="Calibri"/>
              </w:rPr>
            </w:pPr>
            <w:r w:rsidRPr="00D633FF">
              <w:rPr>
                <w:rFonts w:ascii="Calibri" w:hAnsi="Calibri" w:cs="Calibri"/>
              </w:rPr>
              <w:t>75</w:t>
            </w:r>
          </w:p>
        </w:tc>
        <w:tc>
          <w:tcPr>
            <w:tcW w:w="1134" w:type="dxa"/>
          </w:tcPr>
          <w:p w14:paraId="666D9930" w14:textId="77777777" w:rsidR="00B34364" w:rsidRPr="00D633FF" w:rsidRDefault="00B34364">
            <w:pPr>
              <w:jc w:val="center"/>
              <w:rPr>
                <w:rFonts w:ascii="Calibri" w:hAnsi="Calibri" w:cs="Calibri"/>
                <w:highlight w:val="lightGray"/>
              </w:rPr>
            </w:pPr>
          </w:p>
        </w:tc>
        <w:tc>
          <w:tcPr>
            <w:tcW w:w="1134" w:type="dxa"/>
          </w:tcPr>
          <w:p w14:paraId="159AC538" w14:textId="4F1745AE" w:rsidR="00B34364" w:rsidRPr="00D633FF" w:rsidRDefault="00B34364">
            <w:pPr>
              <w:jc w:val="center"/>
              <w:rPr>
                <w:rFonts w:ascii="Calibri" w:hAnsi="Calibri" w:cs="Calibri"/>
                <w:highlight w:val="lightGray"/>
              </w:rPr>
            </w:pPr>
            <w:r w:rsidRPr="00D633FF">
              <w:rPr>
                <w:rFonts w:ascii="Calibri" w:hAnsi="Calibri" w:cs="Calibri"/>
              </w:rPr>
              <w:t>330</w:t>
            </w:r>
          </w:p>
        </w:tc>
        <w:tc>
          <w:tcPr>
            <w:tcW w:w="1573" w:type="dxa"/>
          </w:tcPr>
          <w:p w14:paraId="6D8CB5B4" w14:textId="77777777" w:rsidR="00B34364" w:rsidRPr="00D633FF" w:rsidRDefault="00B34364">
            <w:pPr>
              <w:rPr>
                <w:rFonts w:ascii="Calibri" w:hAnsi="Calibri" w:cs="Calibri"/>
              </w:rPr>
            </w:pPr>
          </w:p>
        </w:tc>
      </w:tr>
    </w:tbl>
    <w:p w14:paraId="2AE395D7" w14:textId="5E1D18EE" w:rsidR="00B807B5" w:rsidRPr="00D633FF" w:rsidRDefault="00B807B5" w:rsidP="00F13B7C">
      <w:pPr>
        <w:spacing w:before="240"/>
        <w:rPr>
          <w:rFonts w:ascii="Calibri" w:hAnsi="Calibri" w:cs="Calibri"/>
        </w:rPr>
      </w:pPr>
      <w:r w:rsidRPr="00D633FF">
        <w:rPr>
          <w:rFonts w:ascii="Calibri" w:hAnsi="Calibri" w:cs="Calibri"/>
        </w:rPr>
        <w:t>Additional, alternative age groupings by school-level (for reporting against National Nutrition Survey results):</w:t>
      </w:r>
    </w:p>
    <w:tbl>
      <w:tblPr>
        <w:tblStyle w:val="TableGrid"/>
        <w:tblW w:w="7801" w:type="dxa"/>
        <w:tblInd w:w="-14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265"/>
        <w:gridCol w:w="1134"/>
        <w:gridCol w:w="1134"/>
        <w:gridCol w:w="1134"/>
        <w:gridCol w:w="1134"/>
      </w:tblGrid>
      <w:tr w:rsidR="00E925D1" w:rsidRPr="00D633FF" w14:paraId="1EF3D31D" w14:textId="77777777" w:rsidTr="003E5DAC">
        <w:tc>
          <w:tcPr>
            <w:tcW w:w="3265" w:type="dxa"/>
            <w:shd w:val="clear" w:color="auto" w:fill="156082"/>
          </w:tcPr>
          <w:p w14:paraId="28D38C0E" w14:textId="0C6F2A1C" w:rsidR="00E925D1" w:rsidRPr="00D633FF" w:rsidRDefault="00E925D1" w:rsidP="005A73F1">
            <w:pPr>
              <w:rPr>
                <w:rFonts w:ascii="Calibri" w:hAnsi="Calibri" w:cs="Calibri"/>
                <w:b/>
                <w:bCs/>
                <w:color w:val="FFFFFF" w:themeColor="background1"/>
              </w:rPr>
            </w:pPr>
            <w:r w:rsidRPr="00D633FF">
              <w:rPr>
                <w:rFonts w:ascii="Calibri" w:hAnsi="Calibri" w:cs="Calibri"/>
                <w:b/>
                <w:bCs/>
                <w:color w:val="FFFFFF" w:themeColor="background1"/>
              </w:rPr>
              <w:t>Age (years)</w:t>
            </w:r>
          </w:p>
        </w:tc>
        <w:tc>
          <w:tcPr>
            <w:tcW w:w="1134" w:type="dxa"/>
            <w:shd w:val="clear" w:color="auto" w:fill="156082"/>
          </w:tcPr>
          <w:p w14:paraId="520F84DC" w14:textId="77777777" w:rsidR="00E925D1" w:rsidRPr="00D633FF" w:rsidRDefault="00E925D1" w:rsidP="005A73F1">
            <w:pPr>
              <w:jc w:val="center"/>
              <w:rPr>
                <w:rFonts w:ascii="Calibri" w:hAnsi="Calibri" w:cs="Calibri"/>
                <w:b/>
                <w:bCs/>
                <w:color w:val="FFFFFF" w:themeColor="background1"/>
              </w:rPr>
            </w:pPr>
            <w:r w:rsidRPr="00D633FF">
              <w:rPr>
                <w:rFonts w:ascii="Calibri" w:hAnsi="Calibri" w:cs="Calibri"/>
                <w:b/>
                <w:bCs/>
                <w:color w:val="FFFFFF" w:themeColor="background1"/>
              </w:rPr>
              <w:t>EAR</w:t>
            </w:r>
          </w:p>
          <w:p w14:paraId="56B0B273" w14:textId="3868D413" w:rsidR="00E925D1" w:rsidRPr="00D633FF" w:rsidRDefault="00E925D1" w:rsidP="00E925D1">
            <w:pPr>
              <w:jc w:val="center"/>
              <w:rPr>
                <w:rFonts w:ascii="Calibri" w:hAnsi="Calibri" w:cs="Calibri"/>
                <w:color w:val="FFFFFF" w:themeColor="background1"/>
              </w:rPr>
            </w:pPr>
            <w:r w:rsidRPr="00D633FF">
              <w:rPr>
                <w:rFonts w:ascii="Calibri" w:hAnsi="Calibri" w:cs="Calibri"/>
                <w:b/>
                <w:bCs/>
                <w:color w:val="FFFFFF" w:themeColor="background1"/>
              </w:rPr>
              <w:t>(µg/day)</w:t>
            </w:r>
          </w:p>
        </w:tc>
        <w:tc>
          <w:tcPr>
            <w:tcW w:w="1134" w:type="dxa"/>
            <w:shd w:val="clear" w:color="auto" w:fill="156082"/>
          </w:tcPr>
          <w:p w14:paraId="289CA2D0" w14:textId="77777777" w:rsidR="00E925D1" w:rsidRPr="00D633FF" w:rsidRDefault="00E925D1" w:rsidP="005A73F1">
            <w:pPr>
              <w:jc w:val="center"/>
              <w:rPr>
                <w:rFonts w:ascii="Calibri" w:hAnsi="Calibri" w:cs="Calibri"/>
                <w:b/>
                <w:bCs/>
                <w:color w:val="FFFFFF" w:themeColor="background1"/>
              </w:rPr>
            </w:pPr>
            <w:r w:rsidRPr="00D633FF">
              <w:rPr>
                <w:rFonts w:ascii="Calibri" w:hAnsi="Calibri" w:cs="Calibri"/>
                <w:b/>
                <w:bCs/>
                <w:color w:val="FFFFFF" w:themeColor="background1"/>
              </w:rPr>
              <w:t>RDI</w:t>
            </w:r>
          </w:p>
          <w:p w14:paraId="53BADCEA" w14:textId="1C1ECB19" w:rsidR="00E925D1" w:rsidRPr="00D633FF" w:rsidRDefault="00E925D1" w:rsidP="00E925D1">
            <w:pPr>
              <w:jc w:val="center"/>
              <w:rPr>
                <w:rFonts w:ascii="Calibri" w:hAnsi="Calibri" w:cs="Calibri"/>
                <w:color w:val="FFFFFF" w:themeColor="background1"/>
              </w:rPr>
            </w:pPr>
            <w:r w:rsidRPr="00D633FF">
              <w:rPr>
                <w:rFonts w:ascii="Calibri" w:hAnsi="Calibri" w:cs="Calibri"/>
                <w:b/>
                <w:bCs/>
                <w:color w:val="FFFFFF" w:themeColor="background1"/>
              </w:rPr>
              <w:t>(µg/day)</w:t>
            </w:r>
          </w:p>
        </w:tc>
        <w:tc>
          <w:tcPr>
            <w:tcW w:w="1134" w:type="dxa"/>
            <w:shd w:val="clear" w:color="auto" w:fill="156082"/>
          </w:tcPr>
          <w:p w14:paraId="64624723" w14:textId="77777777" w:rsidR="00E925D1" w:rsidRPr="00D633FF" w:rsidRDefault="00E925D1" w:rsidP="005A73F1">
            <w:pPr>
              <w:jc w:val="center"/>
              <w:rPr>
                <w:rFonts w:ascii="Calibri" w:hAnsi="Calibri" w:cs="Calibri"/>
                <w:b/>
                <w:bCs/>
                <w:color w:val="FFFFFF" w:themeColor="background1"/>
              </w:rPr>
            </w:pPr>
            <w:r w:rsidRPr="00D633FF">
              <w:rPr>
                <w:rFonts w:ascii="Calibri" w:hAnsi="Calibri" w:cs="Calibri"/>
                <w:b/>
                <w:bCs/>
                <w:color w:val="FFFFFF" w:themeColor="background1"/>
              </w:rPr>
              <w:t>AI</w:t>
            </w:r>
          </w:p>
          <w:p w14:paraId="42B9CF81" w14:textId="294FE760" w:rsidR="00E925D1" w:rsidRPr="00D633FF" w:rsidRDefault="00E925D1" w:rsidP="00E925D1">
            <w:pPr>
              <w:jc w:val="center"/>
              <w:rPr>
                <w:rFonts w:ascii="Calibri" w:hAnsi="Calibri" w:cs="Calibri"/>
                <w:color w:val="FFFFFF" w:themeColor="background1"/>
              </w:rPr>
            </w:pPr>
            <w:r w:rsidRPr="00D633FF">
              <w:rPr>
                <w:rFonts w:ascii="Calibri" w:hAnsi="Calibri" w:cs="Calibri"/>
                <w:b/>
                <w:bCs/>
                <w:color w:val="FFFFFF" w:themeColor="background1"/>
              </w:rPr>
              <w:t>(µg/day)</w:t>
            </w:r>
          </w:p>
        </w:tc>
        <w:tc>
          <w:tcPr>
            <w:tcW w:w="1134" w:type="dxa"/>
            <w:shd w:val="clear" w:color="auto" w:fill="156082"/>
          </w:tcPr>
          <w:p w14:paraId="796C29A9" w14:textId="77777777" w:rsidR="00E925D1" w:rsidRPr="00D633FF" w:rsidRDefault="00E925D1" w:rsidP="005A73F1">
            <w:pPr>
              <w:jc w:val="center"/>
              <w:rPr>
                <w:rFonts w:ascii="Calibri" w:hAnsi="Calibri" w:cs="Calibri"/>
                <w:b/>
                <w:bCs/>
                <w:color w:val="FFFFFF" w:themeColor="background1"/>
              </w:rPr>
            </w:pPr>
            <w:r w:rsidRPr="00D633FF">
              <w:rPr>
                <w:rFonts w:ascii="Calibri" w:hAnsi="Calibri" w:cs="Calibri"/>
                <w:b/>
                <w:bCs/>
                <w:color w:val="FFFFFF" w:themeColor="background1"/>
              </w:rPr>
              <w:t>UL</w:t>
            </w:r>
          </w:p>
          <w:p w14:paraId="6D5A612D" w14:textId="458725CA" w:rsidR="00E925D1" w:rsidRPr="00D633FF" w:rsidRDefault="00E925D1" w:rsidP="00E925D1">
            <w:pPr>
              <w:jc w:val="center"/>
              <w:rPr>
                <w:rFonts w:ascii="Calibri" w:hAnsi="Calibri" w:cs="Calibri"/>
                <w:color w:val="FFFFFF" w:themeColor="background1"/>
              </w:rPr>
            </w:pPr>
            <w:r w:rsidRPr="00D633FF">
              <w:rPr>
                <w:rFonts w:ascii="Calibri" w:hAnsi="Calibri" w:cs="Calibri"/>
                <w:b/>
                <w:bCs/>
                <w:color w:val="FFFFFF" w:themeColor="background1"/>
              </w:rPr>
              <w:t>(µg/day)</w:t>
            </w:r>
          </w:p>
        </w:tc>
      </w:tr>
      <w:tr w:rsidR="00B34364" w:rsidRPr="00D633FF" w14:paraId="4A1F341E" w14:textId="77777777" w:rsidTr="003E5DAC">
        <w:tc>
          <w:tcPr>
            <w:tcW w:w="3265" w:type="dxa"/>
          </w:tcPr>
          <w:p w14:paraId="3632A0C5" w14:textId="28A3FDDD" w:rsidR="00B34364" w:rsidRPr="00D633FF" w:rsidRDefault="00B34364" w:rsidP="00FA1D5B">
            <w:pPr>
              <w:ind w:left="176"/>
              <w:rPr>
                <w:rFonts w:ascii="Calibri" w:hAnsi="Calibri" w:cs="Calibri"/>
              </w:rPr>
            </w:pPr>
            <w:r w:rsidRPr="00D633FF">
              <w:rPr>
                <w:rFonts w:ascii="Calibri" w:hAnsi="Calibri" w:cs="Calibri"/>
              </w:rPr>
              <w:t>13 – 23 months</w:t>
            </w:r>
          </w:p>
        </w:tc>
        <w:tc>
          <w:tcPr>
            <w:tcW w:w="1134" w:type="dxa"/>
          </w:tcPr>
          <w:p w14:paraId="4F4E79EF" w14:textId="4971F88D" w:rsidR="00B34364" w:rsidRPr="00D633FF" w:rsidRDefault="00B34364" w:rsidP="00F13B7C">
            <w:pPr>
              <w:jc w:val="center"/>
              <w:rPr>
                <w:rFonts w:ascii="Calibri" w:hAnsi="Calibri" w:cs="Calibri"/>
              </w:rPr>
            </w:pPr>
            <w:r w:rsidRPr="00D633FF">
              <w:rPr>
                <w:rFonts w:ascii="Calibri" w:hAnsi="Calibri" w:cs="Calibri"/>
              </w:rPr>
              <w:t>20</w:t>
            </w:r>
          </w:p>
        </w:tc>
        <w:tc>
          <w:tcPr>
            <w:tcW w:w="1134" w:type="dxa"/>
          </w:tcPr>
          <w:p w14:paraId="10A8B3E6" w14:textId="57687384" w:rsidR="00B34364" w:rsidRPr="00D633FF" w:rsidRDefault="00B34364" w:rsidP="00F13B7C">
            <w:pPr>
              <w:jc w:val="center"/>
              <w:rPr>
                <w:rFonts w:ascii="Calibri" w:hAnsi="Calibri" w:cs="Calibri"/>
              </w:rPr>
            </w:pPr>
            <w:r w:rsidRPr="00D633FF">
              <w:rPr>
                <w:rFonts w:ascii="Calibri" w:hAnsi="Calibri" w:cs="Calibri"/>
              </w:rPr>
              <w:t>25</w:t>
            </w:r>
          </w:p>
        </w:tc>
        <w:tc>
          <w:tcPr>
            <w:tcW w:w="1134" w:type="dxa"/>
          </w:tcPr>
          <w:p w14:paraId="330A2B83" w14:textId="77777777" w:rsidR="00B34364" w:rsidRPr="00D633FF" w:rsidRDefault="00B34364" w:rsidP="00F13B7C">
            <w:pPr>
              <w:jc w:val="center"/>
              <w:rPr>
                <w:rFonts w:ascii="Calibri" w:hAnsi="Calibri" w:cs="Calibri"/>
                <w:highlight w:val="lightGray"/>
              </w:rPr>
            </w:pPr>
          </w:p>
        </w:tc>
        <w:tc>
          <w:tcPr>
            <w:tcW w:w="1134" w:type="dxa"/>
          </w:tcPr>
          <w:p w14:paraId="283419D5" w14:textId="68C264E5" w:rsidR="00B34364" w:rsidRPr="00D633FF" w:rsidRDefault="00B34364" w:rsidP="00F13B7C">
            <w:pPr>
              <w:jc w:val="center"/>
              <w:rPr>
                <w:rFonts w:ascii="Calibri" w:hAnsi="Calibri" w:cs="Calibri"/>
              </w:rPr>
            </w:pPr>
            <w:r w:rsidRPr="00D633FF">
              <w:rPr>
                <w:rFonts w:ascii="Calibri" w:hAnsi="Calibri" w:cs="Calibri"/>
              </w:rPr>
              <w:t>85</w:t>
            </w:r>
          </w:p>
        </w:tc>
      </w:tr>
      <w:tr w:rsidR="00B34364" w:rsidRPr="00D633FF" w14:paraId="2223DAB8" w14:textId="77777777" w:rsidTr="003E5DAC">
        <w:tc>
          <w:tcPr>
            <w:tcW w:w="3265" w:type="dxa"/>
          </w:tcPr>
          <w:p w14:paraId="093C496D" w14:textId="0628D376" w:rsidR="00B34364" w:rsidRPr="00D633FF" w:rsidRDefault="00B34364" w:rsidP="00FA1D5B">
            <w:pPr>
              <w:ind w:left="176"/>
              <w:rPr>
                <w:rFonts w:ascii="Calibri" w:hAnsi="Calibri" w:cs="Calibri"/>
              </w:rPr>
            </w:pPr>
            <w:r w:rsidRPr="00D633FF">
              <w:rPr>
                <w:rFonts w:ascii="Calibri" w:hAnsi="Calibri" w:cs="Calibri"/>
              </w:rPr>
              <w:t>2 – 4 years</w:t>
            </w:r>
          </w:p>
        </w:tc>
        <w:tc>
          <w:tcPr>
            <w:tcW w:w="1134" w:type="dxa"/>
          </w:tcPr>
          <w:p w14:paraId="68D9877A" w14:textId="5D05352E" w:rsidR="00B34364" w:rsidRPr="00D633FF" w:rsidRDefault="00B34364" w:rsidP="00F13B7C">
            <w:pPr>
              <w:jc w:val="center"/>
              <w:rPr>
                <w:rFonts w:ascii="Calibri" w:hAnsi="Calibri" w:cs="Calibri"/>
              </w:rPr>
            </w:pPr>
            <w:r w:rsidRPr="00D633FF">
              <w:rPr>
                <w:rFonts w:ascii="Calibri" w:hAnsi="Calibri" w:cs="Calibri"/>
              </w:rPr>
              <w:t>20</w:t>
            </w:r>
          </w:p>
        </w:tc>
        <w:tc>
          <w:tcPr>
            <w:tcW w:w="1134" w:type="dxa"/>
          </w:tcPr>
          <w:p w14:paraId="7C2F4BF4" w14:textId="4B43BB32" w:rsidR="00B34364" w:rsidRPr="00D633FF" w:rsidRDefault="00B34364" w:rsidP="00F13B7C">
            <w:pPr>
              <w:jc w:val="center"/>
              <w:rPr>
                <w:rFonts w:ascii="Calibri" w:hAnsi="Calibri" w:cs="Calibri"/>
              </w:rPr>
            </w:pPr>
            <w:r w:rsidRPr="00D633FF">
              <w:rPr>
                <w:rFonts w:ascii="Calibri" w:hAnsi="Calibri" w:cs="Calibri"/>
              </w:rPr>
              <w:t>25</w:t>
            </w:r>
          </w:p>
        </w:tc>
        <w:tc>
          <w:tcPr>
            <w:tcW w:w="1134" w:type="dxa"/>
          </w:tcPr>
          <w:p w14:paraId="3D81BA6A" w14:textId="77777777" w:rsidR="00B34364" w:rsidRPr="00D633FF" w:rsidRDefault="00B34364" w:rsidP="00F13B7C">
            <w:pPr>
              <w:jc w:val="center"/>
              <w:rPr>
                <w:rFonts w:ascii="Calibri" w:hAnsi="Calibri" w:cs="Calibri"/>
                <w:highlight w:val="lightGray"/>
              </w:rPr>
            </w:pPr>
          </w:p>
        </w:tc>
        <w:tc>
          <w:tcPr>
            <w:tcW w:w="1134" w:type="dxa"/>
          </w:tcPr>
          <w:p w14:paraId="34D94834" w14:textId="5D7CD6C4" w:rsidR="00B34364" w:rsidRPr="00D633FF" w:rsidRDefault="00B34364" w:rsidP="00F13B7C">
            <w:pPr>
              <w:jc w:val="center"/>
              <w:rPr>
                <w:rFonts w:ascii="Calibri" w:hAnsi="Calibri" w:cs="Calibri"/>
              </w:rPr>
            </w:pPr>
            <w:r w:rsidRPr="00D633FF">
              <w:rPr>
                <w:rFonts w:ascii="Calibri" w:hAnsi="Calibri" w:cs="Calibri"/>
              </w:rPr>
              <w:t>120</w:t>
            </w:r>
          </w:p>
        </w:tc>
      </w:tr>
      <w:tr w:rsidR="00B34364" w:rsidRPr="00D633FF" w14:paraId="648865D6" w14:textId="77777777" w:rsidTr="003E5DAC">
        <w:tc>
          <w:tcPr>
            <w:tcW w:w="3265" w:type="dxa"/>
          </w:tcPr>
          <w:p w14:paraId="645E1819" w14:textId="6136279A" w:rsidR="00B34364" w:rsidRPr="00D633FF" w:rsidRDefault="00B34364" w:rsidP="00FA1D5B">
            <w:pPr>
              <w:ind w:left="176"/>
              <w:rPr>
                <w:rFonts w:ascii="Calibri" w:hAnsi="Calibri" w:cs="Calibri"/>
              </w:rPr>
            </w:pPr>
            <w:r w:rsidRPr="00D633FF">
              <w:rPr>
                <w:rFonts w:ascii="Calibri" w:hAnsi="Calibri" w:cs="Calibri"/>
              </w:rPr>
              <w:t>5 – 11 years</w:t>
            </w:r>
          </w:p>
        </w:tc>
        <w:tc>
          <w:tcPr>
            <w:tcW w:w="1134" w:type="dxa"/>
          </w:tcPr>
          <w:p w14:paraId="08CF6B13" w14:textId="16FF890B" w:rsidR="00B34364" w:rsidRPr="00D633FF" w:rsidRDefault="00B34364" w:rsidP="00F13B7C">
            <w:pPr>
              <w:jc w:val="center"/>
              <w:rPr>
                <w:rFonts w:ascii="Calibri" w:hAnsi="Calibri" w:cs="Calibri"/>
              </w:rPr>
            </w:pPr>
            <w:r w:rsidRPr="00D633FF">
              <w:rPr>
                <w:rFonts w:ascii="Calibri" w:hAnsi="Calibri" w:cs="Calibri"/>
              </w:rPr>
              <w:t>30</w:t>
            </w:r>
          </w:p>
        </w:tc>
        <w:tc>
          <w:tcPr>
            <w:tcW w:w="1134" w:type="dxa"/>
          </w:tcPr>
          <w:p w14:paraId="184B7246" w14:textId="009A6AE2" w:rsidR="00B34364" w:rsidRPr="00D633FF" w:rsidRDefault="00B34364" w:rsidP="00F13B7C">
            <w:pPr>
              <w:jc w:val="center"/>
              <w:rPr>
                <w:rFonts w:ascii="Calibri" w:hAnsi="Calibri" w:cs="Calibri"/>
              </w:rPr>
            </w:pPr>
            <w:r w:rsidRPr="00D633FF">
              <w:rPr>
                <w:rFonts w:ascii="Calibri" w:hAnsi="Calibri" w:cs="Calibri"/>
              </w:rPr>
              <w:t>40</w:t>
            </w:r>
          </w:p>
        </w:tc>
        <w:tc>
          <w:tcPr>
            <w:tcW w:w="1134" w:type="dxa"/>
          </w:tcPr>
          <w:p w14:paraId="216BAE04" w14:textId="77777777" w:rsidR="00B34364" w:rsidRPr="00D633FF" w:rsidRDefault="00B34364" w:rsidP="00F13B7C">
            <w:pPr>
              <w:jc w:val="center"/>
              <w:rPr>
                <w:rFonts w:ascii="Calibri" w:hAnsi="Calibri" w:cs="Calibri"/>
                <w:highlight w:val="lightGray"/>
              </w:rPr>
            </w:pPr>
          </w:p>
        </w:tc>
        <w:tc>
          <w:tcPr>
            <w:tcW w:w="1134" w:type="dxa"/>
          </w:tcPr>
          <w:p w14:paraId="3AFF86FA" w14:textId="78FFB11D" w:rsidR="00B34364" w:rsidRPr="00D633FF" w:rsidRDefault="00B34364" w:rsidP="00F13B7C">
            <w:pPr>
              <w:jc w:val="center"/>
              <w:rPr>
                <w:rFonts w:ascii="Calibri" w:hAnsi="Calibri" w:cs="Calibri"/>
              </w:rPr>
            </w:pPr>
            <w:r w:rsidRPr="00D633FF">
              <w:rPr>
                <w:rFonts w:ascii="Calibri" w:hAnsi="Calibri" w:cs="Calibri"/>
              </w:rPr>
              <w:t>185</w:t>
            </w:r>
          </w:p>
        </w:tc>
      </w:tr>
      <w:tr w:rsidR="00B34364" w:rsidRPr="00D633FF" w14:paraId="07F21B74" w14:textId="77777777" w:rsidTr="003E5DAC">
        <w:tc>
          <w:tcPr>
            <w:tcW w:w="3265" w:type="dxa"/>
            <w:shd w:val="clear" w:color="auto" w:fill="DAE9F7" w:themeFill="text2" w:themeFillTint="1A"/>
          </w:tcPr>
          <w:p w14:paraId="234C42CD" w14:textId="3EDA154D" w:rsidR="00B34364" w:rsidRPr="00D633FF" w:rsidRDefault="00B34364" w:rsidP="00FA1D5B">
            <w:pPr>
              <w:ind w:left="176"/>
              <w:rPr>
                <w:rFonts w:ascii="Calibri" w:hAnsi="Calibri" w:cs="Calibri"/>
              </w:rPr>
            </w:pPr>
            <w:r w:rsidRPr="00D633FF">
              <w:rPr>
                <w:rFonts w:ascii="Calibri" w:hAnsi="Calibri" w:cs="Calibri"/>
              </w:rPr>
              <w:t xml:space="preserve">Males 12 </w:t>
            </w:r>
            <w:r w:rsidR="00637B1D">
              <w:rPr>
                <w:rFonts w:ascii="Calibri" w:hAnsi="Calibri" w:cs="Calibri"/>
              </w:rPr>
              <w:t xml:space="preserve">– </w:t>
            </w:r>
            <w:r w:rsidRPr="00D633FF">
              <w:rPr>
                <w:rFonts w:ascii="Calibri" w:hAnsi="Calibri" w:cs="Calibri"/>
              </w:rPr>
              <w:t>17 years</w:t>
            </w:r>
          </w:p>
        </w:tc>
        <w:tc>
          <w:tcPr>
            <w:tcW w:w="1134" w:type="dxa"/>
            <w:shd w:val="clear" w:color="auto" w:fill="DAE9F7" w:themeFill="text2" w:themeFillTint="1A"/>
          </w:tcPr>
          <w:p w14:paraId="3FAB7A2E" w14:textId="7191E347" w:rsidR="00B34364" w:rsidRPr="00D633FF" w:rsidRDefault="00B34364" w:rsidP="00F13B7C">
            <w:pPr>
              <w:jc w:val="center"/>
              <w:rPr>
                <w:rFonts w:ascii="Calibri" w:hAnsi="Calibri" w:cs="Calibri"/>
              </w:rPr>
            </w:pPr>
            <w:r w:rsidRPr="00D633FF">
              <w:rPr>
                <w:rFonts w:ascii="Calibri" w:hAnsi="Calibri" w:cs="Calibri"/>
              </w:rPr>
              <w:t>55</w:t>
            </w:r>
          </w:p>
        </w:tc>
        <w:tc>
          <w:tcPr>
            <w:tcW w:w="1134" w:type="dxa"/>
            <w:shd w:val="clear" w:color="auto" w:fill="DAE9F7" w:themeFill="text2" w:themeFillTint="1A"/>
          </w:tcPr>
          <w:p w14:paraId="307B0A08" w14:textId="2DC22C90" w:rsidR="00B34364" w:rsidRPr="00D633FF" w:rsidRDefault="00B34364" w:rsidP="00F13B7C">
            <w:pPr>
              <w:jc w:val="center"/>
              <w:rPr>
                <w:rFonts w:ascii="Calibri" w:hAnsi="Calibri" w:cs="Calibri"/>
              </w:rPr>
            </w:pPr>
            <w:r w:rsidRPr="00D633FF">
              <w:rPr>
                <w:rFonts w:ascii="Calibri" w:hAnsi="Calibri" w:cs="Calibri"/>
              </w:rPr>
              <w:t>65</w:t>
            </w:r>
          </w:p>
        </w:tc>
        <w:tc>
          <w:tcPr>
            <w:tcW w:w="1134" w:type="dxa"/>
            <w:shd w:val="clear" w:color="auto" w:fill="DAE9F7" w:themeFill="text2" w:themeFillTint="1A"/>
          </w:tcPr>
          <w:p w14:paraId="7B3CAE24" w14:textId="77777777" w:rsidR="00B34364" w:rsidRPr="00D633FF" w:rsidRDefault="00B34364" w:rsidP="00F13B7C">
            <w:pPr>
              <w:jc w:val="center"/>
              <w:rPr>
                <w:rFonts w:ascii="Calibri" w:hAnsi="Calibri" w:cs="Calibri"/>
                <w:highlight w:val="lightGray"/>
              </w:rPr>
            </w:pPr>
          </w:p>
        </w:tc>
        <w:tc>
          <w:tcPr>
            <w:tcW w:w="1134" w:type="dxa"/>
            <w:shd w:val="clear" w:color="auto" w:fill="DAE9F7" w:themeFill="text2" w:themeFillTint="1A"/>
          </w:tcPr>
          <w:p w14:paraId="61F1A817" w14:textId="573A6952" w:rsidR="00B34364" w:rsidRPr="00D633FF" w:rsidRDefault="00B34364" w:rsidP="00F13B7C">
            <w:pPr>
              <w:jc w:val="center"/>
              <w:rPr>
                <w:rFonts w:ascii="Calibri" w:hAnsi="Calibri" w:cs="Calibri"/>
              </w:rPr>
            </w:pPr>
            <w:r w:rsidRPr="00D633FF">
              <w:rPr>
                <w:rFonts w:ascii="Calibri" w:hAnsi="Calibri" w:cs="Calibri"/>
              </w:rPr>
              <w:t>295</w:t>
            </w:r>
          </w:p>
        </w:tc>
      </w:tr>
      <w:tr w:rsidR="00B34364" w:rsidRPr="00D633FF" w14:paraId="329A64EF" w14:textId="77777777" w:rsidTr="003E5DAC">
        <w:tc>
          <w:tcPr>
            <w:tcW w:w="3265" w:type="dxa"/>
            <w:shd w:val="clear" w:color="auto" w:fill="F2CEED" w:themeFill="accent5" w:themeFillTint="33"/>
          </w:tcPr>
          <w:p w14:paraId="7DB4845E" w14:textId="54C392C6" w:rsidR="00B34364" w:rsidRPr="00D633FF" w:rsidRDefault="00B34364" w:rsidP="00FA1D5B">
            <w:pPr>
              <w:ind w:left="176"/>
              <w:rPr>
                <w:rFonts w:ascii="Calibri" w:hAnsi="Calibri" w:cs="Calibri"/>
              </w:rPr>
            </w:pPr>
            <w:r w:rsidRPr="00D633FF">
              <w:rPr>
                <w:rFonts w:ascii="Calibri" w:hAnsi="Calibri" w:cs="Calibri"/>
              </w:rPr>
              <w:t xml:space="preserve">Females 12 </w:t>
            </w:r>
            <w:r w:rsidR="00637B1D">
              <w:rPr>
                <w:rFonts w:ascii="Calibri" w:hAnsi="Calibri" w:cs="Calibri"/>
              </w:rPr>
              <w:t xml:space="preserve">– </w:t>
            </w:r>
            <w:r w:rsidRPr="00D633FF">
              <w:rPr>
                <w:rFonts w:ascii="Calibri" w:hAnsi="Calibri" w:cs="Calibri"/>
              </w:rPr>
              <w:t>17 years</w:t>
            </w:r>
          </w:p>
        </w:tc>
        <w:tc>
          <w:tcPr>
            <w:tcW w:w="1134" w:type="dxa"/>
            <w:shd w:val="clear" w:color="auto" w:fill="F2CEED" w:themeFill="accent5" w:themeFillTint="33"/>
          </w:tcPr>
          <w:p w14:paraId="1146F47A" w14:textId="2DFBD5CD" w:rsidR="00B34364" w:rsidRPr="00D633FF" w:rsidRDefault="00B34364" w:rsidP="00F13B7C">
            <w:pPr>
              <w:jc w:val="center"/>
              <w:rPr>
                <w:rFonts w:ascii="Calibri" w:hAnsi="Calibri" w:cs="Calibri"/>
              </w:rPr>
            </w:pPr>
            <w:r w:rsidRPr="00D633FF">
              <w:rPr>
                <w:rFonts w:ascii="Calibri" w:hAnsi="Calibri" w:cs="Calibri"/>
              </w:rPr>
              <w:t>45</w:t>
            </w:r>
          </w:p>
        </w:tc>
        <w:tc>
          <w:tcPr>
            <w:tcW w:w="1134" w:type="dxa"/>
            <w:shd w:val="clear" w:color="auto" w:fill="F2CEED" w:themeFill="accent5" w:themeFillTint="33"/>
          </w:tcPr>
          <w:p w14:paraId="6A1D9634" w14:textId="5F52A6BF" w:rsidR="00B34364" w:rsidRPr="00D633FF" w:rsidRDefault="00B34364" w:rsidP="00F13B7C">
            <w:pPr>
              <w:jc w:val="center"/>
              <w:rPr>
                <w:rFonts w:ascii="Calibri" w:hAnsi="Calibri" w:cs="Calibri"/>
              </w:rPr>
            </w:pPr>
            <w:r w:rsidRPr="00D633FF">
              <w:rPr>
                <w:rFonts w:ascii="Calibri" w:hAnsi="Calibri" w:cs="Calibri"/>
              </w:rPr>
              <w:t>55</w:t>
            </w:r>
          </w:p>
        </w:tc>
        <w:tc>
          <w:tcPr>
            <w:tcW w:w="1134" w:type="dxa"/>
            <w:shd w:val="clear" w:color="auto" w:fill="F2CEED" w:themeFill="accent5" w:themeFillTint="33"/>
          </w:tcPr>
          <w:p w14:paraId="0C183757" w14:textId="77777777" w:rsidR="00B34364" w:rsidRPr="00D633FF" w:rsidRDefault="00B34364" w:rsidP="00F13B7C">
            <w:pPr>
              <w:jc w:val="center"/>
              <w:rPr>
                <w:rFonts w:ascii="Calibri" w:hAnsi="Calibri" w:cs="Calibri"/>
                <w:highlight w:val="lightGray"/>
              </w:rPr>
            </w:pPr>
          </w:p>
        </w:tc>
        <w:tc>
          <w:tcPr>
            <w:tcW w:w="1134" w:type="dxa"/>
            <w:shd w:val="clear" w:color="auto" w:fill="F2CEED" w:themeFill="accent5" w:themeFillTint="33"/>
          </w:tcPr>
          <w:p w14:paraId="180FAE0B" w14:textId="25F34AF5" w:rsidR="00B34364" w:rsidRPr="00D633FF" w:rsidRDefault="00B34364" w:rsidP="00F13B7C">
            <w:pPr>
              <w:jc w:val="center"/>
              <w:rPr>
                <w:rFonts w:ascii="Calibri" w:hAnsi="Calibri" w:cs="Calibri"/>
              </w:rPr>
            </w:pPr>
            <w:r w:rsidRPr="00D633FF">
              <w:rPr>
                <w:rFonts w:ascii="Calibri" w:hAnsi="Calibri" w:cs="Calibri"/>
              </w:rPr>
              <w:t>295</w:t>
            </w:r>
          </w:p>
        </w:tc>
      </w:tr>
    </w:tbl>
    <w:p w14:paraId="322413E8" w14:textId="77777777" w:rsidR="00B807B5" w:rsidRPr="00D633FF" w:rsidRDefault="00B807B5" w:rsidP="005623B2">
      <w:pPr>
        <w:rPr>
          <w:rFonts w:ascii="Calibri" w:hAnsi="Calibri" w:cs="Calibri"/>
        </w:rPr>
      </w:pPr>
    </w:p>
    <w:p w14:paraId="12323A52" w14:textId="39D91554" w:rsidR="005623B2" w:rsidRPr="00D633FF" w:rsidRDefault="005623B2" w:rsidP="005623B2">
      <w:pPr>
        <w:rPr>
          <w:rFonts w:ascii="Calibri" w:hAnsi="Calibri" w:cs="Calibri"/>
        </w:rPr>
      </w:pPr>
      <w:r w:rsidRPr="00D633FF">
        <w:rPr>
          <w:rFonts w:ascii="Calibri" w:hAnsi="Calibri" w:cs="Calibri"/>
        </w:rPr>
        <w:t xml:space="preserve">Comprehensive Evidence-to-Decision Frameworks documenting how the final recommendations have been determined are presented in Appendix </w:t>
      </w:r>
      <w:r w:rsidR="00CA082E" w:rsidRPr="00D633FF">
        <w:rPr>
          <w:rFonts w:ascii="Calibri" w:hAnsi="Calibri" w:cs="Calibri"/>
        </w:rPr>
        <w:t>B</w:t>
      </w:r>
      <w:r w:rsidRPr="00D633FF">
        <w:rPr>
          <w:rFonts w:ascii="Calibri" w:hAnsi="Calibri" w:cs="Calibri"/>
        </w:rPr>
        <w:t xml:space="preserve">. </w:t>
      </w:r>
    </w:p>
    <w:p w14:paraId="57772C84" w14:textId="77777777" w:rsidR="001247A2" w:rsidRPr="00D633FF" w:rsidRDefault="001247A2" w:rsidP="00483B15">
      <w:pPr>
        <w:rPr>
          <w:rFonts w:ascii="Calibri" w:hAnsi="Calibri" w:cs="Calibri"/>
        </w:rPr>
      </w:pPr>
    </w:p>
    <w:p w14:paraId="2DFD3D90" w14:textId="77777777" w:rsidR="00B647FF" w:rsidRPr="00D633FF" w:rsidRDefault="00B647FF" w:rsidP="00E01CE5">
      <w:pPr>
        <w:rPr>
          <w:rFonts w:ascii="Calibri" w:hAnsi="Calibri" w:cs="Calibri"/>
        </w:rPr>
      </w:pPr>
    </w:p>
    <w:p w14:paraId="5F5AAF91" w14:textId="77777777" w:rsidR="00024B78" w:rsidRPr="00D633FF" w:rsidRDefault="00024B78" w:rsidP="00E01CE5">
      <w:pPr>
        <w:rPr>
          <w:rFonts w:ascii="Calibri" w:hAnsi="Calibri" w:cs="Calibri"/>
        </w:rPr>
        <w:sectPr w:rsidR="00024B78" w:rsidRPr="00D633FF" w:rsidSect="00AB38F3">
          <w:footnotePr>
            <w:pos w:val="beneathText"/>
          </w:footnotePr>
          <w:pgSz w:w="11906" w:h="16838"/>
          <w:pgMar w:top="1440" w:right="1440" w:bottom="1440" w:left="1440" w:header="709" w:footer="709" w:gutter="0"/>
          <w:cols w:space="708"/>
          <w:docGrid w:linePitch="360"/>
        </w:sectPr>
      </w:pPr>
    </w:p>
    <w:p w14:paraId="31BE242A" w14:textId="14466D72" w:rsidR="00F45971" w:rsidRPr="00D633FF" w:rsidRDefault="001425AD" w:rsidP="00B647FF">
      <w:pPr>
        <w:pStyle w:val="Heading1"/>
        <w:spacing w:line="360" w:lineRule="auto"/>
        <w:rPr>
          <w:rFonts w:ascii="Calibri" w:hAnsi="Calibri" w:cs="Calibri"/>
          <w:b/>
          <w:bCs/>
        </w:rPr>
      </w:pPr>
      <w:bookmarkStart w:id="84" w:name="_Toc218527988"/>
      <w:r w:rsidRPr="00D633FF">
        <w:rPr>
          <w:rFonts w:ascii="Calibri" w:hAnsi="Calibri" w:cs="Calibri"/>
          <w:b/>
          <w:bCs/>
        </w:rPr>
        <w:lastRenderedPageBreak/>
        <w:t>References</w:t>
      </w:r>
      <w:bookmarkEnd w:id="84"/>
    </w:p>
    <w:p w14:paraId="379B887F" w14:textId="4D9876ED"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ABS. (2011). </w:t>
      </w:r>
      <w:r w:rsidRPr="00D633FF">
        <w:rPr>
          <w:rFonts w:ascii="Calibri" w:hAnsi="Calibri" w:cs="Calibri"/>
          <w:i/>
        </w:rPr>
        <w:t xml:space="preserve">Australian Health Survey: Usual Nutrient Intakes </w:t>
      </w:r>
      <w:r w:rsidRPr="00D633FF">
        <w:rPr>
          <w:rFonts w:ascii="Calibri" w:hAnsi="Calibri" w:cs="Calibri"/>
        </w:rPr>
        <w:t xml:space="preserve">Australian Bureau of Statistics. date accessed 15 August 2025 </w:t>
      </w:r>
      <w:r w:rsidRPr="00A526B1">
        <w:rPr>
          <w:rFonts w:ascii="Calibri" w:hAnsi="Calibri" w:cs="Calibri"/>
        </w:rPr>
        <w:t>https://www.abs.gov.au/statistics/health/health-conditions-and-risks/usual-nutrient-intakes/latest-release</w:t>
      </w:r>
      <w:r w:rsidRPr="00D633FF">
        <w:rPr>
          <w:rFonts w:ascii="Calibri" w:hAnsi="Calibri" w:cs="Calibri"/>
        </w:rPr>
        <w:t xml:space="preserve"> </w:t>
      </w:r>
    </w:p>
    <w:p w14:paraId="7F0162B8" w14:textId="2BD40F77"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ABS. (2015). </w:t>
      </w:r>
      <w:r w:rsidRPr="00D633FF">
        <w:rPr>
          <w:rFonts w:ascii="Calibri" w:hAnsi="Calibri" w:cs="Calibri"/>
          <w:i/>
        </w:rPr>
        <w:t>4727.0.55.005 - Australian Aboriginal and Torres Strait Islander Health Survey: Nutrition Results - Foods and Nutrients, 2012-13</w:t>
      </w:r>
      <w:r w:rsidRPr="00D633FF">
        <w:rPr>
          <w:rFonts w:ascii="Calibri" w:hAnsi="Calibri" w:cs="Calibri"/>
        </w:rPr>
        <w:t xml:space="preserve">. Australian Bureau of Statistics. </w:t>
      </w:r>
      <w:r w:rsidRPr="00A526B1">
        <w:rPr>
          <w:rFonts w:ascii="Calibri" w:hAnsi="Calibri" w:cs="Calibri"/>
        </w:rPr>
        <w:t>https://www.abs.gov.au/AUSSTATS/abs@.nsf/DetailsPage/4727.0.55.0052012-13</w:t>
      </w:r>
      <w:r w:rsidRPr="00D633FF">
        <w:rPr>
          <w:rFonts w:ascii="Calibri" w:hAnsi="Calibri" w:cs="Calibri"/>
        </w:rPr>
        <w:t xml:space="preserve"> </w:t>
      </w:r>
    </w:p>
    <w:p w14:paraId="72785B23" w14:textId="4DCFCC32"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ABS. (2019). </w:t>
      </w:r>
      <w:r w:rsidRPr="00D633FF">
        <w:rPr>
          <w:rFonts w:ascii="Calibri" w:hAnsi="Calibri" w:cs="Calibri"/>
          <w:i/>
        </w:rPr>
        <w:t>National Health Survey: First Results, 2017-18</w:t>
      </w:r>
      <w:r w:rsidRPr="00D633FF">
        <w:rPr>
          <w:rFonts w:ascii="Calibri" w:hAnsi="Calibri" w:cs="Calibri"/>
        </w:rPr>
        <w:t xml:space="preserve">. Australian Bureau of Statistics. date accessed 15 August 2025 </w:t>
      </w:r>
      <w:r w:rsidRPr="00A526B1">
        <w:rPr>
          <w:rFonts w:ascii="Calibri" w:hAnsi="Calibri" w:cs="Calibri"/>
        </w:rPr>
        <w:t>https://www.abs.gov.au/ausstats/abs@.nsf/dd0ca10eed681f12ca2570ce0082655d/5eaae4309d9a2baeca257aa30014c736!OpenDocument</w:t>
      </w:r>
      <w:r w:rsidRPr="00D633FF">
        <w:rPr>
          <w:rFonts w:ascii="Calibri" w:hAnsi="Calibri" w:cs="Calibri"/>
        </w:rPr>
        <w:t xml:space="preserve"> </w:t>
      </w:r>
    </w:p>
    <w:p w14:paraId="43744791" w14:textId="77777777"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ABS. (2025a). </w:t>
      </w:r>
      <w:r w:rsidRPr="00D633FF">
        <w:rPr>
          <w:rFonts w:ascii="Calibri" w:hAnsi="Calibri" w:cs="Calibri"/>
          <w:i/>
        </w:rPr>
        <w:t>Customised report</w:t>
      </w:r>
      <w:r w:rsidRPr="00D633FF">
        <w:rPr>
          <w:rFonts w:ascii="Calibri" w:hAnsi="Calibri" w:cs="Calibri"/>
        </w:rPr>
        <w:t xml:space="preserve">. </w:t>
      </w:r>
    </w:p>
    <w:p w14:paraId="52AFD257" w14:textId="59933EF2"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ABS. (2025b). </w:t>
      </w:r>
      <w:r w:rsidRPr="00D633FF">
        <w:rPr>
          <w:rFonts w:ascii="Calibri" w:hAnsi="Calibri" w:cs="Calibri"/>
          <w:i/>
        </w:rPr>
        <w:t>Dietary supplements. Information on consumption of dietary supplements (including fibre and protein) in Australia. Reference period 2023.</w:t>
      </w:r>
      <w:r w:rsidRPr="00D633FF">
        <w:rPr>
          <w:rFonts w:ascii="Calibri" w:hAnsi="Calibri" w:cs="Calibri"/>
        </w:rPr>
        <w:t xml:space="preserve"> Australian Bureau of Statistics. date accessed 23 October 2025  </w:t>
      </w:r>
    </w:p>
    <w:p w14:paraId="4759FB7E" w14:textId="0D909F56"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Alexander J, &amp; Olsen AK. (2023). Selenium - a scoping review for Nordic Nutrition Recommendations 2023. </w:t>
      </w:r>
      <w:r w:rsidRPr="00D633FF">
        <w:rPr>
          <w:rFonts w:ascii="Calibri" w:hAnsi="Calibri" w:cs="Calibri"/>
          <w:i/>
        </w:rPr>
        <w:t>Food Nutr Res</w:t>
      </w:r>
      <w:r w:rsidRPr="00D633FF">
        <w:rPr>
          <w:rFonts w:ascii="Calibri" w:hAnsi="Calibri" w:cs="Calibri"/>
        </w:rPr>
        <w:t>,</w:t>
      </w:r>
      <w:r w:rsidRPr="00D633FF">
        <w:rPr>
          <w:rFonts w:ascii="Calibri" w:hAnsi="Calibri" w:cs="Calibri"/>
          <w:i/>
        </w:rPr>
        <w:t xml:space="preserve"> 67</w:t>
      </w:r>
      <w:r w:rsidRPr="00D633FF">
        <w:rPr>
          <w:rFonts w:ascii="Calibri" w:hAnsi="Calibri" w:cs="Calibri"/>
        </w:rPr>
        <w:t xml:space="preserve">. </w:t>
      </w:r>
      <w:r w:rsidRPr="00A526B1">
        <w:rPr>
          <w:rFonts w:ascii="Calibri" w:hAnsi="Calibri" w:cs="Calibri"/>
        </w:rPr>
        <w:t>https://doi.org/10.29219/fnr.v67.10320</w:t>
      </w:r>
      <w:r w:rsidRPr="00D633FF">
        <w:rPr>
          <w:rFonts w:ascii="Calibri" w:hAnsi="Calibri" w:cs="Calibri"/>
        </w:rPr>
        <w:t xml:space="preserve"> </w:t>
      </w:r>
    </w:p>
    <w:p w14:paraId="403C7CA3" w14:textId="77777777"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Algotar AM, Stratton MS, Ahmann FR, Ranger‐Moore J, Nagle RB, Thompson PA, Slate E, Hsu CH, Dalkin BL, &amp; Sindhwani P. (2013). Phase 3 clinical trial investigating the effect of selenium supplementation in men at high‐risk for prostate cancer. </w:t>
      </w:r>
      <w:r w:rsidRPr="00D633FF">
        <w:rPr>
          <w:rFonts w:ascii="Calibri" w:hAnsi="Calibri" w:cs="Calibri"/>
          <w:i/>
        </w:rPr>
        <w:t>The Prostate</w:t>
      </w:r>
      <w:r w:rsidRPr="00D633FF">
        <w:rPr>
          <w:rFonts w:ascii="Calibri" w:hAnsi="Calibri" w:cs="Calibri"/>
        </w:rPr>
        <w:t>,</w:t>
      </w:r>
      <w:r w:rsidRPr="00D633FF">
        <w:rPr>
          <w:rFonts w:ascii="Calibri" w:hAnsi="Calibri" w:cs="Calibri"/>
          <w:i/>
        </w:rPr>
        <w:t xml:space="preserve"> 73</w:t>
      </w:r>
      <w:r w:rsidRPr="00D633FF">
        <w:rPr>
          <w:rFonts w:ascii="Calibri" w:hAnsi="Calibri" w:cs="Calibri"/>
        </w:rPr>
        <w:t xml:space="preserve">(3), 328-335. </w:t>
      </w:r>
    </w:p>
    <w:p w14:paraId="6409A365" w14:textId="201F2676"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Ashton K, Hooper L, Harvey LJ, Hurst R, Casgrain A, &amp; Fairweather-Tait SJ. (2009). Methods of assessment of selenium status in humans: a systematic review. </w:t>
      </w:r>
      <w:r w:rsidRPr="00D633FF">
        <w:rPr>
          <w:rFonts w:ascii="Calibri" w:hAnsi="Calibri" w:cs="Calibri"/>
          <w:i/>
        </w:rPr>
        <w:t>Am J Clin Nutr</w:t>
      </w:r>
      <w:r w:rsidRPr="00D633FF">
        <w:rPr>
          <w:rFonts w:ascii="Calibri" w:hAnsi="Calibri" w:cs="Calibri"/>
        </w:rPr>
        <w:t>,</w:t>
      </w:r>
      <w:r w:rsidRPr="00D633FF">
        <w:rPr>
          <w:rFonts w:ascii="Calibri" w:hAnsi="Calibri" w:cs="Calibri"/>
          <w:i/>
        </w:rPr>
        <w:t xml:space="preserve"> 89</w:t>
      </w:r>
      <w:r w:rsidRPr="00D633FF">
        <w:rPr>
          <w:rFonts w:ascii="Calibri" w:hAnsi="Calibri" w:cs="Calibri"/>
        </w:rPr>
        <w:t xml:space="preserve">(6), 2025s-2039s. </w:t>
      </w:r>
      <w:r w:rsidRPr="00A526B1">
        <w:rPr>
          <w:rFonts w:ascii="Calibri" w:hAnsi="Calibri" w:cs="Calibri"/>
        </w:rPr>
        <w:t>https://doi.org/10.3945/ajcn.2009.27230F</w:t>
      </w:r>
      <w:r w:rsidRPr="00D633FF">
        <w:rPr>
          <w:rFonts w:ascii="Calibri" w:hAnsi="Calibri" w:cs="Calibri"/>
        </w:rPr>
        <w:t xml:space="preserve"> </w:t>
      </w:r>
    </w:p>
    <w:p w14:paraId="161579B7" w14:textId="22868EAE"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Australian Government. (2021). Schedule 17 - Vitamins and minerals. In </w:t>
      </w:r>
      <w:r w:rsidRPr="00D633FF">
        <w:rPr>
          <w:rFonts w:ascii="Calibri" w:hAnsi="Calibri" w:cs="Calibri"/>
          <w:i/>
        </w:rPr>
        <w:t>Federal Register of Legislation - Australia New Zealand Food Standards Code</w:t>
      </w:r>
      <w:r w:rsidRPr="00D633FF">
        <w:rPr>
          <w:rFonts w:ascii="Calibri" w:hAnsi="Calibri" w:cs="Calibri"/>
        </w:rPr>
        <w:t xml:space="preserve">. date accessed 25 August 2025 </w:t>
      </w:r>
      <w:r w:rsidRPr="00A526B1">
        <w:rPr>
          <w:rFonts w:ascii="Calibri" w:hAnsi="Calibri" w:cs="Calibri"/>
        </w:rPr>
        <w:t>https://www.legislation.gov.au/F2015L00449/latest/text</w:t>
      </w:r>
      <w:r w:rsidRPr="00D633FF">
        <w:rPr>
          <w:rFonts w:ascii="Calibri" w:hAnsi="Calibri" w:cs="Calibri"/>
        </w:rPr>
        <w:t xml:space="preserve"> </w:t>
      </w:r>
    </w:p>
    <w:p w14:paraId="01958070" w14:textId="6F2C8449"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Australian Government. (2025). Schedule 29 - Special purpose foods. In </w:t>
      </w:r>
      <w:r w:rsidRPr="00D633FF">
        <w:rPr>
          <w:rFonts w:ascii="Calibri" w:hAnsi="Calibri" w:cs="Calibri"/>
          <w:i/>
        </w:rPr>
        <w:t>Federal Register of Legislation - Australia New Zealand Food Standards Code</w:t>
      </w:r>
      <w:r w:rsidRPr="00D633FF">
        <w:rPr>
          <w:rFonts w:ascii="Calibri" w:hAnsi="Calibri" w:cs="Calibri"/>
        </w:rPr>
        <w:t xml:space="preserve">. date accessed 25 August 2025 </w:t>
      </w:r>
      <w:r w:rsidRPr="00A526B1">
        <w:rPr>
          <w:rFonts w:ascii="Calibri" w:hAnsi="Calibri" w:cs="Calibri"/>
        </w:rPr>
        <w:t>https://www.legislation.gov.au/F2015L00463/latest/text</w:t>
      </w:r>
      <w:r w:rsidRPr="00D633FF">
        <w:rPr>
          <w:rFonts w:ascii="Calibri" w:hAnsi="Calibri" w:cs="Calibri"/>
        </w:rPr>
        <w:t xml:space="preserve"> </w:t>
      </w:r>
    </w:p>
    <w:p w14:paraId="082A9A10" w14:textId="56A672CE" w:rsidR="005A0BCD" w:rsidRPr="00E86DDB" w:rsidRDefault="005A0BCD" w:rsidP="00111F44">
      <w:pPr>
        <w:pStyle w:val="EndNoteBibliography"/>
        <w:spacing w:after="0"/>
        <w:ind w:left="720" w:hanging="720"/>
        <w:rPr>
          <w:rFonts w:ascii="Calibri" w:hAnsi="Calibri" w:cs="Calibri"/>
        </w:rPr>
      </w:pPr>
      <w:r w:rsidRPr="00E86DDB">
        <w:rPr>
          <w:rFonts w:ascii="Calibri" w:hAnsi="Calibri" w:cs="Calibri"/>
        </w:rPr>
        <w:t xml:space="preserve">Baghurst K, Cobiac, L., Baghurst, P., Magary, A., &amp; Bryon, A. (2011). </w:t>
      </w:r>
      <w:r w:rsidRPr="00E86DDB">
        <w:rPr>
          <w:rFonts w:ascii="Calibri" w:hAnsi="Calibri" w:cs="Calibri"/>
          <w:i/>
        </w:rPr>
        <w:t>A modelling system to inform the revision of the Australian Guide to Healthy Eating</w:t>
      </w:r>
      <w:r w:rsidRPr="00E86DDB">
        <w:rPr>
          <w:rFonts w:ascii="Calibri" w:hAnsi="Calibri" w:cs="Calibri"/>
        </w:rPr>
        <w:t xml:space="preserve">. Dietitians Association of Australia for Department of Health and Ageing and National Health and Medical Research Council. </w:t>
      </w:r>
      <w:r w:rsidRPr="00A526B1">
        <w:rPr>
          <w:rFonts w:ascii="Calibri" w:hAnsi="Calibri" w:cs="Calibri"/>
        </w:rPr>
        <w:t>https://www.eatforhealth.gov.au/sites/default/files/files/the_guidelines/n55c_australian_dietary_guidelines_food_modelling_140121.pdf</w:t>
      </w:r>
    </w:p>
    <w:p w14:paraId="731588CC" w14:textId="583C730D"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Barceloux DG. (1999). Selenium. </w:t>
      </w:r>
      <w:r w:rsidRPr="00D633FF">
        <w:rPr>
          <w:rFonts w:ascii="Calibri" w:hAnsi="Calibri" w:cs="Calibri"/>
          <w:i/>
        </w:rPr>
        <w:t>J Toxicol Clin Toxicol</w:t>
      </w:r>
      <w:r w:rsidRPr="00D633FF">
        <w:rPr>
          <w:rFonts w:ascii="Calibri" w:hAnsi="Calibri" w:cs="Calibri"/>
        </w:rPr>
        <w:t>,</w:t>
      </w:r>
      <w:r w:rsidRPr="00D633FF">
        <w:rPr>
          <w:rFonts w:ascii="Calibri" w:hAnsi="Calibri" w:cs="Calibri"/>
          <w:i/>
        </w:rPr>
        <w:t xml:space="preserve"> 37</w:t>
      </w:r>
      <w:r w:rsidRPr="00D633FF">
        <w:rPr>
          <w:rFonts w:ascii="Calibri" w:hAnsi="Calibri" w:cs="Calibri"/>
        </w:rPr>
        <w:t xml:space="preserve">(2), 145-172. </w:t>
      </w:r>
      <w:r w:rsidRPr="00A526B1">
        <w:rPr>
          <w:rFonts w:ascii="Calibri" w:hAnsi="Calibri" w:cs="Calibri"/>
        </w:rPr>
        <w:t>https://doi.org/10.1081/clt-100102417</w:t>
      </w:r>
      <w:r w:rsidRPr="00D633FF">
        <w:rPr>
          <w:rFonts w:ascii="Calibri" w:hAnsi="Calibri" w:cs="Calibri"/>
        </w:rPr>
        <w:t xml:space="preserve"> </w:t>
      </w:r>
    </w:p>
    <w:p w14:paraId="5ABC137F" w14:textId="7B522E34"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Beckett JM, &amp; Ball MJ. (2011). Marginal selenium status in northern Tasmania. </w:t>
      </w:r>
      <w:r w:rsidRPr="00D633FF">
        <w:rPr>
          <w:rFonts w:ascii="Calibri" w:hAnsi="Calibri" w:cs="Calibri"/>
          <w:i/>
        </w:rPr>
        <w:t>Br J Nutr</w:t>
      </w:r>
      <w:r w:rsidRPr="00D633FF">
        <w:rPr>
          <w:rFonts w:ascii="Calibri" w:hAnsi="Calibri" w:cs="Calibri"/>
        </w:rPr>
        <w:t>,</w:t>
      </w:r>
      <w:r w:rsidRPr="00D633FF">
        <w:rPr>
          <w:rFonts w:ascii="Calibri" w:hAnsi="Calibri" w:cs="Calibri"/>
          <w:i/>
        </w:rPr>
        <w:t xml:space="preserve"> 106</w:t>
      </w:r>
      <w:r w:rsidRPr="00D633FF">
        <w:rPr>
          <w:rFonts w:ascii="Calibri" w:hAnsi="Calibri" w:cs="Calibri"/>
        </w:rPr>
        <w:t xml:space="preserve">(5), 718-724. </w:t>
      </w:r>
      <w:r w:rsidRPr="00A526B1">
        <w:rPr>
          <w:rFonts w:ascii="Calibri" w:hAnsi="Calibri" w:cs="Calibri"/>
        </w:rPr>
        <w:t>https://doi.org/10.1017/s0007114511000687</w:t>
      </w:r>
      <w:r w:rsidRPr="00D633FF">
        <w:rPr>
          <w:rFonts w:ascii="Calibri" w:hAnsi="Calibri" w:cs="Calibri"/>
        </w:rPr>
        <w:t xml:space="preserve"> </w:t>
      </w:r>
    </w:p>
    <w:p w14:paraId="78AD9028" w14:textId="77777777"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Blomhoff R, Andersen R, Arnesen EK, Christensen JJ, Eneroth H, Erkkola M, Gudanaviciene I, Halldórsson ÞI, Höyer-Lund A, &amp; Lemming EW. (2023). </w:t>
      </w:r>
      <w:r w:rsidRPr="00D633FF">
        <w:rPr>
          <w:rFonts w:ascii="Calibri" w:hAnsi="Calibri" w:cs="Calibri"/>
          <w:i/>
        </w:rPr>
        <w:t>Nordic nutrition recommendations 2023: integrating environmental aspects</w:t>
      </w:r>
      <w:r w:rsidRPr="00D633FF">
        <w:rPr>
          <w:rFonts w:ascii="Calibri" w:hAnsi="Calibri" w:cs="Calibri"/>
        </w:rPr>
        <w:t xml:space="preserve">. Nordic Council of Ministers. </w:t>
      </w:r>
    </w:p>
    <w:p w14:paraId="46AE2AEB" w14:textId="77777777"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lastRenderedPageBreak/>
        <w:t xml:space="preserve">Brown KM, Pickard K, Nicol F, Beckett GJ, Duthie GG, &amp; Arthur JR. (2000). Effects of organic and inorganic selenium supplementation on selenoenzyme activity in blood lymphocytes, granulocytes, platelets and erythrocytes. </w:t>
      </w:r>
      <w:r w:rsidRPr="00D633FF">
        <w:rPr>
          <w:rFonts w:ascii="Calibri" w:hAnsi="Calibri" w:cs="Calibri"/>
          <w:i/>
        </w:rPr>
        <w:t>Clin Sci (Lond)</w:t>
      </w:r>
      <w:r w:rsidRPr="00D633FF">
        <w:rPr>
          <w:rFonts w:ascii="Calibri" w:hAnsi="Calibri" w:cs="Calibri"/>
        </w:rPr>
        <w:t>,</w:t>
      </w:r>
      <w:r w:rsidRPr="00D633FF">
        <w:rPr>
          <w:rFonts w:ascii="Calibri" w:hAnsi="Calibri" w:cs="Calibri"/>
          <w:i/>
        </w:rPr>
        <w:t xml:space="preserve"> 98</w:t>
      </w:r>
      <w:r w:rsidRPr="00D633FF">
        <w:rPr>
          <w:rFonts w:ascii="Calibri" w:hAnsi="Calibri" w:cs="Calibri"/>
        </w:rPr>
        <w:t xml:space="preserve">(5), 593-599. </w:t>
      </w:r>
    </w:p>
    <w:p w14:paraId="20898610" w14:textId="486815A8"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Bügel S, Sandström B, &amp; Skibsted LH. (2004). Pork meat: a good source of selenium? </w:t>
      </w:r>
      <w:r w:rsidRPr="00D633FF">
        <w:rPr>
          <w:rFonts w:ascii="Calibri" w:hAnsi="Calibri" w:cs="Calibri"/>
          <w:i/>
        </w:rPr>
        <w:t>J Trace Elem Med Biol</w:t>
      </w:r>
      <w:r w:rsidRPr="00D633FF">
        <w:rPr>
          <w:rFonts w:ascii="Calibri" w:hAnsi="Calibri" w:cs="Calibri"/>
        </w:rPr>
        <w:t>,</w:t>
      </w:r>
      <w:r w:rsidRPr="00D633FF">
        <w:rPr>
          <w:rFonts w:ascii="Calibri" w:hAnsi="Calibri" w:cs="Calibri"/>
          <w:i/>
        </w:rPr>
        <w:t xml:space="preserve"> 17</w:t>
      </w:r>
      <w:r w:rsidRPr="00D633FF">
        <w:rPr>
          <w:rFonts w:ascii="Calibri" w:hAnsi="Calibri" w:cs="Calibri"/>
        </w:rPr>
        <w:t xml:space="preserve">(4), 307-311. </w:t>
      </w:r>
      <w:r w:rsidRPr="00A526B1">
        <w:rPr>
          <w:rFonts w:ascii="Calibri" w:hAnsi="Calibri" w:cs="Calibri"/>
        </w:rPr>
        <w:t>https://doi.org/10.1016/s0946-672x(04)80033-6</w:t>
      </w:r>
      <w:r w:rsidRPr="00D633FF">
        <w:rPr>
          <w:rFonts w:ascii="Calibri" w:hAnsi="Calibri" w:cs="Calibri"/>
        </w:rPr>
        <w:t xml:space="preserve"> </w:t>
      </w:r>
    </w:p>
    <w:p w14:paraId="3D439FD6" w14:textId="0F06891C"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Burk RF, &amp; Hill KE. (2015). Regulation of Selenium Metabolism and Transport. </w:t>
      </w:r>
      <w:r w:rsidRPr="00D633FF">
        <w:rPr>
          <w:rFonts w:ascii="Calibri" w:hAnsi="Calibri" w:cs="Calibri"/>
          <w:i/>
        </w:rPr>
        <w:t>Annu Rev Nutr</w:t>
      </w:r>
      <w:r w:rsidRPr="00D633FF">
        <w:rPr>
          <w:rFonts w:ascii="Calibri" w:hAnsi="Calibri" w:cs="Calibri"/>
        </w:rPr>
        <w:t>,</w:t>
      </w:r>
      <w:r w:rsidRPr="00D633FF">
        <w:rPr>
          <w:rFonts w:ascii="Calibri" w:hAnsi="Calibri" w:cs="Calibri"/>
          <w:i/>
        </w:rPr>
        <w:t xml:space="preserve"> 35</w:t>
      </w:r>
      <w:r w:rsidRPr="00D633FF">
        <w:rPr>
          <w:rFonts w:ascii="Calibri" w:hAnsi="Calibri" w:cs="Calibri"/>
        </w:rPr>
        <w:t xml:space="preserve">, 109-134. </w:t>
      </w:r>
      <w:r w:rsidRPr="00A526B1">
        <w:rPr>
          <w:rFonts w:ascii="Calibri" w:hAnsi="Calibri" w:cs="Calibri"/>
        </w:rPr>
        <w:t>https://doi.org/10.1146/annurev-nutr-071714-034250</w:t>
      </w:r>
      <w:r w:rsidRPr="00D633FF">
        <w:rPr>
          <w:rFonts w:ascii="Calibri" w:hAnsi="Calibri" w:cs="Calibri"/>
        </w:rPr>
        <w:t xml:space="preserve"> </w:t>
      </w:r>
    </w:p>
    <w:p w14:paraId="34B85B1B" w14:textId="1F5D1379"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Burk RF, Norsworthy BK, Hill KE, Motley AK, &amp; Byrne DW. (2006). Effects of chemical form of selenium on plasma biomarkers in a high-dose human supplementation trial. </w:t>
      </w:r>
      <w:r w:rsidRPr="00D633FF">
        <w:rPr>
          <w:rFonts w:ascii="Calibri" w:hAnsi="Calibri" w:cs="Calibri"/>
          <w:i/>
        </w:rPr>
        <w:t>Cancer Epidemiol Biomarkers Prev</w:t>
      </w:r>
      <w:r w:rsidRPr="00D633FF">
        <w:rPr>
          <w:rFonts w:ascii="Calibri" w:hAnsi="Calibri" w:cs="Calibri"/>
        </w:rPr>
        <w:t>,</w:t>
      </w:r>
      <w:r w:rsidRPr="00D633FF">
        <w:rPr>
          <w:rFonts w:ascii="Calibri" w:hAnsi="Calibri" w:cs="Calibri"/>
          <w:i/>
        </w:rPr>
        <w:t xml:space="preserve"> 15</w:t>
      </w:r>
      <w:r w:rsidRPr="00D633FF">
        <w:rPr>
          <w:rFonts w:ascii="Calibri" w:hAnsi="Calibri" w:cs="Calibri"/>
        </w:rPr>
        <w:t xml:space="preserve">(4), 804-810. </w:t>
      </w:r>
      <w:r w:rsidRPr="00A526B1">
        <w:rPr>
          <w:rFonts w:ascii="Calibri" w:hAnsi="Calibri" w:cs="Calibri"/>
        </w:rPr>
        <w:t>https://doi.org/10.1158/1055-9965.Epi-05-0950</w:t>
      </w:r>
      <w:r w:rsidRPr="00D633FF">
        <w:rPr>
          <w:rFonts w:ascii="Calibri" w:hAnsi="Calibri" w:cs="Calibri"/>
        </w:rPr>
        <w:t xml:space="preserve"> </w:t>
      </w:r>
    </w:p>
    <w:p w14:paraId="1F254767" w14:textId="1227332F"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Butler JA, Thomson CD, Whanger PD, &amp; Robinson MF. (1991). Selenium distribution in blood fractions of New Zealand women taking organic or inorganic selenium. </w:t>
      </w:r>
      <w:r w:rsidRPr="00D633FF">
        <w:rPr>
          <w:rFonts w:ascii="Calibri" w:hAnsi="Calibri" w:cs="Calibri"/>
          <w:i/>
        </w:rPr>
        <w:t>Am J Clin Nutr</w:t>
      </w:r>
      <w:r w:rsidRPr="00D633FF">
        <w:rPr>
          <w:rFonts w:ascii="Calibri" w:hAnsi="Calibri" w:cs="Calibri"/>
        </w:rPr>
        <w:t>,</w:t>
      </w:r>
      <w:r w:rsidRPr="00D633FF">
        <w:rPr>
          <w:rFonts w:ascii="Calibri" w:hAnsi="Calibri" w:cs="Calibri"/>
          <w:i/>
        </w:rPr>
        <w:t xml:space="preserve"> 53</w:t>
      </w:r>
      <w:r w:rsidRPr="00D633FF">
        <w:rPr>
          <w:rFonts w:ascii="Calibri" w:hAnsi="Calibri" w:cs="Calibri"/>
        </w:rPr>
        <w:t xml:space="preserve">(3), 748-754. </w:t>
      </w:r>
      <w:r w:rsidRPr="00A526B1">
        <w:rPr>
          <w:rFonts w:ascii="Calibri" w:hAnsi="Calibri" w:cs="Calibri"/>
        </w:rPr>
        <w:t>https://doi.org/10.1093/ajcn/53.3.748</w:t>
      </w:r>
      <w:r w:rsidRPr="00D633FF">
        <w:rPr>
          <w:rFonts w:ascii="Calibri" w:hAnsi="Calibri" w:cs="Calibri"/>
        </w:rPr>
        <w:t xml:space="preserve"> </w:t>
      </w:r>
    </w:p>
    <w:p w14:paraId="2C32D8A7" w14:textId="17F6571D"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Cardoso BR, Szymlek-Gay EA, Roberts BR, Formica M, Gianoudis J, O’Connell S, Nowson CA, &amp; Daly RM. (2018). Selenium Status Is Not Associated with Cognitive Performance: A Cross-Sectional Study in 154 Older Australian Adults. </w:t>
      </w:r>
      <w:r w:rsidRPr="00D633FF">
        <w:rPr>
          <w:rFonts w:ascii="Calibri" w:hAnsi="Calibri" w:cs="Calibri"/>
          <w:i/>
        </w:rPr>
        <w:t>Nutrients</w:t>
      </w:r>
      <w:r w:rsidRPr="00D633FF">
        <w:rPr>
          <w:rFonts w:ascii="Calibri" w:hAnsi="Calibri" w:cs="Calibri"/>
        </w:rPr>
        <w:t>,</w:t>
      </w:r>
      <w:r w:rsidRPr="00D633FF">
        <w:rPr>
          <w:rFonts w:ascii="Calibri" w:hAnsi="Calibri" w:cs="Calibri"/>
          <w:i/>
        </w:rPr>
        <w:t xml:space="preserve"> 10</w:t>
      </w:r>
      <w:r w:rsidRPr="00D633FF">
        <w:rPr>
          <w:rFonts w:ascii="Calibri" w:hAnsi="Calibri" w:cs="Calibri"/>
        </w:rPr>
        <w:t xml:space="preserve">(12), 1847. </w:t>
      </w:r>
      <w:r w:rsidRPr="00A526B1">
        <w:rPr>
          <w:rFonts w:ascii="Calibri" w:hAnsi="Calibri" w:cs="Calibri"/>
        </w:rPr>
        <w:t>https://www.mdpi.com/2072-6643/10/12/1847</w:t>
      </w:r>
      <w:r w:rsidRPr="00D633FF">
        <w:rPr>
          <w:rFonts w:ascii="Calibri" w:hAnsi="Calibri" w:cs="Calibri"/>
        </w:rPr>
        <w:t xml:space="preserve"> </w:t>
      </w:r>
    </w:p>
    <w:p w14:paraId="031491BF" w14:textId="68B7AC04"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Casey CE, Guthrie BE, Friend GM, &amp; Robinson MF. (1982). Selenium in human tissues from New Zealand. </w:t>
      </w:r>
      <w:r w:rsidRPr="00D633FF">
        <w:rPr>
          <w:rFonts w:ascii="Calibri" w:hAnsi="Calibri" w:cs="Calibri"/>
          <w:i/>
        </w:rPr>
        <w:t>Arch Environ Health</w:t>
      </w:r>
      <w:r w:rsidRPr="00D633FF">
        <w:rPr>
          <w:rFonts w:ascii="Calibri" w:hAnsi="Calibri" w:cs="Calibri"/>
        </w:rPr>
        <w:t>,</w:t>
      </w:r>
      <w:r w:rsidRPr="00D633FF">
        <w:rPr>
          <w:rFonts w:ascii="Calibri" w:hAnsi="Calibri" w:cs="Calibri"/>
          <w:i/>
        </w:rPr>
        <w:t xml:space="preserve"> 37</w:t>
      </w:r>
      <w:r w:rsidRPr="00D633FF">
        <w:rPr>
          <w:rFonts w:ascii="Calibri" w:hAnsi="Calibri" w:cs="Calibri"/>
        </w:rPr>
        <w:t xml:space="preserve">(3), 133-135. </w:t>
      </w:r>
      <w:r w:rsidRPr="00A526B1">
        <w:rPr>
          <w:rFonts w:ascii="Calibri" w:hAnsi="Calibri" w:cs="Calibri"/>
        </w:rPr>
        <w:t>https://doi.org/10.1080/00039896.1982.10667551</w:t>
      </w:r>
      <w:r w:rsidRPr="00D633FF">
        <w:rPr>
          <w:rFonts w:ascii="Calibri" w:hAnsi="Calibri" w:cs="Calibri"/>
        </w:rPr>
        <w:t xml:space="preserve"> </w:t>
      </w:r>
    </w:p>
    <w:p w14:paraId="5F845454" w14:textId="2205F54B"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Clark LC, Combs GF, Jr., Turnbull BW, Slate EH, Chalker DK, Chow J, Davis LS, Glover RA, Graham GF,…Taylor JR. (1996). Effects of selenium supplementation for cancer prevention in patients with carcinoma of the skin. A randomized controlled trial. Nutritional Prevention of Cancer Study Group. </w:t>
      </w:r>
      <w:r w:rsidRPr="00D633FF">
        <w:rPr>
          <w:rFonts w:ascii="Calibri" w:hAnsi="Calibri" w:cs="Calibri"/>
          <w:i/>
        </w:rPr>
        <w:t>J</w:t>
      </w:r>
      <w:r w:rsidR="00EF3977">
        <w:rPr>
          <w:rFonts w:ascii="Calibri" w:hAnsi="Calibri" w:cs="Calibri"/>
          <w:i/>
        </w:rPr>
        <w:t>AMA</w:t>
      </w:r>
      <w:r w:rsidRPr="00D633FF">
        <w:rPr>
          <w:rFonts w:ascii="Calibri" w:hAnsi="Calibri" w:cs="Calibri"/>
        </w:rPr>
        <w:t>,</w:t>
      </w:r>
      <w:r w:rsidRPr="00D633FF">
        <w:rPr>
          <w:rFonts w:ascii="Calibri" w:hAnsi="Calibri" w:cs="Calibri"/>
          <w:i/>
        </w:rPr>
        <w:t xml:space="preserve"> 276</w:t>
      </w:r>
      <w:r w:rsidRPr="00D633FF">
        <w:rPr>
          <w:rFonts w:ascii="Calibri" w:hAnsi="Calibri" w:cs="Calibri"/>
        </w:rPr>
        <w:t xml:space="preserve">(24), 1957-1963. </w:t>
      </w:r>
    </w:p>
    <w:p w14:paraId="19AAF8A9" w14:textId="7A61949C"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Combs GF, Jr. (2015). Biomarkers of selenium status. </w:t>
      </w:r>
      <w:r w:rsidRPr="00D633FF">
        <w:rPr>
          <w:rFonts w:ascii="Calibri" w:hAnsi="Calibri" w:cs="Calibri"/>
          <w:i/>
        </w:rPr>
        <w:t>Nutrients</w:t>
      </w:r>
      <w:r w:rsidRPr="00D633FF">
        <w:rPr>
          <w:rFonts w:ascii="Calibri" w:hAnsi="Calibri" w:cs="Calibri"/>
        </w:rPr>
        <w:t>,</w:t>
      </w:r>
      <w:r w:rsidRPr="00D633FF">
        <w:rPr>
          <w:rFonts w:ascii="Calibri" w:hAnsi="Calibri" w:cs="Calibri"/>
          <w:i/>
        </w:rPr>
        <w:t xml:space="preserve"> 7</w:t>
      </w:r>
      <w:r w:rsidRPr="00D633FF">
        <w:rPr>
          <w:rFonts w:ascii="Calibri" w:hAnsi="Calibri" w:cs="Calibri"/>
        </w:rPr>
        <w:t xml:space="preserve">(4), 2209-2236. </w:t>
      </w:r>
      <w:r w:rsidRPr="00A526B1">
        <w:rPr>
          <w:rFonts w:ascii="Calibri" w:hAnsi="Calibri" w:cs="Calibri"/>
        </w:rPr>
        <w:t>https://doi.org/10.3390/nu7042209</w:t>
      </w:r>
      <w:r w:rsidRPr="00D633FF">
        <w:rPr>
          <w:rFonts w:ascii="Calibri" w:hAnsi="Calibri" w:cs="Calibri"/>
        </w:rPr>
        <w:t xml:space="preserve"> </w:t>
      </w:r>
    </w:p>
    <w:p w14:paraId="411B7274" w14:textId="6BA7938F"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Combs GF, Jr., Jackson MI, Watts JC, Johnson LK, Zeng H, Idso J, Schomburg L, Hoeg A, Hoefig CS,…Milner JA. (2012). Differential responses to selenomethionine supplementation by sex and genotype in healthy adults. </w:t>
      </w:r>
      <w:r w:rsidRPr="00D633FF">
        <w:rPr>
          <w:rFonts w:ascii="Calibri" w:hAnsi="Calibri" w:cs="Calibri"/>
          <w:i/>
        </w:rPr>
        <w:t>Br J Nutr</w:t>
      </w:r>
      <w:r w:rsidRPr="00D633FF">
        <w:rPr>
          <w:rFonts w:ascii="Calibri" w:hAnsi="Calibri" w:cs="Calibri"/>
        </w:rPr>
        <w:t>,</w:t>
      </w:r>
      <w:r w:rsidRPr="00D633FF">
        <w:rPr>
          <w:rFonts w:ascii="Calibri" w:hAnsi="Calibri" w:cs="Calibri"/>
          <w:i/>
        </w:rPr>
        <w:t xml:space="preserve"> 107</w:t>
      </w:r>
      <w:r w:rsidRPr="00D633FF">
        <w:rPr>
          <w:rFonts w:ascii="Calibri" w:hAnsi="Calibri" w:cs="Calibri"/>
        </w:rPr>
        <w:t xml:space="preserve">(10), 1514-1525. </w:t>
      </w:r>
      <w:r w:rsidRPr="00A526B1">
        <w:rPr>
          <w:rFonts w:ascii="Calibri" w:hAnsi="Calibri" w:cs="Calibri"/>
        </w:rPr>
        <w:t>https://doi.org/10.1017/s0007114511004715</w:t>
      </w:r>
      <w:r w:rsidRPr="00D633FF">
        <w:rPr>
          <w:rFonts w:ascii="Calibri" w:hAnsi="Calibri" w:cs="Calibri"/>
        </w:rPr>
        <w:t xml:space="preserve"> </w:t>
      </w:r>
    </w:p>
    <w:p w14:paraId="5054EA47" w14:textId="34C2C34A"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Daniels L, Gibson R, &amp; Simmer K. (2000). Indicators of selenium status in Australian infants. </w:t>
      </w:r>
      <w:r w:rsidRPr="00D633FF">
        <w:rPr>
          <w:rFonts w:ascii="Calibri" w:hAnsi="Calibri" w:cs="Calibri"/>
          <w:i/>
        </w:rPr>
        <w:t xml:space="preserve">J </w:t>
      </w:r>
      <w:r w:rsidR="00EF3977">
        <w:rPr>
          <w:rFonts w:ascii="Calibri" w:hAnsi="Calibri" w:cs="Calibri"/>
          <w:i/>
        </w:rPr>
        <w:t>P</w:t>
      </w:r>
      <w:r w:rsidRPr="00D633FF">
        <w:rPr>
          <w:rFonts w:ascii="Calibri" w:hAnsi="Calibri" w:cs="Calibri"/>
          <w:i/>
        </w:rPr>
        <w:t xml:space="preserve">aediatr </w:t>
      </w:r>
      <w:r w:rsidR="00EF3977">
        <w:rPr>
          <w:rFonts w:ascii="Calibri" w:hAnsi="Calibri" w:cs="Calibri"/>
          <w:i/>
        </w:rPr>
        <w:t>C</w:t>
      </w:r>
      <w:r w:rsidRPr="00D633FF">
        <w:rPr>
          <w:rFonts w:ascii="Calibri" w:hAnsi="Calibri" w:cs="Calibri"/>
          <w:i/>
        </w:rPr>
        <w:t xml:space="preserve">hild </w:t>
      </w:r>
      <w:r w:rsidR="00EF3977">
        <w:rPr>
          <w:rFonts w:ascii="Calibri" w:hAnsi="Calibri" w:cs="Calibri"/>
          <w:i/>
        </w:rPr>
        <w:t>H</w:t>
      </w:r>
      <w:r w:rsidRPr="00D633FF">
        <w:rPr>
          <w:rFonts w:ascii="Calibri" w:hAnsi="Calibri" w:cs="Calibri"/>
          <w:i/>
        </w:rPr>
        <w:t>ealth</w:t>
      </w:r>
      <w:r w:rsidRPr="00D633FF">
        <w:rPr>
          <w:rFonts w:ascii="Calibri" w:hAnsi="Calibri" w:cs="Calibri"/>
        </w:rPr>
        <w:t>,</w:t>
      </w:r>
      <w:r w:rsidRPr="00D633FF">
        <w:rPr>
          <w:rFonts w:ascii="Calibri" w:hAnsi="Calibri" w:cs="Calibri"/>
          <w:i/>
        </w:rPr>
        <w:t xml:space="preserve"> 36</w:t>
      </w:r>
      <w:r w:rsidRPr="00D633FF">
        <w:rPr>
          <w:rFonts w:ascii="Calibri" w:hAnsi="Calibri" w:cs="Calibri"/>
        </w:rPr>
        <w:t xml:space="preserve">(4), 370-374. </w:t>
      </w:r>
    </w:p>
    <w:p w14:paraId="404E13B1" w14:textId="57739398"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Daniels L, Haszard JJ, Gibson RS, Taylor RW, Fleming EA, Miller JC, Thomson CD, &amp; Heath A-LM. (2023). Selenium intakes and plasma selenium of New Zealand toddlers: secondary analysis of a randomised controlled trial. </w:t>
      </w:r>
      <w:r w:rsidRPr="00D633FF">
        <w:rPr>
          <w:rFonts w:ascii="Calibri" w:hAnsi="Calibri" w:cs="Calibri"/>
          <w:i/>
        </w:rPr>
        <w:t>Br J Nutr</w:t>
      </w:r>
      <w:r w:rsidRPr="00D633FF">
        <w:rPr>
          <w:rFonts w:ascii="Calibri" w:hAnsi="Calibri" w:cs="Calibri"/>
        </w:rPr>
        <w:t>,</w:t>
      </w:r>
      <w:r w:rsidRPr="00D633FF">
        <w:rPr>
          <w:rFonts w:ascii="Calibri" w:hAnsi="Calibri" w:cs="Calibri"/>
          <w:i/>
        </w:rPr>
        <w:t xml:space="preserve"> 129</w:t>
      </w:r>
      <w:r w:rsidRPr="00D633FF">
        <w:rPr>
          <w:rFonts w:ascii="Calibri" w:hAnsi="Calibri" w:cs="Calibri"/>
        </w:rPr>
        <w:t xml:space="preserve">(7), 1193-1201. </w:t>
      </w:r>
      <w:r w:rsidRPr="00A526B1">
        <w:rPr>
          <w:rFonts w:ascii="Calibri" w:hAnsi="Calibri" w:cs="Calibri"/>
        </w:rPr>
        <w:t>https://doi.org/10.1017/S0007114522002379</w:t>
      </w:r>
      <w:r w:rsidRPr="00D633FF">
        <w:rPr>
          <w:rFonts w:ascii="Calibri" w:hAnsi="Calibri" w:cs="Calibri"/>
        </w:rPr>
        <w:t xml:space="preserve"> </w:t>
      </w:r>
    </w:p>
    <w:p w14:paraId="4B8A1821" w14:textId="720B366A"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Daniels LA. (2004). Selenium: does selenium status have health outcomes beyond overt deficiency? </w:t>
      </w:r>
      <w:r w:rsidRPr="00D633FF">
        <w:rPr>
          <w:rFonts w:ascii="Calibri" w:hAnsi="Calibri" w:cs="Calibri"/>
          <w:i/>
        </w:rPr>
        <w:t>M</w:t>
      </w:r>
      <w:r w:rsidR="00EF3977">
        <w:rPr>
          <w:rFonts w:ascii="Calibri" w:hAnsi="Calibri" w:cs="Calibri"/>
          <w:i/>
        </w:rPr>
        <w:t>JA</w:t>
      </w:r>
      <w:r w:rsidRPr="00D633FF">
        <w:rPr>
          <w:rFonts w:ascii="Calibri" w:hAnsi="Calibri" w:cs="Calibri"/>
        </w:rPr>
        <w:t>,</w:t>
      </w:r>
      <w:r w:rsidRPr="00D633FF">
        <w:rPr>
          <w:rFonts w:ascii="Calibri" w:hAnsi="Calibri" w:cs="Calibri"/>
          <w:i/>
        </w:rPr>
        <w:t xml:space="preserve"> 180</w:t>
      </w:r>
      <w:r w:rsidRPr="00D633FF">
        <w:rPr>
          <w:rFonts w:ascii="Calibri" w:hAnsi="Calibri" w:cs="Calibri"/>
        </w:rPr>
        <w:t xml:space="preserve">(8), 373-374. </w:t>
      </w:r>
      <w:r w:rsidRPr="00A526B1">
        <w:rPr>
          <w:rFonts w:ascii="Calibri" w:hAnsi="Calibri" w:cs="Calibri"/>
        </w:rPr>
        <w:t>https://doi.org/10.5694/j.1326-5377.2004.tb05986.x</w:t>
      </w:r>
      <w:r w:rsidRPr="00D633FF">
        <w:rPr>
          <w:rFonts w:ascii="Calibri" w:hAnsi="Calibri" w:cs="Calibri"/>
        </w:rPr>
        <w:t xml:space="preserve"> </w:t>
      </w:r>
    </w:p>
    <w:p w14:paraId="410C80A0" w14:textId="12400000"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De Jong N, Gibson RS, Thomson CD, Ferguson EL, Green TJ, Horwath CC, &amp; McKenzie JE. (2001). Selenium and zinc status are suboptimal in a sample of older New Zealand women in a community-based study. </w:t>
      </w:r>
      <w:r w:rsidR="004A5E90">
        <w:rPr>
          <w:rFonts w:ascii="Calibri" w:hAnsi="Calibri" w:cs="Calibri"/>
          <w:i/>
        </w:rPr>
        <w:t>J</w:t>
      </w:r>
      <w:r w:rsidRPr="00D633FF">
        <w:rPr>
          <w:rFonts w:ascii="Calibri" w:hAnsi="Calibri" w:cs="Calibri"/>
          <w:i/>
        </w:rPr>
        <w:t xml:space="preserve"> </w:t>
      </w:r>
      <w:r w:rsidR="004A5E90">
        <w:rPr>
          <w:rFonts w:ascii="Calibri" w:hAnsi="Calibri" w:cs="Calibri"/>
          <w:i/>
        </w:rPr>
        <w:t>N</w:t>
      </w:r>
      <w:r w:rsidRPr="00D633FF">
        <w:rPr>
          <w:rFonts w:ascii="Calibri" w:hAnsi="Calibri" w:cs="Calibri"/>
          <w:i/>
        </w:rPr>
        <w:t>utr</w:t>
      </w:r>
      <w:r w:rsidRPr="00D633FF">
        <w:rPr>
          <w:rFonts w:ascii="Calibri" w:hAnsi="Calibri" w:cs="Calibri"/>
        </w:rPr>
        <w:t>,</w:t>
      </w:r>
      <w:r w:rsidRPr="00D633FF">
        <w:rPr>
          <w:rFonts w:ascii="Calibri" w:hAnsi="Calibri" w:cs="Calibri"/>
          <w:i/>
        </w:rPr>
        <w:t xml:space="preserve"> 131</w:t>
      </w:r>
      <w:r w:rsidRPr="00D633FF">
        <w:rPr>
          <w:rFonts w:ascii="Calibri" w:hAnsi="Calibri" w:cs="Calibri"/>
        </w:rPr>
        <w:t xml:space="preserve">(10), 2677-2684. </w:t>
      </w:r>
    </w:p>
    <w:p w14:paraId="6D4B330B" w14:textId="77777777"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Department of Health. (1991). </w:t>
      </w:r>
      <w:r w:rsidRPr="00D633FF">
        <w:rPr>
          <w:rFonts w:ascii="Calibri" w:hAnsi="Calibri" w:cs="Calibri"/>
          <w:i/>
        </w:rPr>
        <w:t>Dietary Reference Values for food energy and nutrient intakes for the United Kingdom. Report on health and social subjects, No 41.</w:t>
      </w:r>
      <w:r w:rsidRPr="00D633FF">
        <w:rPr>
          <w:rFonts w:ascii="Calibri" w:hAnsi="Calibri" w:cs="Calibri"/>
        </w:rPr>
        <w:t xml:space="preserve"> </w:t>
      </w:r>
    </w:p>
    <w:p w14:paraId="7488802B" w14:textId="47EB1EFD"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Duffield-Lillico AJ, Dalkin BL, Reid ME, Turnbull BW, Slate EH, Jacobs ET, Marshall JR, &amp; Clark LC. (2003). Selenium supplementation, baseline plasma selenium status and incidence of </w:t>
      </w:r>
      <w:r w:rsidRPr="00D633FF">
        <w:rPr>
          <w:rFonts w:ascii="Calibri" w:hAnsi="Calibri" w:cs="Calibri"/>
        </w:rPr>
        <w:lastRenderedPageBreak/>
        <w:t xml:space="preserve">prostate cancer: an analysis of the complete treatment period of the Nutritional Prevention of Cancer Trial. </w:t>
      </w:r>
      <w:r w:rsidRPr="00D633FF">
        <w:rPr>
          <w:rFonts w:ascii="Calibri" w:hAnsi="Calibri" w:cs="Calibri"/>
          <w:i/>
        </w:rPr>
        <w:t>BJU Int</w:t>
      </w:r>
      <w:r w:rsidRPr="00D633FF">
        <w:rPr>
          <w:rFonts w:ascii="Calibri" w:hAnsi="Calibri" w:cs="Calibri"/>
        </w:rPr>
        <w:t>,</w:t>
      </w:r>
      <w:r w:rsidRPr="00D633FF">
        <w:rPr>
          <w:rFonts w:ascii="Calibri" w:hAnsi="Calibri" w:cs="Calibri"/>
          <w:i/>
        </w:rPr>
        <w:t xml:space="preserve"> 91</w:t>
      </w:r>
      <w:r w:rsidRPr="00D633FF">
        <w:rPr>
          <w:rFonts w:ascii="Calibri" w:hAnsi="Calibri" w:cs="Calibri"/>
        </w:rPr>
        <w:t xml:space="preserve">(7), 608-612. </w:t>
      </w:r>
      <w:r w:rsidRPr="00A526B1">
        <w:rPr>
          <w:rFonts w:ascii="Calibri" w:hAnsi="Calibri" w:cs="Calibri"/>
        </w:rPr>
        <w:t>https://doi.org/10.1046/j.1464-410x.2003.04167.x</w:t>
      </w:r>
      <w:r w:rsidRPr="00D633FF">
        <w:rPr>
          <w:rFonts w:ascii="Calibri" w:hAnsi="Calibri" w:cs="Calibri"/>
        </w:rPr>
        <w:t xml:space="preserve"> </w:t>
      </w:r>
    </w:p>
    <w:p w14:paraId="15FD4806" w14:textId="75187E97"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Duffield AJ, Thomson CD, Hill KE, &amp; Williams S. (1999). An estimation of selenium requirements for New Zealanders. </w:t>
      </w:r>
      <w:r w:rsidRPr="00D633FF">
        <w:rPr>
          <w:rFonts w:ascii="Calibri" w:hAnsi="Calibri" w:cs="Calibri"/>
          <w:i/>
        </w:rPr>
        <w:t>Am J Clin Nutr</w:t>
      </w:r>
      <w:r w:rsidRPr="00D633FF">
        <w:rPr>
          <w:rFonts w:ascii="Calibri" w:hAnsi="Calibri" w:cs="Calibri"/>
        </w:rPr>
        <w:t>,</w:t>
      </w:r>
      <w:r w:rsidRPr="00D633FF">
        <w:rPr>
          <w:rFonts w:ascii="Calibri" w:hAnsi="Calibri" w:cs="Calibri"/>
          <w:i/>
        </w:rPr>
        <w:t xml:space="preserve"> 70</w:t>
      </w:r>
      <w:r w:rsidRPr="00D633FF">
        <w:rPr>
          <w:rFonts w:ascii="Calibri" w:hAnsi="Calibri" w:cs="Calibri"/>
        </w:rPr>
        <w:t xml:space="preserve">(5), 896-903. </w:t>
      </w:r>
      <w:r w:rsidRPr="00A526B1">
        <w:rPr>
          <w:rFonts w:ascii="Calibri" w:hAnsi="Calibri" w:cs="Calibri"/>
        </w:rPr>
        <w:t>https://doi.org/10.1093/ajcn/70.5.896</w:t>
      </w:r>
      <w:r w:rsidRPr="00D633FF">
        <w:rPr>
          <w:rFonts w:ascii="Calibri" w:hAnsi="Calibri" w:cs="Calibri"/>
        </w:rPr>
        <w:t xml:space="preserve"> </w:t>
      </w:r>
    </w:p>
    <w:p w14:paraId="75A7A8D8" w14:textId="7C6B09FD"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Duntas LH, &amp; Hubalewska-Dydejczyk A. (2015). Selenium and inflammation: potential use and future perspectives.</w:t>
      </w:r>
      <w:r w:rsidR="00E03742" w:rsidRPr="00D633FF">
        <w:rPr>
          <w:rFonts w:ascii="Calibri" w:hAnsi="Calibri" w:cs="Calibri"/>
        </w:rPr>
        <w:t xml:space="preserve"> </w:t>
      </w:r>
      <w:r w:rsidR="00E03742" w:rsidRPr="00D633FF">
        <w:rPr>
          <w:rFonts w:ascii="Calibri" w:hAnsi="Calibri" w:cs="Calibri"/>
          <w:i/>
        </w:rPr>
        <w:t xml:space="preserve">US Endocrinol 11 (2): 97–102. </w:t>
      </w:r>
      <w:r w:rsidRPr="00A526B1">
        <w:rPr>
          <w:rFonts w:ascii="Calibri" w:hAnsi="Calibri" w:cs="Calibri"/>
        </w:rPr>
        <w:t>https://doi.org/10.17925/USE.2015.11.02.97</w:t>
      </w:r>
      <w:r w:rsidRPr="00D633FF">
        <w:rPr>
          <w:rFonts w:ascii="Calibri" w:hAnsi="Calibri" w:cs="Calibri"/>
        </w:rPr>
        <w:t xml:space="preserve"> </w:t>
      </w:r>
    </w:p>
    <w:p w14:paraId="23C4039C" w14:textId="47DA6E12"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EFSA Panel on Nutrition NF, Allergens F, Turck D, Bohn T, Castenmiller J, de Henauw S, Hirsch-Ernst K-I, Knutsen HK, Maciuk A,…Naska A. (2023). Scientific opinion on the tolerable upper intake level for selenium. </w:t>
      </w:r>
      <w:r w:rsidRPr="00D633FF">
        <w:rPr>
          <w:rFonts w:ascii="Calibri" w:hAnsi="Calibri" w:cs="Calibri"/>
          <w:i/>
        </w:rPr>
        <w:t>EFSA Journal</w:t>
      </w:r>
      <w:r w:rsidRPr="00D633FF">
        <w:rPr>
          <w:rFonts w:ascii="Calibri" w:hAnsi="Calibri" w:cs="Calibri"/>
        </w:rPr>
        <w:t>,</w:t>
      </w:r>
      <w:r w:rsidRPr="00D633FF">
        <w:rPr>
          <w:rFonts w:ascii="Calibri" w:hAnsi="Calibri" w:cs="Calibri"/>
          <w:i/>
        </w:rPr>
        <w:t xml:space="preserve"> 21</w:t>
      </w:r>
      <w:r w:rsidRPr="00D633FF">
        <w:rPr>
          <w:rFonts w:ascii="Calibri" w:hAnsi="Calibri" w:cs="Calibri"/>
        </w:rPr>
        <w:t xml:space="preserve">(1), e07704. </w:t>
      </w:r>
      <w:r w:rsidRPr="00A526B1">
        <w:rPr>
          <w:rFonts w:ascii="Calibri" w:hAnsi="Calibri" w:cs="Calibri"/>
        </w:rPr>
        <w:t>https://doi.org/https://doi.org/10.2903/j.efsa.2023.7704</w:t>
      </w:r>
      <w:r w:rsidRPr="00D633FF">
        <w:rPr>
          <w:rFonts w:ascii="Calibri" w:hAnsi="Calibri" w:cs="Calibri"/>
        </w:rPr>
        <w:t xml:space="preserve"> </w:t>
      </w:r>
    </w:p>
    <w:p w14:paraId="6A3C0F7A" w14:textId="77777777"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European Commission. (2000). Opinion of the scientific committee on food on the tolerable upper intake level of selenium. </w:t>
      </w:r>
      <w:r w:rsidRPr="00D633FF">
        <w:rPr>
          <w:rFonts w:ascii="Calibri" w:hAnsi="Calibri" w:cs="Calibri"/>
          <w:i/>
        </w:rPr>
        <w:t>Health and Consumer Protection. Directorate General, Scientific Committee on Food, 28 November 2000</w:t>
      </w:r>
      <w:r w:rsidRPr="00D633FF">
        <w:rPr>
          <w:rFonts w:ascii="Calibri" w:hAnsi="Calibri" w:cs="Calibri"/>
        </w:rPr>
        <w:t xml:space="preserve">. </w:t>
      </w:r>
    </w:p>
    <w:p w14:paraId="071EC6C2" w14:textId="77777777"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Fairweather-Tait SJ. (1997). Bioavailability of selenium. </w:t>
      </w:r>
      <w:r w:rsidRPr="00D633FF">
        <w:rPr>
          <w:rFonts w:ascii="Calibri" w:hAnsi="Calibri" w:cs="Calibri"/>
          <w:i/>
        </w:rPr>
        <w:t>Eur J Clin Nutr</w:t>
      </w:r>
      <w:r w:rsidRPr="00D633FF">
        <w:rPr>
          <w:rFonts w:ascii="Calibri" w:hAnsi="Calibri" w:cs="Calibri"/>
        </w:rPr>
        <w:t>,</w:t>
      </w:r>
      <w:r w:rsidRPr="00D633FF">
        <w:rPr>
          <w:rFonts w:ascii="Calibri" w:hAnsi="Calibri" w:cs="Calibri"/>
          <w:i/>
        </w:rPr>
        <w:t xml:space="preserve"> 51 Suppl 1</w:t>
      </w:r>
      <w:r w:rsidRPr="00D633FF">
        <w:rPr>
          <w:rFonts w:ascii="Calibri" w:hAnsi="Calibri" w:cs="Calibri"/>
        </w:rPr>
        <w:t xml:space="preserve">, S20-23. </w:t>
      </w:r>
    </w:p>
    <w:p w14:paraId="0168F225" w14:textId="4A591CF0"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Fairweather-Tait SJ, &amp; Collings R. (2010). Estimating the bioavailability factors needed for setting dietary reference values. </w:t>
      </w:r>
      <w:r w:rsidRPr="00D633FF">
        <w:rPr>
          <w:rFonts w:ascii="Calibri" w:hAnsi="Calibri" w:cs="Calibri"/>
          <w:i/>
        </w:rPr>
        <w:t>Int J Vitam Nutr Res</w:t>
      </w:r>
      <w:r w:rsidRPr="00D633FF">
        <w:rPr>
          <w:rFonts w:ascii="Calibri" w:hAnsi="Calibri" w:cs="Calibri"/>
        </w:rPr>
        <w:t>,</w:t>
      </w:r>
      <w:r w:rsidRPr="00D633FF">
        <w:rPr>
          <w:rFonts w:ascii="Calibri" w:hAnsi="Calibri" w:cs="Calibri"/>
          <w:i/>
        </w:rPr>
        <w:t xml:space="preserve"> 80</w:t>
      </w:r>
      <w:r w:rsidRPr="00D633FF">
        <w:rPr>
          <w:rFonts w:ascii="Calibri" w:hAnsi="Calibri" w:cs="Calibri"/>
        </w:rPr>
        <w:t xml:space="preserve">(4-5), 249-256. </w:t>
      </w:r>
      <w:r w:rsidRPr="00A526B1">
        <w:rPr>
          <w:rFonts w:ascii="Calibri" w:hAnsi="Calibri" w:cs="Calibri"/>
        </w:rPr>
        <w:t>https://doi.org/10.1024/0300-9831/a000031</w:t>
      </w:r>
      <w:r w:rsidRPr="00D633FF">
        <w:rPr>
          <w:rFonts w:ascii="Calibri" w:hAnsi="Calibri" w:cs="Calibri"/>
        </w:rPr>
        <w:t xml:space="preserve"> </w:t>
      </w:r>
    </w:p>
    <w:p w14:paraId="25EBEC47" w14:textId="6D9743BC"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FAO:WHO. (2001). </w:t>
      </w:r>
      <w:r w:rsidRPr="00D633FF">
        <w:rPr>
          <w:rFonts w:ascii="Calibri" w:hAnsi="Calibri" w:cs="Calibri"/>
          <w:i/>
        </w:rPr>
        <w:t>Human vitamin and mineral requirements: report of a joint FAO/WHO expert consultation</w:t>
      </w:r>
      <w:r w:rsidRPr="00D633FF">
        <w:rPr>
          <w:rFonts w:ascii="Calibri" w:hAnsi="Calibri" w:cs="Calibri"/>
        </w:rPr>
        <w:t xml:space="preserve">. Food and Agriculture Organization of the United Nations &amp; World Health Organization. date accessed 1 September 2025 </w:t>
      </w:r>
      <w:r w:rsidRPr="00A526B1">
        <w:rPr>
          <w:rFonts w:ascii="Calibri" w:hAnsi="Calibri" w:cs="Calibri"/>
        </w:rPr>
        <w:t>https://openknowledge.fao.org/server/api/core/bitstreams/63710348-ae8f-414a-912f-d7670717c874/content</w:t>
      </w:r>
      <w:r w:rsidRPr="00D633FF">
        <w:rPr>
          <w:rFonts w:ascii="Calibri" w:hAnsi="Calibri" w:cs="Calibri"/>
        </w:rPr>
        <w:t xml:space="preserve"> </w:t>
      </w:r>
    </w:p>
    <w:p w14:paraId="093A78A2" w14:textId="77777777"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Fayet-Moore F, Petocz P, &amp; Samman S. (2014). Micronutrient status in female university students: iron, zinc, copper, selenium, vitamin B12 and folate. </w:t>
      </w:r>
      <w:r w:rsidRPr="00D633FF">
        <w:rPr>
          <w:rFonts w:ascii="Calibri" w:hAnsi="Calibri" w:cs="Calibri"/>
          <w:i/>
        </w:rPr>
        <w:t>Nutrients</w:t>
      </w:r>
      <w:r w:rsidRPr="00D633FF">
        <w:rPr>
          <w:rFonts w:ascii="Calibri" w:hAnsi="Calibri" w:cs="Calibri"/>
        </w:rPr>
        <w:t>,</w:t>
      </w:r>
      <w:r w:rsidRPr="00D633FF">
        <w:rPr>
          <w:rFonts w:ascii="Calibri" w:hAnsi="Calibri" w:cs="Calibri"/>
          <w:i/>
        </w:rPr>
        <w:t xml:space="preserve"> 6</w:t>
      </w:r>
      <w:r w:rsidRPr="00D633FF">
        <w:rPr>
          <w:rFonts w:ascii="Calibri" w:hAnsi="Calibri" w:cs="Calibri"/>
        </w:rPr>
        <w:t xml:space="preserve">(11), 5103-5116. </w:t>
      </w:r>
    </w:p>
    <w:p w14:paraId="0BC0BEE3" w14:textId="77777777"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Fordyce FM. (2012). Selenium deficiency and toxicity in the environment. In </w:t>
      </w:r>
      <w:r w:rsidRPr="00D633FF">
        <w:rPr>
          <w:rFonts w:ascii="Calibri" w:hAnsi="Calibri" w:cs="Calibri"/>
          <w:i/>
        </w:rPr>
        <w:t>Essentials of medical geology: Revised edition</w:t>
      </w:r>
      <w:r w:rsidRPr="00D633FF">
        <w:rPr>
          <w:rFonts w:ascii="Calibri" w:hAnsi="Calibri" w:cs="Calibri"/>
        </w:rPr>
        <w:t xml:space="preserve"> (pp. 375-416). Springer. </w:t>
      </w:r>
    </w:p>
    <w:p w14:paraId="3319B649" w14:textId="70AB0253"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FSANZ. (2022). </w:t>
      </w:r>
      <w:r w:rsidRPr="00D633FF">
        <w:rPr>
          <w:rFonts w:ascii="Calibri" w:hAnsi="Calibri" w:cs="Calibri"/>
          <w:i/>
        </w:rPr>
        <w:t>Australian Food Composition Database – Release 2​​.0</w:t>
      </w:r>
      <w:r w:rsidRPr="00D633FF">
        <w:rPr>
          <w:rFonts w:ascii="Calibri" w:hAnsi="Calibri" w:cs="Calibri"/>
        </w:rPr>
        <w:t xml:space="preserve"> (date accessed 25 August 2025 </w:t>
      </w:r>
      <w:r w:rsidRPr="00A526B1">
        <w:rPr>
          <w:rFonts w:ascii="Calibri" w:hAnsi="Calibri" w:cs="Calibri"/>
        </w:rPr>
        <w:t>https://afcd.foodstandards.gov.au/</w:t>
      </w:r>
      <w:r w:rsidRPr="00D633FF">
        <w:rPr>
          <w:rFonts w:ascii="Calibri" w:hAnsi="Calibri" w:cs="Calibri"/>
        </w:rPr>
        <w:t xml:space="preserve">) </w:t>
      </w:r>
    </w:p>
    <w:p w14:paraId="0EC55FE1" w14:textId="77777777"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Gasmi A, Garnier R, Galliot-Guilley M, Gaudillat C, Quartenoud B, Buisine A, &amp; Djebbar D. (1997). Acute selenium poisoning. </w:t>
      </w:r>
      <w:r w:rsidRPr="00D633FF">
        <w:rPr>
          <w:rFonts w:ascii="Calibri" w:hAnsi="Calibri" w:cs="Calibri"/>
          <w:i/>
        </w:rPr>
        <w:t>Vet Hum Toxicol</w:t>
      </w:r>
      <w:r w:rsidRPr="00D633FF">
        <w:rPr>
          <w:rFonts w:ascii="Calibri" w:hAnsi="Calibri" w:cs="Calibri"/>
        </w:rPr>
        <w:t>,</w:t>
      </w:r>
      <w:r w:rsidRPr="00D633FF">
        <w:rPr>
          <w:rFonts w:ascii="Calibri" w:hAnsi="Calibri" w:cs="Calibri"/>
          <w:i/>
        </w:rPr>
        <w:t xml:space="preserve"> 39</w:t>
      </w:r>
      <w:r w:rsidRPr="00D633FF">
        <w:rPr>
          <w:rFonts w:ascii="Calibri" w:hAnsi="Calibri" w:cs="Calibri"/>
        </w:rPr>
        <w:t xml:space="preserve">(5), 304-308. </w:t>
      </w:r>
    </w:p>
    <w:p w14:paraId="51E185ED" w14:textId="3ACFD83B"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Gladyshev VN, Arnér ES, Berry MJ, Brigelius-Flohé R, Bruford EA, Burk RF, Carlson BA, Castellano S, Chavatte L,…Zhang Y. (2016). Selenoprotein Gene Nomenclature. </w:t>
      </w:r>
      <w:r w:rsidRPr="00D633FF">
        <w:rPr>
          <w:rFonts w:ascii="Calibri" w:hAnsi="Calibri" w:cs="Calibri"/>
          <w:i/>
        </w:rPr>
        <w:t>J Biol Chem</w:t>
      </w:r>
      <w:r w:rsidRPr="00D633FF">
        <w:rPr>
          <w:rFonts w:ascii="Calibri" w:hAnsi="Calibri" w:cs="Calibri"/>
        </w:rPr>
        <w:t>,</w:t>
      </w:r>
      <w:r w:rsidRPr="00D633FF">
        <w:rPr>
          <w:rFonts w:ascii="Calibri" w:hAnsi="Calibri" w:cs="Calibri"/>
          <w:i/>
        </w:rPr>
        <w:t xml:space="preserve"> 291</w:t>
      </w:r>
      <w:r w:rsidRPr="00D633FF">
        <w:rPr>
          <w:rFonts w:ascii="Calibri" w:hAnsi="Calibri" w:cs="Calibri"/>
        </w:rPr>
        <w:t xml:space="preserve">(46), 24036-24040. </w:t>
      </w:r>
      <w:r w:rsidRPr="00A526B1">
        <w:rPr>
          <w:rFonts w:ascii="Calibri" w:hAnsi="Calibri" w:cs="Calibri"/>
        </w:rPr>
        <w:t>https://doi.org/10.1074/jbc.M116.756155</w:t>
      </w:r>
      <w:r w:rsidRPr="00D633FF">
        <w:rPr>
          <w:rFonts w:ascii="Calibri" w:hAnsi="Calibri" w:cs="Calibri"/>
        </w:rPr>
        <w:t xml:space="preserve"> </w:t>
      </w:r>
    </w:p>
    <w:p w14:paraId="4EF31293" w14:textId="11FC5FCC"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Hadrup N, &amp; Ravn-Haren G. (2021). Absorption, distribution, metabolism and excretion (ADME) of oral selenium from organic and inorganic sources: A review. </w:t>
      </w:r>
      <w:r w:rsidRPr="00D633FF">
        <w:rPr>
          <w:rFonts w:ascii="Calibri" w:hAnsi="Calibri" w:cs="Calibri"/>
          <w:i/>
        </w:rPr>
        <w:t>J Trace Elem Med Biol</w:t>
      </w:r>
      <w:r w:rsidRPr="00D633FF">
        <w:rPr>
          <w:rFonts w:ascii="Calibri" w:hAnsi="Calibri" w:cs="Calibri"/>
        </w:rPr>
        <w:t>,</w:t>
      </w:r>
      <w:r w:rsidRPr="00D633FF">
        <w:rPr>
          <w:rFonts w:ascii="Calibri" w:hAnsi="Calibri" w:cs="Calibri"/>
          <w:i/>
        </w:rPr>
        <w:t xml:space="preserve"> 67</w:t>
      </w:r>
      <w:r w:rsidRPr="00D633FF">
        <w:rPr>
          <w:rFonts w:ascii="Calibri" w:hAnsi="Calibri" w:cs="Calibri"/>
        </w:rPr>
        <w:t xml:space="preserve">, 126801. </w:t>
      </w:r>
      <w:r w:rsidRPr="00A526B1">
        <w:rPr>
          <w:rFonts w:ascii="Calibri" w:hAnsi="Calibri" w:cs="Calibri"/>
        </w:rPr>
        <w:t>https://doi.org/10.1016/j.jtemb.2021.126801</w:t>
      </w:r>
      <w:r w:rsidRPr="00D633FF">
        <w:rPr>
          <w:rFonts w:ascii="Calibri" w:hAnsi="Calibri" w:cs="Calibri"/>
        </w:rPr>
        <w:t xml:space="preserve"> </w:t>
      </w:r>
    </w:p>
    <w:p w14:paraId="318CF9C2" w14:textId="04985655"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Huang Z, Rose AH, &amp; Hoffmann PR. (2012). The role of selenium in inflammation and immunity: from molecular mechanisms to therapeutic opportunities. </w:t>
      </w:r>
      <w:r w:rsidRPr="00D633FF">
        <w:rPr>
          <w:rFonts w:ascii="Calibri" w:hAnsi="Calibri" w:cs="Calibri"/>
          <w:i/>
        </w:rPr>
        <w:t xml:space="preserve">Antiox </w:t>
      </w:r>
      <w:r w:rsidR="001027CF">
        <w:rPr>
          <w:rFonts w:ascii="Calibri" w:hAnsi="Calibri" w:cs="Calibri"/>
          <w:i/>
        </w:rPr>
        <w:t>R</w:t>
      </w:r>
      <w:r w:rsidRPr="00D633FF">
        <w:rPr>
          <w:rFonts w:ascii="Calibri" w:hAnsi="Calibri" w:cs="Calibri"/>
          <w:i/>
        </w:rPr>
        <w:t xml:space="preserve">edox </w:t>
      </w:r>
      <w:r w:rsidR="001027CF">
        <w:rPr>
          <w:rFonts w:ascii="Calibri" w:hAnsi="Calibri" w:cs="Calibri"/>
          <w:i/>
        </w:rPr>
        <w:t>S</w:t>
      </w:r>
      <w:r w:rsidRPr="00D633FF">
        <w:rPr>
          <w:rFonts w:ascii="Calibri" w:hAnsi="Calibri" w:cs="Calibri"/>
          <w:i/>
        </w:rPr>
        <w:t>ignal</w:t>
      </w:r>
      <w:r w:rsidRPr="00D633FF">
        <w:rPr>
          <w:rFonts w:ascii="Calibri" w:hAnsi="Calibri" w:cs="Calibri"/>
        </w:rPr>
        <w:t>,</w:t>
      </w:r>
      <w:r w:rsidRPr="00D633FF">
        <w:rPr>
          <w:rFonts w:ascii="Calibri" w:hAnsi="Calibri" w:cs="Calibri"/>
          <w:i/>
        </w:rPr>
        <w:t xml:space="preserve"> 16</w:t>
      </w:r>
      <w:r w:rsidRPr="00D633FF">
        <w:rPr>
          <w:rFonts w:ascii="Calibri" w:hAnsi="Calibri" w:cs="Calibri"/>
        </w:rPr>
        <w:t xml:space="preserve">(7), 705-743. </w:t>
      </w:r>
      <w:r w:rsidRPr="00A526B1">
        <w:rPr>
          <w:rFonts w:ascii="Calibri" w:hAnsi="Calibri" w:cs="Calibri"/>
        </w:rPr>
        <w:t>https://doi.org/10.1089/ars.2011.4145</w:t>
      </w:r>
      <w:r w:rsidRPr="00D633FF">
        <w:rPr>
          <w:rFonts w:ascii="Calibri" w:hAnsi="Calibri" w:cs="Calibri"/>
        </w:rPr>
        <w:t xml:space="preserve"> </w:t>
      </w:r>
    </w:p>
    <w:p w14:paraId="659E5DBA" w14:textId="42A67506"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Hurst R, Armah CN, Dainty JR, Hart DJ, Teucher B, Goldson AJ, Broadley MR, Motley AK, &amp; Fairweather-Tait SJ. (2010). Establishing optimal selenium status: results of a randomized, double-blind, placebo-controlled trial. </w:t>
      </w:r>
      <w:r w:rsidRPr="00D633FF">
        <w:rPr>
          <w:rFonts w:ascii="Calibri" w:hAnsi="Calibri" w:cs="Calibri"/>
          <w:i/>
        </w:rPr>
        <w:t>Am J Clin Nutr</w:t>
      </w:r>
      <w:r w:rsidRPr="00D633FF">
        <w:rPr>
          <w:rFonts w:ascii="Calibri" w:hAnsi="Calibri" w:cs="Calibri"/>
        </w:rPr>
        <w:t>,</w:t>
      </w:r>
      <w:r w:rsidRPr="00D633FF">
        <w:rPr>
          <w:rFonts w:ascii="Calibri" w:hAnsi="Calibri" w:cs="Calibri"/>
          <w:i/>
        </w:rPr>
        <w:t xml:space="preserve"> 91</w:t>
      </w:r>
      <w:r w:rsidRPr="00D633FF">
        <w:rPr>
          <w:rFonts w:ascii="Calibri" w:hAnsi="Calibri" w:cs="Calibri"/>
        </w:rPr>
        <w:t xml:space="preserve">(4), 923-931. </w:t>
      </w:r>
      <w:r w:rsidRPr="00A526B1">
        <w:rPr>
          <w:rFonts w:ascii="Calibri" w:hAnsi="Calibri" w:cs="Calibri"/>
        </w:rPr>
        <w:t>https://doi.org/10.3945/ajcn.2009.28169</w:t>
      </w:r>
      <w:r w:rsidRPr="00D633FF">
        <w:rPr>
          <w:rFonts w:ascii="Calibri" w:hAnsi="Calibri" w:cs="Calibri"/>
        </w:rPr>
        <w:t xml:space="preserve"> </w:t>
      </w:r>
    </w:p>
    <w:p w14:paraId="66D66C5A" w14:textId="1A3B5BD9" w:rsidR="00111F44" w:rsidRPr="00D633FF" w:rsidRDefault="00111F44" w:rsidP="00BE0F71">
      <w:pPr>
        <w:pStyle w:val="EndNoteBibliography"/>
        <w:ind w:left="720" w:hanging="720"/>
        <w:rPr>
          <w:rFonts w:ascii="Calibri" w:hAnsi="Calibri" w:cs="Calibri"/>
        </w:rPr>
      </w:pPr>
      <w:r w:rsidRPr="00D633FF">
        <w:rPr>
          <w:rFonts w:ascii="Calibri" w:hAnsi="Calibri" w:cs="Calibri"/>
        </w:rPr>
        <w:lastRenderedPageBreak/>
        <w:t xml:space="preserve">Institute of Medicine Panel on Dietary A, &amp; Related C. (2000). In </w:t>
      </w:r>
      <w:r w:rsidRPr="00D633FF">
        <w:rPr>
          <w:rFonts w:ascii="Calibri" w:hAnsi="Calibri" w:cs="Calibri"/>
          <w:i/>
        </w:rPr>
        <w:t>Dietary Reference Intakes for Vitamin C, Vitamin E, Selenium, and Carotenoids</w:t>
      </w:r>
      <w:r w:rsidRPr="00D633FF">
        <w:rPr>
          <w:rFonts w:ascii="Calibri" w:hAnsi="Calibri" w:cs="Calibri"/>
        </w:rPr>
        <w:t>. National Academies Press (US)</w:t>
      </w:r>
      <w:r w:rsidR="00BE0F71">
        <w:rPr>
          <w:rFonts w:ascii="Calibri" w:hAnsi="Calibri" w:cs="Calibri"/>
        </w:rPr>
        <w:t xml:space="preserve"> </w:t>
      </w:r>
      <w:r w:rsidRPr="00D633FF">
        <w:rPr>
          <w:rFonts w:ascii="Calibri" w:hAnsi="Calibri" w:cs="Calibri"/>
        </w:rPr>
        <w:t xml:space="preserve">Copyright 2000 by the National Academy of Sciences. All rights reserved. </w:t>
      </w:r>
      <w:r w:rsidRPr="00A526B1">
        <w:rPr>
          <w:rFonts w:ascii="Calibri" w:hAnsi="Calibri" w:cs="Calibri"/>
        </w:rPr>
        <w:t>https://doi.org/10.17226/9810</w:t>
      </w:r>
      <w:r w:rsidRPr="00D633FF">
        <w:rPr>
          <w:rFonts w:ascii="Calibri" w:hAnsi="Calibri" w:cs="Calibri"/>
        </w:rPr>
        <w:t xml:space="preserve"> </w:t>
      </w:r>
    </w:p>
    <w:p w14:paraId="641FA491" w14:textId="00C27A1D"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IOM. (2000). </w:t>
      </w:r>
      <w:r w:rsidRPr="00D633FF">
        <w:rPr>
          <w:rFonts w:ascii="Calibri" w:hAnsi="Calibri" w:cs="Calibri"/>
          <w:i/>
        </w:rPr>
        <w:t>Dietary Reference Intakes for Vitamin C, Vitamin E, Selenium, and Carotenoids</w:t>
      </w:r>
      <w:r w:rsidRPr="00D633FF">
        <w:rPr>
          <w:rFonts w:ascii="Calibri" w:hAnsi="Calibri" w:cs="Calibri"/>
        </w:rPr>
        <w:t xml:space="preserve">. Institute of Medicine (US) Panel on Dietary Antioxidants and Related Compounds, National Academies Press (US). </w:t>
      </w:r>
      <w:r w:rsidRPr="00A526B1">
        <w:rPr>
          <w:rFonts w:ascii="Calibri" w:hAnsi="Calibri" w:cs="Calibri"/>
        </w:rPr>
        <w:t>https://doi.org/10.17226/9810</w:t>
      </w:r>
      <w:r w:rsidRPr="00D633FF">
        <w:rPr>
          <w:rFonts w:ascii="Calibri" w:hAnsi="Calibri" w:cs="Calibri"/>
        </w:rPr>
        <w:t xml:space="preserve"> </w:t>
      </w:r>
    </w:p>
    <w:p w14:paraId="315FD93B" w14:textId="1C51AA5F"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Jacobson GA, Tong YC, Townsend AT, Featherstone AM, Ball M, Robertson IK, &amp; Peterson GM. (2007). Selenium status in Southern Tasmania. </w:t>
      </w:r>
      <w:r w:rsidRPr="00D633FF">
        <w:rPr>
          <w:rFonts w:ascii="Calibri" w:hAnsi="Calibri" w:cs="Calibri"/>
          <w:i/>
        </w:rPr>
        <w:t>Eur J Clin Nutr</w:t>
      </w:r>
      <w:r w:rsidRPr="00D633FF">
        <w:rPr>
          <w:rFonts w:ascii="Calibri" w:hAnsi="Calibri" w:cs="Calibri"/>
        </w:rPr>
        <w:t>,</w:t>
      </w:r>
      <w:r w:rsidRPr="00D633FF">
        <w:rPr>
          <w:rFonts w:ascii="Calibri" w:hAnsi="Calibri" w:cs="Calibri"/>
          <w:i/>
        </w:rPr>
        <w:t xml:space="preserve"> 61</w:t>
      </w:r>
      <w:r w:rsidRPr="00D633FF">
        <w:rPr>
          <w:rFonts w:ascii="Calibri" w:hAnsi="Calibri" w:cs="Calibri"/>
        </w:rPr>
        <w:t xml:space="preserve">(9), 1057-1063. </w:t>
      </w:r>
      <w:r w:rsidRPr="00A526B1">
        <w:rPr>
          <w:rFonts w:ascii="Calibri" w:hAnsi="Calibri" w:cs="Calibri"/>
        </w:rPr>
        <w:t>https://doi.org/10.1038/sj.ejcn.1602628</w:t>
      </w:r>
      <w:r w:rsidRPr="00D633FF">
        <w:rPr>
          <w:rFonts w:ascii="Calibri" w:hAnsi="Calibri" w:cs="Calibri"/>
        </w:rPr>
        <w:t xml:space="preserve"> </w:t>
      </w:r>
    </w:p>
    <w:p w14:paraId="66F54F73" w14:textId="45DB4BCF"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Jin Y, Coad J, Pond R, Kim N, &amp; Brough L. (2020). Selenium intake and status of postpartum women and postnatal depression during the first year after childbirth in New Zealand–Mother and Infant Nutrition Investigation (MINI) study. </w:t>
      </w:r>
      <w:r w:rsidRPr="00D633FF">
        <w:rPr>
          <w:rFonts w:ascii="Calibri" w:hAnsi="Calibri" w:cs="Calibri"/>
          <w:i/>
        </w:rPr>
        <w:t>J Trace Elem Med Biol</w:t>
      </w:r>
      <w:r w:rsidRPr="00D633FF">
        <w:rPr>
          <w:rFonts w:ascii="Calibri" w:hAnsi="Calibri" w:cs="Calibri"/>
        </w:rPr>
        <w:t>,</w:t>
      </w:r>
      <w:r w:rsidRPr="00D633FF">
        <w:rPr>
          <w:rFonts w:ascii="Calibri" w:hAnsi="Calibri" w:cs="Calibri"/>
          <w:i/>
        </w:rPr>
        <w:t xml:space="preserve"> 61</w:t>
      </w:r>
      <w:r w:rsidRPr="00D633FF">
        <w:rPr>
          <w:rFonts w:ascii="Calibri" w:hAnsi="Calibri" w:cs="Calibri"/>
        </w:rPr>
        <w:t xml:space="preserve">, 126503. </w:t>
      </w:r>
    </w:p>
    <w:p w14:paraId="527F6024" w14:textId="77777777"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Judson G, &amp; Reuter D. (1999). </w:t>
      </w:r>
      <w:r w:rsidRPr="00D633FF">
        <w:rPr>
          <w:rFonts w:ascii="Calibri" w:hAnsi="Calibri" w:cs="Calibri"/>
          <w:i/>
        </w:rPr>
        <w:t>Soil analysis: an interpretation manual</w:t>
      </w:r>
      <w:r w:rsidRPr="00D633FF">
        <w:rPr>
          <w:rFonts w:ascii="Calibri" w:hAnsi="Calibri" w:cs="Calibri"/>
        </w:rPr>
        <w:t xml:space="preserve">. CSIRO publishing. </w:t>
      </w:r>
    </w:p>
    <w:p w14:paraId="13D84DCD" w14:textId="6BEEBBA6"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Klein L, Dawczynski C, Schwarz M, Maares M, Kipp K, Haase H, &amp; Kipp AP. (2023). Selenium, zinc, and copper status of vegetarians and vegans in comparison to omnivores in the nutritional evaluation (NuEva) study. </w:t>
      </w:r>
      <w:r w:rsidRPr="00D633FF">
        <w:rPr>
          <w:rFonts w:ascii="Calibri" w:hAnsi="Calibri" w:cs="Calibri"/>
          <w:i/>
        </w:rPr>
        <w:t>Nutrients</w:t>
      </w:r>
      <w:r w:rsidRPr="00D633FF">
        <w:rPr>
          <w:rFonts w:ascii="Calibri" w:hAnsi="Calibri" w:cs="Calibri"/>
        </w:rPr>
        <w:t>,</w:t>
      </w:r>
      <w:r w:rsidRPr="00D633FF">
        <w:rPr>
          <w:rFonts w:ascii="Calibri" w:hAnsi="Calibri" w:cs="Calibri"/>
          <w:i/>
        </w:rPr>
        <w:t xml:space="preserve"> 15</w:t>
      </w:r>
      <w:r w:rsidRPr="00D633FF">
        <w:rPr>
          <w:rFonts w:ascii="Calibri" w:hAnsi="Calibri" w:cs="Calibri"/>
        </w:rPr>
        <w:t xml:space="preserve">(16), 3538. </w:t>
      </w:r>
      <w:r w:rsidRPr="00A526B1">
        <w:rPr>
          <w:rFonts w:ascii="Calibri" w:hAnsi="Calibri" w:cs="Calibri"/>
        </w:rPr>
        <w:t>https://doi.org/10.3390/nu15163538</w:t>
      </w:r>
      <w:r w:rsidRPr="00D633FF">
        <w:rPr>
          <w:rFonts w:ascii="Calibri" w:hAnsi="Calibri" w:cs="Calibri"/>
        </w:rPr>
        <w:t xml:space="preserve"> </w:t>
      </w:r>
    </w:p>
    <w:p w14:paraId="3B6F999C" w14:textId="19DFE654"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Lei XG, Combs GF, Jr., Sunde RA, Caton JS, Arthington JD, &amp; Vatamaniuk MZ. (2022). Dietary Selenium Across Species. </w:t>
      </w:r>
      <w:r w:rsidRPr="00D633FF">
        <w:rPr>
          <w:rFonts w:ascii="Calibri" w:hAnsi="Calibri" w:cs="Calibri"/>
          <w:i/>
        </w:rPr>
        <w:t>Annu Rev Nutr</w:t>
      </w:r>
      <w:r w:rsidRPr="00D633FF">
        <w:rPr>
          <w:rFonts w:ascii="Calibri" w:hAnsi="Calibri" w:cs="Calibri"/>
        </w:rPr>
        <w:t>,</w:t>
      </w:r>
      <w:r w:rsidRPr="00D633FF">
        <w:rPr>
          <w:rFonts w:ascii="Calibri" w:hAnsi="Calibri" w:cs="Calibri"/>
          <w:i/>
        </w:rPr>
        <w:t xml:space="preserve"> 42</w:t>
      </w:r>
      <w:r w:rsidRPr="00D633FF">
        <w:rPr>
          <w:rFonts w:ascii="Calibri" w:hAnsi="Calibri" w:cs="Calibri"/>
        </w:rPr>
        <w:t xml:space="preserve">, 337-375. </w:t>
      </w:r>
      <w:r w:rsidRPr="00A526B1">
        <w:rPr>
          <w:rFonts w:ascii="Calibri" w:hAnsi="Calibri" w:cs="Calibri"/>
        </w:rPr>
        <w:t>https://doi.org/10.1146/annurev-nutr-062320-121834</w:t>
      </w:r>
      <w:r w:rsidRPr="00D633FF">
        <w:rPr>
          <w:rFonts w:ascii="Calibri" w:hAnsi="Calibri" w:cs="Calibri"/>
        </w:rPr>
        <w:t xml:space="preserve"> </w:t>
      </w:r>
    </w:p>
    <w:p w14:paraId="2AE2EACD" w14:textId="52AB7890"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Lewis J. (2019). </w:t>
      </w:r>
      <w:r w:rsidRPr="00D633FF">
        <w:rPr>
          <w:rFonts w:ascii="Calibri" w:hAnsi="Calibri" w:cs="Calibri"/>
          <w:i/>
        </w:rPr>
        <w:t>Codex nutrient reference values</w:t>
      </w:r>
      <w:r w:rsidRPr="00D633FF">
        <w:rPr>
          <w:rFonts w:ascii="Calibri" w:hAnsi="Calibri" w:cs="Calibri"/>
        </w:rPr>
        <w:t xml:space="preserve">. FAO and WHO,. date accessed 26 August 2025 </w:t>
      </w:r>
      <w:r w:rsidRPr="00A526B1">
        <w:rPr>
          <w:rFonts w:ascii="Calibri" w:hAnsi="Calibri" w:cs="Calibri"/>
        </w:rPr>
        <w:t>https://openknowledge.fao.org/server/api/core/bitstreams/2033128c-4d26-47d0-8f67-2f736c4a1d29/content</w:t>
      </w:r>
      <w:r w:rsidRPr="00D633FF">
        <w:rPr>
          <w:rFonts w:ascii="Calibri" w:hAnsi="Calibri" w:cs="Calibri"/>
        </w:rPr>
        <w:t xml:space="preserve"> </w:t>
      </w:r>
    </w:p>
    <w:p w14:paraId="6BD52005" w14:textId="4AAD4E1F"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Lipiec E, Siara G, Bierla K, Ouerdane L, &amp; Szpunar J. (2010). Determination of selenomethionine, selenocysteine, and inorganic selenium in eggs by HPLC-inductively coupled plasma mass spectrometry. </w:t>
      </w:r>
      <w:r w:rsidRPr="00D633FF">
        <w:rPr>
          <w:rFonts w:ascii="Calibri" w:hAnsi="Calibri" w:cs="Calibri"/>
          <w:i/>
        </w:rPr>
        <w:t>Anal Bioanal Chem</w:t>
      </w:r>
      <w:r w:rsidRPr="00D633FF">
        <w:rPr>
          <w:rFonts w:ascii="Calibri" w:hAnsi="Calibri" w:cs="Calibri"/>
        </w:rPr>
        <w:t>,</w:t>
      </w:r>
      <w:r w:rsidRPr="00D633FF">
        <w:rPr>
          <w:rFonts w:ascii="Calibri" w:hAnsi="Calibri" w:cs="Calibri"/>
          <w:i/>
        </w:rPr>
        <w:t xml:space="preserve"> 397</w:t>
      </w:r>
      <w:r w:rsidRPr="00D633FF">
        <w:rPr>
          <w:rFonts w:ascii="Calibri" w:hAnsi="Calibri" w:cs="Calibri"/>
        </w:rPr>
        <w:t xml:space="preserve">(2), 731-741. </w:t>
      </w:r>
      <w:r w:rsidRPr="00A526B1">
        <w:rPr>
          <w:rFonts w:ascii="Calibri" w:hAnsi="Calibri" w:cs="Calibri"/>
        </w:rPr>
        <w:t>https://doi.org/10.1007/s00216-010-3544-8</w:t>
      </w:r>
      <w:r w:rsidRPr="00D633FF">
        <w:rPr>
          <w:rFonts w:ascii="Calibri" w:hAnsi="Calibri" w:cs="Calibri"/>
        </w:rPr>
        <w:t xml:space="preserve"> </w:t>
      </w:r>
    </w:p>
    <w:p w14:paraId="4C872636" w14:textId="6523967A"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Lippman SM, Klein EA, Goodman PJ, Lucia MS, Thompson IM, Ford LG, Parnes HL, Minasian LM, Gaziano JM,…Coltman CA, Jr. (2009). Effect of selenium and vitamin E on risk of prostate cancer and other cancers: the Selenium and Vitamin E Cancer Prevention Trial (SELECT). </w:t>
      </w:r>
      <w:r w:rsidRPr="00D633FF">
        <w:rPr>
          <w:rFonts w:ascii="Calibri" w:hAnsi="Calibri" w:cs="Calibri"/>
          <w:i/>
        </w:rPr>
        <w:t>J</w:t>
      </w:r>
      <w:r w:rsidR="00BE0F71">
        <w:rPr>
          <w:rFonts w:ascii="Calibri" w:hAnsi="Calibri" w:cs="Calibri"/>
          <w:i/>
        </w:rPr>
        <w:t>AMA</w:t>
      </w:r>
      <w:r w:rsidRPr="00D633FF">
        <w:rPr>
          <w:rFonts w:ascii="Calibri" w:hAnsi="Calibri" w:cs="Calibri"/>
        </w:rPr>
        <w:t>,</w:t>
      </w:r>
      <w:r w:rsidRPr="00D633FF">
        <w:rPr>
          <w:rFonts w:ascii="Calibri" w:hAnsi="Calibri" w:cs="Calibri"/>
          <w:i/>
        </w:rPr>
        <w:t xml:space="preserve"> 301</w:t>
      </w:r>
      <w:r w:rsidRPr="00D633FF">
        <w:rPr>
          <w:rFonts w:ascii="Calibri" w:hAnsi="Calibri" w:cs="Calibri"/>
        </w:rPr>
        <w:t xml:space="preserve">(1), 39-51. </w:t>
      </w:r>
      <w:r w:rsidRPr="00A526B1">
        <w:rPr>
          <w:rFonts w:ascii="Calibri" w:hAnsi="Calibri" w:cs="Calibri"/>
        </w:rPr>
        <w:t>https://doi.org/10.1001/jama.2008.864</w:t>
      </w:r>
      <w:r w:rsidRPr="00D633FF">
        <w:rPr>
          <w:rFonts w:ascii="Calibri" w:hAnsi="Calibri" w:cs="Calibri"/>
        </w:rPr>
        <w:t xml:space="preserve"> </w:t>
      </w:r>
    </w:p>
    <w:p w14:paraId="69344314" w14:textId="664199BB"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Lymbury R, Tinggi U, Griffiths L, Rosenfeldt F, &amp; Perkins AV. (2008). Selenium status of the Australian population: effect of age, gender and cardiovascular disease. </w:t>
      </w:r>
      <w:r w:rsidRPr="00D633FF">
        <w:rPr>
          <w:rFonts w:ascii="Calibri" w:hAnsi="Calibri" w:cs="Calibri"/>
          <w:i/>
        </w:rPr>
        <w:t>Biol Trace Elem Res</w:t>
      </w:r>
      <w:r w:rsidRPr="00D633FF">
        <w:rPr>
          <w:rFonts w:ascii="Calibri" w:hAnsi="Calibri" w:cs="Calibri"/>
        </w:rPr>
        <w:t>,</w:t>
      </w:r>
      <w:r w:rsidRPr="00D633FF">
        <w:rPr>
          <w:rFonts w:ascii="Calibri" w:hAnsi="Calibri" w:cs="Calibri"/>
          <w:i/>
        </w:rPr>
        <w:t xml:space="preserve"> 126 Suppl 1</w:t>
      </w:r>
      <w:r w:rsidRPr="00D633FF">
        <w:rPr>
          <w:rFonts w:ascii="Calibri" w:hAnsi="Calibri" w:cs="Calibri"/>
        </w:rPr>
        <w:t xml:space="preserve">, S1-10. </w:t>
      </w:r>
      <w:r w:rsidRPr="00A526B1">
        <w:rPr>
          <w:rFonts w:ascii="Calibri" w:hAnsi="Calibri" w:cs="Calibri"/>
        </w:rPr>
        <w:t>https://doi.org/10.1007/s12011-008-8208-6</w:t>
      </w:r>
      <w:r w:rsidRPr="00D633FF">
        <w:rPr>
          <w:rFonts w:ascii="Calibri" w:hAnsi="Calibri" w:cs="Calibri"/>
        </w:rPr>
        <w:t xml:space="preserve"> </w:t>
      </w:r>
    </w:p>
    <w:p w14:paraId="427EF7BF" w14:textId="2ECEA062"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Lyons GH, Stangoulis JC, Palmer LT, Graham RD, Judson GJ, &amp; Jones JA. (2004). Trends in selenium status of South Australians. </w:t>
      </w:r>
      <w:r w:rsidR="00BE0F71">
        <w:rPr>
          <w:rFonts w:ascii="Calibri" w:hAnsi="Calibri" w:cs="Calibri"/>
          <w:i/>
        </w:rPr>
        <w:t>MJA</w:t>
      </w:r>
      <w:r w:rsidRPr="00D633FF">
        <w:rPr>
          <w:rFonts w:ascii="Calibri" w:hAnsi="Calibri" w:cs="Calibri"/>
        </w:rPr>
        <w:t>,</w:t>
      </w:r>
      <w:r w:rsidRPr="00D633FF">
        <w:rPr>
          <w:rFonts w:ascii="Calibri" w:hAnsi="Calibri" w:cs="Calibri"/>
          <w:i/>
        </w:rPr>
        <w:t xml:space="preserve"> 180</w:t>
      </w:r>
      <w:r w:rsidRPr="00D633FF">
        <w:rPr>
          <w:rFonts w:ascii="Calibri" w:hAnsi="Calibri" w:cs="Calibri"/>
        </w:rPr>
        <w:t xml:space="preserve">(8), 383-386. </w:t>
      </w:r>
    </w:p>
    <w:p w14:paraId="781FD4BB" w14:textId="49212D03"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MacFarquhar JK, Broussard DL, Melstrom P, Hutchinson R, Wolkin A, Martin C, Burk RF, Dunn JR, Green AL,…Jones TF. (2010). Acute selenium toxicity associated with a dietary supplement. </w:t>
      </w:r>
      <w:r w:rsidRPr="00D633FF">
        <w:rPr>
          <w:rFonts w:ascii="Calibri" w:hAnsi="Calibri" w:cs="Calibri"/>
          <w:i/>
        </w:rPr>
        <w:t>Arch Intern Med</w:t>
      </w:r>
      <w:r w:rsidRPr="00D633FF">
        <w:rPr>
          <w:rFonts w:ascii="Calibri" w:hAnsi="Calibri" w:cs="Calibri"/>
        </w:rPr>
        <w:t>,</w:t>
      </w:r>
      <w:r w:rsidRPr="00D633FF">
        <w:rPr>
          <w:rFonts w:ascii="Calibri" w:hAnsi="Calibri" w:cs="Calibri"/>
          <w:i/>
        </w:rPr>
        <w:t xml:space="preserve"> 170</w:t>
      </w:r>
      <w:r w:rsidRPr="00D633FF">
        <w:rPr>
          <w:rFonts w:ascii="Calibri" w:hAnsi="Calibri" w:cs="Calibri"/>
        </w:rPr>
        <w:t xml:space="preserve">(3), 256-261. </w:t>
      </w:r>
      <w:r w:rsidRPr="00A526B1">
        <w:rPr>
          <w:rFonts w:ascii="Calibri" w:hAnsi="Calibri" w:cs="Calibri"/>
        </w:rPr>
        <w:t>https://doi.org/10.1001/archinternmed.2009.495</w:t>
      </w:r>
      <w:r w:rsidRPr="00D633FF">
        <w:rPr>
          <w:rFonts w:ascii="Calibri" w:hAnsi="Calibri" w:cs="Calibri"/>
        </w:rPr>
        <w:t xml:space="preserve"> </w:t>
      </w:r>
    </w:p>
    <w:p w14:paraId="7930F1EE" w14:textId="119DF0F3"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McAlpine JM, McKeating DR, Vincze L, Vanderlelie JJ, &amp; Perkins AV. (2019). Essential Mineral Intake During Pregnancy and Its Association With Maternal Health and Birth Outcomes in South East Queensland, Australia. </w:t>
      </w:r>
      <w:r w:rsidRPr="00D633FF">
        <w:rPr>
          <w:rFonts w:ascii="Calibri" w:hAnsi="Calibri" w:cs="Calibri"/>
          <w:i/>
        </w:rPr>
        <w:t>Nutr Metab Insights</w:t>
      </w:r>
      <w:r w:rsidRPr="00D633FF">
        <w:rPr>
          <w:rFonts w:ascii="Calibri" w:hAnsi="Calibri" w:cs="Calibri"/>
        </w:rPr>
        <w:t>,</w:t>
      </w:r>
      <w:r w:rsidRPr="00D633FF">
        <w:rPr>
          <w:rFonts w:ascii="Calibri" w:hAnsi="Calibri" w:cs="Calibri"/>
          <w:i/>
        </w:rPr>
        <w:t xml:space="preserve"> 12</w:t>
      </w:r>
      <w:r w:rsidRPr="00D633FF">
        <w:rPr>
          <w:rFonts w:ascii="Calibri" w:hAnsi="Calibri" w:cs="Calibri"/>
        </w:rPr>
        <w:t xml:space="preserve">, 1178638819879444. </w:t>
      </w:r>
      <w:r w:rsidRPr="00A526B1">
        <w:rPr>
          <w:rFonts w:ascii="Calibri" w:hAnsi="Calibri" w:cs="Calibri"/>
        </w:rPr>
        <w:t>https://doi.org/10.1177/1178638819879444</w:t>
      </w:r>
      <w:r w:rsidRPr="00D633FF">
        <w:rPr>
          <w:rFonts w:ascii="Calibri" w:hAnsi="Calibri" w:cs="Calibri"/>
        </w:rPr>
        <w:t xml:space="preserve"> </w:t>
      </w:r>
    </w:p>
    <w:p w14:paraId="4E4D5C5D" w14:textId="5C6AD84E"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McLachlan SK. (2003). </w:t>
      </w:r>
      <w:r w:rsidRPr="00D633FF">
        <w:rPr>
          <w:rFonts w:ascii="Calibri" w:hAnsi="Calibri" w:cs="Calibri"/>
          <w:i/>
        </w:rPr>
        <w:t>Selenium status of New Zealanders</w:t>
      </w:r>
      <w:r w:rsidR="00AB103D">
        <w:rPr>
          <w:rFonts w:ascii="Calibri" w:hAnsi="Calibri" w:cs="Calibri"/>
          <w:i/>
        </w:rPr>
        <w:t>,</w:t>
      </w:r>
      <w:r w:rsidRPr="00D633FF">
        <w:rPr>
          <w:rFonts w:ascii="Calibri" w:hAnsi="Calibri" w:cs="Calibri"/>
        </w:rPr>
        <w:t xml:space="preserve"> University of Otago. </w:t>
      </w:r>
    </w:p>
    <w:p w14:paraId="23B2A9BC" w14:textId="7070FD43"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lastRenderedPageBreak/>
        <w:t xml:space="preserve">McLachlan SK, Thomson CD, Ferguson EL, &amp; McKenzie JE. (2004). Dietary and Biochemical Selenium Status of Urban 6- to 24-Month-Old South Island New Zealand Children and their Postpartum Mothers. </w:t>
      </w:r>
      <w:r w:rsidRPr="00D633FF">
        <w:rPr>
          <w:rFonts w:ascii="Calibri" w:hAnsi="Calibri" w:cs="Calibri"/>
          <w:i/>
        </w:rPr>
        <w:t xml:space="preserve">J </w:t>
      </w:r>
      <w:r w:rsidR="00AB103D">
        <w:rPr>
          <w:rFonts w:ascii="Calibri" w:hAnsi="Calibri" w:cs="Calibri"/>
          <w:i/>
        </w:rPr>
        <w:t>N</w:t>
      </w:r>
      <w:r w:rsidRPr="00D633FF">
        <w:rPr>
          <w:rFonts w:ascii="Calibri" w:hAnsi="Calibri" w:cs="Calibri"/>
          <w:i/>
        </w:rPr>
        <w:t>utr</w:t>
      </w:r>
      <w:r w:rsidRPr="00D633FF">
        <w:rPr>
          <w:rFonts w:ascii="Calibri" w:hAnsi="Calibri" w:cs="Calibri"/>
        </w:rPr>
        <w:t>,</w:t>
      </w:r>
      <w:r w:rsidRPr="00D633FF">
        <w:rPr>
          <w:rFonts w:ascii="Calibri" w:hAnsi="Calibri" w:cs="Calibri"/>
          <w:i/>
        </w:rPr>
        <w:t xml:space="preserve"> 134</w:t>
      </w:r>
      <w:r w:rsidRPr="00D633FF">
        <w:rPr>
          <w:rFonts w:ascii="Calibri" w:hAnsi="Calibri" w:cs="Calibri"/>
        </w:rPr>
        <w:t xml:space="preserve">(12), 3290-3295. </w:t>
      </w:r>
      <w:r w:rsidRPr="00A526B1">
        <w:rPr>
          <w:rFonts w:ascii="Calibri" w:hAnsi="Calibri" w:cs="Calibri"/>
        </w:rPr>
        <w:t>https://doi.org/https://doi.org/10.1093/jn/134.12.3290</w:t>
      </w:r>
      <w:r w:rsidRPr="00D633FF">
        <w:rPr>
          <w:rFonts w:ascii="Calibri" w:hAnsi="Calibri" w:cs="Calibri"/>
        </w:rPr>
        <w:t xml:space="preserve"> </w:t>
      </w:r>
    </w:p>
    <w:p w14:paraId="14B81197" w14:textId="77777777"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McNeill JH, Delgatty HL, &amp; Battell ML. (1991). Insulinlike effects of sodium selenate in streptozocin-induced diabetic rats. </w:t>
      </w:r>
      <w:r w:rsidRPr="00D633FF">
        <w:rPr>
          <w:rFonts w:ascii="Calibri" w:hAnsi="Calibri" w:cs="Calibri"/>
          <w:i/>
        </w:rPr>
        <w:t>Diabetes</w:t>
      </w:r>
      <w:r w:rsidRPr="00D633FF">
        <w:rPr>
          <w:rFonts w:ascii="Calibri" w:hAnsi="Calibri" w:cs="Calibri"/>
        </w:rPr>
        <w:t>,</w:t>
      </w:r>
      <w:r w:rsidRPr="00D633FF">
        <w:rPr>
          <w:rFonts w:ascii="Calibri" w:hAnsi="Calibri" w:cs="Calibri"/>
          <w:i/>
        </w:rPr>
        <w:t xml:space="preserve"> 40</w:t>
      </w:r>
      <w:r w:rsidRPr="00D633FF">
        <w:rPr>
          <w:rFonts w:ascii="Calibri" w:hAnsi="Calibri" w:cs="Calibri"/>
        </w:rPr>
        <w:t xml:space="preserve">(12), 1675-1678. </w:t>
      </w:r>
    </w:p>
    <w:p w14:paraId="19FE8E14" w14:textId="46F23825"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Mehdi Y, Hornick JL, Istasse L, &amp; Dufrasne I. (2013). Selenium in the environment, metabolism and involvement in body functions. </w:t>
      </w:r>
      <w:r w:rsidRPr="00D633FF">
        <w:rPr>
          <w:rFonts w:ascii="Calibri" w:hAnsi="Calibri" w:cs="Calibri"/>
          <w:i/>
        </w:rPr>
        <w:t>Molecules</w:t>
      </w:r>
      <w:r w:rsidRPr="00D633FF">
        <w:rPr>
          <w:rFonts w:ascii="Calibri" w:hAnsi="Calibri" w:cs="Calibri"/>
        </w:rPr>
        <w:t>,</w:t>
      </w:r>
      <w:r w:rsidRPr="00D633FF">
        <w:rPr>
          <w:rFonts w:ascii="Calibri" w:hAnsi="Calibri" w:cs="Calibri"/>
          <w:i/>
        </w:rPr>
        <w:t xml:space="preserve"> 18</w:t>
      </w:r>
      <w:r w:rsidRPr="00D633FF">
        <w:rPr>
          <w:rFonts w:ascii="Calibri" w:hAnsi="Calibri" w:cs="Calibri"/>
        </w:rPr>
        <w:t xml:space="preserve">(3), 3292-3311. </w:t>
      </w:r>
      <w:r w:rsidRPr="00A526B1">
        <w:rPr>
          <w:rFonts w:ascii="Calibri" w:hAnsi="Calibri" w:cs="Calibri"/>
        </w:rPr>
        <w:t>https://doi.org/10.3390/molecules18033292</w:t>
      </w:r>
      <w:r w:rsidRPr="00D633FF">
        <w:rPr>
          <w:rFonts w:ascii="Calibri" w:hAnsi="Calibri" w:cs="Calibri"/>
        </w:rPr>
        <w:t xml:space="preserve"> </w:t>
      </w:r>
    </w:p>
    <w:p w14:paraId="63E898C9" w14:textId="724FFD95"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Ministry for Primary Industries. (2018). </w:t>
      </w:r>
      <w:r w:rsidRPr="00D633FF">
        <w:rPr>
          <w:rFonts w:ascii="Calibri" w:hAnsi="Calibri" w:cs="Calibri"/>
          <w:i/>
        </w:rPr>
        <w:t>2016 New Zealand total diet study</w:t>
      </w:r>
      <w:r w:rsidRPr="00D633FF">
        <w:rPr>
          <w:rFonts w:ascii="Calibri" w:hAnsi="Calibri" w:cs="Calibri"/>
        </w:rPr>
        <w:t xml:space="preserve"> (Ministry for Primary Industries, Ed.)  date accessed 25 August 2025 </w:t>
      </w:r>
      <w:r w:rsidRPr="00A526B1">
        <w:rPr>
          <w:rFonts w:ascii="Calibri" w:hAnsi="Calibri" w:cs="Calibri"/>
        </w:rPr>
        <w:t>https://www.mpi.govt.nz/dmsdocument/43177-2016-NZ-Total-Diet-Study-with-Appendices-report-</w:t>
      </w:r>
      <w:r w:rsidRPr="00D633FF">
        <w:rPr>
          <w:rFonts w:ascii="Calibri" w:hAnsi="Calibri" w:cs="Calibri"/>
        </w:rPr>
        <w:t xml:space="preserve"> </w:t>
      </w:r>
    </w:p>
    <w:p w14:paraId="3E8B4C64" w14:textId="60AD63D7"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Ministry of Health. (2003). </w:t>
      </w:r>
      <w:r w:rsidRPr="00D633FF">
        <w:rPr>
          <w:rFonts w:ascii="Calibri" w:hAnsi="Calibri" w:cs="Calibri"/>
          <w:i/>
        </w:rPr>
        <w:t>NZ Food NZ Children: Key results of the 2002 National Children's Nutrition Survey</w:t>
      </w:r>
      <w:r w:rsidRPr="00D633FF">
        <w:rPr>
          <w:rFonts w:ascii="Calibri" w:hAnsi="Calibri" w:cs="Calibri"/>
        </w:rPr>
        <w:t xml:space="preserve">. Ministry of Health. date accessed 25 August 2025 </w:t>
      </w:r>
      <w:r w:rsidRPr="00A526B1">
        <w:rPr>
          <w:rFonts w:ascii="Calibri" w:hAnsi="Calibri" w:cs="Calibri"/>
        </w:rPr>
        <w:t>https://www.health.govt.nz/system/files/2011-11/nzfoodnzchildren.pdf</w:t>
      </w:r>
      <w:r w:rsidRPr="00D633FF">
        <w:rPr>
          <w:rFonts w:ascii="Calibri" w:hAnsi="Calibri" w:cs="Calibri"/>
        </w:rPr>
        <w:t xml:space="preserve"> </w:t>
      </w:r>
    </w:p>
    <w:p w14:paraId="5B306D44" w14:textId="2105F556"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Morris JS, &amp; Crane SB. (2013). Selenium toxicity from a misformulated dietary supplement, adverse health effects, and the temporal response in the nail biologic monitor. </w:t>
      </w:r>
      <w:r w:rsidRPr="00D633FF">
        <w:rPr>
          <w:rFonts w:ascii="Calibri" w:hAnsi="Calibri" w:cs="Calibri"/>
          <w:i/>
        </w:rPr>
        <w:t>Nutrients</w:t>
      </w:r>
      <w:r w:rsidRPr="00D633FF">
        <w:rPr>
          <w:rFonts w:ascii="Calibri" w:hAnsi="Calibri" w:cs="Calibri"/>
        </w:rPr>
        <w:t>,</w:t>
      </w:r>
      <w:r w:rsidRPr="00D633FF">
        <w:rPr>
          <w:rFonts w:ascii="Calibri" w:hAnsi="Calibri" w:cs="Calibri"/>
          <w:i/>
        </w:rPr>
        <w:t xml:space="preserve"> 5</w:t>
      </w:r>
      <w:r w:rsidRPr="00D633FF">
        <w:rPr>
          <w:rFonts w:ascii="Calibri" w:hAnsi="Calibri" w:cs="Calibri"/>
        </w:rPr>
        <w:t xml:space="preserve">(4), 1024-1057. </w:t>
      </w:r>
      <w:r w:rsidRPr="00A526B1">
        <w:rPr>
          <w:rFonts w:ascii="Calibri" w:hAnsi="Calibri" w:cs="Calibri"/>
        </w:rPr>
        <w:t>https://doi.org/10.3390/nu5041024</w:t>
      </w:r>
      <w:r w:rsidRPr="00D633FF">
        <w:rPr>
          <w:rFonts w:ascii="Calibri" w:hAnsi="Calibri" w:cs="Calibri"/>
        </w:rPr>
        <w:t xml:space="preserve"> </w:t>
      </w:r>
    </w:p>
    <w:p w14:paraId="142E6C5F" w14:textId="0FAB43DB"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Mueller AS, &amp; Pallauf J. (2006). Compendium of the antidiabetic effects of supranutritional selenate doses. In vivo and in vitro investigations with type II diabetic db/db mice. </w:t>
      </w:r>
      <w:r w:rsidRPr="00D633FF">
        <w:rPr>
          <w:rFonts w:ascii="Calibri" w:hAnsi="Calibri" w:cs="Calibri"/>
          <w:i/>
        </w:rPr>
        <w:t xml:space="preserve">J </w:t>
      </w:r>
      <w:r w:rsidR="006C7F60">
        <w:rPr>
          <w:rFonts w:ascii="Calibri" w:hAnsi="Calibri" w:cs="Calibri"/>
          <w:i/>
        </w:rPr>
        <w:t>N</w:t>
      </w:r>
      <w:r w:rsidRPr="00D633FF">
        <w:rPr>
          <w:rFonts w:ascii="Calibri" w:hAnsi="Calibri" w:cs="Calibri"/>
          <w:i/>
        </w:rPr>
        <w:t xml:space="preserve">utr </w:t>
      </w:r>
      <w:r w:rsidR="006C7F60">
        <w:rPr>
          <w:rFonts w:ascii="Calibri" w:hAnsi="Calibri" w:cs="Calibri"/>
          <w:i/>
        </w:rPr>
        <w:t>B</w:t>
      </w:r>
      <w:r w:rsidRPr="00D633FF">
        <w:rPr>
          <w:rFonts w:ascii="Calibri" w:hAnsi="Calibri" w:cs="Calibri"/>
          <w:i/>
        </w:rPr>
        <w:t>iochem</w:t>
      </w:r>
      <w:r w:rsidRPr="00D633FF">
        <w:rPr>
          <w:rFonts w:ascii="Calibri" w:hAnsi="Calibri" w:cs="Calibri"/>
        </w:rPr>
        <w:t>,</w:t>
      </w:r>
      <w:r w:rsidRPr="00D633FF">
        <w:rPr>
          <w:rFonts w:ascii="Calibri" w:hAnsi="Calibri" w:cs="Calibri"/>
          <w:i/>
        </w:rPr>
        <w:t xml:space="preserve"> 17</w:t>
      </w:r>
      <w:r w:rsidRPr="00D633FF">
        <w:rPr>
          <w:rFonts w:ascii="Calibri" w:hAnsi="Calibri" w:cs="Calibri"/>
        </w:rPr>
        <w:t xml:space="preserve">(8), 548-560. </w:t>
      </w:r>
    </w:p>
    <w:p w14:paraId="24F50279" w14:textId="77777777"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National Health Medical Research Council. (2006). </w:t>
      </w:r>
      <w:r w:rsidRPr="00D633FF">
        <w:rPr>
          <w:rFonts w:ascii="Calibri" w:hAnsi="Calibri" w:cs="Calibri"/>
          <w:i/>
        </w:rPr>
        <w:t>Nutrient reference values for Australia and New Zealand: including recommended dietary intakes</w:t>
      </w:r>
      <w:r w:rsidRPr="00D633FF">
        <w:rPr>
          <w:rFonts w:ascii="Calibri" w:hAnsi="Calibri" w:cs="Calibri"/>
        </w:rPr>
        <w:t xml:space="preserve">. National Health and Medical Research Council. </w:t>
      </w:r>
    </w:p>
    <w:p w14:paraId="67F7B1BD" w14:textId="77777777"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Netherlands Food and Nutrition Council. (1989). </w:t>
      </w:r>
      <w:r w:rsidRPr="00D633FF">
        <w:rPr>
          <w:rFonts w:ascii="Calibri" w:hAnsi="Calibri" w:cs="Calibri"/>
          <w:i/>
        </w:rPr>
        <w:t>Recommended dietary allowances. The Netherlands.</w:t>
      </w:r>
      <w:r w:rsidRPr="00D633FF">
        <w:rPr>
          <w:rFonts w:ascii="Calibri" w:hAnsi="Calibri" w:cs="Calibri"/>
        </w:rPr>
        <w:t xml:space="preserve"> </w:t>
      </w:r>
    </w:p>
    <w:p w14:paraId="48D77BA2" w14:textId="4D0722BA"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NHMRC. (2006). </w:t>
      </w:r>
      <w:r w:rsidRPr="00D633FF">
        <w:rPr>
          <w:rFonts w:ascii="Calibri" w:hAnsi="Calibri" w:cs="Calibri"/>
          <w:i/>
        </w:rPr>
        <w:t>Nutrient reference values for Australia and New Zealand: including recommended dietary intakes</w:t>
      </w:r>
      <w:r w:rsidRPr="00D633FF">
        <w:rPr>
          <w:rFonts w:ascii="Calibri" w:hAnsi="Calibri" w:cs="Calibri"/>
        </w:rPr>
        <w:t xml:space="preserve">. National Health and Medical Research Council. date accessed 15 July 2025 </w:t>
      </w:r>
      <w:r w:rsidRPr="00A526B1">
        <w:rPr>
          <w:rFonts w:ascii="Calibri" w:hAnsi="Calibri" w:cs="Calibri"/>
        </w:rPr>
        <w:t>https://www.nhmrc.gov.au/about-us/publications/nutrient-reference-values-australia-and-new-zealand-including-recommended-dietary-intakes</w:t>
      </w:r>
      <w:r w:rsidRPr="00D633FF">
        <w:rPr>
          <w:rFonts w:ascii="Calibri" w:hAnsi="Calibri" w:cs="Calibri"/>
        </w:rPr>
        <w:t xml:space="preserve"> </w:t>
      </w:r>
    </w:p>
    <w:p w14:paraId="2D3ECD0C" w14:textId="63776440"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NHMRC. (2016). </w:t>
      </w:r>
      <w:r w:rsidRPr="00D633FF">
        <w:rPr>
          <w:rFonts w:ascii="Calibri" w:hAnsi="Calibri" w:cs="Calibri"/>
          <w:i/>
        </w:rPr>
        <w:t>2016 NHMRC Standards for Guidelines.</w:t>
      </w:r>
      <w:r w:rsidRPr="00D633FF">
        <w:rPr>
          <w:rFonts w:ascii="Calibri" w:hAnsi="Calibri" w:cs="Calibri"/>
        </w:rPr>
        <w:t xml:space="preserve"> date accessed 8 October 2025 </w:t>
      </w:r>
      <w:r w:rsidRPr="00A526B1">
        <w:rPr>
          <w:rFonts w:ascii="Calibri" w:hAnsi="Calibri" w:cs="Calibri"/>
        </w:rPr>
        <w:t>https://www.nhmrc.gov.au/guidelinesforguidelines/standards</w:t>
      </w:r>
      <w:r w:rsidRPr="00D633FF">
        <w:rPr>
          <w:rFonts w:ascii="Calibri" w:hAnsi="Calibri" w:cs="Calibri"/>
        </w:rPr>
        <w:t xml:space="preserve"> </w:t>
      </w:r>
    </w:p>
    <w:p w14:paraId="6EE724E9" w14:textId="5D41788A" w:rsidR="00111F44" w:rsidRPr="00D633FF" w:rsidRDefault="002E0D1C" w:rsidP="00111F44">
      <w:pPr>
        <w:pStyle w:val="EndNoteBibliography"/>
        <w:spacing w:after="0"/>
        <w:ind w:left="720" w:hanging="720"/>
        <w:rPr>
          <w:rFonts w:ascii="Calibri" w:hAnsi="Calibri" w:cs="Calibri"/>
        </w:rPr>
      </w:pPr>
      <w:r w:rsidRPr="00D633FF">
        <w:rPr>
          <w:rFonts w:ascii="Calibri" w:hAnsi="Calibri" w:cs="Calibri"/>
        </w:rPr>
        <w:t xml:space="preserve">NHMRC. (2019). </w:t>
      </w:r>
      <w:r w:rsidRPr="00D633FF">
        <w:rPr>
          <w:rFonts w:ascii="Calibri" w:hAnsi="Calibri" w:cs="Calibri"/>
          <w:i/>
        </w:rPr>
        <w:t>Policy on the Disclosure of Interests Requirements for Prospective and Appointed NHMRC Committee Members</w:t>
      </w:r>
      <w:r w:rsidRPr="00D633FF">
        <w:rPr>
          <w:rFonts w:ascii="Calibri" w:hAnsi="Calibri" w:cs="Calibri"/>
        </w:rPr>
        <w:t xml:space="preserve">. date accessed 6 November 2025 </w:t>
      </w:r>
      <w:r w:rsidRPr="00A526B1">
        <w:rPr>
          <w:rFonts w:ascii="Calibri" w:hAnsi="Calibri" w:cs="Calibri"/>
        </w:rPr>
        <w:t>https://www.nhmrc.gov.au/sites/default/files/documents/attachments/publications/policy-on-the-disclosure-of-interests-requirements.pdf</w:t>
      </w:r>
      <w:r w:rsidR="00111F44" w:rsidRPr="00D633FF">
        <w:rPr>
          <w:rFonts w:ascii="Calibri" w:hAnsi="Calibri" w:cs="Calibri"/>
        </w:rPr>
        <w:t xml:space="preserve">NHMRC. (2025a). </w:t>
      </w:r>
      <w:r w:rsidR="00111F44" w:rsidRPr="00D633FF">
        <w:rPr>
          <w:rFonts w:ascii="Calibri" w:hAnsi="Calibri" w:cs="Calibri"/>
          <w:i/>
        </w:rPr>
        <w:t>Australian Drinking Water Guidelines Paper 6 National Water Quality Management Strategy</w:t>
      </w:r>
      <w:r w:rsidR="00111F44" w:rsidRPr="00D633FF">
        <w:rPr>
          <w:rFonts w:ascii="Calibri" w:hAnsi="Calibri" w:cs="Calibri"/>
        </w:rPr>
        <w:t xml:space="preserve"> (National Water Quality Management Strategy, Issue. </w:t>
      </w:r>
    </w:p>
    <w:p w14:paraId="5B5ED17C" w14:textId="66379C93"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NHMRC. (2025b). </w:t>
      </w:r>
      <w:r w:rsidRPr="00D633FF">
        <w:rPr>
          <w:rFonts w:ascii="Calibri" w:hAnsi="Calibri" w:cs="Calibri"/>
          <w:i/>
        </w:rPr>
        <w:t>Australian Drinking Water Guidelines Paper 6 National Water Quality Management Strategy (version 4.0)</w:t>
      </w:r>
      <w:r w:rsidRPr="00D633FF">
        <w:rPr>
          <w:rFonts w:ascii="Calibri" w:hAnsi="Calibri" w:cs="Calibri"/>
        </w:rPr>
        <w:t xml:space="preserve"> (National Health Medical Research Council, Ed. version 4.0 ed.). Commonwealth of Australia. date accessed 15 August 2025 </w:t>
      </w:r>
      <w:r w:rsidRPr="00A526B1">
        <w:rPr>
          <w:rFonts w:ascii="Calibri" w:hAnsi="Calibri" w:cs="Calibri"/>
        </w:rPr>
        <w:t>https://www.nhmrc.gov.au/about-us/publications/australian-drinking-water-guidelines</w:t>
      </w:r>
      <w:r w:rsidRPr="00D633FF">
        <w:rPr>
          <w:rFonts w:ascii="Calibri" w:hAnsi="Calibri" w:cs="Calibri"/>
        </w:rPr>
        <w:t xml:space="preserve"> </w:t>
      </w:r>
    </w:p>
    <w:p w14:paraId="7E5300F2" w14:textId="77777777"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Nuttall KL. (2006). Evaluating selenium poisoning. </w:t>
      </w:r>
      <w:r w:rsidRPr="00D633FF">
        <w:rPr>
          <w:rFonts w:ascii="Calibri" w:hAnsi="Calibri" w:cs="Calibri"/>
          <w:i/>
        </w:rPr>
        <w:t>Ann Clin Lab Sci</w:t>
      </w:r>
      <w:r w:rsidRPr="00D633FF">
        <w:rPr>
          <w:rFonts w:ascii="Calibri" w:hAnsi="Calibri" w:cs="Calibri"/>
        </w:rPr>
        <w:t>,</w:t>
      </w:r>
      <w:r w:rsidRPr="00D633FF">
        <w:rPr>
          <w:rFonts w:ascii="Calibri" w:hAnsi="Calibri" w:cs="Calibri"/>
          <w:i/>
        </w:rPr>
        <w:t xml:space="preserve"> 36</w:t>
      </w:r>
      <w:r w:rsidRPr="00D633FF">
        <w:rPr>
          <w:rFonts w:ascii="Calibri" w:hAnsi="Calibri" w:cs="Calibri"/>
        </w:rPr>
        <w:t xml:space="preserve">(4), 409-420. </w:t>
      </w:r>
    </w:p>
    <w:p w14:paraId="429EA032" w14:textId="555D66EB"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Oster O, Schmiedel G, &amp; Prellwitz W. (1988). The organ distribution of selenium in German adults. </w:t>
      </w:r>
      <w:r w:rsidRPr="00D633FF">
        <w:rPr>
          <w:rFonts w:ascii="Calibri" w:hAnsi="Calibri" w:cs="Calibri"/>
          <w:i/>
        </w:rPr>
        <w:t xml:space="preserve">Biol </w:t>
      </w:r>
      <w:r w:rsidR="002711C3">
        <w:rPr>
          <w:rFonts w:ascii="Calibri" w:hAnsi="Calibri" w:cs="Calibri"/>
          <w:i/>
        </w:rPr>
        <w:t>T</w:t>
      </w:r>
      <w:r w:rsidRPr="00D633FF">
        <w:rPr>
          <w:rFonts w:ascii="Calibri" w:hAnsi="Calibri" w:cs="Calibri"/>
          <w:i/>
        </w:rPr>
        <w:t xml:space="preserve">race </w:t>
      </w:r>
      <w:r w:rsidR="002711C3">
        <w:rPr>
          <w:rFonts w:ascii="Calibri" w:hAnsi="Calibri" w:cs="Calibri"/>
          <w:i/>
        </w:rPr>
        <w:t>E</w:t>
      </w:r>
      <w:r w:rsidRPr="00D633FF">
        <w:rPr>
          <w:rFonts w:ascii="Calibri" w:hAnsi="Calibri" w:cs="Calibri"/>
          <w:i/>
        </w:rPr>
        <w:t xml:space="preserve">lem </w:t>
      </w:r>
      <w:r w:rsidR="002711C3">
        <w:rPr>
          <w:rFonts w:ascii="Calibri" w:hAnsi="Calibri" w:cs="Calibri"/>
          <w:i/>
        </w:rPr>
        <w:t>R</w:t>
      </w:r>
      <w:r w:rsidRPr="00D633FF">
        <w:rPr>
          <w:rFonts w:ascii="Calibri" w:hAnsi="Calibri" w:cs="Calibri"/>
          <w:i/>
        </w:rPr>
        <w:t>es</w:t>
      </w:r>
      <w:r w:rsidRPr="00D633FF">
        <w:rPr>
          <w:rFonts w:ascii="Calibri" w:hAnsi="Calibri" w:cs="Calibri"/>
        </w:rPr>
        <w:t>,</w:t>
      </w:r>
      <w:r w:rsidRPr="00D633FF">
        <w:rPr>
          <w:rFonts w:ascii="Calibri" w:hAnsi="Calibri" w:cs="Calibri"/>
          <w:i/>
        </w:rPr>
        <w:t xml:space="preserve"> 15</w:t>
      </w:r>
      <w:r w:rsidRPr="00D633FF">
        <w:rPr>
          <w:rFonts w:ascii="Calibri" w:hAnsi="Calibri" w:cs="Calibri"/>
        </w:rPr>
        <w:t xml:space="preserve">(1), 23-45. </w:t>
      </w:r>
      <w:r w:rsidRPr="00A526B1">
        <w:rPr>
          <w:rFonts w:ascii="Calibri" w:hAnsi="Calibri" w:cs="Calibri"/>
        </w:rPr>
        <w:t>https://doi.org/10.1007/BF02990125</w:t>
      </w:r>
      <w:r w:rsidRPr="00D633FF">
        <w:rPr>
          <w:rFonts w:ascii="Calibri" w:hAnsi="Calibri" w:cs="Calibri"/>
        </w:rPr>
        <w:t xml:space="preserve"> </w:t>
      </w:r>
    </w:p>
    <w:p w14:paraId="5E220F82" w14:textId="46110495"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lastRenderedPageBreak/>
        <w:t xml:space="preserve">Park K, Rimm E, Siscovick D, Spiegelman D, Morris JS, &amp; Mozaffarian D. (2011). Demographic and lifestyle factors and selenium levels in men and women in the U.S. </w:t>
      </w:r>
      <w:r w:rsidRPr="00D633FF">
        <w:rPr>
          <w:rFonts w:ascii="Calibri" w:hAnsi="Calibri" w:cs="Calibri"/>
          <w:i/>
        </w:rPr>
        <w:t>Nutr Res Pract</w:t>
      </w:r>
      <w:r w:rsidRPr="00D633FF">
        <w:rPr>
          <w:rFonts w:ascii="Calibri" w:hAnsi="Calibri" w:cs="Calibri"/>
        </w:rPr>
        <w:t>,</w:t>
      </w:r>
      <w:r w:rsidRPr="00D633FF">
        <w:rPr>
          <w:rFonts w:ascii="Calibri" w:hAnsi="Calibri" w:cs="Calibri"/>
          <w:i/>
        </w:rPr>
        <w:t xml:space="preserve"> 5</w:t>
      </w:r>
      <w:r w:rsidRPr="00D633FF">
        <w:rPr>
          <w:rFonts w:ascii="Calibri" w:hAnsi="Calibri" w:cs="Calibri"/>
        </w:rPr>
        <w:t xml:space="preserve">(4), 357-364. </w:t>
      </w:r>
      <w:r w:rsidRPr="00A526B1">
        <w:rPr>
          <w:rFonts w:ascii="Calibri" w:hAnsi="Calibri" w:cs="Calibri"/>
        </w:rPr>
        <w:t>https://doi.org/10.4162/nrp.2011.5.4.357</w:t>
      </w:r>
      <w:r w:rsidRPr="00D633FF">
        <w:rPr>
          <w:rFonts w:ascii="Calibri" w:hAnsi="Calibri" w:cs="Calibri"/>
        </w:rPr>
        <w:t xml:space="preserve"> </w:t>
      </w:r>
    </w:p>
    <w:p w14:paraId="59812A7C" w14:textId="4DA5BD47"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Rayman MP. (2012). Selenium and human health. </w:t>
      </w:r>
      <w:r w:rsidRPr="00D633FF">
        <w:rPr>
          <w:rFonts w:ascii="Calibri" w:hAnsi="Calibri" w:cs="Calibri"/>
          <w:i/>
        </w:rPr>
        <w:t>Lancet</w:t>
      </w:r>
      <w:r w:rsidRPr="00D633FF">
        <w:rPr>
          <w:rFonts w:ascii="Calibri" w:hAnsi="Calibri" w:cs="Calibri"/>
        </w:rPr>
        <w:t>,</w:t>
      </w:r>
      <w:r w:rsidRPr="00D633FF">
        <w:rPr>
          <w:rFonts w:ascii="Calibri" w:hAnsi="Calibri" w:cs="Calibri"/>
          <w:i/>
        </w:rPr>
        <w:t xml:space="preserve"> 379</w:t>
      </w:r>
      <w:r w:rsidRPr="00D633FF">
        <w:rPr>
          <w:rFonts w:ascii="Calibri" w:hAnsi="Calibri" w:cs="Calibri"/>
        </w:rPr>
        <w:t xml:space="preserve">(9822), 1256-1268. </w:t>
      </w:r>
      <w:r w:rsidRPr="00A526B1">
        <w:rPr>
          <w:rFonts w:ascii="Calibri" w:hAnsi="Calibri" w:cs="Calibri"/>
        </w:rPr>
        <w:t>https://doi.org/10.1016/s0140-6736(11)61452-9</w:t>
      </w:r>
      <w:r w:rsidRPr="00D633FF">
        <w:rPr>
          <w:rFonts w:ascii="Calibri" w:hAnsi="Calibri" w:cs="Calibri"/>
        </w:rPr>
        <w:t xml:space="preserve"> </w:t>
      </w:r>
    </w:p>
    <w:p w14:paraId="0A0C7950" w14:textId="2810C533"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Rayman MP, Infante HG, &amp; Sargent M. (2008). Food-chain selenium and human health: spotlight on speciation. </w:t>
      </w:r>
      <w:r w:rsidRPr="00D633FF">
        <w:rPr>
          <w:rFonts w:ascii="Calibri" w:hAnsi="Calibri" w:cs="Calibri"/>
          <w:i/>
        </w:rPr>
        <w:t>Br J Nutr</w:t>
      </w:r>
      <w:r w:rsidRPr="00D633FF">
        <w:rPr>
          <w:rFonts w:ascii="Calibri" w:hAnsi="Calibri" w:cs="Calibri"/>
        </w:rPr>
        <w:t>,</w:t>
      </w:r>
      <w:r w:rsidRPr="00D633FF">
        <w:rPr>
          <w:rFonts w:ascii="Calibri" w:hAnsi="Calibri" w:cs="Calibri"/>
          <w:i/>
        </w:rPr>
        <w:t xml:space="preserve"> 100</w:t>
      </w:r>
      <w:r w:rsidRPr="00D633FF">
        <w:rPr>
          <w:rFonts w:ascii="Calibri" w:hAnsi="Calibri" w:cs="Calibri"/>
        </w:rPr>
        <w:t xml:space="preserve">(2), 238-253. </w:t>
      </w:r>
      <w:r w:rsidRPr="00A526B1">
        <w:rPr>
          <w:rFonts w:ascii="Calibri" w:hAnsi="Calibri" w:cs="Calibri"/>
        </w:rPr>
        <w:t>https://doi.org/10.1017/s0007114508922522</w:t>
      </w:r>
      <w:r w:rsidRPr="00D633FF">
        <w:rPr>
          <w:rFonts w:ascii="Calibri" w:hAnsi="Calibri" w:cs="Calibri"/>
        </w:rPr>
        <w:t xml:space="preserve"> </w:t>
      </w:r>
    </w:p>
    <w:p w14:paraId="7AFDCBF6" w14:textId="77777777"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Reilly C. (1996). </w:t>
      </w:r>
      <w:r w:rsidRPr="00D633FF">
        <w:rPr>
          <w:rFonts w:ascii="Calibri" w:hAnsi="Calibri" w:cs="Calibri"/>
          <w:i/>
        </w:rPr>
        <w:t>Selenium in food and health</w:t>
      </w:r>
      <w:r w:rsidRPr="00D633FF">
        <w:rPr>
          <w:rFonts w:ascii="Calibri" w:hAnsi="Calibri" w:cs="Calibri"/>
        </w:rPr>
        <w:t xml:space="preserve"> (2nd ed.). Blackie Academic and Professional. </w:t>
      </w:r>
    </w:p>
    <w:p w14:paraId="393E2ED2" w14:textId="718A591B"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SACN. (2013). </w:t>
      </w:r>
      <w:r w:rsidRPr="00D633FF">
        <w:rPr>
          <w:rFonts w:ascii="Calibri" w:hAnsi="Calibri" w:cs="Calibri"/>
          <w:i/>
        </w:rPr>
        <w:t>SACN Position Statement on Selenium and Health</w:t>
      </w:r>
      <w:r w:rsidRPr="00D633FF">
        <w:rPr>
          <w:rFonts w:ascii="Calibri" w:hAnsi="Calibri" w:cs="Calibri"/>
        </w:rPr>
        <w:t xml:space="preserve"> (Scientific Advisory Committee on Nutrition, Ed.)  date accessed 26 August 2025 </w:t>
      </w:r>
      <w:r w:rsidRPr="00A526B1">
        <w:rPr>
          <w:rFonts w:ascii="Calibri" w:hAnsi="Calibri" w:cs="Calibri"/>
        </w:rPr>
        <w:t>https://assets.publishing.service.gov.uk/media/5a7ea6b440f0b62305b824ce/SACN_Selenium_and_Health_2013.pdf</w:t>
      </w:r>
      <w:r w:rsidRPr="00D633FF">
        <w:rPr>
          <w:rFonts w:ascii="Calibri" w:hAnsi="Calibri" w:cs="Calibri"/>
        </w:rPr>
        <w:t xml:space="preserve"> </w:t>
      </w:r>
    </w:p>
    <w:p w14:paraId="7072A572" w14:textId="5D7720F0"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Saito Y. (2021). Selenium Transport Mechanism via Selenoprotein P-Its Physiological Role and Related Diseases. </w:t>
      </w:r>
      <w:r w:rsidRPr="00D633FF">
        <w:rPr>
          <w:rFonts w:ascii="Calibri" w:hAnsi="Calibri" w:cs="Calibri"/>
          <w:i/>
        </w:rPr>
        <w:t>Front Nutr</w:t>
      </w:r>
      <w:r w:rsidRPr="00D633FF">
        <w:rPr>
          <w:rFonts w:ascii="Calibri" w:hAnsi="Calibri" w:cs="Calibri"/>
        </w:rPr>
        <w:t>,</w:t>
      </w:r>
      <w:r w:rsidRPr="00D633FF">
        <w:rPr>
          <w:rFonts w:ascii="Calibri" w:hAnsi="Calibri" w:cs="Calibri"/>
          <w:i/>
        </w:rPr>
        <w:t xml:space="preserve"> 8</w:t>
      </w:r>
      <w:r w:rsidRPr="00D633FF">
        <w:rPr>
          <w:rFonts w:ascii="Calibri" w:hAnsi="Calibri" w:cs="Calibri"/>
        </w:rPr>
        <w:t xml:space="preserve">, 685517. </w:t>
      </w:r>
      <w:r w:rsidRPr="00A526B1">
        <w:rPr>
          <w:rFonts w:ascii="Calibri" w:hAnsi="Calibri" w:cs="Calibri"/>
        </w:rPr>
        <w:t>https://doi.org/10.3389/fnut.2021.685517</w:t>
      </w:r>
      <w:r w:rsidRPr="00D633FF">
        <w:rPr>
          <w:rFonts w:ascii="Calibri" w:hAnsi="Calibri" w:cs="Calibri"/>
        </w:rPr>
        <w:t xml:space="preserve"> </w:t>
      </w:r>
    </w:p>
    <w:p w14:paraId="7092605B" w14:textId="10AEBED0"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Schrauzer GN. (2000). Selenomethionine: a review of its nutritional significance, metabolism and toxicity. </w:t>
      </w:r>
      <w:r w:rsidRPr="00D633FF">
        <w:rPr>
          <w:rFonts w:ascii="Calibri" w:hAnsi="Calibri" w:cs="Calibri"/>
          <w:i/>
        </w:rPr>
        <w:t>J Nutr</w:t>
      </w:r>
      <w:r w:rsidRPr="00D633FF">
        <w:rPr>
          <w:rFonts w:ascii="Calibri" w:hAnsi="Calibri" w:cs="Calibri"/>
        </w:rPr>
        <w:t>,</w:t>
      </w:r>
      <w:r w:rsidRPr="00D633FF">
        <w:rPr>
          <w:rFonts w:ascii="Calibri" w:hAnsi="Calibri" w:cs="Calibri"/>
          <w:i/>
        </w:rPr>
        <w:t xml:space="preserve"> 130</w:t>
      </w:r>
      <w:r w:rsidRPr="00D633FF">
        <w:rPr>
          <w:rFonts w:ascii="Calibri" w:hAnsi="Calibri" w:cs="Calibri"/>
        </w:rPr>
        <w:t xml:space="preserve">(7), 1653-1656. </w:t>
      </w:r>
      <w:r w:rsidRPr="00A526B1">
        <w:rPr>
          <w:rFonts w:ascii="Calibri" w:hAnsi="Calibri" w:cs="Calibri"/>
        </w:rPr>
        <w:t>https://doi.org/10.1093/jn/130.7.1653</w:t>
      </w:r>
      <w:r w:rsidRPr="00D633FF">
        <w:rPr>
          <w:rFonts w:ascii="Calibri" w:hAnsi="Calibri" w:cs="Calibri"/>
        </w:rPr>
        <w:t xml:space="preserve"> </w:t>
      </w:r>
    </w:p>
    <w:p w14:paraId="536DBB88" w14:textId="2B0B25B7"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Schroeder HA, Frost DV, &amp; Balassa JJ. (1970). Essential trace metals in man: selenium. </w:t>
      </w:r>
      <w:r w:rsidRPr="00A526B1">
        <w:rPr>
          <w:rFonts w:ascii="Calibri" w:hAnsi="Calibri" w:cs="Calibri"/>
        </w:rPr>
        <w:t>https://doi.org/10.1016/0021-9681(70)90003-2</w:t>
      </w:r>
      <w:r w:rsidRPr="00D633FF">
        <w:rPr>
          <w:rFonts w:ascii="Calibri" w:hAnsi="Calibri" w:cs="Calibri"/>
        </w:rPr>
        <w:t xml:space="preserve"> </w:t>
      </w:r>
    </w:p>
    <w:p w14:paraId="6EFBFABA" w14:textId="77777777"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Scientific Committee for Food. (1993). </w:t>
      </w:r>
      <w:r w:rsidRPr="00D633FF">
        <w:rPr>
          <w:rFonts w:ascii="Calibri" w:hAnsi="Calibri" w:cs="Calibri"/>
          <w:i/>
        </w:rPr>
        <w:t>Nutrient and energy intakes for the European Community. Report of the Scientific Committee for Food. 31st series.</w:t>
      </w:r>
      <w:r w:rsidRPr="00D633FF">
        <w:rPr>
          <w:rFonts w:ascii="Calibri" w:hAnsi="Calibri" w:cs="Calibri"/>
        </w:rPr>
        <w:t xml:space="preserve"> </w:t>
      </w:r>
    </w:p>
    <w:p w14:paraId="7858F50B" w14:textId="70B1AF4F"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See KA, Lavercombe PS, Dillon J, &amp; Ginsberg R. (2006). Accidental death from acute selenium poisoning. </w:t>
      </w:r>
      <w:r w:rsidR="00B03F3B">
        <w:rPr>
          <w:rFonts w:ascii="Calibri" w:hAnsi="Calibri" w:cs="Calibri"/>
          <w:i/>
        </w:rPr>
        <w:t>MJA</w:t>
      </w:r>
      <w:r w:rsidRPr="00D633FF">
        <w:rPr>
          <w:rFonts w:ascii="Calibri" w:hAnsi="Calibri" w:cs="Calibri"/>
        </w:rPr>
        <w:t>,</w:t>
      </w:r>
      <w:r w:rsidRPr="00D633FF">
        <w:rPr>
          <w:rFonts w:ascii="Calibri" w:hAnsi="Calibri" w:cs="Calibri"/>
          <w:i/>
        </w:rPr>
        <w:t xml:space="preserve"> 185</w:t>
      </w:r>
      <w:r w:rsidRPr="00D633FF">
        <w:rPr>
          <w:rFonts w:ascii="Calibri" w:hAnsi="Calibri" w:cs="Calibri"/>
        </w:rPr>
        <w:t xml:space="preserve">(7), 388-389. </w:t>
      </w:r>
    </w:p>
    <w:p w14:paraId="6B8822F8" w14:textId="1CB59530"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Sele V, Ørnsrud R, Sloth JJ, Berntssen MHG, &amp; Amlund H. (2018). Selenium and selenium species in feeds and muscle tissue of Atlantic salmon. </w:t>
      </w:r>
      <w:r w:rsidRPr="00D633FF">
        <w:rPr>
          <w:rFonts w:ascii="Calibri" w:hAnsi="Calibri" w:cs="Calibri"/>
          <w:i/>
        </w:rPr>
        <w:t>J Trace Elem Med Biol</w:t>
      </w:r>
      <w:r w:rsidRPr="00D633FF">
        <w:rPr>
          <w:rFonts w:ascii="Calibri" w:hAnsi="Calibri" w:cs="Calibri"/>
        </w:rPr>
        <w:t>,</w:t>
      </w:r>
      <w:r w:rsidRPr="00D633FF">
        <w:rPr>
          <w:rFonts w:ascii="Calibri" w:hAnsi="Calibri" w:cs="Calibri"/>
          <w:i/>
        </w:rPr>
        <w:t xml:space="preserve"> 47</w:t>
      </w:r>
      <w:r w:rsidRPr="00D633FF">
        <w:rPr>
          <w:rFonts w:ascii="Calibri" w:hAnsi="Calibri" w:cs="Calibri"/>
        </w:rPr>
        <w:t xml:space="preserve">, 124-133. </w:t>
      </w:r>
      <w:r w:rsidRPr="00A526B1">
        <w:rPr>
          <w:rFonts w:ascii="Calibri" w:hAnsi="Calibri" w:cs="Calibri"/>
        </w:rPr>
        <w:t>https://doi.org/10.1016/j.jtemb.2018.02.005</w:t>
      </w:r>
      <w:r w:rsidRPr="00D633FF">
        <w:rPr>
          <w:rFonts w:ascii="Calibri" w:hAnsi="Calibri" w:cs="Calibri"/>
        </w:rPr>
        <w:t xml:space="preserve"> </w:t>
      </w:r>
    </w:p>
    <w:p w14:paraId="11E83C4F" w14:textId="435215CF"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Shearer TR, &amp; Hadjimarkos DM. (1975). Geographic distribution of selenium in human milk. </w:t>
      </w:r>
      <w:r w:rsidRPr="00D633FF">
        <w:rPr>
          <w:rFonts w:ascii="Calibri" w:hAnsi="Calibri" w:cs="Calibri"/>
          <w:i/>
        </w:rPr>
        <w:t>Arch Environ Health</w:t>
      </w:r>
      <w:r w:rsidRPr="00D633FF">
        <w:rPr>
          <w:rFonts w:ascii="Calibri" w:hAnsi="Calibri" w:cs="Calibri"/>
        </w:rPr>
        <w:t>,</w:t>
      </w:r>
      <w:r w:rsidRPr="00D633FF">
        <w:rPr>
          <w:rFonts w:ascii="Calibri" w:hAnsi="Calibri" w:cs="Calibri"/>
          <w:i/>
        </w:rPr>
        <w:t xml:space="preserve"> 30</w:t>
      </w:r>
      <w:r w:rsidRPr="00D633FF">
        <w:rPr>
          <w:rFonts w:ascii="Calibri" w:hAnsi="Calibri" w:cs="Calibri"/>
        </w:rPr>
        <w:t xml:space="preserve">(5), 230-233. </w:t>
      </w:r>
      <w:r w:rsidRPr="00A526B1">
        <w:rPr>
          <w:rFonts w:ascii="Calibri" w:hAnsi="Calibri" w:cs="Calibri"/>
        </w:rPr>
        <w:t>https://doi.org/10.1080/00039896.1975.10666686</w:t>
      </w:r>
      <w:r w:rsidRPr="00D633FF">
        <w:rPr>
          <w:rFonts w:ascii="Calibri" w:hAnsi="Calibri" w:cs="Calibri"/>
        </w:rPr>
        <w:t xml:space="preserve"> </w:t>
      </w:r>
    </w:p>
    <w:p w14:paraId="60E8B953" w14:textId="00F49409"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Slotnick MJ, &amp; Nriagu JO. (2006). Validity of human nails as a biomarker of arsenic and selenium exposure: A review. </w:t>
      </w:r>
      <w:r w:rsidRPr="00D633FF">
        <w:rPr>
          <w:rFonts w:ascii="Calibri" w:hAnsi="Calibri" w:cs="Calibri"/>
          <w:i/>
        </w:rPr>
        <w:t>Environ Res</w:t>
      </w:r>
      <w:r w:rsidRPr="00D633FF">
        <w:rPr>
          <w:rFonts w:ascii="Calibri" w:hAnsi="Calibri" w:cs="Calibri"/>
        </w:rPr>
        <w:t>,</w:t>
      </w:r>
      <w:r w:rsidRPr="00D633FF">
        <w:rPr>
          <w:rFonts w:ascii="Calibri" w:hAnsi="Calibri" w:cs="Calibri"/>
          <w:i/>
        </w:rPr>
        <w:t xml:space="preserve"> 102</w:t>
      </w:r>
      <w:r w:rsidRPr="00D633FF">
        <w:rPr>
          <w:rFonts w:ascii="Calibri" w:hAnsi="Calibri" w:cs="Calibri"/>
        </w:rPr>
        <w:t xml:space="preserve">(1), 125-139. </w:t>
      </w:r>
      <w:r w:rsidRPr="00A526B1">
        <w:rPr>
          <w:rFonts w:ascii="Calibri" w:hAnsi="Calibri" w:cs="Calibri"/>
        </w:rPr>
        <w:t>https://doi.org/10.1016/j.envres.2005.12.001</w:t>
      </w:r>
      <w:r w:rsidRPr="00D633FF">
        <w:rPr>
          <w:rFonts w:ascii="Calibri" w:hAnsi="Calibri" w:cs="Calibri"/>
        </w:rPr>
        <w:t xml:space="preserve"> </w:t>
      </w:r>
    </w:p>
    <w:p w14:paraId="3FAB5F7A" w14:textId="48E7FBAD"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Steinbrenner H, Duntas LH, &amp; Rayman MP. (2022). The role of selenium in type-2 diabetes mellitus and its metabolic comorbidities. </w:t>
      </w:r>
      <w:r w:rsidRPr="00D633FF">
        <w:rPr>
          <w:rFonts w:ascii="Calibri" w:hAnsi="Calibri" w:cs="Calibri"/>
          <w:i/>
        </w:rPr>
        <w:t>Redox Biol</w:t>
      </w:r>
      <w:r w:rsidRPr="00D633FF">
        <w:rPr>
          <w:rFonts w:ascii="Calibri" w:hAnsi="Calibri" w:cs="Calibri"/>
        </w:rPr>
        <w:t>,</w:t>
      </w:r>
      <w:r w:rsidRPr="00D633FF">
        <w:rPr>
          <w:rFonts w:ascii="Calibri" w:hAnsi="Calibri" w:cs="Calibri"/>
          <w:i/>
        </w:rPr>
        <w:t xml:space="preserve"> 50</w:t>
      </w:r>
      <w:r w:rsidRPr="00D633FF">
        <w:rPr>
          <w:rFonts w:ascii="Calibri" w:hAnsi="Calibri" w:cs="Calibri"/>
        </w:rPr>
        <w:t xml:space="preserve">, 102236. </w:t>
      </w:r>
      <w:r w:rsidRPr="00A526B1">
        <w:rPr>
          <w:rFonts w:ascii="Calibri" w:hAnsi="Calibri" w:cs="Calibri"/>
        </w:rPr>
        <w:t>https://doi.org/10.1016/j.redox.2022.102236</w:t>
      </w:r>
      <w:r w:rsidRPr="00D633FF">
        <w:rPr>
          <w:rFonts w:ascii="Calibri" w:hAnsi="Calibri" w:cs="Calibri"/>
        </w:rPr>
        <w:t xml:space="preserve"> </w:t>
      </w:r>
    </w:p>
    <w:p w14:paraId="6C9135CB" w14:textId="28EA9AFA"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Stranges S, Marshall JR, Natarajan R, Donahue RP, Trevisan M, Combs GF, Cappuccio FP, Ceriello A, &amp; Reid ME. (2007). Effects of long-term selenium supplementation on the incidence of type 2 diabetes: a randomized trial. </w:t>
      </w:r>
      <w:r w:rsidRPr="00D633FF">
        <w:rPr>
          <w:rFonts w:ascii="Calibri" w:hAnsi="Calibri" w:cs="Calibri"/>
          <w:i/>
        </w:rPr>
        <w:t xml:space="preserve">Ann </w:t>
      </w:r>
      <w:r w:rsidR="00B03F3B">
        <w:rPr>
          <w:rFonts w:ascii="Calibri" w:hAnsi="Calibri" w:cs="Calibri"/>
          <w:i/>
        </w:rPr>
        <w:t>I</w:t>
      </w:r>
      <w:r w:rsidRPr="00D633FF">
        <w:rPr>
          <w:rFonts w:ascii="Calibri" w:hAnsi="Calibri" w:cs="Calibri"/>
          <w:i/>
        </w:rPr>
        <w:t xml:space="preserve">nt </w:t>
      </w:r>
      <w:r w:rsidR="00B03F3B">
        <w:rPr>
          <w:rFonts w:ascii="Calibri" w:hAnsi="Calibri" w:cs="Calibri"/>
          <w:i/>
        </w:rPr>
        <w:t>M</w:t>
      </w:r>
      <w:r w:rsidRPr="00D633FF">
        <w:rPr>
          <w:rFonts w:ascii="Calibri" w:hAnsi="Calibri" w:cs="Calibri"/>
          <w:i/>
        </w:rPr>
        <w:t>ed</w:t>
      </w:r>
      <w:r w:rsidRPr="00D633FF">
        <w:rPr>
          <w:rFonts w:ascii="Calibri" w:hAnsi="Calibri" w:cs="Calibri"/>
        </w:rPr>
        <w:t>,</w:t>
      </w:r>
      <w:r w:rsidRPr="00D633FF">
        <w:rPr>
          <w:rFonts w:ascii="Calibri" w:hAnsi="Calibri" w:cs="Calibri"/>
          <w:i/>
        </w:rPr>
        <w:t xml:space="preserve"> 147</w:t>
      </w:r>
      <w:r w:rsidRPr="00D633FF">
        <w:rPr>
          <w:rFonts w:ascii="Calibri" w:hAnsi="Calibri" w:cs="Calibri"/>
        </w:rPr>
        <w:t xml:space="preserve">(4), 217-223. </w:t>
      </w:r>
    </w:p>
    <w:p w14:paraId="01F3DB27" w14:textId="70D18B75"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Thompson PA, Ashbeck EL, Roe DJ, Fales L, Buckmeier J, Wang F, Bhattacharyya A, Hsu C-H, Chow HS, &amp; Ahnen DJ. (2016). Selenium supplementation for prevention of colorectal adenomas and risk of associated type 2 diabetes. </w:t>
      </w:r>
      <w:r w:rsidR="00B03F3B">
        <w:rPr>
          <w:rFonts w:ascii="Calibri" w:hAnsi="Calibri" w:cs="Calibri"/>
          <w:i/>
        </w:rPr>
        <w:t>J</w:t>
      </w:r>
      <w:r w:rsidRPr="00D633FF">
        <w:rPr>
          <w:rFonts w:ascii="Calibri" w:hAnsi="Calibri" w:cs="Calibri"/>
          <w:i/>
        </w:rPr>
        <w:t xml:space="preserve"> NCI</w:t>
      </w:r>
      <w:r w:rsidRPr="00D633FF">
        <w:rPr>
          <w:rFonts w:ascii="Calibri" w:hAnsi="Calibri" w:cs="Calibri"/>
        </w:rPr>
        <w:t>,</w:t>
      </w:r>
      <w:r w:rsidRPr="00D633FF">
        <w:rPr>
          <w:rFonts w:ascii="Calibri" w:hAnsi="Calibri" w:cs="Calibri"/>
          <w:i/>
        </w:rPr>
        <w:t xml:space="preserve"> 108</w:t>
      </w:r>
      <w:r w:rsidRPr="00D633FF">
        <w:rPr>
          <w:rFonts w:ascii="Calibri" w:hAnsi="Calibri" w:cs="Calibri"/>
        </w:rPr>
        <w:t xml:space="preserve">(12), djw152. </w:t>
      </w:r>
    </w:p>
    <w:p w14:paraId="3BE3D282" w14:textId="2225ED67"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Thomson CD. (2004). Selenium and iodine intakes and status in New Zealand and Australia. </w:t>
      </w:r>
      <w:r w:rsidRPr="00D633FF">
        <w:rPr>
          <w:rFonts w:ascii="Calibri" w:hAnsi="Calibri" w:cs="Calibri"/>
          <w:i/>
        </w:rPr>
        <w:t>Br J Nutr</w:t>
      </w:r>
      <w:r w:rsidRPr="00D633FF">
        <w:rPr>
          <w:rFonts w:ascii="Calibri" w:hAnsi="Calibri" w:cs="Calibri"/>
        </w:rPr>
        <w:t>,</w:t>
      </w:r>
      <w:r w:rsidRPr="00D633FF">
        <w:rPr>
          <w:rFonts w:ascii="Calibri" w:hAnsi="Calibri" w:cs="Calibri"/>
          <w:i/>
        </w:rPr>
        <w:t xml:space="preserve"> 91</w:t>
      </w:r>
      <w:r w:rsidRPr="00D633FF">
        <w:rPr>
          <w:rFonts w:ascii="Calibri" w:hAnsi="Calibri" w:cs="Calibri"/>
        </w:rPr>
        <w:t xml:space="preserve">(5), 661-672. </w:t>
      </w:r>
      <w:r w:rsidRPr="00A526B1">
        <w:rPr>
          <w:rFonts w:ascii="Calibri" w:hAnsi="Calibri" w:cs="Calibri"/>
        </w:rPr>
        <w:t>https://doi.org/10.1079/bjn20041110</w:t>
      </w:r>
      <w:r w:rsidRPr="00D633FF">
        <w:rPr>
          <w:rFonts w:ascii="Calibri" w:hAnsi="Calibri" w:cs="Calibri"/>
        </w:rPr>
        <w:t xml:space="preserve"> </w:t>
      </w:r>
    </w:p>
    <w:p w14:paraId="4BEC360A" w14:textId="3E455672"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Thomson CD, Chisholm A, McLachlan SK, &amp; Campbell JM. (2008). Brazil nuts: an effective way to improve selenium status. </w:t>
      </w:r>
      <w:r w:rsidRPr="00D633FF">
        <w:rPr>
          <w:rFonts w:ascii="Calibri" w:hAnsi="Calibri" w:cs="Calibri"/>
          <w:i/>
        </w:rPr>
        <w:t>Am J Clin Nutr</w:t>
      </w:r>
      <w:r w:rsidRPr="00D633FF">
        <w:rPr>
          <w:rFonts w:ascii="Calibri" w:hAnsi="Calibri" w:cs="Calibri"/>
        </w:rPr>
        <w:t>,</w:t>
      </w:r>
      <w:r w:rsidRPr="00D633FF">
        <w:rPr>
          <w:rFonts w:ascii="Calibri" w:hAnsi="Calibri" w:cs="Calibri"/>
          <w:i/>
        </w:rPr>
        <w:t xml:space="preserve"> 87</w:t>
      </w:r>
      <w:r w:rsidRPr="00D633FF">
        <w:rPr>
          <w:rFonts w:ascii="Calibri" w:hAnsi="Calibri" w:cs="Calibri"/>
        </w:rPr>
        <w:t xml:space="preserve">(2), 379-384. </w:t>
      </w:r>
      <w:r w:rsidRPr="00A526B1">
        <w:rPr>
          <w:rFonts w:ascii="Calibri" w:hAnsi="Calibri" w:cs="Calibri"/>
        </w:rPr>
        <w:t>https://doi.org/10.1093/ajcn/87.2.379</w:t>
      </w:r>
      <w:r w:rsidRPr="00D633FF">
        <w:rPr>
          <w:rFonts w:ascii="Calibri" w:hAnsi="Calibri" w:cs="Calibri"/>
        </w:rPr>
        <w:t xml:space="preserve"> </w:t>
      </w:r>
    </w:p>
    <w:p w14:paraId="444F61E5" w14:textId="3AA0ED0B"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lastRenderedPageBreak/>
        <w:t xml:space="preserve">Thomson CD, McLachlan SK, Parnell WR, Wilson N, Wohlers M, Scragg R, Schaaf D, &amp; Fitzgerald ED. (2007). Serum selenium concentrations and dietary selenium intake of New Zealand children aged 5-14 years. </w:t>
      </w:r>
      <w:r w:rsidRPr="00D633FF">
        <w:rPr>
          <w:rFonts w:ascii="Calibri" w:hAnsi="Calibri" w:cs="Calibri"/>
          <w:i/>
        </w:rPr>
        <w:t>Br J Nutr</w:t>
      </w:r>
      <w:r w:rsidRPr="00D633FF">
        <w:rPr>
          <w:rFonts w:ascii="Calibri" w:hAnsi="Calibri" w:cs="Calibri"/>
        </w:rPr>
        <w:t>,</w:t>
      </w:r>
      <w:r w:rsidRPr="00D633FF">
        <w:rPr>
          <w:rFonts w:ascii="Calibri" w:hAnsi="Calibri" w:cs="Calibri"/>
          <w:i/>
        </w:rPr>
        <w:t xml:space="preserve"> 97</w:t>
      </w:r>
      <w:r w:rsidRPr="00D633FF">
        <w:rPr>
          <w:rFonts w:ascii="Calibri" w:hAnsi="Calibri" w:cs="Calibri"/>
        </w:rPr>
        <w:t xml:space="preserve">(2), 357-364. </w:t>
      </w:r>
      <w:r w:rsidRPr="00A526B1">
        <w:rPr>
          <w:rFonts w:ascii="Calibri" w:hAnsi="Calibri" w:cs="Calibri"/>
        </w:rPr>
        <w:t>https://doi.org/10.1017/s0007114507336738</w:t>
      </w:r>
      <w:r w:rsidRPr="00D633FF">
        <w:rPr>
          <w:rFonts w:ascii="Calibri" w:hAnsi="Calibri" w:cs="Calibri"/>
        </w:rPr>
        <w:t xml:space="preserve"> </w:t>
      </w:r>
    </w:p>
    <w:p w14:paraId="19DE716C" w14:textId="76755072"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Tinggi U. (2003). Essentiality and toxicity of selenium and its status in Australia: a review. </w:t>
      </w:r>
      <w:r w:rsidRPr="00D633FF">
        <w:rPr>
          <w:rFonts w:ascii="Calibri" w:hAnsi="Calibri" w:cs="Calibri"/>
          <w:i/>
        </w:rPr>
        <w:t>Toxicology Letters</w:t>
      </w:r>
      <w:r w:rsidRPr="00D633FF">
        <w:rPr>
          <w:rFonts w:ascii="Calibri" w:hAnsi="Calibri" w:cs="Calibri"/>
        </w:rPr>
        <w:t>,</w:t>
      </w:r>
      <w:r w:rsidRPr="00D633FF">
        <w:rPr>
          <w:rFonts w:ascii="Calibri" w:hAnsi="Calibri" w:cs="Calibri"/>
          <w:i/>
        </w:rPr>
        <w:t xml:space="preserve"> 137</w:t>
      </w:r>
      <w:r w:rsidRPr="00D633FF">
        <w:rPr>
          <w:rFonts w:ascii="Calibri" w:hAnsi="Calibri" w:cs="Calibri"/>
        </w:rPr>
        <w:t xml:space="preserve">(1), 103-110. </w:t>
      </w:r>
      <w:r w:rsidRPr="00A526B1">
        <w:rPr>
          <w:rFonts w:ascii="Calibri" w:hAnsi="Calibri" w:cs="Calibri"/>
        </w:rPr>
        <w:t>https://doi.org/https://doi.org/10.1016/S0378-4274(02)00384-3</w:t>
      </w:r>
      <w:r w:rsidRPr="00D633FF">
        <w:rPr>
          <w:rFonts w:ascii="Calibri" w:hAnsi="Calibri" w:cs="Calibri"/>
        </w:rPr>
        <w:t xml:space="preserve"> </w:t>
      </w:r>
    </w:p>
    <w:p w14:paraId="57D020B8" w14:textId="1F0AC33B"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Tuncalp Ö, Rogers LM, Lawrie TA, Barreix M, Peña-Rosas JP, Bucagu M, Neilson J, &amp; Oladapo OT. (2020). WHO recommendations on antenatal nutrition: an update on multiple micronutrient supplements. </w:t>
      </w:r>
      <w:r w:rsidRPr="00D633FF">
        <w:rPr>
          <w:rFonts w:ascii="Calibri" w:hAnsi="Calibri" w:cs="Calibri"/>
          <w:i/>
        </w:rPr>
        <w:t>BMJ Glob Health</w:t>
      </w:r>
      <w:r w:rsidRPr="00D633FF">
        <w:rPr>
          <w:rFonts w:ascii="Calibri" w:hAnsi="Calibri" w:cs="Calibri"/>
        </w:rPr>
        <w:t>,</w:t>
      </w:r>
      <w:r w:rsidRPr="00D633FF">
        <w:rPr>
          <w:rFonts w:ascii="Calibri" w:hAnsi="Calibri" w:cs="Calibri"/>
          <w:i/>
        </w:rPr>
        <w:t xml:space="preserve"> 5</w:t>
      </w:r>
      <w:r w:rsidRPr="00D633FF">
        <w:rPr>
          <w:rFonts w:ascii="Calibri" w:hAnsi="Calibri" w:cs="Calibri"/>
        </w:rPr>
        <w:t xml:space="preserve">(7). </w:t>
      </w:r>
      <w:r w:rsidRPr="00A526B1">
        <w:rPr>
          <w:rFonts w:ascii="Calibri" w:hAnsi="Calibri" w:cs="Calibri"/>
        </w:rPr>
        <w:t>https://doi.org/10.1136/bmjgh-2020-003375</w:t>
      </w:r>
      <w:r w:rsidRPr="00D633FF">
        <w:rPr>
          <w:rFonts w:ascii="Calibri" w:hAnsi="Calibri" w:cs="Calibri"/>
        </w:rPr>
        <w:t xml:space="preserve"> </w:t>
      </w:r>
    </w:p>
    <w:p w14:paraId="2AB607EA" w14:textId="6C2AD328"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Turck D, Bohn T, Castenmiller J, de Henauw S, Hirsch-Ernst KI, Knutsen HK, Maciuk A, Mangelsdorf I, McArdle HJ,…Naska A. (2023). Scientific opinion on the tolerable upper intake level for selenium. </w:t>
      </w:r>
      <w:r w:rsidRPr="00D633FF">
        <w:rPr>
          <w:rFonts w:ascii="Calibri" w:hAnsi="Calibri" w:cs="Calibri"/>
          <w:i/>
        </w:rPr>
        <w:t>E</w:t>
      </w:r>
      <w:r w:rsidR="00C349D2">
        <w:rPr>
          <w:rFonts w:ascii="Calibri" w:hAnsi="Calibri" w:cs="Calibri"/>
          <w:i/>
        </w:rPr>
        <w:t>FSA</w:t>
      </w:r>
      <w:r w:rsidRPr="00D633FF">
        <w:rPr>
          <w:rFonts w:ascii="Calibri" w:hAnsi="Calibri" w:cs="Calibri"/>
          <w:i/>
        </w:rPr>
        <w:t xml:space="preserve"> </w:t>
      </w:r>
      <w:r w:rsidR="00C349D2">
        <w:rPr>
          <w:rFonts w:ascii="Calibri" w:hAnsi="Calibri" w:cs="Calibri"/>
          <w:i/>
        </w:rPr>
        <w:t>J</w:t>
      </w:r>
      <w:r w:rsidRPr="00D633FF">
        <w:rPr>
          <w:rFonts w:ascii="Calibri" w:hAnsi="Calibri" w:cs="Calibri"/>
        </w:rPr>
        <w:t>,</w:t>
      </w:r>
      <w:r w:rsidRPr="00D633FF">
        <w:rPr>
          <w:rFonts w:ascii="Calibri" w:hAnsi="Calibri" w:cs="Calibri"/>
          <w:i/>
        </w:rPr>
        <w:t xml:space="preserve"> 21</w:t>
      </w:r>
      <w:r w:rsidRPr="00D633FF">
        <w:rPr>
          <w:rFonts w:ascii="Calibri" w:hAnsi="Calibri" w:cs="Calibri"/>
        </w:rPr>
        <w:t xml:space="preserve">(1), e07704. </w:t>
      </w:r>
      <w:r w:rsidRPr="00A526B1">
        <w:rPr>
          <w:rFonts w:ascii="Calibri" w:hAnsi="Calibri" w:cs="Calibri"/>
        </w:rPr>
        <w:t>https://doi.org/10.2903/j.efsa.2023.7704</w:t>
      </w:r>
      <w:r w:rsidRPr="00D633FF">
        <w:rPr>
          <w:rFonts w:ascii="Calibri" w:hAnsi="Calibri" w:cs="Calibri"/>
        </w:rPr>
        <w:t xml:space="preserve"> </w:t>
      </w:r>
    </w:p>
    <w:p w14:paraId="51DC6530" w14:textId="77777777"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University of Otago, &amp; Ministry of Health (2011) </w:t>
      </w:r>
      <w:r w:rsidRPr="00D633FF">
        <w:rPr>
          <w:rFonts w:ascii="Calibri" w:hAnsi="Calibri" w:cs="Calibri"/>
          <w:i/>
        </w:rPr>
        <w:t>A focus on nutrition: key findings of the 2008/09 New Zealand Adult Nutrition Survey</w:t>
      </w:r>
      <w:r w:rsidRPr="00D633FF">
        <w:rPr>
          <w:rFonts w:ascii="Calibri" w:hAnsi="Calibri" w:cs="Calibri"/>
        </w:rPr>
        <w:t xml:space="preserve"> In: Ministry of Health Wellington, New Zealand.</w:t>
      </w:r>
    </w:p>
    <w:p w14:paraId="77C30244" w14:textId="4B5D4221"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Vinceti M, Filippini T, Del Giovane C, Dennert G, Zwahlen M, Brinkman M, Zeegers MP, Horneber M, D'Amico R, &amp; Crespi CM. (2018). Selenium for preventing cancer. </w:t>
      </w:r>
      <w:r w:rsidRPr="00D633FF">
        <w:rPr>
          <w:rFonts w:ascii="Calibri" w:hAnsi="Calibri" w:cs="Calibri"/>
          <w:i/>
        </w:rPr>
        <w:t>Cochrane Database Syst Rev</w:t>
      </w:r>
      <w:r w:rsidRPr="00D633FF">
        <w:rPr>
          <w:rFonts w:ascii="Calibri" w:hAnsi="Calibri" w:cs="Calibri"/>
        </w:rPr>
        <w:t>,</w:t>
      </w:r>
      <w:r w:rsidRPr="00D633FF">
        <w:rPr>
          <w:rFonts w:ascii="Calibri" w:hAnsi="Calibri" w:cs="Calibri"/>
          <w:i/>
        </w:rPr>
        <w:t xml:space="preserve"> 1</w:t>
      </w:r>
      <w:r w:rsidRPr="00D633FF">
        <w:rPr>
          <w:rFonts w:ascii="Calibri" w:hAnsi="Calibri" w:cs="Calibri"/>
        </w:rPr>
        <w:t xml:space="preserve">(1), Cd005195. </w:t>
      </w:r>
      <w:r w:rsidRPr="00A526B1">
        <w:rPr>
          <w:rFonts w:ascii="Calibri" w:hAnsi="Calibri" w:cs="Calibri"/>
        </w:rPr>
        <w:t>https://doi.org/10.1002/14651858.CD005195.pub4</w:t>
      </w:r>
      <w:r w:rsidRPr="00D633FF">
        <w:rPr>
          <w:rFonts w:ascii="Calibri" w:hAnsi="Calibri" w:cs="Calibri"/>
        </w:rPr>
        <w:t xml:space="preserve"> </w:t>
      </w:r>
    </w:p>
    <w:p w14:paraId="70C1890B" w14:textId="28A503DE"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WHO. (2006). </w:t>
      </w:r>
      <w:r w:rsidRPr="00D633FF">
        <w:rPr>
          <w:rFonts w:ascii="Calibri" w:hAnsi="Calibri" w:cs="Calibri"/>
          <w:i/>
        </w:rPr>
        <w:t>WHO child growth standards, weigh-for-age</w:t>
      </w:r>
      <w:r w:rsidRPr="00D633FF">
        <w:rPr>
          <w:rFonts w:ascii="Calibri" w:hAnsi="Calibri" w:cs="Calibri"/>
        </w:rPr>
        <w:t xml:space="preserve">. date accessed 16 July 2025 </w:t>
      </w:r>
      <w:r w:rsidRPr="00A526B1">
        <w:rPr>
          <w:rFonts w:ascii="Calibri" w:hAnsi="Calibri" w:cs="Calibri"/>
        </w:rPr>
        <w:t>https://www.who.int/tools/child-growth-standards/standards/weight-for-age</w:t>
      </w:r>
    </w:p>
    <w:p w14:paraId="2E4CAE89" w14:textId="5A06660D"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Wilson RL, Bianco-Miotto T, Leemaqz SY, Grzeskowiak LE, Dekker GA, &amp; Roberts CT. (2018). Early pregnancy maternal trace mineral status and the association with adverse pregnancy outcome in a cohort of Australian women. </w:t>
      </w:r>
      <w:r w:rsidRPr="00D633FF">
        <w:rPr>
          <w:rFonts w:ascii="Calibri" w:hAnsi="Calibri" w:cs="Calibri"/>
          <w:i/>
        </w:rPr>
        <w:t>J Trace Elem Med Biol</w:t>
      </w:r>
      <w:r w:rsidRPr="00D633FF">
        <w:rPr>
          <w:rFonts w:ascii="Calibri" w:hAnsi="Calibri" w:cs="Calibri"/>
        </w:rPr>
        <w:t>,</w:t>
      </w:r>
      <w:r w:rsidRPr="00D633FF">
        <w:rPr>
          <w:rFonts w:ascii="Calibri" w:hAnsi="Calibri" w:cs="Calibri"/>
          <w:i/>
        </w:rPr>
        <w:t xml:space="preserve"> 46</w:t>
      </w:r>
      <w:r w:rsidRPr="00D633FF">
        <w:rPr>
          <w:rFonts w:ascii="Calibri" w:hAnsi="Calibri" w:cs="Calibri"/>
        </w:rPr>
        <w:t xml:space="preserve">, 103-109. </w:t>
      </w:r>
      <w:r w:rsidRPr="00A526B1">
        <w:rPr>
          <w:rFonts w:ascii="Calibri" w:hAnsi="Calibri" w:cs="Calibri"/>
        </w:rPr>
        <w:t>https://doi.org/10.1016/j.jtemb.2017.11.016</w:t>
      </w:r>
      <w:r w:rsidRPr="00D633FF">
        <w:rPr>
          <w:rFonts w:ascii="Calibri" w:hAnsi="Calibri" w:cs="Calibri"/>
        </w:rPr>
        <w:t xml:space="preserve"> </w:t>
      </w:r>
    </w:p>
    <w:p w14:paraId="51F4DC0F" w14:textId="35E5DF10"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Winther KH, Bonnema SJ, Cold F, Debrabant B, Nybo M, Cold S, &amp; Hegedüs L. (2015). Does selenium supplementation affect thyroid function? Results from a randomized, controlled, double-blinded trial in a Danish population. </w:t>
      </w:r>
      <w:r w:rsidRPr="00D633FF">
        <w:rPr>
          <w:rFonts w:ascii="Calibri" w:hAnsi="Calibri" w:cs="Calibri"/>
          <w:i/>
        </w:rPr>
        <w:t xml:space="preserve">Eur </w:t>
      </w:r>
      <w:r w:rsidR="00C349D2">
        <w:rPr>
          <w:rFonts w:ascii="Calibri" w:hAnsi="Calibri" w:cs="Calibri"/>
          <w:i/>
        </w:rPr>
        <w:t>J</w:t>
      </w:r>
      <w:r w:rsidRPr="00D633FF">
        <w:rPr>
          <w:rFonts w:ascii="Calibri" w:hAnsi="Calibri" w:cs="Calibri"/>
          <w:i/>
        </w:rPr>
        <w:t xml:space="preserve"> </w:t>
      </w:r>
      <w:r w:rsidR="00C349D2">
        <w:rPr>
          <w:rFonts w:ascii="Calibri" w:hAnsi="Calibri" w:cs="Calibri"/>
          <w:i/>
        </w:rPr>
        <w:t>E</w:t>
      </w:r>
      <w:r w:rsidRPr="00D633FF">
        <w:rPr>
          <w:rFonts w:ascii="Calibri" w:hAnsi="Calibri" w:cs="Calibri"/>
          <w:i/>
        </w:rPr>
        <w:t>ndocrin</w:t>
      </w:r>
      <w:r w:rsidRPr="00D633FF">
        <w:rPr>
          <w:rFonts w:ascii="Calibri" w:hAnsi="Calibri" w:cs="Calibri"/>
        </w:rPr>
        <w:t>,</w:t>
      </w:r>
      <w:r w:rsidRPr="00D633FF">
        <w:rPr>
          <w:rFonts w:ascii="Calibri" w:hAnsi="Calibri" w:cs="Calibri"/>
          <w:i/>
        </w:rPr>
        <w:t xml:space="preserve"> 172</w:t>
      </w:r>
      <w:r w:rsidRPr="00D633FF">
        <w:rPr>
          <w:rFonts w:ascii="Calibri" w:hAnsi="Calibri" w:cs="Calibri"/>
        </w:rPr>
        <w:t xml:space="preserve">(6), 657-667. </w:t>
      </w:r>
    </w:p>
    <w:p w14:paraId="74DDA188" w14:textId="77777777"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World Health Organization. (1996). Trace elements in human nutrition and health. </w:t>
      </w:r>
      <w:r w:rsidRPr="00D633FF">
        <w:rPr>
          <w:rFonts w:ascii="Calibri" w:hAnsi="Calibri" w:cs="Calibri"/>
          <w:i/>
        </w:rPr>
        <w:t>WHO Library Cataloguing in Publication Data</w:t>
      </w:r>
      <w:r w:rsidRPr="00D633FF">
        <w:rPr>
          <w:rFonts w:ascii="Calibri" w:hAnsi="Calibri" w:cs="Calibri"/>
        </w:rPr>
        <w:t xml:space="preserve">, 105-122. </w:t>
      </w:r>
    </w:p>
    <w:p w14:paraId="50B565FC" w14:textId="5A1A546D" w:rsidR="00111F44" w:rsidRPr="00D633FF" w:rsidRDefault="00111F44" w:rsidP="00111F44">
      <w:pPr>
        <w:pStyle w:val="EndNoteBibliography"/>
        <w:spacing w:after="0"/>
        <w:ind w:left="720" w:hanging="720"/>
        <w:rPr>
          <w:rFonts w:ascii="Calibri" w:hAnsi="Calibri" w:cs="Calibri"/>
        </w:rPr>
      </w:pPr>
      <w:r w:rsidRPr="00D633FF">
        <w:rPr>
          <w:rFonts w:ascii="Calibri" w:hAnsi="Calibri" w:cs="Calibri"/>
        </w:rPr>
        <w:t xml:space="preserve">Yang G, Yin S, Zhou R, Gu L, Yan B, &amp; Liu Y. (1989). Studies of safe maximal daily dietary Se-intake in a seleniferous area in China. Part II: Relation between Se-intake and the manifestation of clinical signs and certain biochemical alterations in blood and urine. </w:t>
      </w:r>
      <w:r w:rsidRPr="00D633FF">
        <w:rPr>
          <w:rFonts w:ascii="Calibri" w:hAnsi="Calibri" w:cs="Calibri"/>
          <w:i/>
        </w:rPr>
        <w:t xml:space="preserve">J </w:t>
      </w:r>
      <w:r w:rsidR="00D01061">
        <w:rPr>
          <w:rFonts w:ascii="Calibri" w:hAnsi="Calibri" w:cs="Calibri"/>
          <w:i/>
        </w:rPr>
        <w:t>T</w:t>
      </w:r>
      <w:r w:rsidRPr="00D633FF">
        <w:rPr>
          <w:rFonts w:ascii="Calibri" w:hAnsi="Calibri" w:cs="Calibri"/>
          <w:i/>
        </w:rPr>
        <w:t xml:space="preserve">race </w:t>
      </w:r>
      <w:r w:rsidR="00D01061">
        <w:rPr>
          <w:rFonts w:ascii="Calibri" w:hAnsi="Calibri" w:cs="Calibri"/>
          <w:i/>
        </w:rPr>
        <w:t>E</w:t>
      </w:r>
      <w:r w:rsidRPr="00D633FF">
        <w:rPr>
          <w:rFonts w:ascii="Calibri" w:hAnsi="Calibri" w:cs="Calibri"/>
          <w:i/>
        </w:rPr>
        <w:t xml:space="preserve">lem </w:t>
      </w:r>
      <w:r w:rsidR="00D01061">
        <w:rPr>
          <w:rFonts w:ascii="Calibri" w:hAnsi="Calibri" w:cs="Calibri"/>
          <w:i/>
        </w:rPr>
        <w:t>E</w:t>
      </w:r>
      <w:r w:rsidRPr="00D633FF">
        <w:rPr>
          <w:rFonts w:ascii="Calibri" w:hAnsi="Calibri" w:cs="Calibri"/>
          <w:i/>
        </w:rPr>
        <w:t xml:space="preserve">lectrol </w:t>
      </w:r>
      <w:r w:rsidR="00D01061">
        <w:rPr>
          <w:rFonts w:ascii="Calibri" w:hAnsi="Calibri" w:cs="Calibri"/>
          <w:i/>
        </w:rPr>
        <w:t>H</w:t>
      </w:r>
      <w:r w:rsidRPr="00D633FF">
        <w:rPr>
          <w:rFonts w:ascii="Calibri" w:hAnsi="Calibri" w:cs="Calibri"/>
          <w:i/>
        </w:rPr>
        <w:t xml:space="preserve">ealth </w:t>
      </w:r>
      <w:r w:rsidR="00D01061">
        <w:rPr>
          <w:rFonts w:ascii="Calibri" w:hAnsi="Calibri" w:cs="Calibri"/>
          <w:i/>
        </w:rPr>
        <w:t>D</w:t>
      </w:r>
      <w:r w:rsidRPr="00D633FF">
        <w:rPr>
          <w:rFonts w:ascii="Calibri" w:hAnsi="Calibri" w:cs="Calibri"/>
          <w:i/>
        </w:rPr>
        <w:t>is</w:t>
      </w:r>
      <w:r w:rsidRPr="00D633FF">
        <w:rPr>
          <w:rFonts w:ascii="Calibri" w:hAnsi="Calibri" w:cs="Calibri"/>
        </w:rPr>
        <w:t>,</w:t>
      </w:r>
      <w:r w:rsidRPr="00D633FF">
        <w:rPr>
          <w:rFonts w:ascii="Calibri" w:hAnsi="Calibri" w:cs="Calibri"/>
          <w:i/>
        </w:rPr>
        <w:t xml:space="preserve"> 3</w:t>
      </w:r>
      <w:r w:rsidRPr="00D633FF">
        <w:rPr>
          <w:rFonts w:ascii="Calibri" w:hAnsi="Calibri" w:cs="Calibri"/>
        </w:rPr>
        <w:t xml:space="preserve">(3), 123-130. </w:t>
      </w:r>
    </w:p>
    <w:p w14:paraId="500571DA" w14:textId="1EFA0882" w:rsidR="00111F44" w:rsidRPr="00D633FF" w:rsidRDefault="00111F44" w:rsidP="00111F44">
      <w:pPr>
        <w:pStyle w:val="EndNoteBibliography"/>
        <w:ind w:left="720" w:hanging="720"/>
        <w:rPr>
          <w:rFonts w:ascii="Calibri" w:hAnsi="Calibri" w:cs="Calibri"/>
        </w:rPr>
      </w:pPr>
      <w:r w:rsidRPr="00D633FF">
        <w:rPr>
          <w:rFonts w:ascii="Calibri" w:hAnsi="Calibri" w:cs="Calibri"/>
        </w:rPr>
        <w:t xml:space="preserve">Zachara BA, Pawluk H, Bloch-Boguslawska E, Śliwka KM, Korenkiewicz J, Skok Ź, &amp; Ryć K. (2001). Tissue level, distribution and total body selenium content in healthy and diseased humans in Poland. </w:t>
      </w:r>
      <w:r w:rsidRPr="00D633FF">
        <w:rPr>
          <w:rFonts w:ascii="Calibri" w:hAnsi="Calibri" w:cs="Calibri"/>
          <w:i/>
        </w:rPr>
        <w:t>Arch of Envi Health</w:t>
      </w:r>
      <w:r w:rsidRPr="00D633FF">
        <w:rPr>
          <w:rFonts w:ascii="Calibri" w:hAnsi="Calibri" w:cs="Calibri"/>
        </w:rPr>
        <w:t>,</w:t>
      </w:r>
      <w:r w:rsidRPr="00D633FF">
        <w:rPr>
          <w:rFonts w:ascii="Calibri" w:hAnsi="Calibri" w:cs="Calibri"/>
          <w:i/>
        </w:rPr>
        <w:t xml:space="preserve"> 56</w:t>
      </w:r>
      <w:r w:rsidRPr="00D633FF">
        <w:rPr>
          <w:rFonts w:ascii="Calibri" w:hAnsi="Calibri" w:cs="Calibri"/>
        </w:rPr>
        <w:t xml:space="preserve">(5), 461-466. </w:t>
      </w:r>
      <w:r w:rsidRPr="00A526B1">
        <w:rPr>
          <w:rFonts w:ascii="Calibri" w:hAnsi="Calibri" w:cs="Calibri"/>
        </w:rPr>
        <w:t>https://doi.org/10.1080/00039890109604483</w:t>
      </w:r>
      <w:r w:rsidRPr="00D633FF">
        <w:rPr>
          <w:rFonts w:ascii="Calibri" w:hAnsi="Calibri" w:cs="Calibri"/>
        </w:rPr>
        <w:t xml:space="preserve"> </w:t>
      </w:r>
    </w:p>
    <w:p w14:paraId="3B368FCB" w14:textId="45E3C20E" w:rsidR="006F6242" w:rsidRPr="00D633FF" w:rsidRDefault="006F6242" w:rsidP="006F0609">
      <w:pPr>
        <w:rPr>
          <w:rFonts w:ascii="Calibri" w:hAnsi="Calibri" w:cs="Calibri"/>
        </w:rPr>
        <w:sectPr w:rsidR="006F6242" w:rsidRPr="00D633FF" w:rsidSect="00AB38F3">
          <w:footnotePr>
            <w:pos w:val="beneathText"/>
          </w:footnotePr>
          <w:pgSz w:w="11906" w:h="16838"/>
          <w:pgMar w:top="1440" w:right="1440" w:bottom="1440" w:left="1440" w:header="709" w:footer="709" w:gutter="0"/>
          <w:cols w:space="708"/>
          <w:docGrid w:linePitch="360"/>
        </w:sectPr>
      </w:pPr>
    </w:p>
    <w:p w14:paraId="5C0709B9" w14:textId="695B518C" w:rsidR="006F6242" w:rsidRPr="00D633FF" w:rsidRDefault="006F6242" w:rsidP="00376D9F">
      <w:pPr>
        <w:pStyle w:val="Heading1"/>
        <w:rPr>
          <w:rFonts w:ascii="Calibri" w:hAnsi="Calibri" w:cs="Calibri"/>
          <w:lang w:eastAsia="en-AU"/>
        </w:rPr>
      </w:pPr>
      <w:bookmarkStart w:id="85" w:name="_Ref207103684"/>
      <w:bookmarkStart w:id="86" w:name="_Toc218527989"/>
      <w:r w:rsidRPr="00D633FF">
        <w:rPr>
          <w:rFonts w:ascii="Calibri" w:hAnsi="Calibri" w:cs="Calibri"/>
          <w:b/>
          <w:bCs/>
          <w:lang w:eastAsia="en-AU"/>
        </w:rPr>
        <w:lastRenderedPageBreak/>
        <w:t>Appendix A</w:t>
      </w:r>
      <w:r w:rsidRPr="00D633FF">
        <w:rPr>
          <w:rFonts w:ascii="Calibri" w:hAnsi="Calibri" w:cs="Calibri"/>
          <w:lang w:eastAsia="en-AU"/>
        </w:rPr>
        <w:t xml:space="preserve"> </w:t>
      </w:r>
      <w:r w:rsidR="004515A3">
        <w:rPr>
          <w:rFonts w:ascii="Calibri" w:hAnsi="Calibri" w:cs="Calibri"/>
          <w:lang w:eastAsia="en-AU"/>
        </w:rPr>
        <w:t>—</w:t>
      </w:r>
      <w:r w:rsidRPr="00D633FF">
        <w:rPr>
          <w:rFonts w:ascii="Calibri" w:hAnsi="Calibri" w:cs="Calibri"/>
          <w:lang w:eastAsia="en-AU"/>
        </w:rPr>
        <w:t xml:space="preserve"> </w:t>
      </w:r>
      <w:r w:rsidR="00376D9F" w:rsidRPr="00D633FF">
        <w:rPr>
          <w:rFonts w:ascii="Calibri" w:hAnsi="Calibri" w:cs="Calibri"/>
        </w:rPr>
        <w:t>Administrative and technical criteria for assessing existing nutrient reference values for adopting or adapting</w:t>
      </w:r>
      <w:bookmarkEnd w:id="85"/>
      <w:bookmarkEnd w:id="86"/>
    </w:p>
    <w:p w14:paraId="75F49E16" w14:textId="536061D3" w:rsidR="006F0609" w:rsidRPr="00D633FF" w:rsidRDefault="006F0609" w:rsidP="006F0609">
      <w:pPr>
        <w:rPr>
          <w:rFonts w:ascii="Calibri" w:eastAsia="Times New Roman" w:hAnsi="Calibri" w:cs="Calibri"/>
          <w:kern w:val="0"/>
          <w:lang w:eastAsia="en-AU"/>
          <w14:ligatures w14:val="none"/>
        </w:rPr>
      </w:pPr>
      <w:r w:rsidRPr="00D633FF">
        <w:rPr>
          <w:rFonts w:ascii="Calibri" w:eastAsia="Times New Roman" w:hAnsi="Calibri" w:cs="Calibri"/>
          <w:kern w:val="0"/>
          <w:lang w:eastAsia="en-AU"/>
          <w14:ligatures w14:val="none"/>
        </w:rPr>
        <w:t xml:space="preserve">Title/Reference:  </w:t>
      </w:r>
      <w:r w:rsidRPr="00D633FF">
        <w:rPr>
          <w:rFonts w:ascii="Calibri" w:eastAsia="Times New Roman" w:hAnsi="Calibri" w:cs="Calibri"/>
          <w:kern w:val="0"/>
          <w:shd w:val="clear" w:color="auto" w:fill="FFFFFF"/>
          <w:lang w:eastAsia="en-AU"/>
          <w14:ligatures w14:val="none"/>
        </w:rPr>
        <w:t>EFSA Panel on Nutrition, Novel Foods and Food Allergens (NDA),</w:t>
      </w:r>
      <w:r w:rsidRPr="00D633FF">
        <w:rPr>
          <w:rFonts w:ascii="Calibri" w:eastAsia="Times New Roman" w:hAnsi="Calibri" w:cs="Calibri"/>
          <w:kern w:val="0"/>
          <w:lang w:eastAsia="en-AU"/>
          <w14:ligatures w14:val="none"/>
        </w:rPr>
        <w:t xml:space="preserve"> </w:t>
      </w:r>
      <w:r w:rsidRPr="00D633FF">
        <w:rPr>
          <w:rFonts w:ascii="Calibri" w:eastAsia="Times New Roman" w:hAnsi="Calibri" w:cs="Calibri"/>
          <w:kern w:val="0"/>
          <w:shd w:val="clear" w:color="auto" w:fill="FFFFFF"/>
          <w:lang w:eastAsia="en-AU"/>
          <w14:ligatures w14:val="none"/>
        </w:rPr>
        <w:t xml:space="preserve">Turck D, Bohn T, </w:t>
      </w:r>
      <w:proofErr w:type="spellStart"/>
      <w:r w:rsidRPr="00D633FF">
        <w:rPr>
          <w:rFonts w:ascii="Calibri" w:eastAsia="Times New Roman" w:hAnsi="Calibri" w:cs="Calibri"/>
          <w:kern w:val="0"/>
          <w:shd w:val="clear" w:color="auto" w:fill="FFFFFF"/>
          <w:lang w:eastAsia="en-AU"/>
          <w14:ligatures w14:val="none"/>
        </w:rPr>
        <w:t>Castenmiller</w:t>
      </w:r>
      <w:proofErr w:type="spellEnd"/>
      <w:r w:rsidRPr="00D633FF">
        <w:rPr>
          <w:rFonts w:ascii="Calibri" w:eastAsia="Times New Roman" w:hAnsi="Calibri" w:cs="Calibri"/>
          <w:kern w:val="0"/>
          <w:shd w:val="clear" w:color="auto" w:fill="FFFFFF"/>
          <w:lang w:eastAsia="en-AU"/>
          <w14:ligatures w14:val="none"/>
        </w:rPr>
        <w:t xml:space="preserve"> J, de </w:t>
      </w:r>
      <w:proofErr w:type="spellStart"/>
      <w:r w:rsidRPr="00D633FF">
        <w:rPr>
          <w:rFonts w:ascii="Calibri" w:eastAsia="Times New Roman" w:hAnsi="Calibri" w:cs="Calibri"/>
          <w:kern w:val="0"/>
          <w:shd w:val="clear" w:color="auto" w:fill="FFFFFF"/>
          <w:lang w:eastAsia="en-AU"/>
          <w14:ligatures w14:val="none"/>
        </w:rPr>
        <w:t>Henauw</w:t>
      </w:r>
      <w:proofErr w:type="spellEnd"/>
      <w:r w:rsidRPr="00D633FF">
        <w:rPr>
          <w:rFonts w:ascii="Calibri" w:eastAsia="Times New Roman" w:hAnsi="Calibri" w:cs="Calibri"/>
          <w:kern w:val="0"/>
          <w:shd w:val="clear" w:color="auto" w:fill="FFFFFF"/>
          <w:lang w:eastAsia="en-AU"/>
          <w14:ligatures w14:val="none"/>
        </w:rPr>
        <w:t xml:space="preserve"> S, Hirsch-Ernst K-I, Knutsen HK et al. Scientific opinion on the tolerable upper intake level for selenium. EFSA Journal. 2023 Jan 20;21(1</w:t>
      </w:r>
      <w:proofErr w:type="gramStart"/>
      <w:r w:rsidRPr="00D633FF">
        <w:rPr>
          <w:rFonts w:ascii="Calibri" w:eastAsia="Times New Roman" w:hAnsi="Calibri" w:cs="Calibri"/>
          <w:kern w:val="0"/>
          <w:shd w:val="clear" w:color="auto" w:fill="FFFFFF"/>
          <w:lang w:eastAsia="en-AU"/>
          <w14:ligatures w14:val="none"/>
        </w:rPr>
        <w:t>):e</w:t>
      </w:r>
      <w:proofErr w:type="gramEnd"/>
      <w:r w:rsidRPr="00D633FF">
        <w:rPr>
          <w:rFonts w:ascii="Calibri" w:eastAsia="Times New Roman" w:hAnsi="Calibri" w:cs="Calibri"/>
          <w:kern w:val="0"/>
          <w:shd w:val="clear" w:color="auto" w:fill="FFFFFF"/>
          <w:lang w:eastAsia="en-AU"/>
          <w14:ligatures w14:val="none"/>
        </w:rPr>
        <w:t xml:space="preserve">07704. </w:t>
      </w:r>
      <w:hyperlink r:id="rId23" w:history="1">
        <w:proofErr w:type="spellStart"/>
        <w:r w:rsidRPr="00D633FF">
          <w:rPr>
            <w:rFonts w:ascii="Calibri" w:eastAsia="Times New Roman" w:hAnsi="Calibri" w:cs="Calibri"/>
            <w:color w:val="0563C1"/>
            <w:kern w:val="0"/>
            <w:u w:val="single"/>
            <w:shd w:val="clear" w:color="auto" w:fill="FFFFFF"/>
            <w:lang w:eastAsia="en-AU"/>
            <w14:ligatures w14:val="none"/>
          </w:rPr>
          <w:t>doi</w:t>
        </w:r>
        <w:proofErr w:type="spellEnd"/>
        <w:r w:rsidRPr="00D633FF">
          <w:rPr>
            <w:rFonts w:ascii="Calibri" w:eastAsia="Times New Roman" w:hAnsi="Calibri" w:cs="Calibri"/>
            <w:color w:val="0563C1"/>
            <w:kern w:val="0"/>
            <w:u w:val="single"/>
            <w:shd w:val="clear" w:color="auto" w:fill="FFFFFF"/>
            <w:lang w:eastAsia="en-AU"/>
            <w14:ligatures w14:val="none"/>
          </w:rPr>
          <w:t>: 10.2903/j.efsa.2023.7704</w:t>
        </w:r>
      </w:hyperlink>
    </w:p>
    <w:p w14:paraId="44619C9D" w14:textId="77777777" w:rsidR="006F0609" w:rsidRPr="00D633FF" w:rsidRDefault="006F0609" w:rsidP="006F0609">
      <w:pPr>
        <w:spacing w:after="80" w:line="180" w:lineRule="atLeast"/>
        <w:contextualSpacing/>
        <w:rPr>
          <w:rFonts w:ascii="Calibri" w:eastAsia="Times New Roman" w:hAnsi="Calibri" w:cs="Calibri"/>
          <w:kern w:val="0"/>
          <w:szCs w:val="24"/>
          <w:lang w:eastAsia="en-AU"/>
          <w14:ligatures w14:val="none"/>
        </w:rPr>
      </w:pPr>
    </w:p>
    <w:p w14:paraId="6FC21F27" w14:textId="3461FC65" w:rsidR="006F0609" w:rsidRPr="00D633FF" w:rsidRDefault="006F0609" w:rsidP="006F0609">
      <w:pPr>
        <w:spacing w:after="80" w:line="180" w:lineRule="atLeast"/>
        <w:contextualSpacing/>
        <w:rPr>
          <w:rFonts w:ascii="Calibri" w:eastAsia="Times New Roman" w:hAnsi="Calibri" w:cs="Calibri"/>
          <w:kern w:val="0"/>
          <w:szCs w:val="24"/>
          <w:lang w:eastAsia="en-AU"/>
          <w14:ligatures w14:val="none"/>
        </w:rPr>
      </w:pPr>
      <w:r w:rsidRPr="00D633FF">
        <w:rPr>
          <w:rFonts w:ascii="Calibri" w:eastAsia="Times New Roman" w:hAnsi="Calibri" w:cs="Calibri"/>
          <w:kern w:val="0"/>
          <w:szCs w:val="24"/>
          <w:lang w:eastAsia="en-AU"/>
          <w14:ligatures w14:val="none"/>
        </w:rPr>
        <w:t>Assessment made by NHMRC</w:t>
      </w:r>
      <w:r w:rsidR="009248B8" w:rsidRPr="00D633FF">
        <w:rPr>
          <w:rFonts w:ascii="Calibri" w:eastAsia="Times New Roman" w:hAnsi="Calibri" w:cs="Calibri"/>
          <w:kern w:val="0"/>
          <w:szCs w:val="24"/>
          <w:lang w:eastAsia="en-AU"/>
          <w14:ligatures w14:val="none"/>
        </w:rPr>
        <w:t xml:space="preserve"> Project Team</w:t>
      </w:r>
      <w:r w:rsidRPr="00D633FF">
        <w:rPr>
          <w:rFonts w:ascii="Calibri" w:eastAsia="Times New Roman" w:hAnsi="Calibri" w:cs="Calibri"/>
          <w:kern w:val="0"/>
          <w:szCs w:val="24"/>
          <w:lang w:eastAsia="en-AU"/>
          <w14:ligatures w14:val="none"/>
        </w:rPr>
        <w:t>: 12 February 2024</w:t>
      </w:r>
    </w:p>
    <w:p w14:paraId="05321F7F" w14:textId="77777777" w:rsidR="006F0609" w:rsidRPr="00D633FF" w:rsidRDefault="006F0609" w:rsidP="006F0609">
      <w:pPr>
        <w:spacing w:after="80" w:line="180" w:lineRule="atLeast"/>
        <w:contextualSpacing/>
        <w:rPr>
          <w:rFonts w:ascii="Calibri" w:eastAsia="Times New Roman" w:hAnsi="Calibri" w:cs="Calibri"/>
          <w:kern w:val="0"/>
          <w:szCs w:val="24"/>
          <w:lang w:eastAsia="en-AU"/>
          <w14:ligatures w14:val="none"/>
        </w:rPr>
      </w:pPr>
    </w:p>
    <w:p w14:paraId="6EEEF638" w14:textId="77777777" w:rsidR="006F0609" w:rsidRPr="00D633FF" w:rsidRDefault="006F0609" w:rsidP="006F0609">
      <w:pPr>
        <w:spacing w:after="80" w:line="180" w:lineRule="atLeast"/>
        <w:contextualSpacing/>
        <w:rPr>
          <w:rFonts w:ascii="Calibri" w:eastAsia="Times New Roman" w:hAnsi="Calibri" w:cs="Calibri"/>
          <w:kern w:val="0"/>
          <w:sz w:val="20"/>
          <w:lang w:eastAsia="en-AU"/>
          <w14:ligatures w14:val="none"/>
        </w:rPr>
      </w:pPr>
      <w:r w:rsidRPr="00D633FF">
        <w:rPr>
          <w:rFonts w:ascii="Calibri" w:eastAsia="Times New Roman" w:hAnsi="Calibri" w:cs="Calibri"/>
          <w:kern w:val="0"/>
          <w:szCs w:val="24"/>
          <w:lang w:eastAsia="en-AU"/>
          <w14:ligatures w14:val="none"/>
        </w:rPr>
        <w:t xml:space="preserve">NHMRC’s preference is to review sources that have made their processes publicly available, however it is understood that some technical aspects of an organisations’ development process may need to be requested from the developer. </w:t>
      </w:r>
    </w:p>
    <w:p w14:paraId="6068AD31" w14:textId="77777777" w:rsidR="006F0609" w:rsidRPr="00D633FF" w:rsidRDefault="006F0609" w:rsidP="006F0609">
      <w:pPr>
        <w:spacing w:after="80" w:line="240" w:lineRule="auto"/>
        <w:contextualSpacing/>
        <w:rPr>
          <w:rFonts w:ascii="Calibri" w:eastAsia="Times New Roman" w:hAnsi="Calibri" w:cs="Calibri"/>
          <w:kern w:val="0"/>
          <w:sz w:val="18"/>
          <w:szCs w:val="18"/>
          <w:shd w:val="clear" w:color="auto" w:fill="9CC2E5"/>
          <w:lang w:eastAsia="en-AU"/>
          <w14:ligatures w14:val="none"/>
        </w:rPr>
      </w:pPr>
    </w:p>
    <w:p w14:paraId="2AC90B8A" w14:textId="77777777" w:rsidR="006F0609" w:rsidRPr="00D633FF" w:rsidRDefault="006F0609" w:rsidP="006F0609">
      <w:pPr>
        <w:keepNext/>
        <w:keepLines/>
        <w:spacing w:before="40" w:after="0" w:line="180" w:lineRule="atLeast"/>
        <w:contextualSpacing/>
        <w:outlineLvl w:val="1"/>
        <w:rPr>
          <w:rFonts w:ascii="Calibri" w:eastAsia="Times New Roman" w:hAnsi="Calibri" w:cs="Calibri"/>
          <w:color w:val="2F5496"/>
          <w:kern w:val="0"/>
          <w:sz w:val="26"/>
          <w:szCs w:val="26"/>
          <w:lang w:eastAsia="en-AU"/>
          <w14:ligatures w14:val="none"/>
        </w:rPr>
      </w:pPr>
      <w:bookmarkStart w:id="87" w:name="_Toc218527990"/>
      <w:r w:rsidRPr="00D633FF">
        <w:rPr>
          <w:rFonts w:ascii="Calibri" w:eastAsia="Times New Roman" w:hAnsi="Calibri" w:cs="Calibri"/>
          <w:color w:val="2F5496"/>
          <w:kern w:val="0"/>
          <w:sz w:val="26"/>
          <w:szCs w:val="26"/>
          <w:lang w:eastAsia="en-AU"/>
          <w14:ligatures w14:val="none"/>
        </w:rPr>
        <w:t>Overall guidance/advice development process</w:t>
      </w:r>
      <w:bookmarkEnd w:id="87"/>
    </w:p>
    <w:p w14:paraId="7DCC85B2" w14:textId="77777777" w:rsidR="006F0609" w:rsidRPr="00D633FF" w:rsidRDefault="006F0609" w:rsidP="006F0609">
      <w:pPr>
        <w:spacing w:after="80" w:line="240" w:lineRule="auto"/>
        <w:contextualSpacing/>
        <w:rPr>
          <w:rFonts w:ascii="Calibri" w:eastAsia="Times New Roman" w:hAnsi="Calibri" w:cs="Calibri"/>
          <w:kern w:val="0"/>
          <w:sz w:val="18"/>
          <w:szCs w:val="18"/>
          <w:shd w:val="clear" w:color="auto" w:fill="9CC2E5"/>
          <w:lang w:eastAsia="en-AU"/>
          <w14:ligatures w14:val="none"/>
        </w:rPr>
      </w:pPr>
    </w:p>
    <w:tbl>
      <w:tblPr>
        <w:tblStyle w:val="TableGrid1"/>
        <w:tblW w:w="1456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653"/>
        <w:gridCol w:w="992"/>
        <w:gridCol w:w="6237"/>
        <w:gridCol w:w="685"/>
      </w:tblGrid>
      <w:tr w:rsidR="006F0609" w:rsidRPr="00D633FF" w14:paraId="3193A452" w14:textId="77777777" w:rsidTr="006F0609">
        <w:trPr>
          <w:cantSplit/>
          <w:tblHeader/>
        </w:trPr>
        <w:tc>
          <w:tcPr>
            <w:tcW w:w="6653" w:type="dxa"/>
            <w:tcBorders>
              <w:top w:val="single" w:sz="8" w:space="0" w:color="auto"/>
              <w:left w:val="single" w:sz="8" w:space="0" w:color="auto"/>
              <w:bottom w:val="single" w:sz="8" w:space="0" w:color="auto"/>
              <w:right w:val="single" w:sz="8" w:space="0" w:color="auto"/>
            </w:tcBorders>
            <w:shd w:val="clear" w:color="auto" w:fill="BFBFBF"/>
            <w:vAlign w:val="center"/>
            <w:hideMark/>
          </w:tcPr>
          <w:p w14:paraId="2A31F254"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b/>
                <w:bCs/>
                <w:szCs w:val="20"/>
                <w:vertAlign w:val="superscript"/>
                <w:lang w:eastAsia="en-AU"/>
              </w:rPr>
            </w:pPr>
            <w:r w:rsidRPr="00D633FF">
              <w:rPr>
                <w:rFonts w:ascii="Calibri" w:eastAsia="Times New Roman" w:hAnsi="Calibri" w:cs="Calibri"/>
                <w:b/>
                <w:bCs/>
                <w:szCs w:val="20"/>
                <w:lang w:eastAsia="en-AU"/>
              </w:rPr>
              <w:t>Criteria</w:t>
            </w:r>
          </w:p>
        </w:tc>
        <w:tc>
          <w:tcPr>
            <w:tcW w:w="992" w:type="dxa"/>
            <w:tcBorders>
              <w:top w:val="single" w:sz="8" w:space="0" w:color="auto"/>
              <w:left w:val="single" w:sz="4" w:space="0" w:color="auto"/>
              <w:bottom w:val="single" w:sz="8" w:space="0" w:color="auto"/>
              <w:right w:val="single" w:sz="8" w:space="0" w:color="auto"/>
            </w:tcBorders>
            <w:shd w:val="clear" w:color="auto" w:fill="BFBFBF"/>
            <w:hideMark/>
          </w:tcPr>
          <w:p w14:paraId="592A534F"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Yes/No/NA</w:t>
            </w:r>
          </w:p>
        </w:tc>
        <w:tc>
          <w:tcPr>
            <w:tcW w:w="6237" w:type="dxa"/>
            <w:tcBorders>
              <w:top w:val="single" w:sz="8" w:space="0" w:color="auto"/>
              <w:left w:val="single" w:sz="8" w:space="0" w:color="auto"/>
              <w:bottom w:val="single" w:sz="8" w:space="0" w:color="auto"/>
              <w:right w:val="single" w:sz="8" w:space="0" w:color="auto"/>
            </w:tcBorders>
            <w:shd w:val="clear" w:color="auto" w:fill="BFBFBF"/>
            <w:vAlign w:val="center"/>
            <w:hideMark/>
          </w:tcPr>
          <w:p w14:paraId="47CAF2E3"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Comment</w:t>
            </w:r>
          </w:p>
        </w:tc>
        <w:tc>
          <w:tcPr>
            <w:tcW w:w="685" w:type="dxa"/>
            <w:tcBorders>
              <w:top w:val="single" w:sz="8" w:space="0" w:color="auto"/>
              <w:left w:val="single" w:sz="8" w:space="0" w:color="auto"/>
              <w:bottom w:val="single" w:sz="8" w:space="0" w:color="auto"/>
              <w:right w:val="single" w:sz="8" w:space="0" w:color="auto"/>
            </w:tcBorders>
            <w:shd w:val="clear" w:color="auto" w:fill="BFBFBF"/>
          </w:tcPr>
          <w:p w14:paraId="4FD4CB9A"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Page #</w:t>
            </w:r>
          </w:p>
        </w:tc>
      </w:tr>
      <w:tr w:rsidR="006F0609" w:rsidRPr="00D633FF" w14:paraId="3A73DE88" w14:textId="77777777">
        <w:trPr>
          <w:cantSplit/>
        </w:trPr>
        <w:tc>
          <w:tcPr>
            <w:tcW w:w="6653" w:type="dxa"/>
            <w:tcBorders>
              <w:top w:val="single" w:sz="4" w:space="0" w:color="auto"/>
              <w:left w:val="single" w:sz="4" w:space="0" w:color="auto"/>
              <w:bottom w:val="single" w:sz="4" w:space="0" w:color="auto"/>
              <w:right w:val="single" w:sz="4" w:space="0" w:color="auto"/>
            </w:tcBorders>
            <w:vAlign w:val="center"/>
            <w:hideMark/>
          </w:tcPr>
          <w:p w14:paraId="08139B4F"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Are the administrative processes (e.g. the NRV development process and associated governance, principles and procedures) documented and publicly available?</w:t>
            </w:r>
          </w:p>
        </w:tc>
        <w:tc>
          <w:tcPr>
            <w:tcW w:w="992" w:type="dxa"/>
            <w:tcBorders>
              <w:top w:val="single" w:sz="4" w:space="0" w:color="auto"/>
              <w:left w:val="single" w:sz="4" w:space="0" w:color="auto"/>
              <w:bottom w:val="single" w:sz="4" w:space="0" w:color="auto"/>
              <w:right w:val="single" w:sz="4" w:space="0" w:color="auto"/>
            </w:tcBorders>
          </w:tcPr>
          <w:p w14:paraId="7339DE0B"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Yes</w:t>
            </w:r>
          </w:p>
        </w:tc>
        <w:tc>
          <w:tcPr>
            <w:tcW w:w="6237" w:type="dxa"/>
            <w:tcBorders>
              <w:top w:val="single" w:sz="4" w:space="0" w:color="auto"/>
              <w:left w:val="single" w:sz="4" w:space="0" w:color="auto"/>
              <w:bottom w:val="single" w:sz="4" w:space="0" w:color="auto"/>
              <w:right w:val="single" w:sz="8" w:space="0" w:color="auto"/>
            </w:tcBorders>
            <w:vAlign w:val="center"/>
          </w:tcPr>
          <w:p w14:paraId="0E083C9E"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Yes – they’ve outlined their methodologies associated with assessment in detail.</w:t>
            </w:r>
          </w:p>
        </w:tc>
        <w:tc>
          <w:tcPr>
            <w:tcW w:w="685" w:type="dxa"/>
            <w:tcBorders>
              <w:top w:val="single" w:sz="4" w:space="0" w:color="auto"/>
              <w:left w:val="single" w:sz="4" w:space="0" w:color="auto"/>
              <w:bottom w:val="single" w:sz="4" w:space="0" w:color="auto"/>
              <w:right w:val="single" w:sz="8" w:space="0" w:color="auto"/>
            </w:tcBorders>
          </w:tcPr>
          <w:p w14:paraId="6D0A2D2C"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p>
        </w:tc>
      </w:tr>
      <w:tr w:rsidR="006F0609" w:rsidRPr="00D633FF" w14:paraId="603EF958" w14:textId="77777777">
        <w:trPr>
          <w:cantSplit/>
        </w:trPr>
        <w:tc>
          <w:tcPr>
            <w:tcW w:w="6653" w:type="dxa"/>
            <w:tcBorders>
              <w:top w:val="single" w:sz="8" w:space="0" w:color="auto"/>
              <w:left w:val="single" w:sz="4" w:space="0" w:color="auto"/>
              <w:bottom w:val="single" w:sz="4" w:space="0" w:color="auto"/>
              <w:right w:val="single" w:sz="4" w:space="0" w:color="auto"/>
            </w:tcBorders>
            <w:vAlign w:val="center"/>
            <w:hideMark/>
          </w:tcPr>
          <w:p w14:paraId="0A2CD077"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Are the key stages of the organisation’s NRV development processes compatible with NHMRC processes? (i.e., relevant and useful, transparent, overseen by a guideline development group/committee,</w:t>
            </w:r>
            <w:r w:rsidRPr="00D633FF">
              <w:rPr>
                <w:rFonts w:ascii="Calibri" w:eastAsia="Times New Roman" w:hAnsi="Calibri" w:cs="Calibri"/>
                <w:color w:val="FF0000"/>
                <w:szCs w:val="20"/>
                <w:lang w:eastAsia="en-AU"/>
              </w:rPr>
              <w:t xml:space="preserve"> </w:t>
            </w:r>
            <w:r w:rsidRPr="00D633FF">
              <w:rPr>
                <w:rFonts w:ascii="Calibri" w:eastAsia="Times New Roman" w:hAnsi="Calibri" w:cs="Calibri"/>
                <w:szCs w:val="20"/>
                <w:lang w:eastAsia="en-AU"/>
              </w:rPr>
              <w:t>COI management, focussed on health-related outcomes, evidence informed, actionable recs, up to date and accessible)</w:t>
            </w:r>
          </w:p>
        </w:tc>
        <w:tc>
          <w:tcPr>
            <w:tcW w:w="992" w:type="dxa"/>
            <w:tcBorders>
              <w:top w:val="single" w:sz="8" w:space="0" w:color="auto"/>
              <w:left w:val="single" w:sz="4" w:space="0" w:color="auto"/>
              <w:bottom w:val="single" w:sz="4" w:space="0" w:color="auto"/>
              <w:right w:val="single" w:sz="4" w:space="0" w:color="auto"/>
            </w:tcBorders>
          </w:tcPr>
          <w:p w14:paraId="74461C86"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Yes</w:t>
            </w:r>
          </w:p>
        </w:tc>
        <w:tc>
          <w:tcPr>
            <w:tcW w:w="6237" w:type="dxa"/>
            <w:tcBorders>
              <w:top w:val="single" w:sz="8" w:space="0" w:color="auto"/>
              <w:left w:val="single" w:sz="4" w:space="0" w:color="auto"/>
              <w:bottom w:val="single" w:sz="4" w:space="0" w:color="auto"/>
              <w:right w:val="single" w:sz="8" w:space="0" w:color="auto"/>
            </w:tcBorders>
            <w:vAlign w:val="center"/>
          </w:tcPr>
          <w:p w14:paraId="40C142D5" w14:textId="61CC8ED1"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It is broadly compatible with NHMRC 2016 Standards: Relevant and useful, transparent, overseen by a GDG, COI m</w:t>
            </w:r>
            <w:r w:rsidR="00E752E0" w:rsidRPr="00D633FF">
              <w:rPr>
                <w:rFonts w:ascii="Calibri" w:eastAsia="Times New Roman" w:hAnsi="Calibri" w:cs="Calibri"/>
                <w:szCs w:val="20"/>
                <w:lang w:eastAsia="en-AU"/>
              </w:rPr>
              <w:t>anagement</w:t>
            </w:r>
            <w:r w:rsidRPr="00D633FF">
              <w:rPr>
                <w:rFonts w:ascii="Calibri" w:eastAsia="Times New Roman" w:hAnsi="Calibri" w:cs="Calibri"/>
                <w:szCs w:val="20"/>
                <w:lang w:eastAsia="en-AU"/>
              </w:rPr>
              <w:t xml:space="preserve">, focussed on </w:t>
            </w:r>
            <w:proofErr w:type="gramStart"/>
            <w:r w:rsidRPr="00D633FF">
              <w:rPr>
                <w:rFonts w:ascii="Calibri" w:eastAsia="Times New Roman" w:hAnsi="Calibri" w:cs="Calibri"/>
                <w:szCs w:val="20"/>
                <w:lang w:eastAsia="en-AU"/>
              </w:rPr>
              <w:t>health related</w:t>
            </w:r>
            <w:proofErr w:type="gramEnd"/>
            <w:r w:rsidRPr="00D633FF">
              <w:rPr>
                <w:rFonts w:ascii="Calibri" w:eastAsia="Times New Roman" w:hAnsi="Calibri" w:cs="Calibri"/>
                <w:szCs w:val="20"/>
                <w:lang w:eastAsia="en-AU"/>
              </w:rPr>
              <w:t xml:space="preserve"> outcomes, evidence informed, actionable recs, up to date and accessible.</w:t>
            </w:r>
          </w:p>
        </w:tc>
        <w:tc>
          <w:tcPr>
            <w:tcW w:w="685" w:type="dxa"/>
            <w:tcBorders>
              <w:top w:val="single" w:sz="8" w:space="0" w:color="auto"/>
              <w:left w:val="single" w:sz="4" w:space="0" w:color="auto"/>
              <w:bottom w:val="single" w:sz="4" w:space="0" w:color="auto"/>
              <w:right w:val="single" w:sz="8" w:space="0" w:color="auto"/>
            </w:tcBorders>
          </w:tcPr>
          <w:p w14:paraId="512DAC7C"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p>
        </w:tc>
      </w:tr>
      <w:tr w:rsidR="006F0609" w:rsidRPr="00D633FF" w14:paraId="670961E1" w14:textId="77777777">
        <w:trPr>
          <w:cantSplit/>
        </w:trPr>
        <w:tc>
          <w:tcPr>
            <w:tcW w:w="6653" w:type="dxa"/>
            <w:tcBorders>
              <w:top w:val="single" w:sz="4" w:space="0" w:color="auto"/>
              <w:left w:val="single" w:sz="4" w:space="0" w:color="auto"/>
              <w:bottom w:val="single" w:sz="4" w:space="0" w:color="auto"/>
              <w:right w:val="single" w:sz="4" w:space="0" w:color="auto"/>
            </w:tcBorders>
            <w:vAlign w:val="center"/>
            <w:hideMark/>
          </w:tcPr>
          <w:p w14:paraId="6AF09F2D"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 xml:space="preserve">Was the work overseen by an expert advisory committee? </w:t>
            </w:r>
          </w:p>
        </w:tc>
        <w:tc>
          <w:tcPr>
            <w:tcW w:w="992" w:type="dxa"/>
            <w:tcBorders>
              <w:top w:val="single" w:sz="4" w:space="0" w:color="auto"/>
              <w:left w:val="single" w:sz="4" w:space="0" w:color="auto"/>
              <w:bottom w:val="single" w:sz="4" w:space="0" w:color="auto"/>
              <w:right w:val="single" w:sz="4" w:space="0" w:color="auto"/>
            </w:tcBorders>
          </w:tcPr>
          <w:p w14:paraId="2C176501"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Yes</w:t>
            </w:r>
          </w:p>
        </w:tc>
        <w:tc>
          <w:tcPr>
            <w:tcW w:w="6237" w:type="dxa"/>
            <w:tcBorders>
              <w:top w:val="single" w:sz="4" w:space="0" w:color="auto"/>
              <w:left w:val="single" w:sz="4" w:space="0" w:color="auto"/>
              <w:bottom w:val="single" w:sz="4" w:space="0" w:color="auto"/>
              <w:right w:val="single" w:sz="8" w:space="0" w:color="auto"/>
            </w:tcBorders>
            <w:vAlign w:val="center"/>
          </w:tcPr>
          <w:p w14:paraId="188AA152"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European Food Safety Authority NDA Panel – Panel members are listed</w:t>
            </w:r>
          </w:p>
        </w:tc>
        <w:tc>
          <w:tcPr>
            <w:tcW w:w="685" w:type="dxa"/>
            <w:tcBorders>
              <w:top w:val="single" w:sz="4" w:space="0" w:color="auto"/>
              <w:left w:val="single" w:sz="4" w:space="0" w:color="auto"/>
              <w:bottom w:val="single" w:sz="4" w:space="0" w:color="auto"/>
              <w:right w:val="single" w:sz="8" w:space="0" w:color="auto"/>
            </w:tcBorders>
          </w:tcPr>
          <w:p w14:paraId="195B84FB"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2</w:t>
            </w:r>
          </w:p>
        </w:tc>
      </w:tr>
      <w:tr w:rsidR="006F0609" w:rsidRPr="00D633FF" w14:paraId="5D4AF8DD" w14:textId="77777777">
        <w:trPr>
          <w:cantSplit/>
        </w:trPr>
        <w:tc>
          <w:tcPr>
            <w:tcW w:w="6653" w:type="dxa"/>
            <w:tcBorders>
              <w:top w:val="single" w:sz="4" w:space="0" w:color="auto"/>
              <w:left w:val="single" w:sz="4" w:space="0" w:color="auto"/>
              <w:bottom w:val="single" w:sz="4" w:space="0" w:color="auto"/>
              <w:right w:val="single" w:sz="4" w:space="0" w:color="auto"/>
            </w:tcBorders>
            <w:vAlign w:val="center"/>
            <w:hideMark/>
          </w:tcPr>
          <w:p w14:paraId="6DFCE6A0" w14:textId="77777777" w:rsidR="006F0609" w:rsidRPr="00D633FF" w:rsidRDefault="006F0609" w:rsidP="006F0609">
            <w:pPr>
              <w:tabs>
                <w:tab w:val="center" w:pos="4513"/>
                <w:tab w:val="right" w:pos="9026"/>
              </w:tabs>
              <w:contextualSpacing/>
              <w:rPr>
                <w:rFonts w:ascii="Calibri" w:eastAsia="Times New Roman" w:hAnsi="Calibri" w:cs="Calibri"/>
                <w:lang w:eastAsia="en-AU"/>
              </w:rPr>
            </w:pPr>
            <w:r w:rsidRPr="00D633FF">
              <w:rPr>
                <w:rFonts w:ascii="Calibri" w:eastAsia="Times New Roman" w:hAnsi="Calibri" w:cs="Calibri"/>
                <w:szCs w:val="24"/>
                <w:lang w:eastAsia="en-AU"/>
              </w:rPr>
              <w:t>Are potential conflicts of interest of committee members declared, managed and/or reported?</w:t>
            </w:r>
          </w:p>
        </w:tc>
        <w:tc>
          <w:tcPr>
            <w:tcW w:w="992" w:type="dxa"/>
            <w:tcBorders>
              <w:top w:val="single" w:sz="4" w:space="0" w:color="auto"/>
              <w:left w:val="single" w:sz="4" w:space="0" w:color="auto"/>
              <w:bottom w:val="single" w:sz="4" w:space="0" w:color="auto"/>
              <w:right w:val="single" w:sz="4" w:space="0" w:color="auto"/>
            </w:tcBorders>
          </w:tcPr>
          <w:p w14:paraId="1A288BED"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Yes</w:t>
            </w:r>
          </w:p>
        </w:tc>
        <w:tc>
          <w:tcPr>
            <w:tcW w:w="6237" w:type="dxa"/>
            <w:tcBorders>
              <w:top w:val="single" w:sz="4" w:space="0" w:color="auto"/>
              <w:left w:val="single" w:sz="4" w:space="0" w:color="auto"/>
              <w:bottom w:val="single" w:sz="4" w:space="0" w:color="auto"/>
              <w:right w:val="single" w:sz="8" w:space="0" w:color="auto"/>
            </w:tcBorders>
            <w:vAlign w:val="center"/>
          </w:tcPr>
          <w:p w14:paraId="208CCA0F"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hyperlink r:id="rId24" w:history="1">
              <w:r w:rsidRPr="00D633FF">
                <w:rPr>
                  <w:rFonts w:ascii="Calibri" w:eastAsia="Times New Roman" w:hAnsi="Calibri" w:cs="Calibri"/>
                  <w:color w:val="0563C1"/>
                  <w:szCs w:val="20"/>
                  <w:u w:val="single"/>
                  <w:lang w:eastAsia="en-AU"/>
                </w:rPr>
                <w:t>Open EFSA (europa.eu)</w:t>
              </w:r>
            </w:hyperlink>
            <w:r w:rsidRPr="00D633FF">
              <w:rPr>
                <w:rFonts w:ascii="Calibri" w:eastAsia="Times New Roman" w:hAnsi="Calibri" w:cs="Calibri"/>
                <w:szCs w:val="20"/>
                <w:lang w:eastAsia="en-AU"/>
              </w:rPr>
              <w:t xml:space="preserve">. Management policies for COI are found </w:t>
            </w:r>
            <w:hyperlink r:id="rId25" w:history="1">
              <w:r w:rsidRPr="00D633FF">
                <w:rPr>
                  <w:rFonts w:ascii="Calibri" w:eastAsia="Times New Roman" w:hAnsi="Calibri" w:cs="Calibri"/>
                  <w:color w:val="0563C1"/>
                  <w:szCs w:val="24"/>
                  <w:u w:val="single"/>
                  <w:lang w:val="en-GB" w:eastAsia="en-AU"/>
                </w:rPr>
                <w:t>Here</w:t>
              </w:r>
            </w:hyperlink>
            <w:r w:rsidRPr="00D633FF">
              <w:rPr>
                <w:rFonts w:ascii="Calibri" w:eastAsia="Times New Roman" w:hAnsi="Calibri" w:cs="Calibri"/>
                <w:szCs w:val="24"/>
                <w:lang w:val="en-GB" w:eastAsia="en-AU"/>
              </w:rPr>
              <w:t>.</w:t>
            </w:r>
          </w:p>
        </w:tc>
        <w:tc>
          <w:tcPr>
            <w:tcW w:w="685" w:type="dxa"/>
            <w:tcBorders>
              <w:top w:val="single" w:sz="4" w:space="0" w:color="auto"/>
              <w:left w:val="single" w:sz="4" w:space="0" w:color="auto"/>
              <w:bottom w:val="single" w:sz="4" w:space="0" w:color="auto"/>
              <w:right w:val="single" w:sz="8" w:space="0" w:color="auto"/>
            </w:tcBorders>
          </w:tcPr>
          <w:p w14:paraId="54305573"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2</w:t>
            </w:r>
          </w:p>
        </w:tc>
      </w:tr>
      <w:tr w:rsidR="006F0609" w:rsidRPr="00D633FF" w14:paraId="0196D618" w14:textId="77777777">
        <w:trPr>
          <w:cantSplit/>
        </w:trPr>
        <w:tc>
          <w:tcPr>
            <w:tcW w:w="6653" w:type="dxa"/>
            <w:tcBorders>
              <w:top w:val="single" w:sz="4" w:space="0" w:color="auto"/>
              <w:left w:val="single" w:sz="4" w:space="0" w:color="auto"/>
              <w:bottom w:val="single" w:sz="4" w:space="0" w:color="auto"/>
              <w:right w:val="single" w:sz="4" w:space="0" w:color="auto"/>
            </w:tcBorders>
            <w:vAlign w:val="center"/>
            <w:hideMark/>
          </w:tcPr>
          <w:p w14:paraId="203A1931"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lastRenderedPageBreak/>
              <w:t>Are funding sources declared?</w:t>
            </w:r>
          </w:p>
        </w:tc>
        <w:tc>
          <w:tcPr>
            <w:tcW w:w="992" w:type="dxa"/>
            <w:tcBorders>
              <w:top w:val="single" w:sz="4" w:space="0" w:color="auto"/>
              <w:left w:val="single" w:sz="4" w:space="0" w:color="auto"/>
              <w:bottom w:val="single" w:sz="4" w:space="0" w:color="auto"/>
              <w:right w:val="single" w:sz="4" w:space="0" w:color="auto"/>
            </w:tcBorders>
          </w:tcPr>
          <w:p w14:paraId="6FE53DA5"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Yes</w:t>
            </w:r>
          </w:p>
        </w:tc>
        <w:tc>
          <w:tcPr>
            <w:tcW w:w="6237" w:type="dxa"/>
            <w:tcBorders>
              <w:top w:val="single" w:sz="4" w:space="0" w:color="auto"/>
              <w:left w:val="single" w:sz="4" w:space="0" w:color="auto"/>
              <w:bottom w:val="single" w:sz="4" w:space="0" w:color="auto"/>
              <w:right w:val="single" w:sz="8" w:space="0" w:color="auto"/>
            </w:tcBorders>
            <w:vAlign w:val="center"/>
          </w:tcPr>
          <w:p w14:paraId="487AE2C5"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 xml:space="preserve">It is noted that this report was requested by the European Commission. </w:t>
            </w:r>
            <w:r w:rsidRPr="00D633FF">
              <w:rPr>
                <w:rFonts w:ascii="Calibri" w:eastAsia="Times New Roman" w:hAnsi="Calibri" w:cs="Calibri"/>
                <w:szCs w:val="20"/>
                <w:lang w:val="en-GB" w:eastAsia="en-AU"/>
              </w:rPr>
              <w:t xml:space="preserve">EFSA, as an agency of the European Union, is strictly funded by public funds, almost entirely from the EU budget. Budget is published annually here: </w:t>
            </w:r>
            <w:hyperlink r:id="rId26" w:history="1">
              <w:r w:rsidRPr="00D633FF">
                <w:rPr>
                  <w:rFonts w:ascii="Calibri" w:eastAsia="Times New Roman" w:hAnsi="Calibri" w:cs="Calibri"/>
                  <w:color w:val="0563C1"/>
                  <w:szCs w:val="20"/>
                  <w:u w:val="single"/>
                  <w:lang w:val="en-GB" w:eastAsia="en-AU"/>
                </w:rPr>
                <w:t>Statement of revenue and expenditure for the 2023 financial year</w:t>
              </w:r>
            </w:hyperlink>
          </w:p>
          <w:p w14:paraId="2D5A74E9"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p>
        </w:tc>
        <w:tc>
          <w:tcPr>
            <w:tcW w:w="685" w:type="dxa"/>
            <w:tcBorders>
              <w:top w:val="single" w:sz="4" w:space="0" w:color="auto"/>
              <w:left w:val="single" w:sz="4" w:space="0" w:color="auto"/>
              <w:bottom w:val="single" w:sz="4" w:space="0" w:color="auto"/>
              <w:right w:val="single" w:sz="8" w:space="0" w:color="auto"/>
            </w:tcBorders>
          </w:tcPr>
          <w:p w14:paraId="0243E437"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p>
        </w:tc>
      </w:tr>
      <w:tr w:rsidR="006F0609" w:rsidRPr="00D633FF" w14:paraId="6DBF8437" w14:textId="77777777">
        <w:trPr>
          <w:cantSplit/>
        </w:trPr>
        <w:tc>
          <w:tcPr>
            <w:tcW w:w="6653" w:type="dxa"/>
            <w:tcBorders>
              <w:top w:val="single" w:sz="4" w:space="0" w:color="auto"/>
              <w:left w:val="single" w:sz="4" w:space="0" w:color="auto"/>
              <w:bottom w:val="single" w:sz="4" w:space="0" w:color="auto"/>
              <w:right w:val="single" w:sz="4" w:space="0" w:color="auto"/>
            </w:tcBorders>
            <w:vAlign w:val="center"/>
            <w:hideMark/>
          </w:tcPr>
          <w:p w14:paraId="12A00E79"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Was there public consultation on this work? if yes, is the public consultation documented and/or published?</w:t>
            </w:r>
          </w:p>
        </w:tc>
        <w:tc>
          <w:tcPr>
            <w:tcW w:w="992" w:type="dxa"/>
            <w:tcBorders>
              <w:top w:val="single" w:sz="4" w:space="0" w:color="auto"/>
              <w:left w:val="single" w:sz="4" w:space="0" w:color="auto"/>
              <w:bottom w:val="single" w:sz="4" w:space="0" w:color="auto"/>
              <w:right w:val="single" w:sz="4" w:space="0" w:color="auto"/>
            </w:tcBorders>
          </w:tcPr>
          <w:p w14:paraId="2157E177"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Yes</w:t>
            </w:r>
          </w:p>
        </w:tc>
        <w:tc>
          <w:tcPr>
            <w:tcW w:w="6237" w:type="dxa"/>
            <w:tcBorders>
              <w:top w:val="single" w:sz="4" w:space="0" w:color="auto"/>
              <w:left w:val="single" w:sz="4" w:space="0" w:color="auto"/>
              <w:bottom w:val="single" w:sz="4" w:space="0" w:color="auto"/>
              <w:right w:val="single" w:sz="8" w:space="0" w:color="auto"/>
            </w:tcBorders>
            <w:vAlign w:val="center"/>
          </w:tcPr>
          <w:p w14:paraId="43714AB5"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Yes – 14 Sept 22 – 19 Oct 22</w:t>
            </w:r>
          </w:p>
          <w:p w14:paraId="6C4BE1CF"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Outcomes published in Annex F</w:t>
            </w:r>
          </w:p>
        </w:tc>
        <w:tc>
          <w:tcPr>
            <w:tcW w:w="685" w:type="dxa"/>
            <w:tcBorders>
              <w:top w:val="single" w:sz="4" w:space="0" w:color="auto"/>
              <w:left w:val="single" w:sz="4" w:space="0" w:color="auto"/>
              <w:bottom w:val="single" w:sz="4" w:space="0" w:color="auto"/>
              <w:right w:val="single" w:sz="8" w:space="0" w:color="auto"/>
            </w:tcBorders>
          </w:tcPr>
          <w:p w14:paraId="3622BD28"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16</w:t>
            </w:r>
          </w:p>
        </w:tc>
      </w:tr>
      <w:tr w:rsidR="006F0609" w:rsidRPr="00D633FF" w14:paraId="67686C66" w14:textId="77777777">
        <w:trPr>
          <w:cantSplit/>
        </w:trPr>
        <w:tc>
          <w:tcPr>
            <w:tcW w:w="6653" w:type="dxa"/>
            <w:tcBorders>
              <w:top w:val="single" w:sz="4" w:space="0" w:color="auto"/>
              <w:left w:val="single" w:sz="4" w:space="0" w:color="auto"/>
              <w:bottom w:val="single" w:sz="4" w:space="0" w:color="auto"/>
              <w:right w:val="single" w:sz="4" w:space="0" w:color="auto"/>
            </w:tcBorders>
            <w:vAlign w:val="center"/>
            <w:hideMark/>
          </w:tcPr>
          <w:p w14:paraId="67402644"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Was the guidance/advice developed or updated recently?</w:t>
            </w:r>
          </w:p>
        </w:tc>
        <w:tc>
          <w:tcPr>
            <w:tcW w:w="992" w:type="dxa"/>
            <w:tcBorders>
              <w:top w:val="single" w:sz="4" w:space="0" w:color="auto"/>
              <w:left w:val="single" w:sz="4" w:space="0" w:color="auto"/>
              <w:bottom w:val="single" w:sz="4" w:space="0" w:color="auto"/>
              <w:right w:val="single" w:sz="4" w:space="0" w:color="auto"/>
            </w:tcBorders>
          </w:tcPr>
          <w:p w14:paraId="2308FB50"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Yes</w:t>
            </w:r>
          </w:p>
        </w:tc>
        <w:tc>
          <w:tcPr>
            <w:tcW w:w="6237" w:type="dxa"/>
            <w:tcBorders>
              <w:top w:val="single" w:sz="4" w:space="0" w:color="auto"/>
              <w:left w:val="single" w:sz="4" w:space="0" w:color="auto"/>
              <w:bottom w:val="single" w:sz="4" w:space="0" w:color="auto"/>
              <w:right w:val="single" w:sz="8" w:space="0" w:color="auto"/>
            </w:tcBorders>
            <w:vAlign w:val="center"/>
          </w:tcPr>
          <w:p w14:paraId="2A9DE22A"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2022 – Adopted 2023</w:t>
            </w:r>
          </w:p>
        </w:tc>
        <w:tc>
          <w:tcPr>
            <w:tcW w:w="685" w:type="dxa"/>
            <w:tcBorders>
              <w:top w:val="single" w:sz="4" w:space="0" w:color="auto"/>
              <w:left w:val="single" w:sz="4" w:space="0" w:color="auto"/>
              <w:bottom w:val="single" w:sz="4" w:space="0" w:color="auto"/>
              <w:right w:val="single" w:sz="8" w:space="0" w:color="auto"/>
            </w:tcBorders>
          </w:tcPr>
          <w:p w14:paraId="05FA1E48"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p>
        </w:tc>
      </w:tr>
    </w:tbl>
    <w:p w14:paraId="2C136065"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kern w:val="0"/>
          <w:szCs w:val="20"/>
          <w:lang w:eastAsia="en-AU"/>
          <w14:ligatures w14:val="none"/>
        </w:rPr>
      </w:pPr>
    </w:p>
    <w:p w14:paraId="7E65C646" w14:textId="77777777" w:rsidR="006F0609" w:rsidRPr="00D633FF" w:rsidRDefault="006F0609" w:rsidP="006F0609">
      <w:pPr>
        <w:keepNext/>
        <w:keepLines/>
        <w:spacing w:before="40" w:after="0" w:line="180" w:lineRule="atLeast"/>
        <w:contextualSpacing/>
        <w:outlineLvl w:val="1"/>
        <w:rPr>
          <w:rFonts w:ascii="Calibri" w:eastAsia="Times New Roman" w:hAnsi="Calibri" w:cs="Calibri"/>
          <w:color w:val="2F5496"/>
          <w:kern w:val="0"/>
          <w:sz w:val="26"/>
          <w:szCs w:val="26"/>
          <w:lang w:eastAsia="en-AU"/>
          <w14:ligatures w14:val="none"/>
        </w:rPr>
      </w:pPr>
      <w:bookmarkStart w:id="88" w:name="_Toc218527991"/>
      <w:r w:rsidRPr="00D633FF">
        <w:rPr>
          <w:rFonts w:ascii="Calibri" w:eastAsia="Times New Roman" w:hAnsi="Calibri" w:cs="Calibri"/>
          <w:color w:val="2F5496"/>
          <w:kern w:val="0"/>
          <w:sz w:val="26"/>
          <w:szCs w:val="26"/>
          <w:lang w:eastAsia="en-AU"/>
          <w14:ligatures w14:val="none"/>
        </w:rPr>
        <w:t xml:space="preserve">Evidence </w:t>
      </w:r>
      <w:proofErr w:type="gramStart"/>
      <w:r w:rsidRPr="00D633FF">
        <w:rPr>
          <w:rFonts w:ascii="Calibri" w:eastAsia="Times New Roman" w:hAnsi="Calibri" w:cs="Calibri"/>
          <w:color w:val="2F5496"/>
          <w:kern w:val="0"/>
          <w:sz w:val="26"/>
          <w:szCs w:val="26"/>
          <w:lang w:eastAsia="en-AU"/>
          <w14:ligatures w14:val="none"/>
        </w:rPr>
        <w:t>review</w:t>
      </w:r>
      <w:proofErr w:type="gramEnd"/>
      <w:r w:rsidRPr="00D633FF">
        <w:rPr>
          <w:rFonts w:ascii="Calibri" w:eastAsia="Times New Roman" w:hAnsi="Calibri" w:cs="Calibri"/>
          <w:color w:val="2F5496"/>
          <w:kern w:val="0"/>
          <w:sz w:val="26"/>
          <w:szCs w:val="26"/>
          <w:lang w:eastAsia="en-AU"/>
          <w14:ligatures w14:val="none"/>
        </w:rPr>
        <w:t xml:space="preserve"> parameters</w:t>
      </w:r>
      <w:bookmarkEnd w:id="88"/>
    </w:p>
    <w:tbl>
      <w:tblPr>
        <w:tblStyle w:val="TableGrid1"/>
        <w:tblW w:w="1456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653"/>
        <w:gridCol w:w="992"/>
        <w:gridCol w:w="6237"/>
        <w:gridCol w:w="685"/>
      </w:tblGrid>
      <w:tr w:rsidR="006F0609" w:rsidRPr="00D633FF" w14:paraId="20B5AFE7" w14:textId="77777777" w:rsidTr="006F0609">
        <w:trPr>
          <w:cantSplit/>
          <w:tblHeader/>
        </w:trPr>
        <w:tc>
          <w:tcPr>
            <w:tcW w:w="6653" w:type="dxa"/>
            <w:tcBorders>
              <w:top w:val="single" w:sz="8" w:space="0" w:color="auto"/>
              <w:left w:val="single" w:sz="8" w:space="0" w:color="auto"/>
              <w:bottom w:val="single" w:sz="8" w:space="0" w:color="auto"/>
              <w:right w:val="single" w:sz="8" w:space="0" w:color="auto"/>
            </w:tcBorders>
            <w:shd w:val="clear" w:color="auto" w:fill="BFBFBF"/>
            <w:vAlign w:val="center"/>
            <w:hideMark/>
          </w:tcPr>
          <w:p w14:paraId="2174657D"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b/>
                <w:bCs/>
                <w:szCs w:val="20"/>
                <w:vertAlign w:val="superscript"/>
                <w:lang w:eastAsia="en-AU"/>
              </w:rPr>
            </w:pPr>
            <w:r w:rsidRPr="00D633FF">
              <w:rPr>
                <w:rFonts w:ascii="Calibri" w:eastAsia="Times New Roman" w:hAnsi="Calibri" w:cs="Calibri"/>
                <w:b/>
                <w:bCs/>
                <w:szCs w:val="20"/>
                <w:lang w:eastAsia="en-AU"/>
              </w:rPr>
              <w:t>Criteria</w:t>
            </w:r>
          </w:p>
        </w:tc>
        <w:tc>
          <w:tcPr>
            <w:tcW w:w="992" w:type="dxa"/>
            <w:tcBorders>
              <w:top w:val="single" w:sz="8" w:space="0" w:color="auto"/>
              <w:left w:val="single" w:sz="4" w:space="0" w:color="auto"/>
              <w:bottom w:val="single" w:sz="8" w:space="0" w:color="auto"/>
              <w:right w:val="single" w:sz="8" w:space="0" w:color="auto"/>
            </w:tcBorders>
            <w:shd w:val="clear" w:color="auto" w:fill="BFBFBF"/>
            <w:hideMark/>
          </w:tcPr>
          <w:p w14:paraId="09664235"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Yes/No/NA</w:t>
            </w:r>
          </w:p>
        </w:tc>
        <w:tc>
          <w:tcPr>
            <w:tcW w:w="6237" w:type="dxa"/>
            <w:tcBorders>
              <w:top w:val="single" w:sz="8" w:space="0" w:color="auto"/>
              <w:left w:val="single" w:sz="8" w:space="0" w:color="auto"/>
              <w:bottom w:val="single" w:sz="8" w:space="0" w:color="auto"/>
              <w:right w:val="single" w:sz="8" w:space="0" w:color="auto"/>
            </w:tcBorders>
            <w:shd w:val="clear" w:color="auto" w:fill="BFBFBF"/>
            <w:vAlign w:val="center"/>
            <w:hideMark/>
          </w:tcPr>
          <w:p w14:paraId="33069DE8"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Comment</w:t>
            </w:r>
          </w:p>
        </w:tc>
        <w:tc>
          <w:tcPr>
            <w:tcW w:w="685" w:type="dxa"/>
            <w:tcBorders>
              <w:top w:val="single" w:sz="8" w:space="0" w:color="auto"/>
              <w:left w:val="single" w:sz="8" w:space="0" w:color="auto"/>
              <w:bottom w:val="single" w:sz="8" w:space="0" w:color="auto"/>
              <w:right w:val="single" w:sz="8" w:space="0" w:color="auto"/>
            </w:tcBorders>
            <w:shd w:val="clear" w:color="auto" w:fill="BFBFBF"/>
          </w:tcPr>
          <w:p w14:paraId="1FE49F08"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Page #</w:t>
            </w:r>
          </w:p>
        </w:tc>
      </w:tr>
      <w:tr w:rsidR="006F0609" w:rsidRPr="00D633FF" w14:paraId="2B4A7998" w14:textId="77777777">
        <w:trPr>
          <w:cantSplit/>
        </w:trPr>
        <w:tc>
          <w:tcPr>
            <w:tcW w:w="6653" w:type="dxa"/>
            <w:tcBorders>
              <w:top w:val="single" w:sz="8" w:space="0" w:color="auto"/>
              <w:left w:val="single" w:sz="4" w:space="0" w:color="auto"/>
              <w:bottom w:val="single" w:sz="4" w:space="0" w:color="auto"/>
              <w:right w:val="single" w:sz="4" w:space="0" w:color="auto"/>
            </w:tcBorders>
            <w:vAlign w:val="center"/>
            <w:hideMark/>
          </w:tcPr>
          <w:p w14:paraId="7529FB05"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Are decisions about scope, definitions and evidence review parameters documented and publicly available?</w:t>
            </w:r>
          </w:p>
        </w:tc>
        <w:tc>
          <w:tcPr>
            <w:tcW w:w="992" w:type="dxa"/>
            <w:tcBorders>
              <w:top w:val="single" w:sz="8" w:space="0" w:color="auto"/>
              <w:left w:val="single" w:sz="4" w:space="0" w:color="auto"/>
              <w:bottom w:val="single" w:sz="4" w:space="0" w:color="auto"/>
              <w:right w:val="single" w:sz="4" w:space="0" w:color="auto"/>
            </w:tcBorders>
          </w:tcPr>
          <w:p w14:paraId="668FE14E"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 xml:space="preserve">Yes </w:t>
            </w:r>
          </w:p>
        </w:tc>
        <w:tc>
          <w:tcPr>
            <w:tcW w:w="6237" w:type="dxa"/>
            <w:tcBorders>
              <w:top w:val="single" w:sz="8" w:space="0" w:color="auto"/>
              <w:left w:val="single" w:sz="4" w:space="0" w:color="auto"/>
              <w:bottom w:val="single" w:sz="4" w:space="0" w:color="auto"/>
              <w:right w:val="single" w:sz="8" w:space="0" w:color="auto"/>
            </w:tcBorders>
            <w:vAlign w:val="center"/>
          </w:tcPr>
          <w:p w14:paraId="38C35C28"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 xml:space="preserve">Terms of reference and interpretation is stated. Problem is identified and clinical questions including method of how they want to source the evidence </w:t>
            </w:r>
          </w:p>
        </w:tc>
        <w:tc>
          <w:tcPr>
            <w:tcW w:w="685" w:type="dxa"/>
            <w:tcBorders>
              <w:top w:val="single" w:sz="8" w:space="0" w:color="auto"/>
              <w:left w:val="single" w:sz="4" w:space="0" w:color="auto"/>
              <w:bottom w:val="single" w:sz="4" w:space="0" w:color="auto"/>
              <w:right w:val="single" w:sz="8" w:space="0" w:color="auto"/>
            </w:tcBorders>
          </w:tcPr>
          <w:p w14:paraId="39B336CF"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8</w:t>
            </w:r>
          </w:p>
        </w:tc>
      </w:tr>
      <w:tr w:rsidR="006F0609" w:rsidRPr="00D633FF" w14:paraId="2996C94F" w14:textId="77777777">
        <w:trPr>
          <w:cantSplit/>
        </w:trPr>
        <w:tc>
          <w:tcPr>
            <w:tcW w:w="6653" w:type="dxa"/>
            <w:tcBorders>
              <w:top w:val="single" w:sz="4" w:space="0" w:color="auto"/>
              <w:left w:val="single" w:sz="4" w:space="0" w:color="auto"/>
              <w:bottom w:val="single" w:sz="4" w:space="0" w:color="auto"/>
              <w:right w:val="single" w:sz="4" w:space="0" w:color="auto"/>
            </w:tcBorders>
            <w:vAlign w:val="center"/>
          </w:tcPr>
          <w:p w14:paraId="63278040"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Were clinical/research questions articulated and PICO criteria outlined appropriate to the topic?</w:t>
            </w:r>
          </w:p>
        </w:tc>
        <w:tc>
          <w:tcPr>
            <w:tcW w:w="992" w:type="dxa"/>
            <w:tcBorders>
              <w:top w:val="single" w:sz="4" w:space="0" w:color="auto"/>
              <w:left w:val="single" w:sz="4" w:space="0" w:color="auto"/>
              <w:bottom w:val="single" w:sz="4" w:space="0" w:color="auto"/>
              <w:right w:val="single" w:sz="4" w:space="0" w:color="auto"/>
            </w:tcBorders>
          </w:tcPr>
          <w:p w14:paraId="7D7014C0"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Yes</w:t>
            </w:r>
          </w:p>
        </w:tc>
        <w:tc>
          <w:tcPr>
            <w:tcW w:w="6237" w:type="dxa"/>
            <w:tcBorders>
              <w:top w:val="single" w:sz="4" w:space="0" w:color="auto"/>
              <w:left w:val="single" w:sz="4" w:space="0" w:color="auto"/>
              <w:bottom w:val="single" w:sz="4" w:space="0" w:color="auto"/>
              <w:right w:val="single" w:sz="8" w:space="0" w:color="auto"/>
            </w:tcBorders>
            <w:vAlign w:val="center"/>
          </w:tcPr>
          <w:p w14:paraId="4FD91378"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 xml:space="preserve">8 questions were articulated. sQ8 is a reference to data in the EU and needs to be adapted for Australian/NZ data. </w:t>
            </w:r>
          </w:p>
        </w:tc>
        <w:tc>
          <w:tcPr>
            <w:tcW w:w="685" w:type="dxa"/>
            <w:tcBorders>
              <w:top w:val="single" w:sz="4" w:space="0" w:color="auto"/>
              <w:left w:val="single" w:sz="4" w:space="0" w:color="auto"/>
              <w:bottom w:val="single" w:sz="4" w:space="0" w:color="auto"/>
              <w:right w:val="single" w:sz="8" w:space="0" w:color="auto"/>
            </w:tcBorders>
          </w:tcPr>
          <w:p w14:paraId="55CCB709"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8</w:t>
            </w:r>
          </w:p>
        </w:tc>
      </w:tr>
      <w:tr w:rsidR="006F0609" w:rsidRPr="00D633FF" w14:paraId="21C093F7" w14:textId="77777777">
        <w:trPr>
          <w:cantSplit/>
        </w:trPr>
        <w:tc>
          <w:tcPr>
            <w:tcW w:w="6653" w:type="dxa"/>
            <w:tcBorders>
              <w:top w:val="single" w:sz="4" w:space="0" w:color="auto"/>
              <w:left w:val="single" w:sz="4" w:space="0" w:color="auto"/>
              <w:bottom w:val="single" w:sz="4" w:space="0" w:color="auto"/>
              <w:right w:val="single" w:sz="4" w:space="0" w:color="auto"/>
            </w:tcBorders>
            <w:vAlign w:val="center"/>
            <w:hideMark/>
          </w:tcPr>
          <w:p w14:paraId="18B5AAE7"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 xml:space="preserve">Does the organisation use or adopt review findings or risk assessments from other organisations? </w:t>
            </w:r>
          </w:p>
        </w:tc>
        <w:tc>
          <w:tcPr>
            <w:tcW w:w="992" w:type="dxa"/>
            <w:tcBorders>
              <w:top w:val="single" w:sz="4" w:space="0" w:color="auto"/>
              <w:left w:val="single" w:sz="4" w:space="0" w:color="auto"/>
              <w:bottom w:val="single" w:sz="4" w:space="0" w:color="auto"/>
              <w:right w:val="single" w:sz="4" w:space="0" w:color="auto"/>
            </w:tcBorders>
          </w:tcPr>
          <w:p w14:paraId="0C6A132C"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No</w:t>
            </w:r>
          </w:p>
        </w:tc>
        <w:tc>
          <w:tcPr>
            <w:tcW w:w="6237" w:type="dxa"/>
            <w:tcBorders>
              <w:top w:val="single" w:sz="4" w:space="0" w:color="auto"/>
              <w:left w:val="single" w:sz="4" w:space="0" w:color="auto"/>
              <w:bottom w:val="single" w:sz="4" w:space="0" w:color="auto"/>
              <w:right w:val="single" w:sz="8" w:space="0" w:color="auto"/>
            </w:tcBorders>
            <w:vAlign w:val="center"/>
          </w:tcPr>
          <w:p w14:paraId="5C6E3BC0"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p>
        </w:tc>
        <w:tc>
          <w:tcPr>
            <w:tcW w:w="685" w:type="dxa"/>
            <w:tcBorders>
              <w:top w:val="single" w:sz="4" w:space="0" w:color="auto"/>
              <w:left w:val="single" w:sz="4" w:space="0" w:color="auto"/>
              <w:bottom w:val="single" w:sz="4" w:space="0" w:color="auto"/>
              <w:right w:val="single" w:sz="8" w:space="0" w:color="auto"/>
            </w:tcBorders>
          </w:tcPr>
          <w:p w14:paraId="0BF71A82"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p>
        </w:tc>
      </w:tr>
      <w:tr w:rsidR="006F0609" w:rsidRPr="00D633FF" w14:paraId="5B6AE771" w14:textId="77777777">
        <w:trPr>
          <w:cantSplit/>
        </w:trPr>
        <w:tc>
          <w:tcPr>
            <w:tcW w:w="6653" w:type="dxa"/>
            <w:tcBorders>
              <w:top w:val="single" w:sz="4" w:space="0" w:color="auto"/>
              <w:left w:val="single" w:sz="4" w:space="0" w:color="auto"/>
              <w:bottom w:val="single" w:sz="4" w:space="0" w:color="auto"/>
              <w:right w:val="single" w:sz="4" w:space="0" w:color="auto"/>
            </w:tcBorders>
            <w:vAlign w:val="center"/>
            <w:hideMark/>
          </w:tcPr>
          <w:p w14:paraId="73F9410C" w14:textId="77777777" w:rsidR="006F0609" w:rsidRPr="00D633FF" w:rsidRDefault="006F0609" w:rsidP="00F1381E">
            <w:pPr>
              <w:numPr>
                <w:ilvl w:val="0"/>
                <w:numId w:val="12"/>
              </w:numPr>
              <w:tabs>
                <w:tab w:val="center" w:pos="4513"/>
                <w:tab w:val="right" w:pos="9026"/>
              </w:tabs>
              <w:contextualSpacing/>
              <w:rPr>
                <w:rFonts w:ascii="Calibri" w:eastAsia="Times New Roman" w:hAnsi="Calibri" w:cs="Calibri"/>
                <w:szCs w:val="20"/>
                <w:lang w:eastAsia="en-AU"/>
              </w:rPr>
            </w:pPr>
            <w:r w:rsidRPr="00D633FF">
              <w:rPr>
                <w:rFonts w:ascii="Calibri" w:eastAsia="Times New Roman" w:hAnsi="Calibri" w:cs="Calibri"/>
                <w:szCs w:val="20"/>
                <w:lang w:eastAsia="en-AU"/>
              </w:rPr>
              <w:t>what process was used to critically assess these external findings?</w:t>
            </w:r>
          </w:p>
        </w:tc>
        <w:tc>
          <w:tcPr>
            <w:tcW w:w="992" w:type="dxa"/>
            <w:tcBorders>
              <w:top w:val="single" w:sz="4" w:space="0" w:color="auto"/>
              <w:left w:val="single" w:sz="4" w:space="0" w:color="auto"/>
              <w:bottom w:val="single" w:sz="4" w:space="0" w:color="auto"/>
              <w:right w:val="single" w:sz="4" w:space="0" w:color="auto"/>
            </w:tcBorders>
          </w:tcPr>
          <w:p w14:paraId="3C414CCA"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n/a</w:t>
            </w:r>
          </w:p>
        </w:tc>
        <w:tc>
          <w:tcPr>
            <w:tcW w:w="6237" w:type="dxa"/>
            <w:tcBorders>
              <w:top w:val="single" w:sz="4" w:space="0" w:color="auto"/>
              <w:left w:val="single" w:sz="4" w:space="0" w:color="auto"/>
              <w:bottom w:val="single" w:sz="4" w:space="0" w:color="auto"/>
              <w:right w:val="single" w:sz="8" w:space="0" w:color="auto"/>
            </w:tcBorders>
            <w:vAlign w:val="center"/>
          </w:tcPr>
          <w:p w14:paraId="302BBCB9"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p>
        </w:tc>
        <w:tc>
          <w:tcPr>
            <w:tcW w:w="685" w:type="dxa"/>
            <w:tcBorders>
              <w:top w:val="single" w:sz="4" w:space="0" w:color="auto"/>
              <w:left w:val="single" w:sz="4" w:space="0" w:color="auto"/>
              <w:bottom w:val="single" w:sz="4" w:space="0" w:color="auto"/>
              <w:right w:val="single" w:sz="8" w:space="0" w:color="auto"/>
            </w:tcBorders>
          </w:tcPr>
          <w:p w14:paraId="18F3C8CC"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p>
        </w:tc>
      </w:tr>
      <w:tr w:rsidR="006F0609" w:rsidRPr="00D633FF" w14:paraId="670C625C" w14:textId="77777777">
        <w:trPr>
          <w:cantSplit/>
        </w:trPr>
        <w:tc>
          <w:tcPr>
            <w:tcW w:w="6653" w:type="dxa"/>
            <w:tcBorders>
              <w:top w:val="single" w:sz="4" w:space="0" w:color="auto"/>
              <w:left w:val="single" w:sz="4" w:space="0" w:color="auto"/>
              <w:bottom w:val="single" w:sz="4" w:space="0" w:color="auto"/>
              <w:right w:val="single" w:sz="4" w:space="0" w:color="auto"/>
            </w:tcBorders>
            <w:vAlign w:val="center"/>
          </w:tcPr>
          <w:p w14:paraId="2F3DAFC5"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Did the organisation undertake their own systematic literature review?</w:t>
            </w:r>
          </w:p>
        </w:tc>
        <w:tc>
          <w:tcPr>
            <w:tcW w:w="992" w:type="dxa"/>
            <w:tcBorders>
              <w:top w:val="single" w:sz="4" w:space="0" w:color="auto"/>
              <w:left w:val="single" w:sz="4" w:space="0" w:color="auto"/>
              <w:bottom w:val="single" w:sz="4" w:space="0" w:color="auto"/>
              <w:right w:val="single" w:sz="4" w:space="0" w:color="auto"/>
            </w:tcBorders>
          </w:tcPr>
          <w:p w14:paraId="6C8CEA9C"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Yes</w:t>
            </w:r>
          </w:p>
        </w:tc>
        <w:tc>
          <w:tcPr>
            <w:tcW w:w="6237" w:type="dxa"/>
            <w:tcBorders>
              <w:top w:val="single" w:sz="4" w:space="0" w:color="auto"/>
              <w:left w:val="single" w:sz="4" w:space="0" w:color="auto"/>
              <w:bottom w:val="single" w:sz="4" w:space="0" w:color="auto"/>
              <w:right w:val="single" w:sz="8" w:space="0" w:color="auto"/>
            </w:tcBorders>
            <w:vAlign w:val="center"/>
          </w:tcPr>
          <w:p w14:paraId="75115EE6"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 xml:space="preserve">EFSA undertook reviews as outlined in a research protocol with the assistance </w:t>
            </w:r>
          </w:p>
        </w:tc>
        <w:tc>
          <w:tcPr>
            <w:tcW w:w="685" w:type="dxa"/>
            <w:tcBorders>
              <w:top w:val="single" w:sz="4" w:space="0" w:color="auto"/>
              <w:left w:val="single" w:sz="4" w:space="0" w:color="auto"/>
              <w:bottom w:val="single" w:sz="4" w:space="0" w:color="auto"/>
              <w:right w:val="single" w:sz="8" w:space="0" w:color="auto"/>
            </w:tcBorders>
          </w:tcPr>
          <w:p w14:paraId="3672A40D"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p>
        </w:tc>
      </w:tr>
      <w:tr w:rsidR="006F0609" w:rsidRPr="00D633FF" w14:paraId="3F3F7A04" w14:textId="77777777">
        <w:trPr>
          <w:cantSplit/>
        </w:trPr>
        <w:tc>
          <w:tcPr>
            <w:tcW w:w="6653" w:type="dxa"/>
            <w:tcBorders>
              <w:top w:val="single" w:sz="4" w:space="0" w:color="auto"/>
              <w:left w:val="single" w:sz="4" w:space="0" w:color="auto"/>
              <w:bottom w:val="single" w:sz="4" w:space="0" w:color="auto"/>
              <w:right w:val="single" w:sz="4" w:space="0" w:color="auto"/>
            </w:tcBorders>
            <w:vAlign w:val="center"/>
          </w:tcPr>
          <w:p w14:paraId="612642E1" w14:textId="77777777" w:rsidR="006F0609" w:rsidRPr="00D633FF" w:rsidRDefault="006F0609" w:rsidP="006F0609">
            <w:pPr>
              <w:tabs>
                <w:tab w:val="center" w:pos="4513"/>
                <w:tab w:val="right" w:pos="9026"/>
              </w:tabs>
              <w:contextualSpacing/>
              <w:rPr>
                <w:rFonts w:ascii="Calibri" w:hAnsi="Calibri" w:cs="Calibri"/>
                <w:szCs w:val="20"/>
              </w:rPr>
            </w:pPr>
            <w:r w:rsidRPr="00D633FF">
              <w:rPr>
                <w:rFonts w:ascii="Calibri" w:hAnsi="Calibri" w:cs="Calibri"/>
                <w:szCs w:val="20"/>
              </w:rPr>
              <w:t>Has the evidence report been reviewed by experts independent from the review authors?</w:t>
            </w:r>
            <w:r w:rsidRPr="00D633FF">
              <w:rPr>
                <w:rFonts w:ascii="Calibri" w:hAnsi="Calibri" w:cs="Calibri"/>
                <w:szCs w:val="24"/>
              </w:rPr>
              <w:t xml:space="preserve"> (e.g. peer review or committee review)? </w:t>
            </w:r>
          </w:p>
        </w:tc>
        <w:tc>
          <w:tcPr>
            <w:tcW w:w="992" w:type="dxa"/>
            <w:tcBorders>
              <w:top w:val="single" w:sz="4" w:space="0" w:color="auto"/>
              <w:left w:val="single" w:sz="4" w:space="0" w:color="auto"/>
              <w:bottom w:val="single" w:sz="4" w:space="0" w:color="auto"/>
              <w:right w:val="single" w:sz="4" w:space="0" w:color="auto"/>
            </w:tcBorders>
            <w:vAlign w:val="center"/>
          </w:tcPr>
          <w:p w14:paraId="13E09B51"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Yes</w:t>
            </w:r>
          </w:p>
        </w:tc>
        <w:tc>
          <w:tcPr>
            <w:tcW w:w="6237" w:type="dxa"/>
            <w:tcBorders>
              <w:top w:val="single" w:sz="4" w:space="0" w:color="auto"/>
              <w:left w:val="single" w:sz="4" w:space="0" w:color="auto"/>
              <w:bottom w:val="single" w:sz="4" w:space="0" w:color="auto"/>
              <w:right w:val="single" w:sz="8" w:space="0" w:color="auto"/>
            </w:tcBorders>
          </w:tcPr>
          <w:p w14:paraId="2AB32348"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 xml:space="preserve">EFSA have contracted some </w:t>
            </w:r>
            <w:proofErr w:type="gramStart"/>
            <w:r w:rsidRPr="00D633FF">
              <w:rPr>
                <w:rFonts w:ascii="Calibri" w:eastAsia="Times New Roman" w:hAnsi="Calibri" w:cs="Calibri"/>
                <w:szCs w:val="20"/>
                <w:lang w:eastAsia="en-AU"/>
              </w:rPr>
              <w:t>reviews</w:t>
            </w:r>
            <w:proofErr w:type="gramEnd"/>
            <w:r w:rsidRPr="00D633FF">
              <w:rPr>
                <w:rFonts w:ascii="Calibri" w:eastAsia="Times New Roman" w:hAnsi="Calibri" w:cs="Calibri"/>
                <w:szCs w:val="20"/>
                <w:lang w:eastAsia="en-AU"/>
              </w:rPr>
              <w:t xml:space="preserve"> and the expert committee have assessed reviews independently.</w:t>
            </w:r>
          </w:p>
        </w:tc>
        <w:tc>
          <w:tcPr>
            <w:tcW w:w="685" w:type="dxa"/>
            <w:tcBorders>
              <w:top w:val="single" w:sz="4" w:space="0" w:color="auto"/>
              <w:left w:val="single" w:sz="4" w:space="0" w:color="auto"/>
              <w:bottom w:val="single" w:sz="4" w:space="0" w:color="auto"/>
              <w:right w:val="single" w:sz="8" w:space="0" w:color="auto"/>
            </w:tcBorders>
            <w:vAlign w:val="center"/>
          </w:tcPr>
          <w:p w14:paraId="355D451E"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4"/>
                <w:lang w:eastAsia="en-AU"/>
              </w:rPr>
            </w:pPr>
          </w:p>
          <w:p w14:paraId="56316012"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p>
        </w:tc>
      </w:tr>
      <w:tr w:rsidR="006F0609" w:rsidRPr="00D633FF" w14:paraId="4406C3DD" w14:textId="77777777">
        <w:trPr>
          <w:cantSplit/>
        </w:trPr>
        <w:tc>
          <w:tcPr>
            <w:tcW w:w="6653" w:type="dxa"/>
            <w:tcBorders>
              <w:top w:val="single" w:sz="4" w:space="0" w:color="auto"/>
              <w:left w:val="single" w:sz="4" w:space="0" w:color="auto"/>
              <w:bottom w:val="single" w:sz="4" w:space="0" w:color="auto"/>
              <w:right w:val="single" w:sz="4" w:space="0" w:color="auto"/>
            </w:tcBorders>
            <w:vAlign w:val="center"/>
            <w:hideMark/>
          </w:tcPr>
          <w:p w14:paraId="0138BF61"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 xml:space="preserve">Does the organisation use or undertake systematic literature review methods to identify and select data underpinning the advice? </w:t>
            </w:r>
          </w:p>
        </w:tc>
        <w:tc>
          <w:tcPr>
            <w:tcW w:w="992" w:type="dxa"/>
            <w:tcBorders>
              <w:top w:val="single" w:sz="4" w:space="0" w:color="auto"/>
              <w:left w:val="single" w:sz="4" w:space="0" w:color="auto"/>
              <w:bottom w:val="single" w:sz="4" w:space="0" w:color="auto"/>
              <w:right w:val="single" w:sz="4" w:space="0" w:color="auto"/>
            </w:tcBorders>
          </w:tcPr>
          <w:p w14:paraId="79128A22"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Yes</w:t>
            </w:r>
          </w:p>
        </w:tc>
        <w:tc>
          <w:tcPr>
            <w:tcW w:w="6237" w:type="dxa"/>
            <w:tcBorders>
              <w:top w:val="single" w:sz="4" w:space="0" w:color="auto"/>
              <w:left w:val="single" w:sz="4" w:space="0" w:color="auto"/>
              <w:bottom w:val="single" w:sz="4" w:space="0" w:color="auto"/>
              <w:right w:val="single" w:sz="8" w:space="0" w:color="auto"/>
            </w:tcBorders>
            <w:vAlign w:val="center"/>
          </w:tcPr>
          <w:p w14:paraId="574A2666"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 xml:space="preserve">A Protocol was established and published before commencement. </w:t>
            </w:r>
          </w:p>
        </w:tc>
        <w:tc>
          <w:tcPr>
            <w:tcW w:w="685" w:type="dxa"/>
            <w:tcBorders>
              <w:top w:val="single" w:sz="4" w:space="0" w:color="auto"/>
              <w:left w:val="single" w:sz="4" w:space="0" w:color="auto"/>
              <w:bottom w:val="single" w:sz="4" w:space="0" w:color="auto"/>
              <w:right w:val="single" w:sz="8" w:space="0" w:color="auto"/>
            </w:tcBorders>
          </w:tcPr>
          <w:p w14:paraId="52AFF996"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p>
        </w:tc>
      </w:tr>
      <w:tr w:rsidR="006F0609" w:rsidRPr="00D633FF" w14:paraId="1B1BB0AE" w14:textId="77777777">
        <w:trPr>
          <w:cantSplit/>
        </w:trPr>
        <w:tc>
          <w:tcPr>
            <w:tcW w:w="6653" w:type="dxa"/>
            <w:tcBorders>
              <w:top w:val="single" w:sz="4" w:space="0" w:color="auto"/>
              <w:left w:val="single" w:sz="4" w:space="0" w:color="auto"/>
              <w:bottom w:val="single" w:sz="4" w:space="0" w:color="auto"/>
              <w:right w:val="single" w:sz="4" w:space="0" w:color="auto"/>
            </w:tcBorders>
            <w:vAlign w:val="center"/>
            <w:hideMark/>
          </w:tcPr>
          <w:p w14:paraId="5294BCFE" w14:textId="77777777" w:rsidR="006F0609" w:rsidRPr="00D633FF" w:rsidRDefault="006F0609" w:rsidP="00F1381E">
            <w:pPr>
              <w:numPr>
                <w:ilvl w:val="0"/>
                <w:numId w:val="11"/>
              </w:numPr>
              <w:tabs>
                <w:tab w:val="center" w:pos="4513"/>
                <w:tab w:val="right" w:pos="9026"/>
              </w:tabs>
              <w:contextualSpacing/>
              <w:rPr>
                <w:rFonts w:ascii="Calibri" w:eastAsia="Times New Roman" w:hAnsi="Calibri" w:cs="Calibri"/>
                <w:szCs w:val="20"/>
                <w:lang w:eastAsia="en-AU"/>
              </w:rPr>
            </w:pPr>
            <w:r w:rsidRPr="00D633FF">
              <w:rPr>
                <w:rFonts w:ascii="Calibri" w:eastAsia="Times New Roman" w:hAnsi="Calibri" w:cs="Calibri"/>
                <w:szCs w:val="24"/>
                <w:lang w:eastAsia="en-AU"/>
              </w:rPr>
              <w:t>are the methods used documented clearly?</w:t>
            </w:r>
          </w:p>
        </w:tc>
        <w:tc>
          <w:tcPr>
            <w:tcW w:w="992" w:type="dxa"/>
            <w:tcBorders>
              <w:top w:val="single" w:sz="4" w:space="0" w:color="auto"/>
              <w:left w:val="single" w:sz="4" w:space="0" w:color="auto"/>
              <w:bottom w:val="single" w:sz="4" w:space="0" w:color="auto"/>
              <w:right w:val="single" w:sz="4" w:space="0" w:color="auto"/>
            </w:tcBorders>
          </w:tcPr>
          <w:p w14:paraId="2F232F98"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Yes</w:t>
            </w:r>
          </w:p>
        </w:tc>
        <w:tc>
          <w:tcPr>
            <w:tcW w:w="6237" w:type="dxa"/>
            <w:tcBorders>
              <w:top w:val="single" w:sz="4" w:space="0" w:color="auto"/>
              <w:left w:val="single" w:sz="4" w:space="0" w:color="auto"/>
              <w:bottom w:val="single" w:sz="4" w:space="0" w:color="auto"/>
              <w:right w:val="single" w:sz="8" w:space="0" w:color="auto"/>
            </w:tcBorders>
            <w:vAlign w:val="center"/>
          </w:tcPr>
          <w:p w14:paraId="73E5B375"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p>
        </w:tc>
        <w:tc>
          <w:tcPr>
            <w:tcW w:w="685" w:type="dxa"/>
            <w:tcBorders>
              <w:top w:val="single" w:sz="4" w:space="0" w:color="auto"/>
              <w:left w:val="single" w:sz="4" w:space="0" w:color="auto"/>
              <w:bottom w:val="single" w:sz="4" w:space="0" w:color="auto"/>
              <w:right w:val="single" w:sz="8" w:space="0" w:color="auto"/>
            </w:tcBorders>
          </w:tcPr>
          <w:p w14:paraId="4E227628"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p>
        </w:tc>
      </w:tr>
      <w:tr w:rsidR="006F0609" w:rsidRPr="00D633FF" w14:paraId="3EE6FBC9" w14:textId="77777777">
        <w:trPr>
          <w:cantSplit/>
        </w:trPr>
        <w:tc>
          <w:tcPr>
            <w:tcW w:w="6653" w:type="dxa"/>
            <w:tcBorders>
              <w:top w:val="single" w:sz="4" w:space="0" w:color="auto"/>
              <w:left w:val="single" w:sz="4" w:space="0" w:color="auto"/>
              <w:bottom w:val="single" w:sz="4" w:space="0" w:color="auto"/>
              <w:right w:val="single" w:sz="4" w:space="0" w:color="auto"/>
            </w:tcBorders>
            <w:vAlign w:val="center"/>
            <w:hideMark/>
          </w:tcPr>
          <w:p w14:paraId="1055B604" w14:textId="77777777" w:rsidR="006F0609" w:rsidRPr="00D633FF" w:rsidRDefault="006F0609" w:rsidP="00F1381E">
            <w:pPr>
              <w:numPr>
                <w:ilvl w:val="0"/>
                <w:numId w:val="11"/>
              </w:numPr>
              <w:tabs>
                <w:tab w:val="center" w:pos="4513"/>
                <w:tab w:val="right" w:pos="9026"/>
              </w:tabs>
              <w:contextualSpacing/>
              <w:rPr>
                <w:rFonts w:ascii="Calibri" w:eastAsia="Times New Roman" w:hAnsi="Calibri" w:cs="Calibri"/>
                <w:szCs w:val="20"/>
                <w:lang w:eastAsia="en-AU"/>
              </w:rPr>
            </w:pPr>
            <w:r w:rsidRPr="00D633FF">
              <w:rPr>
                <w:rFonts w:ascii="Calibri" w:eastAsia="Times New Roman" w:hAnsi="Calibri" w:cs="Calibri"/>
                <w:szCs w:val="24"/>
                <w:lang w:eastAsia="en-AU"/>
              </w:rPr>
              <w:lastRenderedPageBreak/>
              <w:t xml:space="preserve">are inclusion/exclusion criteria used to select or exclude certain studies from the review? </w:t>
            </w:r>
          </w:p>
        </w:tc>
        <w:tc>
          <w:tcPr>
            <w:tcW w:w="992" w:type="dxa"/>
            <w:tcBorders>
              <w:top w:val="single" w:sz="4" w:space="0" w:color="auto"/>
              <w:left w:val="single" w:sz="4" w:space="0" w:color="auto"/>
              <w:bottom w:val="single" w:sz="4" w:space="0" w:color="auto"/>
              <w:right w:val="single" w:sz="4" w:space="0" w:color="auto"/>
            </w:tcBorders>
          </w:tcPr>
          <w:p w14:paraId="433470C6"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Yes</w:t>
            </w:r>
          </w:p>
        </w:tc>
        <w:tc>
          <w:tcPr>
            <w:tcW w:w="6237" w:type="dxa"/>
            <w:tcBorders>
              <w:top w:val="single" w:sz="4" w:space="0" w:color="auto"/>
              <w:left w:val="single" w:sz="4" w:space="0" w:color="auto"/>
              <w:bottom w:val="single" w:sz="4" w:space="0" w:color="auto"/>
              <w:right w:val="single" w:sz="8" w:space="0" w:color="auto"/>
            </w:tcBorders>
            <w:vAlign w:val="center"/>
          </w:tcPr>
          <w:p w14:paraId="4DD7340B"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Eligible designs, populations and measurements are listed.</w:t>
            </w:r>
          </w:p>
          <w:p w14:paraId="53F47B36" w14:textId="1125E08C"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 xml:space="preserve">A </w:t>
            </w:r>
            <w:r w:rsidR="005B255F">
              <w:rPr>
                <w:rFonts w:ascii="Calibri" w:eastAsia="Times New Roman" w:hAnsi="Calibri" w:cs="Calibri"/>
                <w:szCs w:val="20"/>
                <w:lang w:eastAsia="en-AU"/>
              </w:rPr>
              <w:t>PRISMA</w:t>
            </w:r>
            <w:r w:rsidRPr="00D633FF">
              <w:rPr>
                <w:rFonts w:ascii="Calibri" w:eastAsia="Times New Roman" w:hAnsi="Calibri" w:cs="Calibri"/>
                <w:szCs w:val="20"/>
                <w:lang w:eastAsia="en-AU"/>
              </w:rPr>
              <w:t xml:space="preserve"> flowchart is provided. Further details are provided in Annex A.</w:t>
            </w:r>
          </w:p>
        </w:tc>
        <w:tc>
          <w:tcPr>
            <w:tcW w:w="685" w:type="dxa"/>
            <w:tcBorders>
              <w:top w:val="single" w:sz="4" w:space="0" w:color="auto"/>
              <w:left w:val="single" w:sz="4" w:space="0" w:color="auto"/>
              <w:bottom w:val="single" w:sz="4" w:space="0" w:color="auto"/>
              <w:right w:val="single" w:sz="8" w:space="0" w:color="auto"/>
            </w:tcBorders>
          </w:tcPr>
          <w:p w14:paraId="6527B210"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9</w:t>
            </w:r>
          </w:p>
        </w:tc>
      </w:tr>
      <w:tr w:rsidR="006F0609" w:rsidRPr="00D633FF" w14:paraId="53E6280B" w14:textId="77777777">
        <w:trPr>
          <w:cantSplit/>
        </w:trPr>
        <w:tc>
          <w:tcPr>
            <w:tcW w:w="6653" w:type="dxa"/>
            <w:tcBorders>
              <w:top w:val="single" w:sz="4" w:space="0" w:color="auto"/>
              <w:left w:val="single" w:sz="4" w:space="0" w:color="auto"/>
              <w:bottom w:val="single" w:sz="4" w:space="0" w:color="auto"/>
              <w:right w:val="single" w:sz="4" w:space="0" w:color="auto"/>
            </w:tcBorders>
            <w:vAlign w:val="center"/>
            <w:hideMark/>
          </w:tcPr>
          <w:p w14:paraId="3E561E0B" w14:textId="77777777" w:rsidR="006F0609" w:rsidRPr="00D633FF" w:rsidRDefault="006F0609" w:rsidP="00F1381E">
            <w:pPr>
              <w:numPr>
                <w:ilvl w:val="0"/>
                <w:numId w:val="11"/>
              </w:numPr>
              <w:tabs>
                <w:tab w:val="center" w:pos="4513"/>
                <w:tab w:val="right" w:pos="9026"/>
              </w:tabs>
              <w:contextualSpacing/>
              <w:rPr>
                <w:rFonts w:ascii="Calibri" w:eastAsia="Times New Roman" w:hAnsi="Calibri" w:cs="Calibri"/>
                <w:szCs w:val="20"/>
                <w:lang w:eastAsia="en-AU"/>
              </w:rPr>
            </w:pPr>
            <w:r w:rsidRPr="00D633FF">
              <w:rPr>
                <w:rFonts w:ascii="Calibri" w:eastAsia="Times New Roman" w:hAnsi="Calibri" w:cs="Calibri"/>
                <w:szCs w:val="24"/>
                <w:lang w:eastAsia="en-AU"/>
              </w:rPr>
              <w:t>is justification of inclusion/exclusion criteria provided?</w:t>
            </w:r>
          </w:p>
        </w:tc>
        <w:tc>
          <w:tcPr>
            <w:tcW w:w="992" w:type="dxa"/>
            <w:tcBorders>
              <w:top w:val="single" w:sz="4" w:space="0" w:color="auto"/>
              <w:left w:val="single" w:sz="4" w:space="0" w:color="auto"/>
              <w:bottom w:val="single" w:sz="4" w:space="0" w:color="auto"/>
              <w:right w:val="single" w:sz="4" w:space="0" w:color="auto"/>
            </w:tcBorders>
          </w:tcPr>
          <w:p w14:paraId="08CB658A"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Yes</w:t>
            </w:r>
          </w:p>
        </w:tc>
        <w:tc>
          <w:tcPr>
            <w:tcW w:w="6237" w:type="dxa"/>
            <w:tcBorders>
              <w:top w:val="single" w:sz="4" w:space="0" w:color="auto"/>
              <w:left w:val="single" w:sz="4" w:space="0" w:color="auto"/>
              <w:bottom w:val="single" w:sz="4" w:space="0" w:color="auto"/>
              <w:right w:val="single" w:sz="8" w:space="0" w:color="auto"/>
            </w:tcBorders>
            <w:vAlign w:val="center"/>
          </w:tcPr>
          <w:p w14:paraId="7E0314EE"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 xml:space="preserve">A rationale is provided at Annex E. </w:t>
            </w:r>
          </w:p>
        </w:tc>
        <w:tc>
          <w:tcPr>
            <w:tcW w:w="685" w:type="dxa"/>
            <w:tcBorders>
              <w:top w:val="single" w:sz="4" w:space="0" w:color="auto"/>
              <w:left w:val="single" w:sz="4" w:space="0" w:color="auto"/>
              <w:bottom w:val="single" w:sz="4" w:space="0" w:color="auto"/>
              <w:right w:val="single" w:sz="8" w:space="0" w:color="auto"/>
            </w:tcBorders>
          </w:tcPr>
          <w:p w14:paraId="5746D855"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p>
        </w:tc>
      </w:tr>
    </w:tbl>
    <w:p w14:paraId="3F9B0ECE"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kern w:val="0"/>
          <w:szCs w:val="20"/>
          <w:lang w:eastAsia="en-AU"/>
          <w14:ligatures w14:val="none"/>
        </w:rPr>
      </w:pPr>
    </w:p>
    <w:p w14:paraId="3A93C263" w14:textId="77777777" w:rsidR="006F0609" w:rsidRPr="00D633FF" w:rsidRDefault="006F0609" w:rsidP="006F0609">
      <w:pPr>
        <w:keepNext/>
        <w:keepLines/>
        <w:spacing w:before="40" w:after="0" w:line="180" w:lineRule="atLeast"/>
        <w:contextualSpacing/>
        <w:outlineLvl w:val="1"/>
        <w:rPr>
          <w:rFonts w:ascii="Calibri" w:eastAsia="Times New Roman" w:hAnsi="Calibri" w:cs="Calibri"/>
          <w:color w:val="2F5496"/>
          <w:kern w:val="0"/>
          <w:sz w:val="26"/>
          <w:szCs w:val="26"/>
          <w:lang w:eastAsia="en-AU"/>
          <w14:ligatures w14:val="none"/>
        </w:rPr>
      </w:pPr>
      <w:bookmarkStart w:id="89" w:name="_Toc218527992"/>
      <w:r w:rsidRPr="00D633FF">
        <w:rPr>
          <w:rFonts w:ascii="Calibri" w:eastAsia="Times New Roman" w:hAnsi="Calibri" w:cs="Calibri"/>
          <w:color w:val="2F5496"/>
          <w:kern w:val="0"/>
          <w:sz w:val="26"/>
          <w:szCs w:val="26"/>
          <w:lang w:eastAsia="en-AU"/>
          <w14:ligatures w14:val="none"/>
        </w:rPr>
        <w:t xml:space="preserve">Evidence </w:t>
      </w:r>
      <w:proofErr w:type="gramStart"/>
      <w:r w:rsidRPr="00D633FF">
        <w:rPr>
          <w:rFonts w:ascii="Calibri" w:eastAsia="Times New Roman" w:hAnsi="Calibri" w:cs="Calibri"/>
          <w:color w:val="2F5496"/>
          <w:kern w:val="0"/>
          <w:sz w:val="26"/>
          <w:szCs w:val="26"/>
          <w:lang w:eastAsia="en-AU"/>
          <w14:ligatures w14:val="none"/>
        </w:rPr>
        <w:t>search</w:t>
      </w:r>
      <w:bookmarkEnd w:id="89"/>
      <w:proofErr w:type="gramEnd"/>
    </w:p>
    <w:tbl>
      <w:tblPr>
        <w:tblStyle w:val="TableGrid1"/>
        <w:tblW w:w="1456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653"/>
        <w:gridCol w:w="992"/>
        <w:gridCol w:w="6237"/>
        <w:gridCol w:w="685"/>
      </w:tblGrid>
      <w:tr w:rsidR="006F0609" w:rsidRPr="00D633FF" w14:paraId="290C7A83" w14:textId="77777777" w:rsidTr="006F0609">
        <w:trPr>
          <w:cantSplit/>
          <w:tblHeader/>
        </w:trPr>
        <w:tc>
          <w:tcPr>
            <w:tcW w:w="6653" w:type="dxa"/>
            <w:tcBorders>
              <w:top w:val="single" w:sz="8" w:space="0" w:color="auto"/>
              <w:left w:val="single" w:sz="8" w:space="0" w:color="auto"/>
              <w:bottom w:val="single" w:sz="8" w:space="0" w:color="auto"/>
              <w:right w:val="single" w:sz="8" w:space="0" w:color="auto"/>
            </w:tcBorders>
            <w:shd w:val="clear" w:color="auto" w:fill="BFBFBF"/>
            <w:vAlign w:val="center"/>
            <w:hideMark/>
          </w:tcPr>
          <w:p w14:paraId="519529BA"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b/>
                <w:bCs/>
                <w:szCs w:val="20"/>
                <w:vertAlign w:val="superscript"/>
                <w:lang w:eastAsia="en-AU"/>
              </w:rPr>
            </w:pPr>
            <w:r w:rsidRPr="00D633FF">
              <w:rPr>
                <w:rFonts w:ascii="Calibri" w:eastAsia="Times New Roman" w:hAnsi="Calibri" w:cs="Calibri"/>
                <w:b/>
                <w:bCs/>
                <w:szCs w:val="20"/>
                <w:lang w:eastAsia="en-AU"/>
              </w:rPr>
              <w:t>Criteria</w:t>
            </w:r>
          </w:p>
        </w:tc>
        <w:tc>
          <w:tcPr>
            <w:tcW w:w="992" w:type="dxa"/>
            <w:tcBorders>
              <w:top w:val="single" w:sz="8" w:space="0" w:color="auto"/>
              <w:left w:val="single" w:sz="4" w:space="0" w:color="auto"/>
              <w:bottom w:val="single" w:sz="8" w:space="0" w:color="auto"/>
              <w:right w:val="single" w:sz="8" w:space="0" w:color="auto"/>
            </w:tcBorders>
            <w:shd w:val="clear" w:color="auto" w:fill="BFBFBF"/>
            <w:hideMark/>
          </w:tcPr>
          <w:p w14:paraId="626EB5A3"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Yes/No/NA</w:t>
            </w:r>
          </w:p>
        </w:tc>
        <w:tc>
          <w:tcPr>
            <w:tcW w:w="6237" w:type="dxa"/>
            <w:tcBorders>
              <w:top w:val="single" w:sz="8" w:space="0" w:color="auto"/>
              <w:left w:val="single" w:sz="8" w:space="0" w:color="auto"/>
              <w:bottom w:val="single" w:sz="8" w:space="0" w:color="auto"/>
              <w:right w:val="single" w:sz="8" w:space="0" w:color="auto"/>
            </w:tcBorders>
            <w:shd w:val="clear" w:color="auto" w:fill="BFBFBF"/>
            <w:vAlign w:val="center"/>
            <w:hideMark/>
          </w:tcPr>
          <w:p w14:paraId="4C3B0BBA"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Comment</w:t>
            </w:r>
          </w:p>
        </w:tc>
        <w:tc>
          <w:tcPr>
            <w:tcW w:w="685" w:type="dxa"/>
            <w:tcBorders>
              <w:top w:val="single" w:sz="8" w:space="0" w:color="auto"/>
              <w:left w:val="single" w:sz="8" w:space="0" w:color="auto"/>
              <w:bottom w:val="single" w:sz="8" w:space="0" w:color="auto"/>
              <w:right w:val="single" w:sz="8" w:space="0" w:color="auto"/>
            </w:tcBorders>
            <w:shd w:val="clear" w:color="auto" w:fill="BFBFBF"/>
          </w:tcPr>
          <w:p w14:paraId="103DAC6D"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Page #</w:t>
            </w:r>
          </w:p>
        </w:tc>
      </w:tr>
      <w:tr w:rsidR="006F0609" w:rsidRPr="00D633FF" w14:paraId="754441C9" w14:textId="77777777">
        <w:trPr>
          <w:cantSplit/>
        </w:trPr>
        <w:tc>
          <w:tcPr>
            <w:tcW w:w="6653" w:type="dxa"/>
            <w:tcBorders>
              <w:top w:val="single" w:sz="8" w:space="0" w:color="auto"/>
              <w:left w:val="single" w:sz="4" w:space="0" w:color="auto"/>
              <w:bottom w:val="single" w:sz="4" w:space="0" w:color="auto"/>
              <w:right w:val="single" w:sz="4" w:space="0" w:color="auto"/>
            </w:tcBorders>
            <w:vAlign w:val="center"/>
            <w:hideMark/>
          </w:tcPr>
          <w:p w14:paraId="5EC4ADCF"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Are databases and other sources of evidence specified?</w:t>
            </w:r>
          </w:p>
        </w:tc>
        <w:tc>
          <w:tcPr>
            <w:tcW w:w="992" w:type="dxa"/>
            <w:tcBorders>
              <w:top w:val="single" w:sz="8" w:space="0" w:color="auto"/>
              <w:left w:val="single" w:sz="4" w:space="0" w:color="auto"/>
              <w:bottom w:val="single" w:sz="4" w:space="0" w:color="auto"/>
              <w:right w:val="single" w:sz="4" w:space="0" w:color="auto"/>
            </w:tcBorders>
          </w:tcPr>
          <w:p w14:paraId="3A4CBD35"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Yes</w:t>
            </w:r>
          </w:p>
        </w:tc>
        <w:tc>
          <w:tcPr>
            <w:tcW w:w="6237" w:type="dxa"/>
            <w:tcBorders>
              <w:top w:val="single" w:sz="8" w:space="0" w:color="auto"/>
              <w:left w:val="single" w:sz="4" w:space="0" w:color="auto"/>
              <w:bottom w:val="single" w:sz="4" w:space="0" w:color="auto"/>
              <w:right w:val="single" w:sz="8" w:space="0" w:color="auto"/>
            </w:tcBorders>
            <w:vAlign w:val="center"/>
          </w:tcPr>
          <w:p w14:paraId="2D038062" w14:textId="01B45D06"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Pub</w:t>
            </w:r>
            <w:r w:rsidR="005B255F">
              <w:rPr>
                <w:rFonts w:ascii="Calibri" w:eastAsia="Times New Roman" w:hAnsi="Calibri" w:cs="Calibri"/>
                <w:szCs w:val="20"/>
                <w:lang w:eastAsia="en-AU"/>
              </w:rPr>
              <w:t>M</w:t>
            </w:r>
            <w:r w:rsidRPr="00D633FF">
              <w:rPr>
                <w:rFonts w:ascii="Calibri" w:eastAsia="Times New Roman" w:hAnsi="Calibri" w:cs="Calibri"/>
                <w:szCs w:val="20"/>
                <w:lang w:eastAsia="en-AU"/>
              </w:rPr>
              <w:t>ed, Embase and Cochrane Library</w:t>
            </w:r>
          </w:p>
        </w:tc>
        <w:tc>
          <w:tcPr>
            <w:tcW w:w="685" w:type="dxa"/>
            <w:tcBorders>
              <w:top w:val="single" w:sz="8" w:space="0" w:color="auto"/>
              <w:left w:val="single" w:sz="4" w:space="0" w:color="auto"/>
              <w:bottom w:val="single" w:sz="4" w:space="0" w:color="auto"/>
              <w:right w:val="single" w:sz="8" w:space="0" w:color="auto"/>
            </w:tcBorders>
          </w:tcPr>
          <w:p w14:paraId="7A60F92E"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9</w:t>
            </w:r>
          </w:p>
        </w:tc>
      </w:tr>
      <w:tr w:rsidR="006F0609" w:rsidRPr="00D633FF" w14:paraId="20040A56" w14:textId="77777777">
        <w:trPr>
          <w:cantSplit/>
        </w:trPr>
        <w:tc>
          <w:tcPr>
            <w:tcW w:w="6653" w:type="dxa"/>
            <w:tcBorders>
              <w:top w:val="single" w:sz="4" w:space="0" w:color="auto"/>
              <w:left w:val="single" w:sz="4" w:space="0" w:color="auto"/>
              <w:bottom w:val="single" w:sz="4" w:space="0" w:color="auto"/>
              <w:right w:val="single" w:sz="4" w:space="0" w:color="auto"/>
            </w:tcBorders>
            <w:vAlign w:val="center"/>
            <w:hideMark/>
          </w:tcPr>
          <w:p w14:paraId="569CA165"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 xml:space="preserve">Does the literature search cover at least more than one scientific database as well as additional sources (which may include government reports and grey literature)? </w:t>
            </w:r>
          </w:p>
        </w:tc>
        <w:tc>
          <w:tcPr>
            <w:tcW w:w="992" w:type="dxa"/>
            <w:tcBorders>
              <w:top w:val="single" w:sz="4" w:space="0" w:color="auto"/>
              <w:left w:val="single" w:sz="4" w:space="0" w:color="auto"/>
              <w:bottom w:val="single" w:sz="4" w:space="0" w:color="auto"/>
              <w:right w:val="single" w:sz="4" w:space="0" w:color="auto"/>
            </w:tcBorders>
          </w:tcPr>
          <w:p w14:paraId="51E896C0"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Yes</w:t>
            </w:r>
          </w:p>
        </w:tc>
        <w:tc>
          <w:tcPr>
            <w:tcW w:w="6237" w:type="dxa"/>
            <w:tcBorders>
              <w:top w:val="single" w:sz="4" w:space="0" w:color="auto"/>
              <w:left w:val="single" w:sz="4" w:space="0" w:color="auto"/>
              <w:bottom w:val="single" w:sz="4" w:space="0" w:color="auto"/>
              <w:right w:val="single" w:sz="8" w:space="0" w:color="auto"/>
            </w:tcBorders>
            <w:vAlign w:val="center"/>
          </w:tcPr>
          <w:p w14:paraId="62EC35A4"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References international reports used as well as scientific literature. Grey literature was not searched.</w:t>
            </w:r>
          </w:p>
        </w:tc>
        <w:tc>
          <w:tcPr>
            <w:tcW w:w="685" w:type="dxa"/>
            <w:tcBorders>
              <w:top w:val="single" w:sz="4" w:space="0" w:color="auto"/>
              <w:left w:val="single" w:sz="4" w:space="0" w:color="auto"/>
              <w:bottom w:val="single" w:sz="4" w:space="0" w:color="auto"/>
              <w:right w:val="single" w:sz="8" w:space="0" w:color="auto"/>
            </w:tcBorders>
          </w:tcPr>
          <w:p w14:paraId="1AD2B204"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p>
        </w:tc>
      </w:tr>
      <w:tr w:rsidR="006F0609" w:rsidRPr="00D633FF" w14:paraId="6D98081B" w14:textId="77777777">
        <w:trPr>
          <w:cantSplit/>
        </w:trPr>
        <w:tc>
          <w:tcPr>
            <w:tcW w:w="6653" w:type="dxa"/>
            <w:tcBorders>
              <w:top w:val="single" w:sz="4" w:space="0" w:color="auto"/>
              <w:left w:val="single" w:sz="4" w:space="0" w:color="auto"/>
              <w:bottom w:val="single" w:sz="4" w:space="0" w:color="auto"/>
              <w:right w:val="single" w:sz="4" w:space="0" w:color="auto"/>
            </w:tcBorders>
            <w:vAlign w:val="center"/>
            <w:hideMark/>
          </w:tcPr>
          <w:p w14:paraId="560D58A3"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 xml:space="preserve">Is the date range of the literature search specified and justified? </w:t>
            </w:r>
          </w:p>
        </w:tc>
        <w:tc>
          <w:tcPr>
            <w:tcW w:w="992" w:type="dxa"/>
            <w:tcBorders>
              <w:top w:val="single" w:sz="4" w:space="0" w:color="auto"/>
              <w:left w:val="single" w:sz="4" w:space="0" w:color="auto"/>
              <w:bottom w:val="single" w:sz="4" w:space="0" w:color="auto"/>
              <w:right w:val="single" w:sz="4" w:space="0" w:color="auto"/>
            </w:tcBorders>
          </w:tcPr>
          <w:p w14:paraId="590E456C"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Yes</w:t>
            </w:r>
          </w:p>
        </w:tc>
        <w:tc>
          <w:tcPr>
            <w:tcW w:w="6237" w:type="dxa"/>
            <w:tcBorders>
              <w:top w:val="single" w:sz="4" w:space="0" w:color="auto"/>
              <w:left w:val="single" w:sz="4" w:space="0" w:color="auto"/>
              <w:bottom w:val="single" w:sz="4" w:space="0" w:color="auto"/>
              <w:right w:val="single" w:sz="8" w:space="0" w:color="auto"/>
            </w:tcBorders>
            <w:vAlign w:val="center"/>
          </w:tcPr>
          <w:p w14:paraId="138A22C5"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7 May 2021 for Q1 and 3 May 2021 for Q2 with no limit on inception date.</w:t>
            </w:r>
          </w:p>
        </w:tc>
        <w:tc>
          <w:tcPr>
            <w:tcW w:w="685" w:type="dxa"/>
            <w:tcBorders>
              <w:top w:val="single" w:sz="4" w:space="0" w:color="auto"/>
              <w:left w:val="single" w:sz="4" w:space="0" w:color="auto"/>
              <w:bottom w:val="single" w:sz="4" w:space="0" w:color="auto"/>
              <w:right w:val="single" w:sz="8" w:space="0" w:color="auto"/>
            </w:tcBorders>
          </w:tcPr>
          <w:p w14:paraId="35648D93"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p>
        </w:tc>
      </w:tr>
      <w:tr w:rsidR="006F0609" w:rsidRPr="00D633FF" w14:paraId="1830F2F0" w14:textId="77777777">
        <w:trPr>
          <w:cantSplit/>
        </w:trPr>
        <w:tc>
          <w:tcPr>
            <w:tcW w:w="6653" w:type="dxa"/>
            <w:tcBorders>
              <w:top w:val="single" w:sz="4" w:space="0" w:color="auto"/>
              <w:left w:val="single" w:sz="4" w:space="0" w:color="auto"/>
              <w:bottom w:val="single" w:sz="4" w:space="0" w:color="auto"/>
              <w:right w:val="single" w:sz="4" w:space="0" w:color="auto"/>
            </w:tcBorders>
            <w:vAlign w:val="center"/>
            <w:hideMark/>
          </w:tcPr>
          <w:p w14:paraId="7C7BED7D"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 xml:space="preserve">Are search terms and/or search strings specified? </w:t>
            </w:r>
          </w:p>
        </w:tc>
        <w:tc>
          <w:tcPr>
            <w:tcW w:w="992" w:type="dxa"/>
            <w:tcBorders>
              <w:top w:val="single" w:sz="4" w:space="0" w:color="auto"/>
              <w:left w:val="single" w:sz="4" w:space="0" w:color="auto"/>
              <w:bottom w:val="single" w:sz="4" w:space="0" w:color="auto"/>
              <w:right w:val="single" w:sz="4" w:space="0" w:color="auto"/>
            </w:tcBorders>
          </w:tcPr>
          <w:p w14:paraId="3952D404"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Yes</w:t>
            </w:r>
          </w:p>
        </w:tc>
        <w:tc>
          <w:tcPr>
            <w:tcW w:w="6237" w:type="dxa"/>
            <w:tcBorders>
              <w:top w:val="single" w:sz="4" w:space="0" w:color="auto"/>
              <w:left w:val="single" w:sz="4" w:space="0" w:color="auto"/>
              <w:bottom w:val="single" w:sz="4" w:space="0" w:color="auto"/>
              <w:right w:val="single" w:sz="8" w:space="0" w:color="auto"/>
            </w:tcBorders>
            <w:vAlign w:val="center"/>
          </w:tcPr>
          <w:p w14:paraId="399C5DD1"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Outlined in the protocol at Annex A on the website.</w:t>
            </w:r>
          </w:p>
        </w:tc>
        <w:tc>
          <w:tcPr>
            <w:tcW w:w="685" w:type="dxa"/>
            <w:tcBorders>
              <w:top w:val="single" w:sz="4" w:space="0" w:color="auto"/>
              <w:left w:val="single" w:sz="4" w:space="0" w:color="auto"/>
              <w:bottom w:val="single" w:sz="4" w:space="0" w:color="auto"/>
              <w:right w:val="single" w:sz="8" w:space="0" w:color="auto"/>
            </w:tcBorders>
          </w:tcPr>
          <w:p w14:paraId="3EC7F5E4"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p>
        </w:tc>
      </w:tr>
    </w:tbl>
    <w:p w14:paraId="28E4A320" w14:textId="77777777" w:rsidR="006F0609" w:rsidRPr="00D633FF" w:rsidRDefault="006F0609" w:rsidP="006F0609">
      <w:pPr>
        <w:spacing w:after="80" w:line="180" w:lineRule="atLeast"/>
        <w:contextualSpacing/>
        <w:rPr>
          <w:rFonts w:ascii="Calibri" w:eastAsia="Times New Roman" w:hAnsi="Calibri" w:cs="Calibri"/>
          <w:kern w:val="0"/>
          <w:szCs w:val="24"/>
          <w:lang w:eastAsia="en-AU"/>
          <w14:ligatures w14:val="none"/>
        </w:rPr>
      </w:pPr>
    </w:p>
    <w:p w14:paraId="6652D678" w14:textId="77777777" w:rsidR="006F0609" w:rsidRPr="00D633FF" w:rsidRDefault="006F0609" w:rsidP="006F0609">
      <w:pPr>
        <w:keepNext/>
        <w:keepLines/>
        <w:spacing w:before="40" w:after="0" w:line="180" w:lineRule="atLeast"/>
        <w:contextualSpacing/>
        <w:outlineLvl w:val="1"/>
        <w:rPr>
          <w:rFonts w:ascii="Calibri" w:eastAsia="Times New Roman" w:hAnsi="Calibri" w:cs="Calibri"/>
          <w:color w:val="2F5496"/>
          <w:kern w:val="0"/>
          <w:sz w:val="26"/>
          <w:szCs w:val="26"/>
          <w:lang w:eastAsia="en-AU"/>
          <w14:ligatures w14:val="none"/>
        </w:rPr>
      </w:pPr>
      <w:bookmarkStart w:id="90" w:name="_Toc218527993"/>
      <w:r w:rsidRPr="00D633FF">
        <w:rPr>
          <w:rFonts w:ascii="Calibri" w:eastAsia="Times New Roman" w:hAnsi="Calibri" w:cs="Calibri"/>
          <w:color w:val="2F5496"/>
          <w:kern w:val="0"/>
          <w:sz w:val="26"/>
          <w:szCs w:val="26"/>
          <w:lang w:eastAsia="en-AU"/>
          <w14:ligatures w14:val="none"/>
        </w:rPr>
        <w:t>Critical appraisal methods and tools</w:t>
      </w:r>
      <w:bookmarkEnd w:id="90"/>
    </w:p>
    <w:tbl>
      <w:tblPr>
        <w:tblStyle w:val="TableGrid1"/>
        <w:tblW w:w="1456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653"/>
        <w:gridCol w:w="992"/>
        <w:gridCol w:w="6237"/>
        <w:gridCol w:w="685"/>
      </w:tblGrid>
      <w:tr w:rsidR="006F0609" w:rsidRPr="00D633FF" w14:paraId="61E68AA8" w14:textId="77777777" w:rsidTr="006F0609">
        <w:trPr>
          <w:cantSplit/>
          <w:tblHeader/>
        </w:trPr>
        <w:tc>
          <w:tcPr>
            <w:tcW w:w="6653" w:type="dxa"/>
            <w:tcBorders>
              <w:top w:val="single" w:sz="8" w:space="0" w:color="auto"/>
              <w:left w:val="single" w:sz="8" w:space="0" w:color="auto"/>
              <w:bottom w:val="single" w:sz="8" w:space="0" w:color="auto"/>
              <w:right w:val="single" w:sz="8" w:space="0" w:color="auto"/>
            </w:tcBorders>
            <w:shd w:val="clear" w:color="auto" w:fill="BFBFBF"/>
            <w:vAlign w:val="center"/>
            <w:hideMark/>
          </w:tcPr>
          <w:p w14:paraId="12FA9D40"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b/>
                <w:bCs/>
                <w:szCs w:val="20"/>
                <w:vertAlign w:val="superscript"/>
                <w:lang w:eastAsia="en-AU"/>
              </w:rPr>
            </w:pPr>
            <w:r w:rsidRPr="00D633FF">
              <w:rPr>
                <w:rFonts w:ascii="Calibri" w:eastAsia="Times New Roman" w:hAnsi="Calibri" w:cs="Calibri"/>
                <w:b/>
                <w:bCs/>
                <w:szCs w:val="20"/>
                <w:lang w:eastAsia="en-AU"/>
              </w:rPr>
              <w:t>Criteria</w:t>
            </w:r>
          </w:p>
        </w:tc>
        <w:tc>
          <w:tcPr>
            <w:tcW w:w="992" w:type="dxa"/>
            <w:tcBorders>
              <w:top w:val="single" w:sz="8" w:space="0" w:color="auto"/>
              <w:left w:val="single" w:sz="4" w:space="0" w:color="auto"/>
              <w:bottom w:val="single" w:sz="8" w:space="0" w:color="auto"/>
              <w:right w:val="single" w:sz="8" w:space="0" w:color="auto"/>
            </w:tcBorders>
            <w:shd w:val="clear" w:color="auto" w:fill="BFBFBF"/>
            <w:hideMark/>
          </w:tcPr>
          <w:p w14:paraId="336F6A0E"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Yes/No/NA</w:t>
            </w:r>
          </w:p>
        </w:tc>
        <w:tc>
          <w:tcPr>
            <w:tcW w:w="6237" w:type="dxa"/>
            <w:tcBorders>
              <w:top w:val="single" w:sz="8" w:space="0" w:color="auto"/>
              <w:left w:val="single" w:sz="8" w:space="0" w:color="auto"/>
              <w:bottom w:val="single" w:sz="8" w:space="0" w:color="auto"/>
              <w:right w:val="single" w:sz="8" w:space="0" w:color="auto"/>
            </w:tcBorders>
            <w:shd w:val="clear" w:color="auto" w:fill="BFBFBF"/>
            <w:vAlign w:val="center"/>
            <w:hideMark/>
          </w:tcPr>
          <w:p w14:paraId="544471B4"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Comment</w:t>
            </w:r>
          </w:p>
        </w:tc>
        <w:tc>
          <w:tcPr>
            <w:tcW w:w="685" w:type="dxa"/>
            <w:tcBorders>
              <w:top w:val="single" w:sz="8" w:space="0" w:color="auto"/>
              <w:left w:val="single" w:sz="8" w:space="0" w:color="auto"/>
              <w:bottom w:val="single" w:sz="8" w:space="0" w:color="auto"/>
              <w:right w:val="single" w:sz="8" w:space="0" w:color="auto"/>
            </w:tcBorders>
            <w:shd w:val="clear" w:color="auto" w:fill="BFBFBF"/>
          </w:tcPr>
          <w:p w14:paraId="60CADF54"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Page #</w:t>
            </w:r>
          </w:p>
        </w:tc>
      </w:tr>
      <w:tr w:rsidR="006F0609" w:rsidRPr="00D633FF" w14:paraId="3380DC28" w14:textId="77777777">
        <w:trPr>
          <w:cantSplit/>
        </w:trPr>
        <w:tc>
          <w:tcPr>
            <w:tcW w:w="6653" w:type="dxa"/>
            <w:tcBorders>
              <w:top w:val="single" w:sz="8" w:space="0" w:color="auto"/>
              <w:left w:val="single" w:sz="4" w:space="0" w:color="auto"/>
              <w:bottom w:val="single" w:sz="4" w:space="0" w:color="auto"/>
              <w:right w:val="single" w:sz="4" w:space="0" w:color="auto"/>
            </w:tcBorders>
            <w:vAlign w:val="center"/>
            <w:hideMark/>
          </w:tcPr>
          <w:p w14:paraId="64623382"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 xml:space="preserve">Is risk of bias of individual studies assessed and taken into consideration? </w:t>
            </w:r>
          </w:p>
        </w:tc>
        <w:tc>
          <w:tcPr>
            <w:tcW w:w="992" w:type="dxa"/>
            <w:tcBorders>
              <w:top w:val="single" w:sz="8" w:space="0" w:color="auto"/>
              <w:left w:val="single" w:sz="4" w:space="0" w:color="auto"/>
              <w:bottom w:val="single" w:sz="4" w:space="0" w:color="auto"/>
              <w:right w:val="single" w:sz="4" w:space="0" w:color="auto"/>
            </w:tcBorders>
          </w:tcPr>
          <w:p w14:paraId="265EF252"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Yes</w:t>
            </w:r>
          </w:p>
        </w:tc>
        <w:tc>
          <w:tcPr>
            <w:tcW w:w="6237" w:type="dxa"/>
            <w:tcBorders>
              <w:top w:val="single" w:sz="8" w:space="0" w:color="auto"/>
              <w:left w:val="single" w:sz="4" w:space="0" w:color="auto"/>
              <w:bottom w:val="single" w:sz="4" w:space="0" w:color="auto"/>
              <w:right w:val="single" w:sz="4" w:space="0" w:color="auto"/>
            </w:tcBorders>
            <w:vAlign w:val="center"/>
          </w:tcPr>
          <w:p w14:paraId="23830371" w14:textId="7BC94846"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 xml:space="preserve">The appraisal was performed using the Office of Health Assessment and Translation (OHAT) </w:t>
            </w:r>
            <w:proofErr w:type="spellStart"/>
            <w:r w:rsidRPr="00D633FF">
              <w:rPr>
                <w:rFonts w:ascii="Calibri" w:eastAsia="Times New Roman" w:hAnsi="Calibri" w:cs="Calibri"/>
                <w:szCs w:val="20"/>
                <w:lang w:eastAsia="en-AU"/>
              </w:rPr>
              <w:t>RoB</w:t>
            </w:r>
            <w:proofErr w:type="spellEnd"/>
            <w:r w:rsidRPr="00D633FF">
              <w:rPr>
                <w:rFonts w:ascii="Calibri" w:eastAsia="Times New Roman" w:hAnsi="Calibri" w:cs="Calibri"/>
                <w:szCs w:val="20"/>
                <w:lang w:eastAsia="en-AU"/>
              </w:rPr>
              <w:t xml:space="preserve"> tool developed by the US National Toxicology Program (NTP) (OHAT-NTP, </w:t>
            </w:r>
            <w:hyperlink r:id="rId27" w:anchor="efs27704-bib-0227" w:history="1">
              <w:r w:rsidRPr="00D633FF">
                <w:rPr>
                  <w:rFonts w:ascii="Calibri" w:eastAsia="Times New Roman" w:hAnsi="Calibri" w:cs="Calibri"/>
                  <w:color w:val="0563C1"/>
                  <w:szCs w:val="20"/>
                  <w:u w:val="single"/>
                  <w:lang w:eastAsia="en-AU"/>
                </w:rPr>
                <w:t>2015</w:t>
              </w:r>
            </w:hyperlink>
            <w:r w:rsidRPr="00D633FF">
              <w:rPr>
                <w:rFonts w:ascii="Calibri" w:eastAsia="Times New Roman" w:hAnsi="Calibri" w:cs="Calibri"/>
                <w:szCs w:val="20"/>
                <w:lang w:eastAsia="en-AU"/>
              </w:rPr>
              <w:t xml:space="preserve">). The </w:t>
            </w:r>
            <w:proofErr w:type="spellStart"/>
            <w:r w:rsidRPr="00D633FF">
              <w:rPr>
                <w:rFonts w:ascii="Calibri" w:eastAsia="Times New Roman" w:hAnsi="Calibri" w:cs="Calibri"/>
                <w:szCs w:val="20"/>
                <w:lang w:eastAsia="en-AU"/>
              </w:rPr>
              <w:t>RoB</w:t>
            </w:r>
            <w:proofErr w:type="spellEnd"/>
            <w:r w:rsidRPr="00D633FF">
              <w:rPr>
                <w:rFonts w:ascii="Calibri" w:eastAsia="Times New Roman" w:hAnsi="Calibri" w:cs="Calibri"/>
                <w:szCs w:val="20"/>
                <w:lang w:eastAsia="en-AU"/>
              </w:rPr>
              <w:t xml:space="preserve"> criteria and rating instructions provided therein were tailored to the specific research questions, for the questions addressing: (1) consideration of potential confounders, (2) confidence in the exposure characterisation, and (3) confidence in the outcome assessment (Appendix </w:t>
            </w:r>
            <w:r w:rsidR="00CA082E" w:rsidRPr="00D633FF">
              <w:rPr>
                <w:rFonts w:ascii="Calibri" w:hAnsi="Calibri" w:cs="Calibri"/>
              </w:rPr>
              <w:t>B)</w:t>
            </w:r>
            <w:r w:rsidRPr="00D633FF">
              <w:rPr>
                <w:rFonts w:ascii="Calibri" w:eastAsia="Times New Roman" w:hAnsi="Calibri" w:cs="Calibri"/>
                <w:szCs w:val="20"/>
                <w:lang w:eastAsia="en-AU"/>
              </w:rPr>
              <w:t>.</w:t>
            </w:r>
          </w:p>
        </w:tc>
        <w:tc>
          <w:tcPr>
            <w:tcW w:w="685" w:type="dxa"/>
            <w:tcBorders>
              <w:top w:val="single" w:sz="8" w:space="0" w:color="auto"/>
              <w:left w:val="single" w:sz="4" w:space="0" w:color="auto"/>
              <w:bottom w:val="single" w:sz="4" w:space="0" w:color="auto"/>
              <w:right w:val="single" w:sz="4" w:space="0" w:color="auto"/>
            </w:tcBorders>
          </w:tcPr>
          <w:p w14:paraId="7427BCBF"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p>
        </w:tc>
      </w:tr>
      <w:tr w:rsidR="006F0609" w:rsidRPr="00D633FF" w14:paraId="74B4D44F" w14:textId="77777777">
        <w:trPr>
          <w:cantSplit/>
        </w:trPr>
        <w:tc>
          <w:tcPr>
            <w:tcW w:w="6653" w:type="dxa"/>
            <w:tcBorders>
              <w:top w:val="single" w:sz="4" w:space="0" w:color="auto"/>
              <w:left w:val="single" w:sz="4" w:space="0" w:color="auto"/>
              <w:bottom w:val="single" w:sz="4" w:space="0" w:color="auto"/>
              <w:right w:val="single" w:sz="4" w:space="0" w:color="auto"/>
            </w:tcBorders>
            <w:vAlign w:val="center"/>
            <w:hideMark/>
          </w:tcPr>
          <w:p w14:paraId="718AAC3E" w14:textId="77777777" w:rsidR="006F0609" w:rsidRPr="00D633FF" w:rsidRDefault="006F0609" w:rsidP="00F1381E">
            <w:pPr>
              <w:numPr>
                <w:ilvl w:val="0"/>
                <w:numId w:val="14"/>
              </w:numPr>
              <w:tabs>
                <w:tab w:val="center" w:pos="4513"/>
                <w:tab w:val="right" w:pos="9026"/>
              </w:tabs>
              <w:contextualSpacing/>
              <w:rPr>
                <w:rFonts w:ascii="Calibri" w:eastAsia="Times New Roman" w:hAnsi="Calibri" w:cs="Calibri"/>
                <w:szCs w:val="20"/>
                <w:lang w:eastAsia="en-AU"/>
              </w:rPr>
            </w:pPr>
            <w:r w:rsidRPr="00D633FF">
              <w:rPr>
                <w:rFonts w:ascii="Calibri" w:eastAsia="Times New Roman" w:hAnsi="Calibri" w:cs="Calibri"/>
                <w:szCs w:val="20"/>
                <w:lang w:eastAsia="en-AU"/>
              </w:rPr>
              <w:t>if yes, what tools are used? if no, was any other method used to assess study quality?</w:t>
            </w:r>
          </w:p>
        </w:tc>
        <w:tc>
          <w:tcPr>
            <w:tcW w:w="992" w:type="dxa"/>
            <w:tcBorders>
              <w:top w:val="single" w:sz="4" w:space="0" w:color="auto"/>
              <w:left w:val="single" w:sz="4" w:space="0" w:color="auto"/>
              <w:bottom w:val="single" w:sz="4" w:space="0" w:color="auto"/>
              <w:right w:val="single" w:sz="4" w:space="0" w:color="auto"/>
            </w:tcBorders>
          </w:tcPr>
          <w:p w14:paraId="6FFEABD3"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p>
        </w:tc>
        <w:tc>
          <w:tcPr>
            <w:tcW w:w="6237" w:type="dxa"/>
            <w:tcBorders>
              <w:top w:val="single" w:sz="4" w:space="0" w:color="auto"/>
              <w:left w:val="single" w:sz="4" w:space="0" w:color="auto"/>
              <w:bottom w:val="single" w:sz="4" w:space="0" w:color="auto"/>
              <w:right w:val="single" w:sz="4" w:space="0" w:color="auto"/>
            </w:tcBorders>
            <w:vAlign w:val="center"/>
          </w:tcPr>
          <w:p w14:paraId="1812ADAC"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 xml:space="preserve">Office of Health Assessment and Translation (OHAT) </w:t>
            </w:r>
            <w:proofErr w:type="spellStart"/>
            <w:r w:rsidRPr="00D633FF">
              <w:rPr>
                <w:rFonts w:ascii="Calibri" w:eastAsia="Times New Roman" w:hAnsi="Calibri" w:cs="Calibri"/>
                <w:szCs w:val="20"/>
                <w:lang w:eastAsia="en-AU"/>
              </w:rPr>
              <w:t>RoB</w:t>
            </w:r>
            <w:proofErr w:type="spellEnd"/>
            <w:r w:rsidRPr="00D633FF">
              <w:rPr>
                <w:rFonts w:ascii="Calibri" w:eastAsia="Times New Roman" w:hAnsi="Calibri" w:cs="Calibri"/>
                <w:szCs w:val="20"/>
                <w:lang w:eastAsia="en-AU"/>
              </w:rPr>
              <w:t xml:space="preserve"> tool developed by the US National Toxicology Program (NTP) (OHAT-NTP, </w:t>
            </w:r>
            <w:hyperlink r:id="rId28" w:anchor="efs27704-bib-0227" w:history="1">
              <w:r w:rsidRPr="00D633FF">
                <w:rPr>
                  <w:rFonts w:ascii="Calibri" w:eastAsia="Times New Roman" w:hAnsi="Calibri" w:cs="Calibri"/>
                  <w:color w:val="0563C1"/>
                  <w:szCs w:val="20"/>
                  <w:u w:val="single"/>
                  <w:lang w:eastAsia="en-AU"/>
                </w:rPr>
                <w:t>2015</w:t>
              </w:r>
            </w:hyperlink>
            <w:r w:rsidRPr="00D633FF">
              <w:rPr>
                <w:rFonts w:ascii="Calibri" w:eastAsia="Times New Roman" w:hAnsi="Calibri" w:cs="Calibri"/>
                <w:szCs w:val="20"/>
                <w:lang w:eastAsia="en-AU"/>
              </w:rPr>
              <w:t>)</w:t>
            </w:r>
          </w:p>
        </w:tc>
        <w:tc>
          <w:tcPr>
            <w:tcW w:w="685" w:type="dxa"/>
            <w:tcBorders>
              <w:top w:val="single" w:sz="4" w:space="0" w:color="auto"/>
              <w:left w:val="single" w:sz="4" w:space="0" w:color="auto"/>
              <w:bottom w:val="single" w:sz="4" w:space="0" w:color="auto"/>
              <w:right w:val="single" w:sz="4" w:space="0" w:color="auto"/>
            </w:tcBorders>
          </w:tcPr>
          <w:p w14:paraId="1F9D683E"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p>
        </w:tc>
      </w:tr>
      <w:tr w:rsidR="006F0609" w:rsidRPr="00D633FF" w14:paraId="45B77E57" w14:textId="77777777">
        <w:trPr>
          <w:cantSplit/>
        </w:trPr>
        <w:tc>
          <w:tcPr>
            <w:tcW w:w="6653" w:type="dxa"/>
            <w:tcBorders>
              <w:top w:val="single" w:sz="4" w:space="0" w:color="auto"/>
              <w:left w:val="single" w:sz="4" w:space="0" w:color="auto"/>
              <w:bottom w:val="single" w:sz="4" w:space="0" w:color="auto"/>
              <w:right w:val="single" w:sz="4" w:space="0" w:color="auto"/>
            </w:tcBorders>
            <w:vAlign w:val="center"/>
            <w:hideMark/>
          </w:tcPr>
          <w:p w14:paraId="5841C6F8"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lastRenderedPageBreak/>
              <w:t>Does the organisation use a systematic or some other methodological approach to synthesise the evidence (i.e. to assess and summarise the information provided in the studies)?</w:t>
            </w:r>
          </w:p>
        </w:tc>
        <w:tc>
          <w:tcPr>
            <w:tcW w:w="992" w:type="dxa"/>
            <w:tcBorders>
              <w:top w:val="single" w:sz="4" w:space="0" w:color="auto"/>
              <w:left w:val="single" w:sz="4" w:space="0" w:color="auto"/>
              <w:bottom w:val="single" w:sz="4" w:space="0" w:color="auto"/>
              <w:right w:val="single" w:sz="4" w:space="0" w:color="auto"/>
            </w:tcBorders>
          </w:tcPr>
          <w:p w14:paraId="6E7B0410"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Yes</w:t>
            </w:r>
          </w:p>
        </w:tc>
        <w:tc>
          <w:tcPr>
            <w:tcW w:w="6237" w:type="dxa"/>
            <w:tcBorders>
              <w:top w:val="single" w:sz="4" w:space="0" w:color="auto"/>
              <w:left w:val="single" w:sz="4" w:space="0" w:color="auto"/>
              <w:bottom w:val="single" w:sz="4" w:space="0" w:color="auto"/>
              <w:right w:val="single" w:sz="8" w:space="0" w:color="auto"/>
            </w:tcBorders>
            <w:vAlign w:val="center"/>
          </w:tcPr>
          <w:p w14:paraId="0057D034" w14:textId="540A1973"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Use of forest plots where possible – Q2, 3 and 5</w:t>
            </w:r>
          </w:p>
        </w:tc>
        <w:tc>
          <w:tcPr>
            <w:tcW w:w="685" w:type="dxa"/>
            <w:tcBorders>
              <w:top w:val="single" w:sz="4" w:space="0" w:color="auto"/>
              <w:left w:val="single" w:sz="4" w:space="0" w:color="auto"/>
              <w:bottom w:val="single" w:sz="4" w:space="0" w:color="auto"/>
              <w:right w:val="single" w:sz="8" w:space="0" w:color="auto"/>
            </w:tcBorders>
          </w:tcPr>
          <w:p w14:paraId="43DB0E11"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p>
        </w:tc>
      </w:tr>
      <w:tr w:rsidR="006F0609" w:rsidRPr="00D633FF" w14:paraId="5CF12239" w14:textId="77777777">
        <w:trPr>
          <w:cantSplit/>
        </w:trPr>
        <w:tc>
          <w:tcPr>
            <w:tcW w:w="6653" w:type="dxa"/>
            <w:tcBorders>
              <w:top w:val="single" w:sz="4" w:space="0" w:color="auto"/>
              <w:left w:val="single" w:sz="4" w:space="0" w:color="auto"/>
              <w:bottom w:val="single" w:sz="4" w:space="0" w:color="auto"/>
              <w:right w:val="single" w:sz="4" w:space="0" w:color="auto"/>
            </w:tcBorders>
            <w:vAlign w:val="center"/>
            <w:hideMark/>
          </w:tcPr>
          <w:p w14:paraId="2B76A181"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 xml:space="preserve">Does the organisation assess the overall certainty of the evidence and reach recommendations? </w:t>
            </w:r>
          </w:p>
        </w:tc>
        <w:tc>
          <w:tcPr>
            <w:tcW w:w="992" w:type="dxa"/>
            <w:tcBorders>
              <w:top w:val="single" w:sz="4" w:space="0" w:color="auto"/>
              <w:left w:val="single" w:sz="4" w:space="0" w:color="auto"/>
              <w:bottom w:val="single" w:sz="4" w:space="0" w:color="auto"/>
              <w:right w:val="single" w:sz="4" w:space="0" w:color="auto"/>
            </w:tcBorders>
          </w:tcPr>
          <w:p w14:paraId="011E99CC"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Yes</w:t>
            </w:r>
          </w:p>
        </w:tc>
        <w:tc>
          <w:tcPr>
            <w:tcW w:w="6237" w:type="dxa"/>
            <w:tcBorders>
              <w:top w:val="single" w:sz="4" w:space="0" w:color="auto"/>
              <w:left w:val="single" w:sz="4" w:space="0" w:color="auto"/>
              <w:bottom w:val="single" w:sz="4" w:space="0" w:color="auto"/>
              <w:right w:val="single" w:sz="8" w:space="0" w:color="auto"/>
            </w:tcBorders>
            <w:vAlign w:val="center"/>
          </w:tcPr>
          <w:p w14:paraId="0DFEE8FA"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The overall body of evidence is assessed for each outcome.</w:t>
            </w:r>
          </w:p>
          <w:p w14:paraId="073C6557"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Calibri" w:hAnsi="Calibri" w:cs="Calibri"/>
                <w:szCs w:val="20"/>
                <w:lang w:eastAsia="en-AU"/>
              </w:rPr>
              <w:t xml:space="preserve">The OHAT </w:t>
            </w:r>
            <w:proofErr w:type="spellStart"/>
            <w:r w:rsidRPr="00D633FF">
              <w:rPr>
                <w:rFonts w:ascii="Calibri" w:eastAsia="Calibri" w:hAnsi="Calibri" w:cs="Calibri"/>
                <w:szCs w:val="20"/>
                <w:lang w:eastAsia="en-AU"/>
              </w:rPr>
              <w:t>RoB</w:t>
            </w:r>
            <w:proofErr w:type="spellEnd"/>
            <w:r w:rsidRPr="00D633FF">
              <w:rPr>
                <w:rFonts w:ascii="Calibri" w:eastAsia="Calibri" w:hAnsi="Calibri" w:cs="Calibri"/>
                <w:szCs w:val="20"/>
                <w:lang w:eastAsia="en-AU"/>
              </w:rPr>
              <w:t xml:space="preserve"> tool proposes five response options for each </w:t>
            </w:r>
            <w:proofErr w:type="spellStart"/>
            <w:r w:rsidRPr="00D633FF">
              <w:rPr>
                <w:rFonts w:ascii="Calibri" w:eastAsia="Calibri" w:hAnsi="Calibri" w:cs="Calibri"/>
                <w:szCs w:val="20"/>
                <w:lang w:eastAsia="en-AU"/>
              </w:rPr>
              <w:t>RoB</w:t>
            </w:r>
            <w:proofErr w:type="spellEnd"/>
            <w:r w:rsidRPr="00D633FF">
              <w:rPr>
                <w:rFonts w:ascii="Calibri" w:eastAsia="Calibri" w:hAnsi="Calibri" w:cs="Calibri"/>
                <w:szCs w:val="20"/>
                <w:lang w:eastAsia="en-AU"/>
              </w:rPr>
              <w:t xml:space="preserve"> question: </w:t>
            </w:r>
            <w:proofErr w:type="gramStart"/>
            <w:r w:rsidRPr="00D633FF">
              <w:rPr>
                <w:rFonts w:ascii="Calibri" w:eastAsia="Calibri" w:hAnsi="Calibri" w:cs="Calibri"/>
                <w:szCs w:val="20"/>
                <w:lang w:eastAsia="en-AU"/>
              </w:rPr>
              <w:t>definitely low</w:t>
            </w:r>
            <w:proofErr w:type="gramEnd"/>
            <w:r w:rsidRPr="00D633FF">
              <w:rPr>
                <w:rFonts w:ascii="Calibri" w:eastAsia="Calibri" w:hAnsi="Calibri" w:cs="Calibri"/>
                <w:szCs w:val="20"/>
                <w:lang w:eastAsia="en-AU"/>
              </w:rPr>
              <w:t xml:space="preserve"> </w:t>
            </w:r>
            <w:proofErr w:type="spellStart"/>
            <w:r w:rsidRPr="00D633FF">
              <w:rPr>
                <w:rFonts w:ascii="Calibri" w:eastAsia="Calibri" w:hAnsi="Calibri" w:cs="Calibri"/>
                <w:szCs w:val="20"/>
                <w:lang w:eastAsia="en-AU"/>
              </w:rPr>
              <w:t>RoB</w:t>
            </w:r>
            <w:proofErr w:type="spellEnd"/>
            <w:r w:rsidRPr="00D633FF">
              <w:rPr>
                <w:rFonts w:ascii="Calibri" w:eastAsia="Calibri" w:hAnsi="Calibri" w:cs="Calibri"/>
                <w:szCs w:val="20"/>
                <w:lang w:eastAsia="en-AU"/>
              </w:rPr>
              <w:t xml:space="preserve"> (++), probably low </w:t>
            </w:r>
            <w:proofErr w:type="spellStart"/>
            <w:r w:rsidRPr="00D633FF">
              <w:rPr>
                <w:rFonts w:ascii="Calibri" w:eastAsia="Calibri" w:hAnsi="Calibri" w:cs="Calibri"/>
                <w:szCs w:val="20"/>
                <w:lang w:eastAsia="en-AU"/>
              </w:rPr>
              <w:t>RoB</w:t>
            </w:r>
            <w:proofErr w:type="spellEnd"/>
            <w:r w:rsidRPr="00D633FF">
              <w:rPr>
                <w:rFonts w:ascii="Calibri" w:eastAsia="Calibri" w:hAnsi="Calibri" w:cs="Calibri"/>
                <w:szCs w:val="20"/>
                <w:lang w:eastAsia="en-AU"/>
              </w:rPr>
              <w:t xml:space="preserve"> (+), not reported (NR), probably high </w:t>
            </w:r>
            <w:proofErr w:type="spellStart"/>
            <w:r w:rsidRPr="00D633FF">
              <w:rPr>
                <w:rFonts w:ascii="Calibri" w:eastAsia="Calibri" w:hAnsi="Calibri" w:cs="Calibri"/>
                <w:szCs w:val="20"/>
                <w:lang w:eastAsia="en-AU"/>
              </w:rPr>
              <w:t>RoB</w:t>
            </w:r>
            <w:proofErr w:type="spellEnd"/>
            <w:r w:rsidRPr="00D633FF">
              <w:rPr>
                <w:rFonts w:ascii="Calibri" w:eastAsia="Calibri" w:hAnsi="Calibri" w:cs="Calibri"/>
                <w:szCs w:val="20"/>
                <w:lang w:eastAsia="en-AU"/>
              </w:rPr>
              <w:t xml:space="preserve"> (−), </w:t>
            </w:r>
            <w:proofErr w:type="gramStart"/>
            <w:r w:rsidRPr="00D633FF">
              <w:rPr>
                <w:rFonts w:ascii="Calibri" w:eastAsia="Calibri" w:hAnsi="Calibri" w:cs="Calibri"/>
                <w:szCs w:val="20"/>
                <w:lang w:eastAsia="en-AU"/>
              </w:rPr>
              <w:t>definitely high</w:t>
            </w:r>
            <w:proofErr w:type="gramEnd"/>
            <w:r w:rsidRPr="00D633FF">
              <w:rPr>
                <w:rFonts w:ascii="Calibri" w:eastAsia="Calibri" w:hAnsi="Calibri" w:cs="Calibri"/>
                <w:szCs w:val="20"/>
                <w:lang w:eastAsia="en-AU"/>
              </w:rPr>
              <w:t xml:space="preserve"> </w:t>
            </w:r>
            <w:proofErr w:type="spellStart"/>
            <w:r w:rsidRPr="00D633FF">
              <w:rPr>
                <w:rFonts w:ascii="Calibri" w:eastAsia="Calibri" w:hAnsi="Calibri" w:cs="Calibri"/>
                <w:szCs w:val="20"/>
                <w:lang w:eastAsia="en-AU"/>
              </w:rPr>
              <w:t>RoB</w:t>
            </w:r>
            <w:proofErr w:type="spellEnd"/>
            <w:r w:rsidRPr="00D633FF">
              <w:rPr>
                <w:rFonts w:ascii="Calibri" w:eastAsia="Calibri" w:hAnsi="Calibri" w:cs="Calibri"/>
                <w:szCs w:val="20"/>
                <w:lang w:eastAsia="en-AU"/>
              </w:rPr>
              <w:t xml:space="preserve"> (−−). For the appraisal of intervention studies, the scale was aggregated to three options (high </w:t>
            </w:r>
            <w:proofErr w:type="spellStart"/>
            <w:r w:rsidRPr="00D633FF">
              <w:rPr>
                <w:rFonts w:ascii="Calibri" w:eastAsia="Calibri" w:hAnsi="Calibri" w:cs="Calibri"/>
                <w:szCs w:val="20"/>
                <w:lang w:eastAsia="en-AU"/>
              </w:rPr>
              <w:t>RoB</w:t>
            </w:r>
            <w:proofErr w:type="spellEnd"/>
            <w:r w:rsidRPr="00D633FF">
              <w:rPr>
                <w:rFonts w:ascii="Calibri" w:eastAsia="Calibri" w:hAnsi="Calibri" w:cs="Calibri"/>
                <w:szCs w:val="20"/>
                <w:lang w:eastAsia="en-AU"/>
              </w:rPr>
              <w:t xml:space="preserve">, NR, low </w:t>
            </w:r>
            <w:proofErr w:type="spellStart"/>
            <w:r w:rsidRPr="00D633FF">
              <w:rPr>
                <w:rFonts w:ascii="Calibri" w:eastAsia="Calibri" w:hAnsi="Calibri" w:cs="Calibri"/>
                <w:szCs w:val="20"/>
                <w:lang w:eastAsia="en-AU"/>
              </w:rPr>
              <w:t>RoB</w:t>
            </w:r>
            <w:proofErr w:type="spellEnd"/>
            <w:r w:rsidRPr="00D633FF">
              <w:rPr>
                <w:rFonts w:ascii="Calibri" w:eastAsia="Calibri" w:hAnsi="Calibri" w:cs="Calibri"/>
                <w:szCs w:val="20"/>
                <w:lang w:eastAsia="en-AU"/>
              </w:rPr>
              <w:t>) as it was considered sufficiently discriminatory for this design in the context of the present assessment.</w:t>
            </w:r>
          </w:p>
          <w:p w14:paraId="33086128" w14:textId="6919420B"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 xml:space="preserve">Studies were categorised according to their overall </w:t>
            </w:r>
            <w:proofErr w:type="spellStart"/>
            <w:r w:rsidRPr="00D633FF">
              <w:rPr>
                <w:rFonts w:ascii="Calibri" w:eastAsia="Times New Roman" w:hAnsi="Calibri" w:cs="Calibri"/>
                <w:szCs w:val="20"/>
                <w:lang w:eastAsia="en-AU"/>
              </w:rPr>
              <w:t>RoB</w:t>
            </w:r>
            <w:proofErr w:type="spellEnd"/>
            <w:r w:rsidRPr="00D633FF">
              <w:rPr>
                <w:rFonts w:ascii="Calibri" w:eastAsia="Times New Roman" w:hAnsi="Calibri" w:cs="Calibri"/>
                <w:szCs w:val="20"/>
                <w:lang w:eastAsia="en-AU"/>
              </w:rPr>
              <w:t xml:space="preserve"> based on a three-tier system (i.e. at low (tier 1), moderate (tier 2) or high (tier 3) </w:t>
            </w:r>
            <w:proofErr w:type="spellStart"/>
            <w:r w:rsidRPr="00D633FF">
              <w:rPr>
                <w:rFonts w:ascii="Calibri" w:eastAsia="Times New Roman" w:hAnsi="Calibri" w:cs="Calibri"/>
                <w:szCs w:val="20"/>
                <w:lang w:eastAsia="en-AU"/>
              </w:rPr>
              <w:t>RoB</w:t>
            </w:r>
            <w:proofErr w:type="spellEnd"/>
            <w:r w:rsidRPr="00D633FF">
              <w:rPr>
                <w:rFonts w:ascii="Calibri" w:eastAsia="Times New Roman" w:hAnsi="Calibri" w:cs="Calibri"/>
                <w:szCs w:val="20"/>
                <w:lang w:eastAsia="en-AU"/>
              </w:rPr>
              <w:t>), according to the strategy proposed by OHAT (OHAT-NTP, </w:t>
            </w:r>
            <w:hyperlink r:id="rId29" w:anchor="efs27704-bib-0228" w:history="1">
              <w:r w:rsidRPr="00D633FF">
                <w:rPr>
                  <w:rFonts w:ascii="Calibri" w:eastAsia="Times New Roman" w:hAnsi="Calibri" w:cs="Calibri"/>
                  <w:color w:val="0563C1"/>
                  <w:szCs w:val="20"/>
                  <w:u w:val="single"/>
                  <w:lang w:eastAsia="en-AU"/>
                </w:rPr>
                <w:t>2019</w:t>
              </w:r>
            </w:hyperlink>
            <w:r w:rsidRPr="00D633FF">
              <w:rPr>
                <w:rFonts w:ascii="Calibri" w:eastAsia="Times New Roman" w:hAnsi="Calibri" w:cs="Calibri"/>
                <w:szCs w:val="20"/>
                <w:lang w:eastAsia="en-AU"/>
              </w:rPr>
              <w:t>) (Appendix </w:t>
            </w:r>
            <w:hyperlink r:id="rId30" w:anchor="efs27704-sec-1003" w:history="1">
              <w:r w:rsidR="00CA082E" w:rsidRPr="00D633FF">
                <w:rPr>
                  <w:rFonts w:ascii="Calibri" w:eastAsia="Times New Roman" w:hAnsi="Calibri" w:cs="Calibri"/>
                  <w:color w:val="0563C1"/>
                  <w:szCs w:val="20"/>
                  <w:u w:val="single"/>
                  <w:lang w:eastAsia="en-AU"/>
                </w:rPr>
                <w:t>B</w:t>
              </w:r>
            </w:hyperlink>
            <w:r w:rsidRPr="00D633FF">
              <w:rPr>
                <w:rFonts w:ascii="Calibri" w:eastAsia="Times New Roman" w:hAnsi="Calibri" w:cs="Calibri"/>
                <w:szCs w:val="20"/>
                <w:lang w:eastAsia="en-AU"/>
              </w:rPr>
              <w:t>)</w:t>
            </w:r>
          </w:p>
        </w:tc>
        <w:tc>
          <w:tcPr>
            <w:tcW w:w="685" w:type="dxa"/>
            <w:tcBorders>
              <w:top w:val="single" w:sz="4" w:space="0" w:color="auto"/>
              <w:left w:val="single" w:sz="4" w:space="0" w:color="auto"/>
              <w:bottom w:val="single" w:sz="4" w:space="0" w:color="auto"/>
              <w:right w:val="single" w:sz="8" w:space="0" w:color="auto"/>
            </w:tcBorders>
          </w:tcPr>
          <w:p w14:paraId="6384139C"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p>
        </w:tc>
      </w:tr>
    </w:tbl>
    <w:p w14:paraId="29BABF12" w14:textId="77777777" w:rsidR="006F0609" w:rsidRPr="00D633FF" w:rsidRDefault="006F0609" w:rsidP="006F0609">
      <w:pPr>
        <w:spacing w:after="80" w:line="180" w:lineRule="atLeast"/>
        <w:contextualSpacing/>
        <w:rPr>
          <w:rFonts w:ascii="Calibri" w:eastAsia="Times New Roman" w:hAnsi="Calibri" w:cs="Calibri"/>
          <w:kern w:val="0"/>
          <w:szCs w:val="24"/>
          <w:lang w:eastAsia="en-AU"/>
          <w14:ligatures w14:val="none"/>
        </w:rPr>
      </w:pPr>
    </w:p>
    <w:p w14:paraId="7C40F19F" w14:textId="77777777" w:rsidR="006F0609" w:rsidRPr="00D633FF" w:rsidRDefault="006F0609" w:rsidP="006F0609">
      <w:pPr>
        <w:keepNext/>
        <w:keepLines/>
        <w:spacing w:before="40" w:after="0" w:line="180" w:lineRule="atLeast"/>
        <w:contextualSpacing/>
        <w:outlineLvl w:val="1"/>
        <w:rPr>
          <w:rFonts w:ascii="Calibri" w:eastAsia="Times New Roman" w:hAnsi="Calibri" w:cs="Calibri"/>
          <w:color w:val="2F5496"/>
          <w:kern w:val="0"/>
          <w:sz w:val="26"/>
          <w:szCs w:val="26"/>
          <w:lang w:eastAsia="en-AU"/>
          <w14:ligatures w14:val="none"/>
        </w:rPr>
      </w:pPr>
      <w:bookmarkStart w:id="91" w:name="_Toc218527994"/>
      <w:r w:rsidRPr="00D633FF">
        <w:rPr>
          <w:rFonts w:ascii="Calibri" w:eastAsia="Times New Roman" w:hAnsi="Calibri" w:cs="Calibri"/>
          <w:color w:val="2F5496"/>
          <w:kern w:val="0"/>
          <w:sz w:val="26"/>
          <w:szCs w:val="26"/>
          <w:lang w:eastAsia="en-AU"/>
          <w14:ligatures w14:val="none"/>
        </w:rPr>
        <w:t>Derivation of nutrient reference values</w:t>
      </w:r>
      <w:bookmarkEnd w:id="91"/>
    </w:p>
    <w:tbl>
      <w:tblPr>
        <w:tblStyle w:val="TableGrid1"/>
        <w:tblW w:w="1456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653"/>
        <w:gridCol w:w="992"/>
        <w:gridCol w:w="6237"/>
        <w:gridCol w:w="685"/>
      </w:tblGrid>
      <w:tr w:rsidR="006F0609" w:rsidRPr="00D633FF" w14:paraId="662EA4FF" w14:textId="77777777" w:rsidTr="006F0609">
        <w:trPr>
          <w:cantSplit/>
          <w:tblHeader/>
        </w:trPr>
        <w:tc>
          <w:tcPr>
            <w:tcW w:w="6653" w:type="dxa"/>
            <w:tcBorders>
              <w:top w:val="single" w:sz="8" w:space="0" w:color="auto"/>
              <w:left w:val="single" w:sz="8" w:space="0" w:color="auto"/>
              <w:bottom w:val="single" w:sz="8" w:space="0" w:color="auto"/>
              <w:right w:val="single" w:sz="8" w:space="0" w:color="auto"/>
            </w:tcBorders>
            <w:shd w:val="clear" w:color="auto" w:fill="BFBFBF"/>
            <w:vAlign w:val="center"/>
            <w:hideMark/>
          </w:tcPr>
          <w:p w14:paraId="62826A07"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b/>
                <w:bCs/>
                <w:szCs w:val="20"/>
                <w:vertAlign w:val="superscript"/>
                <w:lang w:eastAsia="en-AU"/>
              </w:rPr>
            </w:pPr>
            <w:r w:rsidRPr="00D633FF">
              <w:rPr>
                <w:rFonts w:ascii="Calibri" w:eastAsia="Times New Roman" w:hAnsi="Calibri" w:cs="Calibri"/>
                <w:b/>
                <w:bCs/>
                <w:szCs w:val="20"/>
                <w:lang w:eastAsia="en-AU"/>
              </w:rPr>
              <w:t>Criteria</w:t>
            </w:r>
          </w:p>
        </w:tc>
        <w:tc>
          <w:tcPr>
            <w:tcW w:w="992" w:type="dxa"/>
            <w:tcBorders>
              <w:top w:val="single" w:sz="8" w:space="0" w:color="auto"/>
              <w:left w:val="single" w:sz="4" w:space="0" w:color="auto"/>
              <w:bottom w:val="single" w:sz="8" w:space="0" w:color="auto"/>
              <w:right w:val="single" w:sz="8" w:space="0" w:color="auto"/>
            </w:tcBorders>
            <w:shd w:val="clear" w:color="auto" w:fill="BFBFBF"/>
            <w:hideMark/>
          </w:tcPr>
          <w:p w14:paraId="402A85C1"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Yes/No/NA</w:t>
            </w:r>
          </w:p>
        </w:tc>
        <w:tc>
          <w:tcPr>
            <w:tcW w:w="6237" w:type="dxa"/>
            <w:tcBorders>
              <w:top w:val="single" w:sz="8" w:space="0" w:color="auto"/>
              <w:left w:val="single" w:sz="8" w:space="0" w:color="auto"/>
              <w:bottom w:val="single" w:sz="8" w:space="0" w:color="auto"/>
              <w:right w:val="single" w:sz="8" w:space="0" w:color="auto"/>
            </w:tcBorders>
            <w:shd w:val="clear" w:color="auto" w:fill="BFBFBF"/>
            <w:vAlign w:val="center"/>
            <w:hideMark/>
          </w:tcPr>
          <w:p w14:paraId="3A5A1694"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Comment</w:t>
            </w:r>
          </w:p>
        </w:tc>
        <w:tc>
          <w:tcPr>
            <w:tcW w:w="685" w:type="dxa"/>
            <w:tcBorders>
              <w:top w:val="single" w:sz="8" w:space="0" w:color="auto"/>
              <w:left w:val="single" w:sz="8" w:space="0" w:color="auto"/>
              <w:bottom w:val="single" w:sz="8" w:space="0" w:color="auto"/>
              <w:right w:val="single" w:sz="8" w:space="0" w:color="auto"/>
            </w:tcBorders>
            <w:shd w:val="clear" w:color="auto" w:fill="BFBFBF"/>
          </w:tcPr>
          <w:p w14:paraId="2D2100F6"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Page #</w:t>
            </w:r>
          </w:p>
        </w:tc>
      </w:tr>
      <w:tr w:rsidR="006F0609" w:rsidRPr="00D633FF" w14:paraId="311496E4" w14:textId="77777777">
        <w:trPr>
          <w:cantSplit/>
        </w:trPr>
        <w:tc>
          <w:tcPr>
            <w:tcW w:w="6653" w:type="dxa"/>
            <w:tcBorders>
              <w:top w:val="single" w:sz="4" w:space="0" w:color="auto"/>
              <w:left w:val="single" w:sz="4" w:space="0" w:color="auto"/>
              <w:bottom w:val="single" w:sz="4" w:space="0" w:color="auto"/>
              <w:right w:val="single" w:sz="4" w:space="0" w:color="auto"/>
            </w:tcBorders>
            <w:vAlign w:val="center"/>
            <w:hideMark/>
          </w:tcPr>
          <w:p w14:paraId="267CBD5B"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color w:val="ED7D31"/>
                <w:szCs w:val="20"/>
                <w:lang w:eastAsia="en-AU"/>
              </w:rPr>
            </w:pPr>
            <w:r w:rsidRPr="00D633FF">
              <w:rPr>
                <w:rFonts w:ascii="Calibri" w:eastAsia="Times New Roman" w:hAnsi="Calibri" w:cs="Calibri"/>
                <w:szCs w:val="20"/>
                <w:lang w:eastAsia="en-AU"/>
              </w:rPr>
              <w:t>Is the method selected to calculate NRV(s) documented and justified?  (factorial, dose response or risk assessment)</w:t>
            </w:r>
          </w:p>
        </w:tc>
        <w:tc>
          <w:tcPr>
            <w:tcW w:w="992" w:type="dxa"/>
            <w:tcBorders>
              <w:top w:val="single" w:sz="4" w:space="0" w:color="auto"/>
              <w:left w:val="single" w:sz="4" w:space="0" w:color="auto"/>
              <w:bottom w:val="single" w:sz="4" w:space="0" w:color="auto"/>
              <w:right w:val="single" w:sz="4" w:space="0" w:color="auto"/>
            </w:tcBorders>
          </w:tcPr>
          <w:p w14:paraId="1A79030F"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Yes</w:t>
            </w:r>
          </w:p>
        </w:tc>
        <w:tc>
          <w:tcPr>
            <w:tcW w:w="6237" w:type="dxa"/>
            <w:tcBorders>
              <w:top w:val="single" w:sz="4" w:space="0" w:color="auto"/>
              <w:left w:val="single" w:sz="4" w:space="0" w:color="auto"/>
              <w:bottom w:val="single" w:sz="4" w:space="0" w:color="auto"/>
              <w:right w:val="single" w:sz="8" w:space="0" w:color="auto"/>
            </w:tcBorders>
            <w:vAlign w:val="center"/>
          </w:tcPr>
          <w:p w14:paraId="2F77165D"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Questions were risk assessment based. A dose-response meta-analysis on selenium exposure and incidence of T2DM was performed.</w:t>
            </w:r>
          </w:p>
          <w:p w14:paraId="06A1C54E"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p>
        </w:tc>
        <w:tc>
          <w:tcPr>
            <w:tcW w:w="685" w:type="dxa"/>
            <w:tcBorders>
              <w:top w:val="single" w:sz="4" w:space="0" w:color="auto"/>
              <w:left w:val="single" w:sz="4" w:space="0" w:color="auto"/>
              <w:bottom w:val="single" w:sz="4" w:space="0" w:color="auto"/>
              <w:right w:val="single" w:sz="8" w:space="0" w:color="auto"/>
            </w:tcBorders>
          </w:tcPr>
          <w:p w14:paraId="071AFACF"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p>
        </w:tc>
      </w:tr>
      <w:tr w:rsidR="006F0609" w:rsidRPr="00D633FF" w14:paraId="6D987C50" w14:textId="77777777">
        <w:trPr>
          <w:cantSplit/>
        </w:trPr>
        <w:tc>
          <w:tcPr>
            <w:tcW w:w="6653" w:type="dxa"/>
            <w:tcBorders>
              <w:top w:val="single" w:sz="4" w:space="0" w:color="auto"/>
              <w:left w:val="single" w:sz="4" w:space="0" w:color="auto"/>
              <w:bottom w:val="single" w:sz="4" w:space="0" w:color="auto"/>
              <w:right w:val="single" w:sz="4" w:space="0" w:color="auto"/>
            </w:tcBorders>
            <w:vAlign w:val="center"/>
            <w:hideMark/>
          </w:tcPr>
          <w:p w14:paraId="7DED6B70"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color w:val="ED7D31"/>
                <w:szCs w:val="20"/>
                <w:lang w:eastAsia="en-AU"/>
              </w:rPr>
            </w:pPr>
            <w:r w:rsidRPr="00D633FF">
              <w:rPr>
                <w:rFonts w:ascii="Calibri" w:eastAsia="Times New Roman" w:hAnsi="Calibri" w:cs="Calibri"/>
                <w:szCs w:val="20"/>
                <w:lang w:eastAsia="en-AU"/>
              </w:rPr>
              <w:t xml:space="preserve">Are the algorithms and calculations clearly documented and explained? </w:t>
            </w:r>
          </w:p>
        </w:tc>
        <w:tc>
          <w:tcPr>
            <w:tcW w:w="992" w:type="dxa"/>
            <w:tcBorders>
              <w:top w:val="single" w:sz="4" w:space="0" w:color="auto"/>
              <w:left w:val="single" w:sz="4" w:space="0" w:color="auto"/>
              <w:bottom w:val="single" w:sz="4" w:space="0" w:color="auto"/>
              <w:right w:val="single" w:sz="4" w:space="0" w:color="auto"/>
            </w:tcBorders>
          </w:tcPr>
          <w:p w14:paraId="183F93E3"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Yes</w:t>
            </w:r>
          </w:p>
        </w:tc>
        <w:tc>
          <w:tcPr>
            <w:tcW w:w="6237" w:type="dxa"/>
            <w:tcBorders>
              <w:top w:val="single" w:sz="4" w:space="0" w:color="auto"/>
              <w:left w:val="single" w:sz="4" w:space="0" w:color="auto"/>
              <w:bottom w:val="single" w:sz="4" w:space="0" w:color="auto"/>
              <w:right w:val="single" w:sz="8" w:space="0" w:color="auto"/>
            </w:tcBorders>
            <w:vAlign w:val="center"/>
          </w:tcPr>
          <w:p w14:paraId="5A192A07"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proofErr w:type="gramStart"/>
            <w:r w:rsidRPr="00D633FF">
              <w:rPr>
                <w:rFonts w:ascii="Calibri" w:eastAsia="Times New Roman" w:hAnsi="Calibri" w:cs="Calibri"/>
                <w:szCs w:val="20"/>
                <w:lang w:eastAsia="en-AU"/>
              </w:rPr>
              <w:t>Yes</w:t>
            </w:r>
            <w:proofErr w:type="gramEnd"/>
            <w:r w:rsidRPr="00D633FF">
              <w:rPr>
                <w:rFonts w:ascii="Calibri" w:eastAsia="Times New Roman" w:hAnsi="Calibri" w:cs="Calibri"/>
                <w:szCs w:val="20"/>
                <w:lang w:eastAsia="en-AU"/>
              </w:rPr>
              <w:t xml:space="preserve"> there is reference to formulae in the EFSA 2022 NDA Panel document. </w:t>
            </w:r>
          </w:p>
          <w:p w14:paraId="126E4216"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p>
        </w:tc>
        <w:tc>
          <w:tcPr>
            <w:tcW w:w="685" w:type="dxa"/>
            <w:tcBorders>
              <w:top w:val="single" w:sz="4" w:space="0" w:color="auto"/>
              <w:left w:val="single" w:sz="4" w:space="0" w:color="auto"/>
              <w:bottom w:val="single" w:sz="4" w:space="0" w:color="auto"/>
              <w:right w:val="single" w:sz="8" w:space="0" w:color="auto"/>
            </w:tcBorders>
          </w:tcPr>
          <w:p w14:paraId="2AE9FCEB"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10</w:t>
            </w:r>
          </w:p>
        </w:tc>
      </w:tr>
      <w:tr w:rsidR="006F0609" w:rsidRPr="00D633FF" w14:paraId="0A8F9616" w14:textId="77777777">
        <w:trPr>
          <w:cantSplit/>
        </w:trPr>
        <w:tc>
          <w:tcPr>
            <w:tcW w:w="6653" w:type="dxa"/>
            <w:tcBorders>
              <w:top w:val="single" w:sz="4" w:space="0" w:color="auto"/>
              <w:left w:val="single" w:sz="4" w:space="0" w:color="auto"/>
              <w:bottom w:val="single" w:sz="4" w:space="0" w:color="auto"/>
              <w:right w:val="single" w:sz="4" w:space="0" w:color="auto"/>
            </w:tcBorders>
            <w:vAlign w:val="center"/>
          </w:tcPr>
          <w:p w14:paraId="0DE60B11"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Are the assumptions and reference data (intake, body weights for age groups etc) used for the calculations clearly documented and explained?</w:t>
            </w:r>
          </w:p>
          <w:p w14:paraId="4D434458"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color w:val="ED7D31"/>
                <w:szCs w:val="20"/>
                <w:lang w:eastAsia="en-AU"/>
              </w:rPr>
            </w:pPr>
          </w:p>
        </w:tc>
        <w:tc>
          <w:tcPr>
            <w:tcW w:w="992" w:type="dxa"/>
            <w:tcBorders>
              <w:top w:val="single" w:sz="4" w:space="0" w:color="auto"/>
              <w:left w:val="single" w:sz="4" w:space="0" w:color="auto"/>
              <w:bottom w:val="single" w:sz="4" w:space="0" w:color="auto"/>
              <w:right w:val="single" w:sz="4" w:space="0" w:color="auto"/>
            </w:tcBorders>
          </w:tcPr>
          <w:p w14:paraId="28A1D483"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p>
        </w:tc>
        <w:tc>
          <w:tcPr>
            <w:tcW w:w="6237" w:type="dxa"/>
            <w:tcBorders>
              <w:top w:val="single" w:sz="4" w:space="0" w:color="auto"/>
              <w:left w:val="single" w:sz="4" w:space="0" w:color="auto"/>
              <w:bottom w:val="single" w:sz="4" w:space="0" w:color="auto"/>
              <w:right w:val="single" w:sz="8" w:space="0" w:color="auto"/>
            </w:tcBorders>
            <w:vAlign w:val="center"/>
          </w:tcPr>
          <w:p w14:paraId="636278AF" w14:textId="45114E26"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 xml:space="preserve">The reference weights are based on WHO data. Allometric scaling is currently used for the 2006 NRVs on selenium </w:t>
            </w:r>
            <w:r w:rsidR="008A3419" w:rsidRPr="00D633FF">
              <w:rPr>
                <w:rFonts w:ascii="Calibri" w:eastAsia="Times New Roman" w:hAnsi="Calibri" w:cs="Calibri"/>
                <w:szCs w:val="20"/>
                <w:lang w:eastAsia="en-AU"/>
              </w:rPr>
              <w:t>UL</w:t>
            </w:r>
            <w:r w:rsidRPr="00D633FF">
              <w:rPr>
                <w:rFonts w:ascii="Calibri" w:eastAsia="Times New Roman" w:hAnsi="Calibri" w:cs="Calibri"/>
                <w:szCs w:val="20"/>
                <w:lang w:eastAsia="en-AU"/>
              </w:rPr>
              <w:t xml:space="preserve"> and is appropriate. </w:t>
            </w:r>
          </w:p>
        </w:tc>
        <w:tc>
          <w:tcPr>
            <w:tcW w:w="685" w:type="dxa"/>
            <w:tcBorders>
              <w:top w:val="single" w:sz="4" w:space="0" w:color="auto"/>
              <w:left w:val="single" w:sz="4" w:space="0" w:color="auto"/>
              <w:bottom w:val="single" w:sz="4" w:space="0" w:color="auto"/>
              <w:right w:val="single" w:sz="8" w:space="0" w:color="auto"/>
            </w:tcBorders>
          </w:tcPr>
          <w:p w14:paraId="53BCBC45"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p>
        </w:tc>
      </w:tr>
      <w:tr w:rsidR="006F0609" w:rsidRPr="00D633FF" w14:paraId="1FD9BA58" w14:textId="77777777">
        <w:trPr>
          <w:cantSplit/>
        </w:trPr>
        <w:tc>
          <w:tcPr>
            <w:tcW w:w="6653" w:type="dxa"/>
            <w:tcBorders>
              <w:top w:val="single" w:sz="8" w:space="0" w:color="auto"/>
              <w:left w:val="single" w:sz="4" w:space="0" w:color="auto"/>
              <w:bottom w:val="single" w:sz="4" w:space="0" w:color="auto"/>
              <w:right w:val="single" w:sz="4" w:space="0" w:color="auto"/>
            </w:tcBorders>
            <w:vAlign w:val="center"/>
            <w:hideMark/>
          </w:tcPr>
          <w:p w14:paraId="417D7680"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lastRenderedPageBreak/>
              <w:t xml:space="preserve">Is there justification for the choice of uncertainty and safety factors? </w:t>
            </w:r>
          </w:p>
        </w:tc>
        <w:tc>
          <w:tcPr>
            <w:tcW w:w="992" w:type="dxa"/>
            <w:tcBorders>
              <w:top w:val="single" w:sz="8" w:space="0" w:color="auto"/>
              <w:left w:val="single" w:sz="4" w:space="0" w:color="auto"/>
              <w:bottom w:val="single" w:sz="4" w:space="0" w:color="auto"/>
              <w:right w:val="single" w:sz="4" w:space="0" w:color="auto"/>
            </w:tcBorders>
          </w:tcPr>
          <w:p w14:paraId="0537E24C"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Yes</w:t>
            </w:r>
          </w:p>
        </w:tc>
        <w:tc>
          <w:tcPr>
            <w:tcW w:w="6237" w:type="dxa"/>
            <w:tcBorders>
              <w:top w:val="single" w:sz="8" w:space="0" w:color="auto"/>
              <w:left w:val="single" w:sz="4" w:space="0" w:color="auto"/>
              <w:bottom w:val="single" w:sz="4" w:space="0" w:color="auto"/>
              <w:right w:val="single" w:sz="8" w:space="0" w:color="auto"/>
            </w:tcBorders>
            <w:vAlign w:val="center"/>
          </w:tcPr>
          <w:p w14:paraId="4BF13043"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Considering that alopecia is an early sign of selenium toxicity, is of mild nature and likely to be reversible, the Panel considers that an UF of 1.3 is sufficient to cover for the uncertainties. </w:t>
            </w:r>
          </w:p>
          <w:p w14:paraId="7ED54C15"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p>
          <w:p w14:paraId="57D4C859"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For adults no UF is applied as the population is representative given the large numbers in the studies.</w:t>
            </w:r>
          </w:p>
        </w:tc>
        <w:tc>
          <w:tcPr>
            <w:tcW w:w="685" w:type="dxa"/>
            <w:tcBorders>
              <w:top w:val="single" w:sz="8" w:space="0" w:color="auto"/>
              <w:left w:val="single" w:sz="4" w:space="0" w:color="auto"/>
              <w:bottom w:val="single" w:sz="4" w:space="0" w:color="auto"/>
              <w:right w:val="single" w:sz="8" w:space="0" w:color="auto"/>
            </w:tcBorders>
          </w:tcPr>
          <w:p w14:paraId="1916EEF4"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75</w:t>
            </w:r>
          </w:p>
        </w:tc>
      </w:tr>
      <w:tr w:rsidR="006F0609" w:rsidRPr="00D633FF" w14:paraId="3499BAF4" w14:textId="77777777">
        <w:trPr>
          <w:cantSplit/>
        </w:trPr>
        <w:tc>
          <w:tcPr>
            <w:tcW w:w="6653" w:type="dxa"/>
            <w:tcBorders>
              <w:top w:val="single" w:sz="8" w:space="0" w:color="auto"/>
              <w:left w:val="single" w:sz="4" w:space="0" w:color="auto"/>
              <w:bottom w:val="single" w:sz="4" w:space="0" w:color="auto"/>
              <w:right w:val="single" w:sz="4" w:space="0" w:color="auto"/>
            </w:tcBorders>
            <w:vAlign w:val="center"/>
          </w:tcPr>
          <w:p w14:paraId="7ECE822E"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 xml:space="preserve">Are the selected endpoints appropriate? Is justification provided for any clinical/chronic endpoints selected as indictors/outcomes? </w:t>
            </w:r>
          </w:p>
          <w:p w14:paraId="5365121A"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color w:val="ED7D31"/>
                <w:szCs w:val="20"/>
                <w:lang w:eastAsia="en-AU"/>
              </w:rPr>
            </w:pPr>
          </w:p>
          <w:p w14:paraId="67743ECB"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color w:val="ED7D31"/>
                <w:szCs w:val="20"/>
                <w:lang w:eastAsia="en-AU"/>
              </w:rPr>
            </w:pPr>
            <w:r w:rsidRPr="00D633FF">
              <w:rPr>
                <w:rFonts w:ascii="Calibri" w:eastAsia="Times New Roman" w:hAnsi="Calibri" w:cs="Calibri"/>
                <w:sz w:val="20"/>
                <w:szCs w:val="16"/>
                <w:lang w:eastAsia="en-AU"/>
              </w:rPr>
              <w:t>(Details of endpoints to be provided in a supplementary table.)</w:t>
            </w:r>
          </w:p>
          <w:p w14:paraId="7199D94B" w14:textId="77777777" w:rsidR="006F0609" w:rsidRPr="00D633FF" w:rsidRDefault="006F0609" w:rsidP="006F0609">
            <w:pPr>
              <w:spacing w:before="100" w:beforeAutospacing="1" w:after="100" w:afterAutospacing="1"/>
              <w:rPr>
                <w:rFonts w:ascii="Calibri" w:eastAsia="Times New Roman" w:hAnsi="Calibri" w:cs="Calibri"/>
                <w:sz w:val="24"/>
                <w:szCs w:val="20"/>
                <w:lang w:eastAsia="en-AU"/>
              </w:rPr>
            </w:pPr>
          </w:p>
        </w:tc>
        <w:tc>
          <w:tcPr>
            <w:tcW w:w="992" w:type="dxa"/>
            <w:tcBorders>
              <w:top w:val="single" w:sz="8" w:space="0" w:color="auto"/>
              <w:left w:val="single" w:sz="4" w:space="0" w:color="auto"/>
              <w:bottom w:val="single" w:sz="4" w:space="0" w:color="auto"/>
              <w:right w:val="single" w:sz="4" w:space="0" w:color="auto"/>
            </w:tcBorders>
          </w:tcPr>
          <w:p w14:paraId="36321380"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Yes</w:t>
            </w:r>
          </w:p>
        </w:tc>
        <w:tc>
          <w:tcPr>
            <w:tcW w:w="6237" w:type="dxa"/>
            <w:tcBorders>
              <w:top w:val="single" w:sz="8" w:space="0" w:color="auto"/>
              <w:left w:val="single" w:sz="4" w:space="0" w:color="auto"/>
              <w:bottom w:val="single" w:sz="4" w:space="0" w:color="auto"/>
              <w:right w:val="single" w:sz="8" w:space="0" w:color="auto"/>
            </w:tcBorders>
            <w:vAlign w:val="center"/>
          </w:tcPr>
          <w:p w14:paraId="3A22D5B7"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 xml:space="preserve">Based on considerations of causality and biological relevance, the Panel selects alopecia as the critical endpoint on which to base a UL for selenium. A NOAEL and LOAEL </w:t>
            </w:r>
            <w:proofErr w:type="gramStart"/>
            <w:r w:rsidRPr="00D633FF">
              <w:rPr>
                <w:rFonts w:ascii="Calibri" w:eastAsia="Times New Roman" w:hAnsi="Calibri" w:cs="Calibri"/>
                <w:szCs w:val="20"/>
                <w:lang w:eastAsia="en-AU"/>
              </w:rPr>
              <w:t>was</w:t>
            </w:r>
            <w:proofErr w:type="gramEnd"/>
            <w:r w:rsidRPr="00D633FF">
              <w:rPr>
                <w:rFonts w:ascii="Calibri" w:eastAsia="Times New Roman" w:hAnsi="Calibri" w:cs="Calibri"/>
                <w:szCs w:val="20"/>
                <w:lang w:eastAsia="en-AU"/>
              </w:rPr>
              <w:t xml:space="preserve"> established as the reference point.</w:t>
            </w:r>
          </w:p>
          <w:p w14:paraId="656D9A81" w14:textId="0875B1E9"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Alopecia is an early observable feature and a well-established adverse effect of excess selenium exposure (Sections </w:t>
            </w:r>
            <w:hyperlink r:id="rId31" w:anchor="efs27704-sec-0041" w:history="1">
              <w:r w:rsidRPr="00D633FF">
                <w:rPr>
                  <w:rFonts w:ascii="Calibri" w:eastAsia="Times New Roman" w:hAnsi="Calibri" w:cs="Calibri"/>
                  <w:color w:val="0563C1"/>
                  <w:szCs w:val="20"/>
                  <w:u w:val="single"/>
                  <w:lang w:eastAsia="en-AU"/>
                </w:rPr>
                <w:t>3.5.2.1</w:t>
              </w:r>
            </w:hyperlink>
            <w:r w:rsidRPr="00D633FF">
              <w:rPr>
                <w:rFonts w:ascii="Calibri" w:eastAsia="Times New Roman" w:hAnsi="Calibri" w:cs="Calibri"/>
                <w:szCs w:val="20"/>
                <w:lang w:eastAsia="en-AU"/>
              </w:rPr>
              <w:t> and </w:t>
            </w:r>
            <w:hyperlink r:id="rId32" w:anchor="efs27704-sec-0042" w:history="1">
              <w:r w:rsidRPr="00D633FF">
                <w:rPr>
                  <w:rFonts w:ascii="Calibri" w:eastAsia="Times New Roman" w:hAnsi="Calibri" w:cs="Calibri"/>
                  <w:color w:val="0563C1"/>
                  <w:szCs w:val="20"/>
                  <w:u w:val="single"/>
                  <w:lang w:eastAsia="en-AU"/>
                </w:rPr>
                <w:t>3.5.2.2</w:t>
              </w:r>
            </w:hyperlink>
            <w:r w:rsidRPr="00D633FF">
              <w:rPr>
                <w:rFonts w:ascii="Calibri" w:eastAsia="Times New Roman" w:hAnsi="Calibri" w:cs="Calibri"/>
                <w:szCs w:val="20"/>
                <w:lang w:eastAsia="en-AU"/>
              </w:rPr>
              <w:t>). Thus, based on considerations of causality and biological relevance, the Panel selects alopecia as the critical endpoint on which to base a UL for selenium (Section </w:t>
            </w:r>
            <w:hyperlink r:id="rId33" w:anchor="efs27704-sec-0109" w:history="1">
              <w:r w:rsidRPr="00D633FF">
                <w:rPr>
                  <w:rFonts w:ascii="Calibri" w:eastAsia="Times New Roman" w:hAnsi="Calibri" w:cs="Calibri"/>
                  <w:color w:val="0563C1"/>
                  <w:szCs w:val="20"/>
                  <w:u w:val="single"/>
                  <w:lang w:eastAsia="en-AU"/>
                </w:rPr>
                <w:t>3.6.2</w:t>
              </w:r>
            </w:hyperlink>
            <w:r w:rsidRPr="00D633FF">
              <w:rPr>
                <w:rFonts w:ascii="Calibri" w:eastAsia="Times New Roman" w:hAnsi="Calibri" w:cs="Calibri"/>
                <w:szCs w:val="20"/>
                <w:lang w:eastAsia="en-AU"/>
              </w:rPr>
              <w:t xml:space="preserve">). The panel selected incidence of </w:t>
            </w:r>
            <w:r w:rsidR="003307B7">
              <w:rPr>
                <w:rFonts w:ascii="Calibri" w:eastAsia="Times New Roman" w:hAnsi="Calibri" w:cs="Calibri"/>
                <w:szCs w:val="20"/>
                <w:lang w:eastAsia="en-AU"/>
              </w:rPr>
              <w:t>type 2 diab</w:t>
            </w:r>
            <w:r w:rsidR="000B4584">
              <w:rPr>
                <w:rFonts w:ascii="Calibri" w:eastAsia="Times New Roman" w:hAnsi="Calibri" w:cs="Calibri"/>
                <w:szCs w:val="20"/>
                <w:lang w:eastAsia="en-AU"/>
              </w:rPr>
              <w:t xml:space="preserve">etes </w:t>
            </w:r>
            <w:r w:rsidRPr="00D633FF">
              <w:rPr>
                <w:rFonts w:ascii="Calibri" w:eastAsia="Times New Roman" w:hAnsi="Calibri" w:cs="Calibri"/>
                <w:szCs w:val="20"/>
                <w:lang w:eastAsia="en-AU"/>
              </w:rPr>
              <w:t>as the key endpoint for the comprehensive uncertainty analysis.</w:t>
            </w:r>
          </w:p>
        </w:tc>
        <w:tc>
          <w:tcPr>
            <w:tcW w:w="685" w:type="dxa"/>
            <w:tcBorders>
              <w:top w:val="single" w:sz="8" w:space="0" w:color="auto"/>
              <w:left w:val="single" w:sz="4" w:space="0" w:color="auto"/>
              <w:bottom w:val="single" w:sz="4" w:space="0" w:color="auto"/>
              <w:right w:val="single" w:sz="8" w:space="0" w:color="auto"/>
            </w:tcBorders>
          </w:tcPr>
          <w:p w14:paraId="38CD3C94"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p>
        </w:tc>
      </w:tr>
      <w:tr w:rsidR="006F0609" w:rsidRPr="00D633FF" w14:paraId="5A6BEDD3" w14:textId="77777777">
        <w:trPr>
          <w:cantSplit/>
        </w:trPr>
        <w:tc>
          <w:tcPr>
            <w:tcW w:w="6653" w:type="dxa"/>
            <w:tcBorders>
              <w:top w:val="single" w:sz="8" w:space="0" w:color="auto"/>
              <w:left w:val="single" w:sz="4" w:space="0" w:color="auto"/>
              <w:bottom w:val="single" w:sz="4" w:space="0" w:color="auto"/>
              <w:right w:val="single" w:sz="4" w:space="0" w:color="auto"/>
            </w:tcBorders>
            <w:vAlign w:val="center"/>
          </w:tcPr>
          <w:p w14:paraId="08A5FD88"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Is justification provided for the value selected for the reference point^?  (including mechanistic evidence, health outcome data, key events, balance studies)</w:t>
            </w:r>
          </w:p>
          <w:p w14:paraId="62FC0A8B"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p>
          <w:p w14:paraId="7A2D62EA" w14:textId="26FA7280" w:rsidR="006F0609" w:rsidRPr="00D633FF" w:rsidRDefault="006F0609" w:rsidP="006F0609">
            <w:pPr>
              <w:tabs>
                <w:tab w:val="center" w:pos="4513"/>
                <w:tab w:val="right" w:pos="9026"/>
              </w:tabs>
              <w:spacing w:after="80" w:line="180" w:lineRule="atLeast"/>
              <w:contextualSpacing/>
              <w:rPr>
                <w:rFonts w:ascii="Calibri" w:eastAsia="Times New Roman" w:hAnsi="Calibri" w:cs="Calibri"/>
                <w:color w:val="ED7D31"/>
                <w:szCs w:val="20"/>
                <w:lang w:eastAsia="en-AU"/>
              </w:rPr>
            </w:pPr>
            <w:r w:rsidRPr="00D633FF">
              <w:rPr>
                <w:rFonts w:ascii="Calibri" w:eastAsia="Times New Roman" w:hAnsi="Calibri" w:cs="Calibri"/>
                <w:szCs w:val="20"/>
                <w:lang w:eastAsia="en-AU"/>
              </w:rPr>
              <w:t>^ refe</w:t>
            </w:r>
            <w:r w:rsidR="000B4584">
              <w:rPr>
                <w:rFonts w:ascii="Calibri" w:eastAsia="Times New Roman" w:hAnsi="Calibri" w:cs="Calibri"/>
                <w:szCs w:val="20"/>
                <w:lang w:eastAsia="en-AU"/>
              </w:rPr>
              <w:t>re</w:t>
            </w:r>
            <w:r w:rsidRPr="00D633FF">
              <w:rPr>
                <w:rFonts w:ascii="Calibri" w:eastAsia="Times New Roman" w:hAnsi="Calibri" w:cs="Calibri"/>
                <w:szCs w:val="20"/>
                <w:lang w:eastAsia="en-AU"/>
              </w:rPr>
              <w:t>nce point is usually the baseline value to which any scaling and uncertainty factors are applied.</w:t>
            </w:r>
          </w:p>
        </w:tc>
        <w:tc>
          <w:tcPr>
            <w:tcW w:w="992" w:type="dxa"/>
            <w:tcBorders>
              <w:top w:val="single" w:sz="8" w:space="0" w:color="auto"/>
              <w:left w:val="single" w:sz="4" w:space="0" w:color="auto"/>
              <w:bottom w:val="single" w:sz="4" w:space="0" w:color="auto"/>
              <w:right w:val="single" w:sz="4" w:space="0" w:color="auto"/>
            </w:tcBorders>
          </w:tcPr>
          <w:p w14:paraId="3A38A4D8"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Yes</w:t>
            </w:r>
          </w:p>
        </w:tc>
        <w:tc>
          <w:tcPr>
            <w:tcW w:w="6237" w:type="dxa"/>
            <w:tcBorders>
              <w:top w:val="single" w:sz="8" w:space="0" w:color="auto"/>
              <w:left w:val="single" w:sz="4" w:space="0" w:color="auto"/>
              <w:bottom w:val="single" w:sz="4" w:space="0" w:color="auto"/>
              <w:right w:val="single" w:sz="8" w:space="0" w:color="auto"/>
            </w:tcBorders>
            <w:vAlign w:val="center"/>
          </w:tcPr>
          <w:p w14:paraId="2A18B36F"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There are indications from one RCT, the SELECT (Lippman et al., </w:t>
            </w:r>
            <w:hyperlink r:id="rId34" w:anchor="efs27704-bib-0182" w:history="1">
              <w:r w:rsidRPr="00D633FF">
                <w:rPr>
                  <w:rFonts w:ascii="Calibri" w:eastAsia="Times New Roman" w:hAnsi="Calibri" w:cs="Calibri"/>
                  <w:color w:val="0563C1"/>
                  <w:szCs w:val="20"/>
                  <w:u w:val="single"/>
                  <w:lang w:eastAsia="en-AU"/>
                </w:rPr>
                <w:t>2009</w:t>
              </w:r>
            </w:hyperlink>
            <w:r w:rsidRPr="00D633FF">
              <w:rPr>
                <w:rFonts w:ascii="Calibri" w:eastAsia="Times New Roman" w:hAnsi="Calibri" w:cs="Calibri"/>
                <w:szCs w:val="20"/>
                <w:lang w:eastAsia="en-AU"/>
              </w:rPr>
              <w:t>), that at average selenium intakes of 330 μg/day (around 130 μg/day from the background diet plus 200 μg/day from supplements), the risk of developing alopecia is increased as compared to un-supplemented individuals with similar background selenium intakes. This was accompanied by an increased risk of other features of selenium toxicity, such as dermatitis (Section </w:t>
            </w:r>
            <w:hyperlink r:id="rId35" w:anchor="efs27704-sec-0042" w:history="1">
              <w:r w:rsidRPr="00D633FF">
                <w:rPr>
                  <w:rFonts w:ascii="Calibri" w:eastAsia="Times New Roman" w:hAnsi="Calibri" w:cs="Calibri"/>
                  <w:color w:val="0563C1"/>
                  <w:szCs w:val="20"/>
                  <w:u w:val="single"/>
                  <w:lang w:eastAsia="en-AU"/>
                </w:rPr>
                <w:t>3.5.2.2</w:t>
              </w:r>
            </w:hyperlink>
            <w:r w:rsidRPr="00D633FF">
              <w:rPr>
                <w:rFonts w:ascii="Calibri" w:eastAsia="Times New Roman" w:hAnsi="Calibri" w:cs="Calibri"/>
                <w:szCs w:val="20"/>
                <w:lang w:eastAsia="en-AU"/>
              </w:rPr>
              <w:t>). </w:t>
            </w:r>
          </w:p>
          <w:p w14:paraId="10A86F4F"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The Panel uses the LOAEL of 330 μg/day identified from the SELECT as a RP for the derivation of an UL for selenium.</w:t>
            </w:r>
          </w:p>
        </w:tc>
        <w:tc>
          <w:tcPr>
            <w:tcW w:w="685" w:type="dxa"/>
            <w:tcBorders>
              <w:top w:val="single" w:sz="8" w:space="0" w:color="auto"/>
              <w:left w:val="single" w:sz="4" w:space="0" w:color="auto"/>
              <w:bottom w:val="single" w:sz="4" w:space="0" w:color="auto"/>
              <w:right w:val="single" w:sz="8" w:space="0" w:color="auto"/>
            </w:tcBorders>
          </w:tcPr>
          <w:p w14:paraId="28C2F634"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p>
        </w:tc>
      </w:tr>
      <w:tr w:rsidR="006F0609" w:rsidRPr="00D633FF" w14:paraId="14B971E6" w14:textId="77777777">
        <w:trPr>
          <w:cantSplit/>
        </w:trPr>
        <w:tc>
          <w:tcPr>
            <w:tcW w:w="6653" w:type="dxa"/>
            <w:tcBorders>
              <w:top w:val="single" w:sz="8" w:space="0" w:color="auto"/>
              <w:left w:val="single" w:sz="4" w:space="0" w:color="auto"/>
              <w:bottom w:val="single" w:sz="4" w:space="0" w:color="auto"/>
              <w:right w:val="single" w:sz="4" w:space="0" w:color="auto"/>
            </w:tcBorders>
            <w:vAlign w:val="center"/>
          </w:tcPr>
          <w:p w14:paraId="798F95AF"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lastRenderedPageBreak/>
              <w:t xml:space="preserve">Is the population group generalisable to the Australian and New Zealand population? </w:t>
            </w:r>
          </w:p>
          <w:p w14:paraId="146E5935" w14:textId="77777777" w:rsidR="006F0609" w:rsidRPr="00D633FF" w:rsidRDefault="006F0609" w:rsidP="00F1381E">
            <w:pPr>
              <w:numPr>
                <w:ilvl w:val="0"/>
                <w:numId w:val="15"/>
              </w:numPr>
              <w:tabs>
                <w:tab w:val="center" w:pos="4513"/>
                <w:tab w:val="right" w:pos="9026"/>
              </w:tabs>
              <w:spacing w:after="80" w:line="180" w:lineRule="atLeast"/>
              <w:contextualSpacing/>
              <w:rPr>
                <w:rFonts w:ascii="Calibri" w:eastAsia="Times New Roman" w:hAnsi="Calibri" w:cs="Calibri"/>
                <w:color w:val="ED7D31"/>
                <w:szCs w:val="20"/>
                <w:lang w:eastAsia="en-AU"/>
              </w:rPr>
            </w:pPr>
            <w:r w:rsidRPr="00D633FF">
              <w:rPr>
                <w:rFonts w:ascii="Calibri" w:eastAsia="Times New Roman" w:hAnsi="Calibri" w:cs="Calibri"/>
                <w:szCs w:val="20"/>
                <w:lang w:eastAsia="en-AU"/>
              </w:rPr>
              <w:t>Where are the underlying studies from</w:t>
            </w:r>
          </w:p>
        </w:tc>
        <w:tc>
          <w:tcPr>
            <w:tcW w:w="992" w:type="dxa"/>
            <w:tcBorders>
              <w:top w:val="single" w:sz="8" w:space="0" w:color="auto"/>
              <w:left w:val="single" w:sz="4" w:space="0" w:color="auto"/>
              <w:bottom w:val="single" w:sz="4" w:space="0" w:color="auto"/>
              <w:right w:val="single" w:sz="4" w:space="0" w:color="auto"/>
            </w:tcBorders>
          </w:tcPr>
          <w:p w14:paraId="6860F8D4"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Yes</w:t>
            </w:r>
          </w:p>
        </w:tc>
        <w:tc>
          <w:tcPr>
            <w:tcW w:w="6237" w:type="dxa"/>
            <w:tcBorders>
              <w:top w:val="single" w:sz="8" w:space="0" w:color="auto"/>
              <w:left w:val="single" w:sz="4" w:space="0" w:color="auto"/>
              <w:bottom w:val="single" w:sz="4" w:space="0" w:color="auto"/>
              <w:right w:val="single" w:sz="8" w:space="0" w:color="auto"/>
            </w:tcBorders>
            <w:vAlign w:val="center"/>
          </w:tcPr>
          <w:p w14:paraId="6B36CE28"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The Panel notes that men aged ≥ 50 years, recruited from the general population in the US, were involved in the SELECT. There is no indication from the literature that younger men may be more susceptible to selenium toxicity. The Panel considers that the results from the SELECT can be generalised to the European male adult population and that the LOAEL of 330 μg/day derived from that study is applicable to this population group.</w:t>
            </w:r>
          </w:p>
        </w:tc>
        <w:tc>
          <w:tcPr>
            <w:tcW w:w="685" w:type="dxa"/>
            <w:tcBorders>
              <w:top w:val="single" w:sz="8" w:space="0" w:color="auto"/>
              <w:left w:val="single" w:sz="4" w:space="0" w:color="auto"/>
              <w:bottom w:val="single" w:sz="4" w:space="0" w:color="auto"/>
              <w:right w:val="single" w:sz="8" w:space="0" w:color="auto"/>
            </w:tcBorders>
          </w:tcPr>
          <w:p w14:paraId="308FB903"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p>
        </w:tc>
      </w:tr>
      <w:tr w:rsidR="006F0609" w:rsidRPr="00D633FF" w14:paraId="00D1D81C" w14:textId="77777777">
        <w:trPr>
          <w:cantSplit/>
        </w:trPr>
        <w:tc>
          <w:tcPr>
            <w:tcW w:w="6653" w:type="dxa"/>
            <w:tcBorders>
              <w:top w:val="single" w:sz="4" w:space="0" w:color="auto"/>
              <w:left w:val="single" w:sz="4" w:space="0" w:color="auto"/>
              <w:bottom w:val="single" w:sz="4" w:space="0" w:color="auto"/>
              <w:right w:val="single" w:sz="4" w:space="0" w:color="auto"/>
            </w:tcBorders>
            <w:vAlign w:val="center"/>
            <w:hideMark/>
          </w:tcPr>
          <w:p w14:paraId="295334CF"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 xml:space="preserve">If scaling was applied – was the method described, along with an appropriate rationale for the chosen method? </w:t>
            </w:r>
          </w:p>
        </w:tc>
        <w:tc>
          <w:tcPr>
            <w:tcW w:w="992" w:type="dxa"/>
            <w:tcBorders>
              <w:top w:val="single" w:sz="4" w:space="0" w:color="auto"/>
              <w:left w:val="single" w:sz="4" w:space="0" w:color="auto"/>
              <w:bottom w:val="single" w:sz="4" w:space="0" w:color="auto"/>
              <w:right w:val="single" w:sz="4" w:space="0" w:color="auto"/>
            </w:tcBorders>
          </w:tcPr>
          <w:p w14:paraId="781DC223"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Yes</w:t>
            </w:r>
          </w:p>
        </w:tc>
        <w:tc>
          <w:tcPr>
            <w:tcW w:w="6237" w:type="dxa"/>
            <w:tcBorders>
              <w:top w:val="single" w:sz="4" w:space="0" w:color="auto"/>
              <w:left w:val="single" w:sz="4" w:space="0" w:color="auto"/>
              <w:bottom w:val="single" w:sz="4" w:space="0" w:color="auto"/>
              <w:right w:val="single" w:sz="8" w:space="0" w:color="auto"/>
            </w:tcBorders>
            <w:vAlign w:val="center"/>
          </w:tcPr>
          <w:p w14:paraId="28ADA9DC"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 xml:space="preserve">The rationale for scaling for children and infants is described (allometric scaling using WHO reference data). </w:t>
            </w:r>
          </w:p>
        </w:tc>
        <w:tc>
          <w:tcPr>
            <w:tcW w:w="685" w:type="dxa"/>
            <w:tcBorders>
              <w:top w:val="single" w:sz="4" w:space="0" w:color="auto"/>
              <w:left w:val="single" w:sz="4" w:space="0" w:color="auto"/>
              <w:bottom w:val="single" w:sz="4" w:space="0" w:color="auto"/>
              <w:right w:val="single" w:sz="8" w:space="0" w:color="auto"/>
            </w:tcBorders>
          </w:tcPr>
          <w:p w14:paraId="295A1B30"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p>
        </w:tc>
      </w:tr>
      <w:tr w:rsidR="006F0609" w:rsidRPr="00D633FF" w14:paraId="0AD416AB" w14:textId="77777777">
        <w:trPr>
          <w:cantSplit/>
        </w:trPr>
        <w:tc>
          <w:tcPr>
            <w:tcW w:w="6653" w:type="dxa"/>
            <w:tcBorders>
              <w:top w:val="single" w:sz="4" w:space="0" w:color="auto"/>
              <w:left w:val="single" w:sz="4" w:space="0" w:color="auto"/>
              <w:bottom w:val="single" w:sz="4" w:space="0" w:color="auto"/>
              <w:right w:val="single" w:sz="4" w:space="0" w:color="auto"/>
            </w:tcBorders>
            <w:vAlign w:val="center"/>
            <w:hideMark/>
          </w:tcPr>
          <w:p w14:paraId="0D5C4B38" w14:textId="77777777" w:rsidR="006F0609" w:rsidRPr="00D633FF" w:rsidRDefault="006F0609" w:rsidP="00F1381E">
            <w:pPr>
              <w:numPr>
                <w:ilvl w:val="0"/>
                <w:numId w:val="13"/>
              </w:numPr>
              <w:tabs>
                <w:tab w:val="center" w:pos="4513"/>
                <w:tab w:val="right" w:pos="9026"/>
              </w:tabs>
              <w:contextualSpacing/>
              <w:rPr>
                <w:rFonts w:ascii="Calibri" w:eastAsia="Times New Roman" w:hAnsi="Calibri" w:cs="Calibri"/>
                <w:szCs w:val="20"/>
                <w:lang w:eastAsia="en-AU"/>
              </w:rPr>
            </w:pPr>
            <w:r w:rsidRPr="00D633FF">
              <w:rPr>
                <w:rFonts w:ascii="Calibri" w:eastAsia="Times New Roman" w:hAnsi="Calibri" w:cs="Calibri"/>
                <w:szCs w:val="20"/>
                <w:lang w:eastAsia="en-AU"/>
              </w:rPr>
              <w:t>Is the method used appropriate for Australian and New Zealand populations?</w:t>
            </w:r>
          </w:p>
        </w:tc>
        <w:tc>
          <w:tcPr>
            <w:tcW w:w="992" w:type="dxa"/>
            <w:tcBorders>
              <w:top w:val="single" w:sz="4" w:space="0" w:color="auto"/>
              <w:left w:val="single" w:sz="4" w:space="0" w:color="auto"/>
              <w:bottom w:val="single" w:sz="4" w:space="0" w:color="auto"/>
              <w:right w:val="single" w:sz="4" w:space="0" w:color="auto"/>
            </w:tcBorders>
          </w:tcPr>
          <w:p w14:paraId="28BE5ACB"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Yes</w:t>
            </w:r>
          </w:p>
        </w:tc>
        <w:tc>
          <w:tcPr>
            <w:tcW w:w="6237" w:type="dxa"/>
            <w:tcBorders>
              <w:top w:val="single" w:sz="4" w:space="0" w:color="auto"/>
              <w:left w:val="single" w:sz="4" w:space="0" w:color="auto"/>
              <w:bottom w:val="single" w:sz="4" w:space="0" w:color="auto"/>
              <w:right w:val="single" w:sz="8" w:space="0" w:color="auto"/>
            </w:tcBorders>
            <w:vAlign w:val="center"/>
          </w:tcPr>
          <w:p w14:paraId="29ADEC9C" w14:textId="608434A4"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 xml:space="preserve">The reference weights are based on WHO data and allometric scaling is currently used for the 2006 NRVs on selenium </w:t>
            </w:r>
            <w:r w:rsidR="008A3419" w:rsidRPr="00D633FF">
              <w:rPr>
                <w:rFonts w:ascii="Calibri" w:eastAsia="Times New Roman" w:hAnsi="Calibri" w:cs="Calibri"/>
                <w:szCs w:val="20"/>
                <w:lang w:eastAsia="en-AU"/>
              </w:rPr>
              <w:t>ULs</w:t>
            </w:r>
            <w:r w:rsidRPr="00D633FF">
              <w:rPr>
                <w:rFonts w:ascii="Calibri" w:eastAsia="Times New Roman" w:hAnsi="Calibri" w:cs="Calibri"/>
                <w:szCs w:val="20"/>
                <w:lang w:eastAsia="en-AU"/>
              </w:rPr>
              <w:t>.</w:t>
            </w:r>
          </w:p>
        </w:tc>
        <w:tc>
          <w:tcPr>
            <w:tcW w:w="685" w:type="dxa"/>
            <w:tcBorders>
              <w:top w:val="single" w:sz="4" w:space="0" w:color="auto"/>
              <w:left w:val="single" w:sz="4" w:space="0" w:color="auto"/>
              <w:bottom w:val="single" w:sz="4" w:space="0" w:color="auto"/>
              <w:right w:val="single" w:sz="8" w:space="0" w:color="auto"/>
            </w:tcBorders>
          </w:tcPr>
          <w:p w14:paraId="105AEA1D"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p>
        </w:tc>
      </w:tr>
      <w:tr w:rsidR="006F0609" w:rsidRPr="00D633FF" w14:paraId="1124517B" w14:textId="77777777">
        <w:trPr>
          <w:cantSplit/>
        </w:trPr>
        <w:tc>
          <w:tcPr>
            <w:tcW w:w="6653" w:type="dxa"/>
            <w:tcBorders>
              <w:top w:val="single" w:sz="4" w:space="0" w:color="auto"/>
              <w:left w:val="single" w:sz="4" w:space="0" w:color="auto"/>
              <w:bottom w:val="single" w:sz="4" w:space="0" w:color="auto"/>
              <w:right w:val="single" w:sz="4" w:space="0" w:color="auto"/>
            </w:tcBorders>
            <w:vAlign w:val="center"/>
            <w:hideMark/>
          </w:tcPr>
          <w:p w14:paraId="05765BD4"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 xml:space="preserve"> Are the processes used when expert judgement is applied documented and published? (Evidence to decision process used to obtain final conclusions).</w:t>
            </w:r>
          </w:p>
        </w:tc>
        <w:tc>
          <w:tcPr>
            <w:tcW w:w="992" w:type="dxa"/>
            <w:tcBorders>
              <w:top w:val="single" w:sz="4" w:space="0" w:color="auto"/>
              <w:left w:val="single" w:sz="4" w:space="0" w:color="auto"/>
              <w:bottom w:val="single" w:sz="4" w:space="0" w:color="auto"/>
              <w:right w:val="single" w:sz="4" w:space="0" w:color="auto"/>
            </w:tcBorders>
          </w:tcPr>
          <w:p w14:paraId="28AD8A9A"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 xml:space="preserve">Yes </w:t>
            </w:r>
          </w:p>
        </w:tc>
        <w:tc>
          <w:tcPr>
            <w:tcW w:w="6237" w:type="dxa"/>
            <w:tcBorders>
              <w:top w:val="single" w:sz="4" w:space="0" w:color="auto"/>
              <w:left w:val="single" w:sz="4" w:space="0" w:color="auto"/>
              <w:bottom w:val="single" w:sz="4" w:space="0" w:color="auto"/>
              <w:right w:val="single" w:sz="8" w:space="0" w:color="auto"/>
            </w:tcBorders>
            <w:vAlign w:val="center"/>
          </w:tcPr>
          <w:p w14:paraId="24AB0915"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The Panel has recorded decisions made with regards to the rationale and feasibility of the new values.</w:t>
            </w:r>
          </w:p>
        </w:tc>
        <w:tc>
          <w:tcPr>
            <w:tcW w:w="685" w:type="dxa"/>
            <w:tcBorders>
              <w:top w:val="single" w:sz="4" w:space="0" w:color="auto"/>
              <w:left w:val="single" w:sz="4" w:space="0" w:color="auto"/>
              <w:bottom w:val="single" w:sz="4" w:space="0" w:color="auto"/>
              <w:right w:val="single" w:sz="8" w:space="0" w:color="auto"/>
            </w:tcBorders>
          </w:tcPr>
          <w:p w14:paraId="50881F44"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p>
        </w:tc>
      </w:tr>
    </w:tbl>
    <w:p w14:paraId="39568857" w14:textId="77777777" w:rsidR="006F0609" w:rsidRPr="00D633FF" w:rsidRDefault="006F0609" w:rsidP="006F0609">
      <w:pPr>
        <w:spacing w:after="80" w:line="180" w:lineRule="atLeast"/>
        <w:contextualSpacing/>
        <w:rPr>
          <w:rFonts w:ascii="Calibri" w:eastAsia="Times New Roman" w:hAnsi="Calibri" w:cs="Calibri"/>
          <w:kern w:val="0"/>
          <w:szCs w:val="24"/>
          <w:lang w:eastAsia="en-AU"/>
          <w14:ligatures w14:val="none"/>
        </w:rPr>
      </w:pPr>
    </w:p>
    <w:p w14:paraId="47B95556" w14:textId="77777777" w:rsidR="006F0609" w:rsidRPr="00D633FF" w:rsidRDefault="006F0609" w:rsidP="006F0609">
      <w:pPr>
        <w:keepNext/>
        <w:keepLines/>
        <w:spacing w:before="40" w:after="0" w:line="180" w:lineRule="atLeast"/>
        <w:contextualSpacing/>
        <w:outlineLvl w:val="1"/>
        <w:rPr>
          <w:rFonts w:ascii="Calibri" w:eastAsia="Times New Roman" w:hAnsi="Calibri" w:cs="Calibri"/>
          <w:color w:val="2F5496"/>
          <w:kern w:val="0"/>
          <w:sz w:val="26"/>
          <w:szCs w:val="26"/>
          <w:lang w:eastAsia="en-AU"/>
          <w14:ligatures w14:val="none"/>
        </w:rPr>
      </w:pPr>
      <w:bookmarkStart w:id="92" w:name="_Toc218527995"/>
      <w:r w:rsidRPr="00D633FF">
        <w:rPr>
          <w:rFonts w:ascii="Calibri" w:eastAsia="Times New Roman" w:hAnsi="Calibri" w:cs="Calibri"/>
          <w:color w:val="2F5496"/>
          <w:kern w:val="0"/>
          <w:sz w:val="26"/>
          <w:szCs w:val="26"/>
          <w:lang w:eastAsia="en-AU"/>
          <w14:ligatures w14:val="none"/>
        </w:rPr>
        <w:t>Suitability for adopting vs adapting</w:t>
      </w:r>
      <w:bookmarkEnd w:id="92"/>
    </w:p>
    <w:tbl>
      <w:tblPr>
        <w:tblStyle w:val="TableGrid1"/>
        <w:tblW w:w="1456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653"/>
        <w:gridCol w:w="992"/>
        <w:gridCol w:w="6237"/>
        <w:gridCol w:w="685"/>
      </w:tblGrid>
      <w:tr w:rsidR="006F0609" w:rsidRPr="00D633FF" w14:paraId="65850531" w14:textId="77777777" w:rsidTr="006F0609">
        <w:trPr>
          <w:cantSplit/>
          <w:tblHeader/>
        </w:trPr>
        <w:tc>
          <w:tcPr>
            <w:tcW w:w="6653" w:type="dxa"/>
            <w:tcBorders>
              <w:top w:val="single" w:sz="8" w:space="0" w:color="auto"/>
              <w:left w:val="single" w:sz="8" w:space="0" w:color="auto"/>
              <w:bottom w:val="single" w:sz="8" w:space="0" w:color="auto"/>
              <w:right w:val="single" w:sz="8" w:space="0" w:color="auto"/>
            </w:tcBorders>
            <w:shd w:val="clear" w:color="auto" w:fill="BFBFBF"/>
            <w:vAlign w:val="center"/>
            <w:hideMark/>
          </w:tcPr>
          <w:p w14:paraId="2C0B9504"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b/>
                <w:bCs/>
                <w:szCs w:val="20"/>
                <w:vertAlign w:val="superscript"/>
                <w:lang w:eastAsia="en-AU"/>
              </w:rPr>
            </w:pPr>
            <w:r w:rsidRPr="00D633FF">
              <w:rPr>
                <w:rFonts w:ascii="Calibri" w:eastAsia="Times New Roman" w:hAnsi="Calibri" w:cs="Calibri"/>
                <w:b/>
                <w:bCs/>
                <w:szCs w:val="20"/>
                <w:lang w:eastAsia="en-AU"/>
              </w:rPr>
              <w:t>Criteria</w:t>
            </w:r>
          </w:p>
        </w:tc>
        <w:tc>
          <w:tcPr>
            <w:tcW w:w="992" w:type="dxa"/>
            <w:tcBorders>
              <w:top w:val="single" w:sz="8" w:space="0" w:color="auto"/>
              <w:left w:val="single" w:sz="4" w:space="0" w:color="auto"/>
              <w:bottom w:val="single" w:sz="8" w:space="0" w:color="auto"/>
              <w:right w:val="single" w:sz="8" w:space="0" w:color="auto"/>
            </w:tcBorders>
            <w:shd w:val="clear" w:color="auto" w:fill="BFBFBF"/>
            <w:hideMark/>
          </w:tcPr>
          <w:p w14:paraId="53608CF3"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Yes/No/NA</w:t>
            </w:r>
          </w:p>
        </w:tc>
        <w:tc>
          <w:tcPr>
            <w:tcW w:w="6237" w:type="dxa"/>
            <w:tcBorders>
              <w:top w:val="single" w:sz="8" w:space="0" w:color="auto"/>
              <w:left w:val="single" w:sz="8" w:space="0" w:color="auto"/>
              <w:bottom w:val="single" w:sz="8" w:space="0" w:color="auto"/>
              <w:right w:val="single" w:sz="8" w:space="0" w:color="auto"/>
            </w:tcBorders>
            <w:shd w:val="clear" w:color="auto" w:fill="BFBFBF"/>
            <w:vAlign w:val="center"/>
            <w:hideMark/>
          </w:tcPr>
          <w:p w14:paraId="3A0C1F98"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Comment</w:t>
            </w:r>
          </w:p>
        </w:tc>
        <w:tc>
          <w:tcPr>
            <w:tcW w:w="685" w:type="dxa"/>
            <w:tcBorders>
              <w:top w:val="single" w:sz="8" w:space="0" w:color="auto"/>
              <w:left w:val="single" w:sz="8" w:space="0" w:color="auto"/>
              <w:bottom w:val="single" w:sz="8" w:space="0" w:color="auto"/>
              <w:right w:val="single" w:sz="8" w:space="0" w:color="auto"/>
            </w:tcBorders>
            <w:shd w:val="clear" w:color="auto" w:fill="BFBFBF"/>
          </w:tcPr>
          <w:p w14:paraId="7E24D179"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r w:rsidRPr="00D633FF">
              <w:rPr>
                <w:rFonts w:ascii="Calibri" w:eastAsia="Times New Roman" w:hAnsi="Calibri" w:cs="Calibri"/>
                <w:szCs w:val="20"/>
                <w:lang w:eastAsia="en-AU"/>
              </w:rPr>
              <w:t>Page #</w:t>
            </w:r>
          </w:p>
        </w:tc>
      </w:tr>
      <w:tr w:rsidR="006F0609" w:rsidRPr="00D633FF" w14:paraId="23E745D6" w14:textId="77777777">
        <w:trPr>
          <w:cantSplit/>
        </w:trPr>
        <w:tc>
          <w:tcPr>
            <w:tcW w:w="6653" w:type="dxa"/>
            <w:tcBorders>
              <w:top w:val="single" w:sz="4" w:space="0" w:color="auto"/>
              <w:left w:val="single" w:sz="4" w:space="0" w:color="auto"/>
              <w:bottom w:val="single" w:sz="8" w:space="0" w:color="auto"/>
              <w:right w:val="single" w:sz="4" w:space="0" w:color="auto"/>
            </w:tcBorders>
            <w:vAlign w:val="center"/>
            <w:hideMark/>
          </w:tcPr>
          <w:p w14:paraId="3B251AEB"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i/>
                <w:iCs/>
                <w:szCs w:val="20"/>
                <w:lang w:eastAsia="en-AU"/>
              </w:rPr>
            </w:pPr>
            <w:r w:rsidRPr="00D633FF">
              <w:rPr>
                <w:rFonts w:ascii="Calibri" w:eastAsia="Times New Roman" w:hAnsi="Calibri" w:cs="Calibri"/>
                <w:szCs w:val="20"/>
                <w:lang w:eastAsia="en-AU"/>
              </w:rPr>
              <w:t xml:space="preserve">How does the Australian and New Zealand context (e.g. food system, dietary patterns, intakes, status) compare with the jurisdiction in which the NRV under consideration was developed? </w:t>
            </w:r>
          </w:p>
        </w:tc>
        <w:tc>
          <w:tcPr>
            <w:tcW w:w="992" w:type="dxa"/>
            <w:tcBorders>
              <w:top w:val="single" w:sz="4" w:space="0" w:color="auto"/>
              <w:left w:val="single" w:sz="4" w:space="0" w:color="auto"/>
              <w:bottom w:val="single" w:sz="8" w:space="0" w:color="auto"/>
              <w:right w:val="single" w:sz="4" w:space="0" w:color="auto"/>
            </w:tcBorders>
          </w:tcPr>
          <w:p w14:paraId="1986755A"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p>
        </w:tc>
        <w:tc>
          <w:tcPr>
            <w:tcW w:w="6237" w:type="dxa"/>
            <w:tcBorders>
              <w:top w:val="single" w:sz="4" w:space="0" w:color="auto"/>
              <w:left w:val="single" w:sz="4" w:space="0" w:color="auto"/>
              <w:bottom w:val="single" w:sz="8" w:space="0" w:color="auto"/>
              <w:right w:val="single" w:sz="8" w:space="0" w:color="auto"/>
            </w:tcBorders>
            <w:vAlign w:val="center"/>
          </w:tcPr>
          <w:p w14:paraId="5650B837"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4"/>
                <w:lang w:eastAsia="en-AU"/>
              </w:rPr>
            </w:pPr>
            <w:r w:rsidRPr="00D633FF">
              <w:rPr>
                <w:rFonts w:ascii="Calibri" w:eastAsia="Times New Roman" w:hAnsi="Calibri" w:cs="Calibri"/>
                <w:szCs w:val="24"/>
                <w:lang w:eastAsia="en-AU"/>
              </w:rPr>
              <w:t>It is broadly similar both in the types of foods available and available data on intake levels of selenium. European intake data is only slightly higher than Australian data which was last estimated in the 2011-12 nutritional survey.</w:t>
            </w:r>
          </w:p>
          <w:p w14:paraId="71B7EA7F"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4"/>
                <w:lang w:eastAsia="en-AU"/>
              </w:rPr>
            </w:pPr>
          </w:p>
          <w:p w14:paraId="37AC0625" w14:textId="77777777" w:rsidR="006F0609" w:rsidRPr="00D633FF" w:rsidRDefault="006F0609" w:rsidP="006F0609">
            <w:pPr>
              <w:spacing w:after="80" w:line="180" w:lineRule="atLeast"/>
              <w:contextualSpacing/>
              <w:rPr>
                <w:rFonts w:ascii="Calibri" w:eastAsia="Times New Roman" w:hAnsi="Calibri" w:cs="Calibri"/>
                <w:szCs w:val="24"/>
                <w:lang w:val="en-US" w:eastAsia="en-AU"/>
              </w:rPr>
            </w:pPr>
            <w:r w:rsidRPr="00D633FF">
              <w:rPr>
                <w:rFonts w:ascii="Calibri" w:eastAsia="Times New Roman" w:hAnsi="Calibri" w:cs="Calibri"/>
                <w:color w:val="000000"/>
                <w:szCs w:val="24"/>
                <w:shd w:val="clear" w:color="auto" w:fill="FFFFFF"/>
                <w:lang w:eastAsia="en-AU"/>
              </w:rPr>
              <w:t>Across population groups, the main food groups contributing to selenium intake were milk and dairy products, meat and meat products, grains and grain-based products and fish and fish products, with minor differences between sexes (EFSA NDA Panel, </w:t>
            </w:r>
            <w:hyperlink r:id="rId36" w:anchor="efs27704-bib-0083" w:history="1">
              <w:r w:rsidRPr="00D633FF">
                <w:rPr>
                  <w:rFonts w:ascii="Calibri" w:eastAsia="Times New Roman" w:hAnsi="Calibri" w:cs="Calibri"/>
                  <w:color w:val="0563C1"/>
                  <w:szCs w:val="24"/>
                  <w:u w:val="single"/>
                  <w:lang w:eastAsia="en-AU"/>
                </w:rPr>
                <w:t>2014</w:t>
              </w:r>
            </w:hyperlink>
            <w:r w:rsidRPr="00D633FF">
              <w:rPr>
                <w:rFonts w:ascii="Calibri" w:eastAsia="Times New Roman" w:hAnsi="Calibri" w:cs="Calibri"/>
                <w:color w:val="000000"/>
                <w:szCs w:val="24"/>
                <w:shd w:val="clear" w:color="auto" w:fill="FFFFFF"/>
                <w:lang w:eastAsia="en-AU"/>
              </w:rPr>
              <w:t>) (Annex </w:t>
            </w:r>
            <w:hyperlink r:id="rId37" w:anchor="efs27704-sec-1003" w:history="1">
              <w:r w:rsidRPr="00D633FF">
                <w:rPr>
                  <w:rFonts w:ascii="Calibri" w:eastAsia="Times New Roman" w:hAnsi="Calibri" w:cs="Calibri"/>
                  <w:color w:val="002596"/>
                  <w:szCs w:val="24"/>
                  <w:u w:val="single"/>
                  <w:shd w:val="clear" w:color="auto" w:fill="FFFFFF"/>
                  <w:lang w:eastAsia="en-AU"/>
                </w:rPr>
                <w:t>C</w:t>
              </w:r>
            </w:hyperlink>
            <w:r w:rsidRPr="00D633FF">
              <w:rPr>
                <w:rFonts w:ascii="Calibri" w:eastAsia="Times New Roman" w:hAnsi="Calibri" w:cs="Calibri"/>
                <w:color w:val="000000"/>
                <w:szCs w:val="24"/>
                <w:shd w:val="clear" w:color="auto" w:fill="FFFFFF"/>
                <w:lang w:eastAsia="en-AU"/>
              </w:rPr>
              <w:t>).</w:t>
            </w:r>
          </w:p>
          <w:p w14:paraId="5D748498"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4"/>
                <w:lang w:eastAsia="en-AU"/>
              </w:rPr>
            </w:pPr>
          </w:p>
        </w:tc>
        <w:tc>
          <w:tcPr>
            <w:tcW w:w="685" w:type="dxa"/>
            <w:tcBorders>
              <w:top w:val="single" w:sz="4" w:space="0" w:color="auto"/>
              <w:left w:val="single" w:sz="4" w:space="0" w:color="auto"/>
              <w:bottom w:val="single" w:sz="8" w:space="0" w:color="auto"/>
              <w:right w:val="single" w:sz="8" w:space="0" w:color="auto"/>
            </w:tcBorders>
          </w:tcPr>
          <w:p w14:paraId="5A0F9C2D" w14:textId="77777777" w:rsidR="006F0609" w:rsidRPr="00D633FF" w:rsidRDefault="006F0609" w:rsidP="006F0609">
            <w:pPr>
              <w:tabs>
                <w:tab w:val="center" w:pos="4513"/>
                <w:tab w:val="right" w:pos="9026"/>
              </w:tabs>
              <w:spacing w:after="80" w:line="180" w:lineRule="atLeast"/>
              <w:contextualSpacing/>
              <w:rPr>
                <w:rFonts w:ascii="Calibri" w:eastAsia="Times New Roman" w:hAnsi="Calibri" w:cs="Calibri"/>
                <w:szCs w:val="20"/>
                <w:lang w:eastAsia="en-AU"/>
              </w:rPr>
            </w:pPr>
          </w:p>
        </w:tc>
      </w:tr>
    </w:tbl>
    <w:p w14:paraId="111439EF" w14:textId="77777777" w:rsidR="009F0B79" w:rsidRPr="00D633FF" w:rsidRDefault="009F0B79" w:rsidP="00C437DF">
      <w:pPr>
        <w:spacing w:line="360" w:lineRule="auto"/>
        <w:rPr>
          <w:rFonts w:ascii="Calibri" w:hAnsi="Calibri" w:cs="Calibri"/>
        </w:rPr>
        <w:sectPr w:rsidR="009F0B79" w:rsidRPr="00D633FF" w:rsidSect="00476DD9">
          <w:footnotePr>
            <w:pos w:val="beneathText"/>
          </w:footnotePr>
          <w:pgSz w:w="16838" w:h="11906" w:orient="landscape"/>
          <w:pgMar w:top="1440" w:right="1440" w:bottom="1440" w:left="1440" w:header="709" w:footer="709" w:gutter="0"/>
          <w:cols w:space="708"/>
          <w:docGrid w:linePitch="360"/>
        </w:sectPr>
      </w:pPr>
    </w:p>
    <w:p w14:paraId="3E62151C" w14:textId="77777777" w:rsidR="00065D8C" w:rsidRPr="00D633FF" w:rsidRDefault="00065D8C" w:rsidP="00676595">
      <w:pPr>
        <w:spacing w:before="120" w:after="0" w:line="240" w:lineRule="atLeast"/>
        <w:rPr>
          <w:rFonts w:ascii="Calibri" w:hAnsi="Calibri" w:cs="Calibri"/>
        </w:rPr>
      </w:pPr>
    </w:p>
    <w:p w14:paraId="2EC65EEF" w14:textId="514EDD5D" w:rsidR="009F0B79" w:rsidRPr="00D633FF" w:rsidRDefault="0098384E" w:rsidP="009A3C6B">
      <w:pPr>
        <w:pStyle w:val="Caption"/>
        <w:rPr>
          <w:rFonts w:ascii="Calibri" w:hAnsi="Calibri" w:cs="Calibri"/>
        </w:rPr>
      </w:pPr>
      <w:bookmarkStart w:id="93" w:name="_Ref207293334"/>
      <w:r w:rsidRPr="00D633FF">
        <w:rPr>
          <w:rFonts w:ascii="Calibri" w:hAnsi="Calibri" w:cs="Calibri"/>
        </w:rPr>
        <w:t xml:space="preserve"> </w:t>
      </w:r>
      <w:bookmarkEnd w:id="93"/>
    </w:p>
    <w:p w14:paraId="59D451FD" w14:textId="571A9815" w:rsidR="00176405" w:rsidRPr="00D633FF" w:rsidRDefault="00E01CE5" w:rsidP="00E01CE5">
      <w:pPr>
        <w:pStyle w:val="Heading1"/>
        <w:rPr>
          <w:rFonts w:ascii="Calibri" w:hAnsi="Calibri" w:cs="Calibri"/>
        </w:rPr>
      </w:pPr>
      <w:bookmarkStart w:id="94" w:name="_Ref210837358"/>
      <w:bookmarkStart w:id="95" w:name="_Toc218527996"/>
      <w:r w:rsidRPr="00D633FF">
        <w:rPr>
          <w:rFonts w:ascii="Calibri" w:hAnsi="Calibri" w:cs="Calibri"/>
          <w:b/>
          <w:bCs/>
          <w:lang w:eastAsia="en-AU"/>
        </w:rPr>
        <w:t xml:space="preserve">Appendix </w:t>
      </w:r>
      <w:r w:rsidR="00CA082E" w:rsidRPr="00D633FF">
        <w:rPr>
          <w:rFonts w:ascii="Calibri" w:hAnsi="Calibri" w:cs="Calibri"/>
          <w:b/>
          <w:bCs/>
          <w:lang w:eastAsia="en-AU"/>
        </w:rPr>
        <w:t>B</w:t>
      </w:r>
      <w:r w:rsidRPr="00D633FF">
        <w:rPr>
          <w:rFonts w:ascii="Calibri" w:hAnsi="Calibri" w:cs="Calibri"/>
          <w:lang w:eastAsia="en-AU"/>
        </w:rPr>
        <w:t xml:space="preserve"> – </w:t>
      </w:r>
      <w:r w:rsidRPr="00D633FF">
        <w:rPr>
          <w:rFonts w:ascii="Calibri" w:hAnsi="Calibri" w:cs="Calibri"/>
        </w:rPr>
        <w:t>Evidence-to-Decision Frameworks</w:t>
      </w:r>
      <w:bookmarkEnd w:id="94"/>
      <w:bookmarkEnd w:id="95"/>
    </w:p>
    <w:p w14:paraId="41C173E0" w14:textId="77777777" w:rsidR="005C5475" w:rsidRPr="00D633FF" w:rsidRDefault="005C5475" w:rsidP="005C5475">
      <w:pPr>
        <w:keepNext/>
        <w:keepLines/>
        <w:pBdr>
          <w:bottom w:val="single" w:sz="4" w:space="12" w:color="CCCCCF"/>
        </w:pBdr>
        <w:spacing w:before="360" w:after="120" w:line="420" w:lineRule="atLeast"/>
        <w:contextualSpacing/>
        <w:outlineLvl w:val="1"/>
        <w:rPr>
          <w:rFonts w:ascii="Calibri" w:eastAsia="SimHei" w:hAnsi="Calibri" w:cs="Calibri"/>
          <w:color w:val="09002E"/>
          <w:kern w:val="0"/>
          <w:sz w:val="36"/>
          <w:szCs w:val="32"/>
        </w:rPr>
      </w:pPr>
      <w:bookmarkStart w:id="96" w:name="_Toc218527997"/>
      <w:r w:rsidRPr="00D633FF">
        <w:rPr>
          <w:rFonts w:ascii="Calibri" w:eastAsia="SimHei" w:hAnsi="Calibri" w:cs="Calibri"/>
          <w:color w:val="09002E"/>
          <w:kern w:val="0"/>
          <w:sz w:val="36"/>
          <w:szCs w:val="32"/>
        </w:rPr>
        <w:t>Selenium – Upper Levels</w:t>
      </w:r>
      <w:bookmarkEnd w:id="96"/>
    </w:p>
    <w:p w14:paraId="358737AF" w14:textId="77777777" w:rsidR="005C5475" w:rsidRPr="00D633FF" w:rsidRDefault="005C5475" w:rsidP="005C5475">
      <w:pPr>
        <w:keepNext/>
        <w:keepLines/>
        <w:spacing w:line="276" w:lineRule="auto"/>
        <w:outlineLvl w:val="2"/>
        <w:rPr>
          <w:rFonts w:ascii="Calibri" w:eastAsia="SimHei" w:hAnsi="Calibri" w:cs="Calibri"/>
          <w:color w:val="09002E"/>
          <w:sz w:val="28"/>
          <w:szCs w:val="28"/>
        </w:rPr>
      </w:pPr>
      <w:bookmarkStart w:id="97" w:name="_Toc218527998"/>
      <w:r w:rsidRPr="00D633FF">
        <w:rPr>
          <w:rFonts w:ascii="Calibri" w:eastAsia="SimHei" w:hAnsi="Calibri" w:cs="Calibri"/>
          <w:color w:val="09002E"/>
          <w:sz w:val="28"/>
          <w:szCs w:val="28"/>
        </w:rPr>
        <w:t>Background</w:t>
      </w:r>
      <w:bookmarkEnd w:id="97"/>
    </w:p>
    <w:p w14:paraId="1F701037" w14:textId="77777777" w:rsidR="005C5475" w:rsidRPr="00D633FF" w:rsidRDefault="005C5475" w:rsidP="005C5475">
      <w:pPr>
        <w:keepNext/>
        <w:keepLines/>
        <w:spacing w:line="276" w:lineRule="auto"/>
        <w:outlineLvl w:val="3"/>
        <w:rPr>
          <w:rFonts w:ascii="Calibri" w:eastAsia="SimHei" w:hAnsi="Calibri" w:cs="Calibri"/>
          <w:color w:val="09002E"/>
          <w:sz w:val="24"/>
          <w:szCs w:val="24"/>
        </w:rPr>
      </w:pPr>
      <w:r w:rsidRPr="00D633FF">
        <w:rPr>
          <w:rFonts w:ascii="Calibri" w:eastAsia="SimHei" w:hAnsi="Calibri" w:cs="Calibri"/>
          <w:color w:val="09002E"/>
          <w:sz w:val="24"/>
          <w:szCs w:val="24"/>
        </w:rPr>
        <w:t>Rationale for prioritising this update</w:t>
      </w:r>
    </w:p>
    <w:p w14:paraId="292AC714" w14:textId="101BE887" w:rsidR="005C5475" w:rsidRPr="00D633FF" w:rsidRDefault="005C5475" w:rsidP="005C5475">
      <w:pPr>
        <w:spacing w:line="276" w:lineRule="auto"/>
        <w:rPr>
          <w:rFonts w:ascii="Calibri" w:eastAsia="Arial" w:hAnsi="Calibri" w:cs="Calibri"/>
          <w:sz w:val="20"/>
        </w:rPr>
      </w:pPr>
      <w:r w:rsidRPr="00D633FF">
        <w:rPr>
          <w:rFonts w:ascii="Calibri" w:eastAsia="Arial" w:hAnsi="Calibri" w:cs="Calibri"/>
          <w:sz w:val="20"/>
        </w:rPr>
        <w:t xml:space="preserve">NHMRC published its current selenium NRVs in 2006 </w:t>
      </w:r>
      <w:r w:rsidR="00F41A14" w:rsidRPr="00D633FF">
        <w:rPr>
          <w:rFonts w:ascii="Calibri" w:eastAsia="Arial" w:hAnsi="Calibri" w:cs="Calibri"/>
          <w:noProof/>
          <w:sz w:val="20"/>
        </w:rPr>
        <w:t>(NHMRC, 2006)</w:t>
      </w:r>
      <w:r w:rsidRPr="00D633FF">
        <w:rPr>
          <w:rFonts w:ascii="Calibri" w:eastAsia="Arial" w:hAnsi="Calibri" w:cs="Calibri"/>
          <w:sz w:val="20"/>
        </w:rPr>
        <w:t xml:space="preserve">, the values were adopted from the 2000 US Institute of Medicine (IOM) values </w:t>
      </w:r>
      <w:r w:rsidR="00F41A14" w:rsidRPr="00D633FF">
        <w:rPr>
          <w:rFonts w:ascii="Calibri" w:eastAsia="Arial" w:hAnsi="Calibri" w:cs="Calibri"/>
          <w:noProof/>
          <w:sz w:val="20"/>
        </w:rPr>
        <w:t>(IOM, 2000)</w:t>
      </w:r>
      <w:r w:rsidRPr="00D633FF">
        <w:rPr>
          <w:rFonts w:ascii="Calibri" w:eastAsia="Arial" w:hAnsi="Calibri" w:cs="Calibri"/>
          <w:sz w:val="20"/>
        </w:rPr>
        <w:t xml:space="preserve">. In 2023, European Food Safety Authority (EFSA) updated their UL for selenium </w:t>
      </w:r>
      <w:r w:rsidR="00F41A14" w:rsidRPr="00D633FF">
        <w:rPr>
          <w:rFonts w:ascii="Calibri" w:eastAsia="Arial" w:hAnsi="Calibri" w:cs="Calibri"/>
          <w:noProof/>
          <w:sz w:val="20"/>
        </w:rPr>
        <w:t>(EFSA, 2023)</w:t>
      </w:r>
      <w:r w:rsidRPr="00D633FF">
        <w:rPr>
          <w:rFonts w:ascii="Calibri" w:eastAsia="Arial" w:hAnsi="Calibri" w:cs="Calibri"/>
          <w:sz w:val="20"/>
        </w:rPr>
        <w:t xml:space="preserve"> based on a large RCT </w:t>
      </w:r>
      <w:r w:rsidR="00F41A14" w:rsidRPr="00D633FF">
        <w:rPr>
          <w:rFonts w:ascii="Calibri" w:eastAsia="Arial" w:hAnsi="Calibri" w:cs="Calibri"/>
          <w:noProof/>
          <w:sz w:val="20"/>
        </w:rPr>
        <w:t>(Lippman et al. 2009)</w:t>
      </w:r>
      <w:r w:rsidRPr="00D633FF">
        <w:rPr>
          <w:rFonts w:ascii="Calibri" w:eastAsia="Arial" w:hAnsi="Calibri" w:cs="Calibri"/>
          <w:sz w:val="20"/>
        </w:rPr>
        <w:t xml:space="preserve">. In 2025 NHMRC published their updated health-based guideline value for selenium levels in drinking water </w:t>
      </w:r>
      <w:r w:rsidR="00F41A14" w:rsidRPr="00D633FF">
        <w:rPr>
          <w:rFonts w:ascii="Calibri" w:eastAsia="Arial" w:hAnsi="Calibri" w:cs="Calibri"/>
          <w:noProof/>
          <w:sz w:val="20"/>
        </w:rPr>
        <w:t>(NHMRC, 2025a)</w:t>
      </w:r>
      <w:r w:rsidRPr="00D633FF">
        <w:rPr>
          <w:rFonts w:ascii="Calibri" w:eastAsia="Arial" w:hAnsi="Calibri" w:cs="Calibri"/>
          <w:sz w:val="20"/>
        </w:rPr>
        <w:t xml:space="preserve"> based on the same RCT. Therefore, updating the NHMRC NRV UL for selenium </w:t>
      </w:r>
      <w:r w:rsidR="00E34927" w:rsidRPr="00D633FF">
        <w:rPr>
          <w:rFonts w:ascii="Calibri" w:eastAsia="Arial" w:hAnsi="Calibri" w:cs="Calibri"/>
          <w:sz w:val="20"/>
        </w:rPr>
        <w:t xml:space="preserve">supports </w:t>
      </w:r>
      <w:r w:rsidRPr="00D633FF">
        <w:rPr>
          <w:rFonts w:ascii="Calibri" w:eastAsia="Arial" w:hAnsi="Calibri" w:cs="Calibri"/>
          <w:sz w:val="20"/>
        </w:rPr>
        <w:t>consistency both within the NHMRC, and internationally.</w:t>
      </w:r>
    </w:p>
    <w:p w14:paraId="69240D79" w14:textId="27C895B9" w:rsidR="005C5475" w:rsidRPr="00D633FF" w:rsidRDefault="005C5475" w:rsidP="005C5475">
      <w:pPr>
        <w:spacing w:line="276" w:lineRule="auto"/>
        <w:rPr>
          <w:rFonts w:ascii="Calibri" w:eastAsia="Arial" w:hAnsi="Calibri" w:cs="Calibri"/>
          <w:sz w:val="20"/>
        </w:rPr>
      </w:pPr>
      <w:r w:rsidRPr="00D633FF">
        <w:rPr>
          <w:rFonts w:ascii="Calibri" w:eastAsia="Arial" w:hAnsi="Calibri" w:cs="Calibri"/>
          <w:sz w:val="20"/>
        </w:rPr>
        <w:t xml:space="preserve">In addition, NHMRC </w:t>
      </w:r>
      <w:r w:rsidR="00096B91" w:rsidRPr="00D633FF">
        <w:rPr>
          <w:rFonts w:ascii="Calibri" w:eastAsia="Arial" w:hAnsi="Calibri" w:cs="Calibri"/>
          <w:sz w:val="20"/>
        </w:rPr>
        <w:t xml:space="preserve">was </w:t>
      </w:r>
      <w:r w:rsidR="00E34927" w:rsidRPr="00D633FF">
        <w:rPr>
          <w:rFonts w:ascii="Calibri" w:eastAsia="Arial" w:hAnsi="Calibri" w:cs="Calibri"/>
          <w:sz w:val="20"/>
        </w:rPr>
        <w:t xml:space="preserve">seeking </w:t>
      </w:r>
      <w:r w:rsidRPr="00D633FF">
        <w:rPr>
          <w:rFonts w:ascii="Calibri" w:eastAsia="Arial" w:hAnsi="Calibri" w:cs="Calibri"/>
          <w:sz w:val="20"/>
        </w:rPr>
        <w:t xml:space="preserve">to pilot process for updating NRVs </w:t>
      </w:r>
      <w:r w:rsidR="000323EC" w:rsidRPr="00D633FF">
        <w:rPr>
          <w:rFonts w:ascii="Calibri" w:eastAsia="Arial" w:hAnsi="Calibri" w:cs="Calibri"/>
          <w:sz w:val="20"/>
        </w:rPr>
        <w:t>by adopting or adapting recommendations from other comparable jurisdictions</w:t>
      </w:r>
      <w:r w:rsidRPr="00D633FF">
        <w:rPr>
          <w:rFonts w:ascii="Calibri" w:eastAsia="Arial" w:hAnsi="Calibri" w:cs="Calibri"/>
          <w:sz w:val="20"/>
        </w:rPr>
        <w:t xml:space="preserve"> to </w:t>
      </w:r>
      <w:r w:rsidR="00CA082E" w:rsidRPr="00D633FF">
        <w:rPr>
          <w:rFonts w:ascii="Calibri" w:eastAsia="Arial" w:hAnsi="Calibri" w:cs="Calibri"/>
          <w:sz w:val="20"/>
        </w:rPr>
        <w:t xml:space="preserve">make the most effective and efficient use of limited </w:t>
      </w:r>
      <w:r w:rsidRPr="00D633FF">
        <w:rPr>
          <w:rFonts w:ascii="Calibri" w:eastAsia="Arial" w:hAnsi="Calibri" w:cs="Calibri"/>
          <w:sz w:val="20"/>
        </w:rPr>
        <w:t xml:space="preserve">resources and reduce duplication of effort. Updating selenium was an opportunity to develop and test these methods. The NHMRC Steering Group Advisory Committee assessed the updated EFSA selenium UL against formal criteria and found it suitable for adapting to the Australian and New Zealand </w:t>
      </w:r>
      <w:r w:rsidRPr="00D633FF">
        <w:rPr>
          <w:rFonts w:ascii="Calibri" w:eastAsia="Arial" w:hAnsi="Calibri" w:cs="Calibri"/>
          <w:sz w:val="20"/>
          <w:szCs w:val="20"/>
        </w:rPr>
        <w:t>context (</w:t>
      </w:r>
      <w:r w:rsidR="0015157F" w:rsidRPr="00D633FF">
        <w:rPr>
          <w:rFonts w:ascii="Calibri" w:eastAsia="Arial" w:hAnsi="Calibri" w:cs="Calibri"/>
          <w:sz w:val="20"/>
          <w:szCs w:val="20"/>
        </w:rPr>
        <w:t>‘</w:t>
      </w:r>
      <w:r w:rsidR="0015157F" w:rsidRPr="00D633FF">
        <w:rPr>
          <w:rFonts w:ascii="Calibri" w:eastAsia="Arial" w:hAnsi="Calibri" w:cs="Calibri"/>
          <w:i/>
          <w:iCs/>
          <w:sz w:val="20"/>
          <w:szCs w:val="20"/>
        </w:rPr>
        <w:fldChar w:fldCharType="begin" w:fldLock="1"/>
      </w:r>
      <w:r w:rsidR="0015157F" w:rsidRPr="00D633FF">
        <w:rPr>
          <w:rFonts w:ascii="Calibri" w:eastAsia="Arial" w:hAnsi="Calibri" w:cs="Calibri"/>
          <w:i/>
          <w:iCs/>
          <w:sz w:val="20"/>
          <w:szCs w:val="20"/>
        </w:rPr>
        <w:instrText xml:space="preserve"> REF _Ref207103684 \h  \* MERGEFORMAT </w:instrText>
      </w:r>
      <w:r w:rsidR="0015157F" w:rsidRPr="00D633FF">
        <w:rPr>
          <w:rFonts w:ascii="Calibri" w:eastAsia="Arial" w:hAnsi="Calibri" w:cs="Calibri"/>
          <w:i/>
          <w:iCs/>
          <w:sz w:val="20"/>
          <w:szCs w:val="20"/>
        </w:rPr>
      </w:r>
      <w:r w:rsidR="0015157F" w:rsidRPr="00D633FF">
        <w:rPr>
          <w:rFonts w:ascii="Calibri" w:eastAsia="Arial" w:hAnsi="Calibri" w:cs="Calibri"/>
          <w:i/>
          <w:iCs/>
          <w:sz w:val="20"/>
          <w:szCs w:val="20"/>
        </w:rPr>
        <w:fldChar w:fldCharType="separate"/>
      </w:r>
      <w:r w:rsidR="0015157F" w:rsidRPr="00D633FF">
        <w:rPr>
          <w:rFonts w:ascii="Calibri" w:hAnsi="Calibri" w:cs="Calibri"/>
          <w:b/>
          <w:bCs/>
          <w:sz w:val="20"/>
          <w:szCs w:val="20"/>
          <w:lang w:eastAsia="en-AU"/>
        </w:rPr>
        <w:t>Appendix A</w:t>
      </w:r>
      <w:r w:rsidR="0015157F" w:rsidRPr="00D633FF">
        <w:rPr>
          <w:rFonts w:ascii="Calibri" w:hAnsi="Calibri" w:cs="Calibri"/>
          <w:sz w:val="20"/>
          <w:szCs w:val="20"/>
          <w:lang w:eastAsia="en-AU"/>
        </w:rPr>
        <w:t xml:space="preserve"> - </w:t>
      </w:r>
      <w:r w:rsidR="0015157F" w:rsidRPr="00D633FF">
        <w:rPr>
          <w:rFonts w:ascii="Calibri" w:hAnsi="Calibri" w:cs="Calibri"/>
          <w:sz w:val="20"/>
          <w:szCs w:val="20"/>
        </w:rPr>
        <w:t>Administrative and technical criteria for assessing existing nutrient reference values for adopting or adapting</w:t>
      </w:r>
      <w:r w:rsidR="0015157F" w:rsidRPr="00D633FF">
        <w:rPr>
          <w:rFonts w:ascii="Calibri" w:eastAsia="Arial" w:hAnsi="Calibri" w:cs="Calibri"/>
          <w:i/>
          <w:iCs/>
          <w:sz w:val="20"/>
          <w:szCs w:val="20"/>
        </w:rPr>
        <w:fldChar w:fldCharType="end"/>
      </w:r>
      <w:r w:rsidR="0015157F" w:rsidRPr="00D633FF">
        <w:rPr>
          <w:rFonts w:ascii="Calibri" w:eastAsia="Arial" w:hAnsi="Calibri" w:cs="Calibri"/>
          <w:i/>
          <w:iCs/>
          <w:sz w:val="20"/>
          <w:szCs w:val="20"/>
        </w:rPr>
        <w:t>’</w:t>
      </w:r>
      <w:r w:rsidRPr="00D633FF">
        <w:rPr>
          <w:rFonts w:ascii="Calibri" w:eastAsia="Arial" w:hAnsi="Calibri" w:cs="Calibri"/>
          <w:sz w:val="20"/>
          <w:szCs w:val="20"/>
        </w:rPr>
        <w:t>).</w:t>
      </w:r>
    </w:p>
    <w:p w14:paraId="2725D88A" w14:textId="77777777" w:rsidR="005C5475" w:rsidRPr="00D633FF" w:rsidRDefault="005C5475" w:rsidP="005C5475">
      <w:pPr>
        <w:keepNext/>
        <w:keepLines/>
        <w:spacing w:line="276" w:lineRule="auto"/>
        <w:outlineLvl w:val="3"/>
        <w:rPr>
          <w:rFonts w:ascii="Calibri" w:eastAsia="SimHei" w:hAnsi="Calibri" w:cs="Calibri"/>
          <w:color w:val="09002E"/>
          <w:sz w:val="24"/>
          <w:szCs w:val="24"/>
        </w:rPr>
      </w:pPr>
      <w:r w:rsidRPr="00D633FF">
        <w:rPr>
          <w:rFonts w:ascii="Calibri" w:eastAsia="SimHei" w:hAnsi="Calibri" w:cs="Calibri"/>
          <w:color w:val="09002E"/>
          <w:sz w:val="24"/>
          <w:szCs w:val="24"/>
        </w:rPr>
        <w:t>Selenium – function and dietary sources</w:t>
      </w:r>
    </w:p>
    <w:p w14:paraId="71F0EA17" w14:textId="77777777" w:rsidR="005C5475" w:rsidRPr="00D633FF" w:rsidRDefault="005C5475" w:rsidP="005C5475">
      <w:pPr>
        <w:keepNext/>
        <w:keepLines/>
        <w:spacing w:line="276" w:lineRule="auto"/>
        <w:outlineLvl w:val="4"/>
        <w:rPr>
          <w:rFonts w:ascii="Calibri" w:eastAsia="SimHei" w:hAnsi="Calibri" w:cs="Calibri"/>
          <w:i/>
          <w:iCs/>
          <w:color w:val="09002E"/>
          <w:sz w:val="20"/>
          <w:szCs w:val="20"/>
        </w:rPr>
      </w:pPr>
      <w:r w:rsidRPr="00D633FF">
        <w:rPr>
          <w:rFonts w:ascii="Calibri" w:eastAsia="SimHei" w:hAnsi="Calibri" w:cs="Calibri"/>
          <w:i/>
          <w:iCs/>
          <w:color w:val="09002E"/>
          <w:sz w:val="20"/>
          <w:szCs w:val="20"/>
        </w:rPr>
        <w:t>Function</w:t>
      </w:r>
    </w:p>
    <w:p w14:paraId="42516AE4" w14:textId="15ED17E8" w:rsidR="005C5475" w:rsidRPr="00D633FF" w:rsidRDefault="005C5475" w:rsidP="005C5475">
      <w:pPr>
        <w:spacing w:line="276" w:lineRule="auto"/>
        <w:rPr>
          <w:rFonts w:ascii="Calibri" w:eastAsia="Times New Roman" w:hAnsi="Calibri" w:cs="Calibri"/>
          <w:sz w:val="20"/>
          <w:szCs w:val="20"/>
        </w:rPr>
      </w:pPr>
      <w:r w:rsidRPr="00D633FF">
        <w:rPr>
          <w:rFonts w:ascii="Calibri" w:eastAsia="Arial" w:hAnsi="Calibri" w:cs="Calibri"/>
          <w:sz w:val="20"/>
        </w:rPr>
        <w:t xml:space="preserve">Selenium is an essential mineral that plays a vital role in various metabolic processes, including antioxidant activities, thyroid hormone metabolism, and DNA synthesis </w:t>
      </w:r>
      <w:r w:rsidR="00F41A14" w:rsidRPr="00D633FF">
        <w:rPr>
          <w:rFonts w:ascii="Calibri" w:eastAsia="Arial" w:hAnsi="Calibri" w:cs="Calibri"/>
          <w:noProof/>
          <w:sz w:val="20"/>
        </w:rPr>
        <w:t>(Alexander &amp; Olsen 2023)</w:t>
      </w:r>
      <w:r w:rsidRPr="00D633FF">
        <w:rPr>
          <w:rFonts w:ascii="Calibri" w:eastAsia="Arial" w:hAnsi="Calibri" w:cs="Calibri"/>
          <w:sz w:val="20"/>
        </w:rPr>
        <w:t>. It further supports reproductive health and immune function.</w:t>
      </w:r>
    </w:p>
    <w:p w14:paraId="487E9474" w14:textId="77777777" w:rsidR="005C5475" w:rsidRPr="00D633FF" w:rsidRDefault="005C5475" w:rsidP="005C5475">
      <w:pPr>
        <w:keepNext/>
        <w:keepLines/>
        <w:spacing w:line="276" w:lineRule="auto"/>
        <w:outlineLvl w:val="4"/>
        <w:rPr>
          <w:rFonts w:ascii="Calibri" w:eastAsia="SimHei" w:hAnsi="Calibri" w:cs="Calibri"/>
          <w:i/>
          <w:iCs/>
          <w:color w:val="09002E"/>
          <w:sz w:val="20"/>
          <w:szCs w:val="20"/>
        </w:rPr>
      </w:pPr>
      <w:r w:rsidRPr="00D633FF">
        <w:rPr>
          <w:rFonts w:ascii="Calibri" w:eastAsia="SimHei" w:hAnsi="Calibri" w:cs="Calibri"/>
          <w:i/>
          <w:iCs/>
          <w:color w:val="09002E"/>
          <w:sz w:val="20"/>
          <w:szCs w:val="20"/>
        </w:rPr>
        <w:t>Food</w:t>
      </w:r>
    </w:p>
    <w:p w14:paraId="3B1207FF" w14:textId="3A5AE359" w:rsidR="005C5475" w:rsidRPr="00D633FF" w:rsidRDefault="005C5475" w:rsidP="005C5475">
      <w:pPr>
        <w:spacing w:line="276" w:lineRule="auto"/>
        <w:rPr>
          <w:rFonts w:ascii="Calibri" w:eastAsia="Arial" w:hAnsi="Calibri" w:cs="Calibri"/>
          <w:sz w:val="20"/>
        </w:rPr>
      </w:pPr>
      <w:r w:rsidRPr="00D633FF">
        <w:rPr>
          <w:rFonts w:ascii="Calibri" w:eastAsia="Arial" w:hAnsi="Calibri" w:cs="Calibri"/>
          <w:sz w:val="20"/>
        </w:rPr>
        <w:t xml:space="preserve">Food is the primary source of selenium for humans, while drinking water and air contribute only minor amounts </w:t>
      </w:r>
      <w:r w:rsidR="00F41A14" w:rsidRPr="00D633FF">
        <w:rPr>
          <w:rFonts w:ascii="Calibri" w:eastAsia="Arial" w:hAnsi="Calibri" w:cs="Calibri"/>
          <w:noProof/>
          <w:sz w:val="20"/>
        </w:rPr>
        <w:t>(Barceloux 1999)</w:t>
      </w:r>
      <w:r w:rsidRPr="00D633FF">
        <w:rPr>
          <w:rFonts w:ascii="Calibri" w:eastAsia="Arial" w:hAnsi="Calibri" w:cs="Calibri"/>
          <w:sz w:val="20"/>
        </w:rPr>
        <w:t xml:space="preserve">. The food with the highest selenium concentration is Brazil nuts, with an average of 575 µg per 30g, followed by mustard powder (48 µg per 30g) and yelloweye mullet (33 µg per 30g) </w:t>
      </w:r>
      <w:r w:rsidR="00F41A14" w:rsidRPr="00D633FF">
        <w:rPr>
          <w:rFonts w:ascii="Calibri" w:eastAsia="Arial" w:hAnsi="Calibri" w:cs="Calibri"/>
          <w:noProof/>
          <w:sz w:val="20"/>
        </w:rPr>
        <w:t>(FSANZ, 2022)</w:t>
      </w:r>
      <w:r w:rsidRPr="00D633FF">
        <w:rPr>
          <w:rFonts w:ascii="Calibri" w:eastAsia="Arial" w:hAnsi="Calibri" w:cs="Calibri"/>
          <w:sz w:val="20"/>
        </w:rPr>
        <w:t xml:space="preserve">. </w:t>
      </w:r>
    </w:p>
    <w:p w14:paraId="3DC9A405" w14:textId="02FA5B92" w:rsidR="005C5475" w:rsidRPr="00D633FF" w:rsidRDefault="005C5475" w:rsidP="005C5475">
      <w:pPr>
        <w:spacing w:line="276" w:lineRule="auto"/>
        <w:rPr>
          <w:rFonts w:ascii="Calibri" w:eastAsia="Arial" w:hAnsi="Calibri" w:cs="Calibri"/>
          <w:sz w:val="20"/>
        </w:rPr>
      </w:pPr>
      <w:r w:rsidRPr="00D633FF">
        <w:rPr>
          <w:rFonts w:ascii="Calibri" w:eastAsia="Arial" w:hAnsi="Calibri" w:cs="Calibri"/>
          <w:sz w:val="20"/>
        </w:rPr>
        <w:t xml:space="preserve">The main dietary contributors to selenium intake for the Australian population, including children and teenagers, are meat, poultry, fish, seafood and game products, along with cereal-based products and dishes </w:t>
      </w:r>
      <w:r w:rsidR="00F41A14" w:rsidRPr="00D633FF">
        <w:rPr>
          <w:rFonts w:ascii="Calibri" w:eastAsia="Arial" w:hAnsi="Calibri" w:cs="Calibri"/>
          <w:noProof/>
          <w:sz w:val="20"/>
        </w:rPr>
        <w:t>(Australian Bureau of Statistics 2019)</w:t>
      </w:r>
      <w:r w:rsidRPr="00D633FF">
        <w:rPr>
          <w:rFonts w:ascii="Calibri" w:eastAsia="Arial" w:hAnsi="Calibri" w:cs="Calibri"/>
          <w:sz w:val="20"/>
        </w:rPr>
        <w:t xml:space="preserve">. In New Zealand the main dietary contributors are bread, fish/seafood, poultry, </w:t>
      </w:r>
      <w:r w:rsidRPr="00D633FF">
        <w:rPr>
          <w:rFonts w:ascii="Calibri" w:eastAsia="Arial" w:hAnsi="Calibri" w:cs="Calibri"/>
          <w:sz w:val="20"/>
        </w:rPr>
        <w:lastRenderedPageBreak/>
        <w:t xml:space="preserve">eggs, grains/pasta, and pork for adults </w:t>
      </w:r>
      <w:r w:rsidR="00F41A14" w:rsidRPr="00D633FF">
        <w:rPr>
          <w:rFonts w:ascii="Calibri" w:eastAsia="Arial" w:hAnsi="Calibri" w:cs="Calibri"/>
          <w:noProof/>
          <w:sz w:val="20"/>
        </w:rPr>
        <w:t>(University of Otago &amp; Ministry of Health 2011)</w:t>
      </w:r>
      <w:r w:rsidRPr="00D633FF">
        <w:rPr>
          <w:rFonts w:ascii="Calibri" w:eastAsia="Arial" w:hAnsi="Calibri" w:cs="Calibri"/>
          <w:sz w:val="20"/>
        </w:rPr>
        <w:t xml:space="preserve">, while fish and seafood </w:t>
      </w:r>
      <w:proofErr w:type="gramStart"/>
      <w:r w:rsidRPr="00D633FF">
        <w:rPr>
          <w:rFonts w:ascii="Calibri" w:eastAsia="Arial" w:hAnsi="Calibri" w:cs="Calibri"/>
          <w:sz w:val="20"/>
        </w:rPr>
        <w:t>is</w:t>
      </w:r>
      <w:proofErr w:type="gramEnd"/>
      <w:r w:rsidRPr="00D633FF">
        <w:rPr>
          <w:rFonts w:ascii="Calibri" w:eastAsia="Arial" w:hAnsi="Calibri" w:cs="Calibri"/>
          <w:sz w:val="20"/>
        </w:rPr>
        <w:t xml:space="preserve"> the most significant source of selenium for children, followed by poultry, bread and grains/pasta </w:t>
      </w:r>
      <w:r w:rsidR="00F41A14" w:rsidRPr="00D633FF">
        <w:rPr>
          <w:rFonts w:ascii="Calibri" w:eastAsia="Arial" w:hAnsi="Calibri" w:cs="Calibri"/>
          <w:noProof/>
          <w:sz w:val="20"/>
        </w:rPr>
        <w:t>(Ministry of Health 2003)</w:t>
      </w:r>
      <w:r w:rsidRPr="00D633FF">
        <w:rPr>
          <w:rFonts w:ascii="Calibri" w:eastAsia="Arial" w:hAnsi="Calibri" w:cs="Calibri"/>
          <w:sz w:val="20"/>
        </w:rPr>
        <w:t xml:space="preserve">. </w:t>
      </w:r>
    </w:p>
    <w:p w14:paraId="7BA61A3F" w14:textId="2F78F471" w:rsidR="005C5475" w:rsidRPr="00D633FF" w:rsidRDefault="005C5475" w:rsidP="005C5475">
      <w:pPr>
        <w:spacing w:line="276" w:lineRule="auto"/>
        <w:rPr>
          <w:rFonts w:ascii="Calibri" w:eastAsia="Arial" w:hAnsi="Calibri" w:cs="Calibri"/>
          <w:sz w:val="20"/>
        </w:rPr>
      </w:pPr>
      <w:r w:rsidRPr="00D633FF">
        <w:rPr>
          <w:rFonts w:ascii="Calibri" w:eastAsia="Arial" w:hAnsi="Calibri" w:cs="Calibri"/>
          <w:sz w:val="20"/>
        </w:rPr>
        <w:t xml:space="preserve">The amount of selenium in cereal-based foods is directly affected by the selenium content of the soil where it was grown </w:t>
      </w:r>
      <w:r w:rsidR="00F41A14" w:rsidRPr="00D633FF">
        <w:rPr>
          <w:rFonts w:ascii="Calibri" w:eastAsia="Arial" w:hAnsi="Calibri" w:cs="Calibri"/>
          <w:noProof/>
          <w:sz w:val="20"/>
        </w:rPr>
        <w:t>(Tinggi 2003)</w:t>
      </w:r>
      <w:r w:rsidRPr="00D633FF">
        <w:rPr>
          <w:rFonts w:ascii="Calibri" w:eastAsia="Arial" w:hAnsi="Calibri" w:cs="Calibri"/>
          <w:sz w:val="20"/>
        </w:rPr>
        <w:t xml:space="preserve">. The soil selenium levels are highly variable in Australia and New Zealand, therefore dietary intake of selenium from cereal-based foods differs geographically </w:t>
      </w:r>
      <w:r w:rsidR="00F41A14" w:rsidRPr="00D633FF">
        <w:rPr>
          <w:rFonts w:ascii="Calibri" w:eastAsia="Arial" w:hAnsi="Calibri" w:cs="Calibri"/>
          <w:noProof/>
          <w:sz w:val="20"/>
        </w:rPr>
        <w:t>(Lymbury et al. 2008; Thomson 2004)</w:t>
      </w:r>
      <w:r w:rsidRPr="00D633FF">
        <w:rPr>
          <w:rFonts w:ascii="Calibri" w:eastAsia="Arial" w:hAnsi="Calibri" w:cs="Calibri"/>
          <w:sz w:val="20"/>
        </w:rPr>
        <w:t>.</w:t>
      </w:r>
    </w:p>
    <w:p w14:paraId="2E49D933" w14:textId="209DC9D8" w:rsidR="005C5475" w:rsidRPr="00D633FF" w:rsidRDefault="005C5475" w:rsidP="005C5475">
      <w:pPr>
        <w:spacing w:line="276" w:lineRule="auto"/>
        <w:rPr>
          <w:rFonts w:ascii="Calibri" w:eastAsia="Arial" w:hAnsi="Calibri" w:cs="Calibri"/>
          <w:sz w:val="20"/>
        </w:rPr>
      </w:pPr>
      <w:r w:rsidRPr="00D633FF">
        <w:rPr>
          <w:rFonts w:ascii="Calibri" w:eastAsia="Arial" w:hAnsi="Calibri" w:cs="Calibri"/>
          <w:sz w:val="20"/>
        </w:rPr>
        <w:t xml:space="preserve">Selenium (in the forms of </w:t>
      </w:r>
      <w:proofErr w:type="spellStart"/>
      <w:r w:rsidRPr="00D633FF">
        <w:rPr>
          <w:rFonts w:ascii="Calibri" w:eastAsia="Arial" w:hAnsi="Calibri" w:cs="Calibri"/>
          <w:sz w:val="20"/>
        </w:rPr>
        <w:t>selenomethionine</w:t>
      </w:r>
      <w:proofErr w:type="spellEnd"/>
      <w:r w:rsidRPr="00D633FF">
        <w:rPr>
          <w:rFonts w:ascii="Calibri" w:eastAsia="Arial" w:hAnsi="Calibri" w:cs="Calibri"/>
          <w:sz w:val="20"/>
        </w:rPr>
        <w:t>, sodium selenate or sodium selenite)</w:t>
      </w:r>
      <w:r w:rsidRPr="00D633FF">
        <w:rPr>
          <w:rFonts w:ascii="Calibri" w:eastAsia="Arial" w:hAnsi="Calibri" w:cs="Calibri"/>
          <w:b/>
          <w:bCs/>
          <w:i/>
          <w:iCs/>
          <w:sz w:val="20"/>
        </w:rPr>
        <w:t xml:space="preserve"> </w:t>
      </w:r>
      <w:r w:rsidRPr="00D633FF">
        <w:rPr>
          <w:rFonts w:ascii="Calibri" w:eastAsia="Arial" w:hAnsi="Calibri" w:cs="Calibri"/>
          <w:sz w:val="20"/>
        </w:rPr>
        <w:t>is permitted to be added to formulated beverages,</w:t>
      </w:r>
      <w:r w:rsidRPr="00D633FF">
        <w:rPr>
          <w:rFonts w:ascii="Calibri" w:eastAsia="Arial" w:hAnsi="Calibri" w:cs="Calibri"/>
          <w:color w:val="000000"/>
          <w:sz w:val="18"/>
          <w:szCs w:val="18"/>
        </w:rPr>
        <w:t xml:space="preserve"> </w:t>
      </w:r>
      <w:r w:rsidRPr="00D633FF">
        <w:rPr>
          <w:rFonts w:ascii="Calibri" w:eastAsia="Arial" w:hAnsi="Calibri" w:cs="Calibri"/>
          <w:sz w:val="20"/>
        </w:rPr>
        <w:t xml:space="preserve">meal replacements, supplementary sports foods, and foods for special medical purposes </w:t>
      </w:r>
      <w:r w:rsidR="00F41A14" w:rsidRPr="00D633FF">
        <w:rPr>
          <w:rFonts w:ascii="Calibri" w:eastAsia="Arial" w:hAnsi="Calibri" w:cs="Calibri"/>
          <w:noProof/>
          <w:sz w:val="20"/>
        </w:rPr>
        <w:t>(Australian Government 2021, 2025c)</w:t>
      </w:r>
      <w:r w:rsidRPr="00D633FF">
        <w:rPr>
          <w:rFonts w:ascii="Calibri" w:eastAsia="Arial" w:hAnsi="Calibri" w:cs="Calibri"/>
          <w:sz w:val="20"/>
        </w:rPr>
        <w:t xml:space="preserve">. </w:t>
      </w:r>
      <w:r w:rsidRPr="00D633FF">
        <w:rPr>
          <w:rFonts w:ascii="Calibri" w:eastAsia="Times New Roman" w:hAnsi="Calibri" w:cs="Calibri"/>
          <w:sz w:val="20"/>
          <w:szCs w:val="20"/>
        </w:rPr>
        <w:t>There are no regulatory requirements to add selenium to food in Australia or New Zealand (except infant formula).</w:t>
      </w:r>
      <w:r w:rsidRPr="00D633FF">
        <w:rPr>
          <w:rFonts w:ascii="Calibri" w:eastAsia="Arial" w:hAnsi="Calibri" w:cs="Calibri"/>
          <w:sz w:val="20"/>
        </w:rPr>
        <w:t xml:space="preserve"> </w:t>
      </w:r>
    </w:p>
    <w:p w14:paraId="71EAB22C" w14:textId="77777777" w:rsidR="005C5475" w:rsidRPr="00D633FF" w:rsidRDefault="005C5475" w:rsidP="005C5475">
      <w:pPr>
        <w:keepNext/>
        <w:keepLines/>
        <w:spacing w:line="276" w:lineRule="auto"/>
        <w:outlineLvl w:val="4"/>
        <w:rPr>
          <w:rFonts w:ascii="Calibri" w:eastAsia="SimHei" w:hAnsi="Calibri" w:cs="Calibri"/>
          <w:i/>
          <w:iCs/>
          <w:color w:val="09002E"/>
          <w:sz w:val="20"/>
          <w:szCs w:val="20"/>
        </w:rPr>
      </w:pPr>
      <w:r w:rsidRPr="00D633FF">
        <w:rPr>
          <w:rFonts w:ascii="Calibri" w:eastAsia="SimHei" w:hAnsi="Calibri" w:cs="Calibri"/>
          <w:i/>
          <w:iCs/>
          <w:color w:val="09002E"/>
          <w:sz w:val="20"/>
          <w:szCs w:val="20"/>
        </w:rPr>
        <w:t>Supplements</w:t>
      </w:r>
    </w:p>
    <w:p w14:paraId="53C238F8" w14:textId="532F5B6B" w:rsidR="005C5475" w:rsidRPr="00D633FF" w:rsidRDefault="005C5475" w:rsidP="005C5475">
      <w:pPr>
        <w:spacing w:line="276" w:lineRule="auto"/>
        <w:rPr>
          <w:rFonts w:ascii="Calibri" w:eastAsia="Arial" w:hAnsi="Calibri" w:cs="Calibri"/>
          <w:sz w:val="20"/>
        </w:rPr>
      </w:pPr>
      <w:r w:rsidRPr="00D633FF">
        <w:rPr>
          <w:rFonts w:ascii="Calibri" w:eastAsia="Arial" w:hAnsi="Calibri" w:cs="Calibri"/>
          <w:sz w:val="20"/>
        </w:rPr>
        <w:t xml:space="preserve">The 2023-24 Australian National Nutrition and Physical Activity Survey found that 33.6% of people aged two-years and over, and 37.3% of adults (18-years and over) took a dietary supplement in 2023; 15.5% of the population took a multivitamin or multimineral supplement (17.0% for adults), and 0.7% of the population aged two-years and over (0.8% of adults) took an ‘other single mineral supplement’ </w:t>
      </w:r>
      <w:r w:rsidR="00F41A14" w:rsidRPr="00D633FF">
        <w:rPr>
          <w:rFonts w:ascii="Calibri" w:eastAsia="Arial" w:hAnsi="Calibri" w:cs="Calibri"/>
          <w:noProof/>
          <w:sz w:val="20"/>
        </w:rPr>
        <w:t>(ABS 2025)</w:t>
      </w:r>
      <w:r w:rsidRPr="00D633FF">
        <w:rPr>
          <w:rFonts w:ascii="Calibri" w:eastAsia="Arial" w:hAnsi="Calibri" w:cs="Calibri"/>
          <w:sz w:val="20"/>
        </w:rPr>
        <w:t xml:space="preserve">, there were no specific figures for the use of selenium-only supplements. In New Zealand, the 2008–09 Adult Nutrition Survey </w:t>
      </w:r>
      <w:r w:rsidR="00F41A14" w:rsidRPr="00D633FF">
        <w:rPr>
          <w:rFonts w:ascii="Calibri" w:eastAsia="Arial" w:hAnsi="Calibri" w:cs="Calibri"/>
          <w:noProof/>
          <w:sz w:val="20"/>
        </w:rPr>
        <w:t>(University of Otago &amp; Ministry of Health 2011)</w:t>
      </w:r>
      <w:r w:rsidRPr="00D633FF">
        <w:rPr>
          <w:rFonts w:ascii="Calibri" w:eastAsia="Arial" w:hAnsi="Calibri" w:cs="Calibri"/>
          <w:sz w:val="20"/>
        </w:rPr>
        <w:t xml:space="preserve"> found that 47.6% of people aged 15-years and over took a supplement in the past year, with 30.7% being regular users; 10.6% of men and 18.6% of women consumed multivitamin and multimineral supplements, 3.0% of men and 8.5% of women consumed single mineral supplements, and 1.0% of men and 2.1% of women consumed multimineral supplements. </w:t>
      </w:r>
      <w:r w:rsidRPr="00D633FF">
        <w:rPr>
          <w:rFonts w:ascii="Calibri" w:eastAsia="Arial" w:hAnsi="Calibri" w:cs="Calibri"/>
          <w:color w:val="000000"/>
          <w:sz w:val="20"/>
        </w:rPr>
        <w:t xml:space="preserve">There are no specific data available regarding the use of selenium-only supplements. According to the Therapeutic Goods Poisons Standard (Australian Government 2025a, 2025b), selenium is classified as a Schedule 2 (pharmacy medicine) except for oral preparations with a recommended daily dose of 150 µg or less, and as a Schedule 4 (prescription only medicine) for oral human use with a recommended daily dose exceeding 300 micrograms. </w:t>
      </w:r>
    </w:p>
    <w:p w14:paraId="5D106D04" w14:textId="77777777" w:rsidR="005C5475" w:rsidRPr="00D633FF" w:rsidRDefault="005C5475" w:rsidP="005C5475">
      <w:pPr>
        <w:keepNext/>
        <w:keepLines/>
        <w:spacing w:line="276" w:lineRule="auto"/>
        <w:outlineLvl w:val="4"/>
        <w:rPr>
          <w:rFonts w:ascii="Calibri" w:eastAsia="SimHei" w:hAnsi="Calibri" w:cs="Calibri"/>
          <w:i/>
          <w:iCs/>
          <w:color w:val="09002E"/>
          <w:sz w:val="20"/>
          <w:szCs w:val="20"/>
        </w:rPr>
      </w:pPr>
      <w:bookmarkStart w:id="98" w:name="_Toc202791321"/>
      <w:r w:rsidRPr="00D633FF">
        <w:rPr>
          <w:rFonts w:ascii="Calibri" w:eastAsia="SimHei" w:hAnsi="Calibri" w:cs="Calibri"/>
          <w:i/>
          <w:iCs/>
          <w:color w:val="09002E"/>
          <w:sz w:val="20"/>
          <w:szCs w:val="20"/>
        </w:rPr>
        <w:t>Bioavailability factors</w:t>
      </w:r>
      <w:bookmarkEnd w:id="98"/>
      <w:r w:rsidRPr="00D633FF">
        <w:rPr>
          <w:rFonts w:ascii="Calibri" w:eastAsia="SimHei" w:hAnsi="Calibri" w:cs="Calibri"/>
          <w:i/>
          <w:iCs/>
          <w:color w:val="09002E"/>
          <w:sz w:val="20"/>
          <w:szCs w:val="20"/>
        </w:rPr>
        <w:t xml:space="preserve"> </w:t>
      </w:r>
    </w:p>
    <w:p w14:paraId="5A331402" w14:textId="085D91B6" w:rsidR="005C5475" w:rsidRPr="00D633FF" w:rsidRDefault="005C5475" w:rsidP="005C5475">
      <w:pPr>
        <w:spacing w:line="276" w:lineRule="auto"/>
        <w:rPr>
          <w:rFonts w:ascii="Calibri" w:eastAsia="Arial" w:hAnsi="Calibri" w:cs="Calibri"/>
          <w:sz w:val="20"/>
        </w:rPr>
      </w:pPr>
      <w:r w:rsidRPr="00D633FF">
        <w:rPr>
          <w:rFonts w:ascii="Calibri" w:eastAsia="Arial" w:hAnsi="Calibri" w:cs="Calibri"/>
          <w:sz w:val="20"/>
        </w:rPr>
        <w:t xml:space="preserve">Various methods have been used to measure selenium bioavailability, including changes in blood (including plasma, serum and erythrocytes) selenium concentration, </w:t>
      </w:r>
      <w:proofErr w:type="spellStart"/>
      <w:r w:rsidRPr="00D633FF">
        <w:rPr>
          <w:rFonts w:ascii="Calibri" w:eastAsia="Arial" w:hAnsi="Calibri" w:cs="Calibri"/>
          <w:sz w:val="20"/>
        </w:rPr>
        <w:t>GPx</w:t>
      </w:r>
      <w:proofErr w:type="spellEnd"/>
      <w:r w:rsidRPr="00D633FF">
        <w:rPr>
          <w:rFonts w:ascii="Calibri" w:eastAsia="Arial" w:hAnsi="Calibri" w:cs="Calibri"/>
          <w:sz w:val="20"/>
        </w:rPr>
        <w:t xml:space="preserve"> enzyme activity, and absorption/retention studies using stable isotopes </w:t>
      </w:r>
      <w:r w:rsidR="00F41A14" w:rsidRPr="00D633FF">
        <w:rPr>
          <w:rFonts w:ascii="Calibri" w:eastAsia="Arial" w:hAnsi="Calibri" w:cs="Calibri"/>
          <w:noProof/>
          <w:sz w:val="20"/>
        </w:rPr>
        <w:t>(Fairweather-Tait &amp; Collings 2010)</w:t>
      </w:r>
      <w:r w:rsidRPr="00D633FF">
        <w:rPr>
          <w:rFonts w:ascii="Calibri" w:eastAsia="Arial" w:hAnsi="Calibri" w:cs="Calibri"/>
          <w:sz w:val="20"/>
        </w:rPr>
        <w:t xml:space="preserve">. </w:t>
      </w:r>
    </w:p>
    <w:p w14:paraId="74937D98" w14:textId="48C1CB97" w:rsidR="005C5475" w:rsidRPr="00D633FF" w:rsidRDefault="005C5475" w:rsidP="005C5475">
      <w:pPr>
        <w:spacing w:line="276" w:lineRule="auto"/>
        <w:rPr>
          <w:rFonts w:ascii="Calibri" w:eastAsia="Arial" w:hAnsi="Calibri" w:cs="Calibri"/>
          <w:sz w:val="20"/>
        </w:rPr>
      </w:pPr>
      <w:r w:rsidRPr="00D633FF">
        <w:rPr>
          <w:rFonts w:ascii="Calibri" w:eastAsia="Arial" w:hAnsi="Calibri" w:cs="Calibri"/>
          <w:sz w:val="20"/>
        </w:rPr>
        <w:t xml:space="preserve">Selenium is well absorbed from dietary sources, (approximately 70-80% absorption rate) </w:t>
      </w:r>
      <w:r w:rsidR="00F41A14" w:rsidRPr="00D633FF">
        <w:rPr>
          <w:rFonts w:ascii="Calibri" w:eastAsia="Arial" w:hAnsi="Calibri" w:cs="Calibri"/>
          <w:noProof/>
          <w:sz w:val="20"/>
        </w:rPr>
        <w:t>(Burk &amp; Hill 2015; Lei et al. 2022)</w:t>
      </w:r>
      <w:r w:rsidRPr="00D633FF">
        <w:rPr>
          <w:rFonts w:ascii="Calibri" w:eastAsia="Arial" w:hAnsi="Calibri" w:cs="Calibri"/>
          <w:sz w:val="20"/>
        </w:rPr>
        <w:t xml:space="preserve">, but only a little over half is retained in the body </w:t>
      </w:r>
      <w:r w:rsidR="00F41A14" w:rsidRPr="00D633FF">
        <w:rPr>
          <w:rFonts w:ascii="Calibri" w:eastAsia="Arial" w:hAnsi="Calibri" w:cs="Calibri"/>
          <w:noProof/>
          <w:sz w:val="20"/>
        </w:rPr>
        <w:t>(Alexander &amp; Olsen 2023)</w:t>
      </w:r>
      <w:r w:rsidRPr="00D633FF">
        <w:rPr>
          <w:rFonts w:ascii="Calibri" w:eastAsia="Arial" w:hAnsi="Calibri" w:cs="Calibri"/>
          <w:sz w:val="20"/>
        </w:rPr>
        <w:t xml:space="preserve">. All forms of selenium enter the selenide pool, where they are either used for selenoprotein synthesis or excreted as </w:t>
      </w:r>
      <w:proofErr w:type="spellStart"/>
      <w:r w:rsidRPr="00D633FF">
        <w:rPr>
          <w:rFonts w:ascii="Calibri" w:eastAsia="Arial" w:hAnsi="Calibri" w:cs="Calibri"/>
          <w:sz w:val="20"/>
        </w:rPr>
        <w:t>selenosugar</w:t>
      </w:r>
      <w:proofErr w:type="spellEnd"/>
      <w:r w:rsidRPr="00D633FF">
        <w:rPr>
          <w:rFonts w:ascii="Calibri" w:eastAsia="Arial" w:hAnsi="Calibri" w:cs="Calibri"/>
          <w:sz w:val="20"/>
        </w:rPr>
        <w:t xml:space="preserve"> in the urine </w:t>
      </w:r>
      <w:r w:rsidR="00F41A14" w:rsidRPr="00D633FF">
        <w:rPr>
          <w:rFonts w:ascii="Calibri" w:eastAsia="Arial" w:hAnsi="Calibri" w:cs="Calibri"/>
          <w:noProof/>
          <w:sz w:val="20"/>
        </w:rPr>
        <w:t>(Fairweather-Tait &amp; Collings 2010)</w:t>
      </w:r>
      <w:r w:rsidRPr="00D633FF">
        <w:rPr>
          <w:rFonts w:ascii="Calibri" w:eastAsia="Arial" w:hAnsi="Calibri" w:cs="Calibri"/>
          <w:sz w:val="20"/>
        </w:rPr>
        <w:t>. Most selenium forms are efficiently absorbed, but utilisation differs depending on their plasma form. While the absorptive pathways are not fully understood, inorganic forms of selenium (selenate, selenite) are well absorbed but less retained compared to organic forms (</w:t>
      </w:r>
      <w:proofErr w:type="spellStart"/>
      <w:r w:rsidRPr="00D633FF">
        <w:rPr>
          <w:rFonts w:ascii="Calibri" w:eastAsia="Arial" w:hAnsi="Calibri" w:cs="Calibri"/>
          <w:sz w:val="20"/>
        </w:rPr>
        <w:t>selenomethionine</w:t>
      </w:r>
      <w:proofErr w:type="spellEnd"/>
      <w:r w:rsidRPr="00D633FF">
        <w:rPr>
          <w:rFonts w:ascii="Calibri" w:eastAsia="Arial" w:hAnsi="Calibri" w:cs="Calibri"/>
          <w:sz w:val="20"/>
        </w:rPr>
        <w:t xml:space="preserve">, selenocysteine) </w:t>
      </w:r>
      <w:r w:rsidR="00F41A14" w:rsidRPr="00D633FF">
        <w:rPr>
          <w:rFonts w:ascii="Calibri" w:eastAsia="Arial" w:hAnsi="Calibri" w:cs="Calibri"/>
          <w:noProof/>
          <w:sz w:val="20"/>
        </w:rPr>
        <w:t>(Burk et al. 2006; Schrauzer 2000)</w:t>
      </w:r>
      <w:r w:rsidRPr="00D633FF">
        <w:rPr>
          <w:rFonts w:ascii="Calibri" w:eastAsia="Arial" w:hAnsi="Calibri" w:cs="Calibri"/>
          <w:sz w:val="20"/>
        </w:rPr>
        <w:t xml:space="preserve">. This has been demonstrated in the results of human studies of selenium metabolism from various foods and supplements </w:t>
      </w:r>
      <w:r w:rsidR="00F41A14" w:rsidRPr="00D633FF">
        <w:rPr>
          <w:rFonts w:ascii="Calibri" w:eastAsia="Arial" w:hAnsi="Calibri" w:cs="Calibri"/>
          <w:noProof/>
          <w:sz w:val="20"/>
        </w:rPr>
        <w:t>(Brown et al. 2000; Butler et al. 1991)</w:t>
      </w:r>
      <w:r w:rsidRPr="00D633FF">
        <w:rPr>
          <w:rFonts w:ascii="Calibri" w:eastAsia="Arial" w:hAnsi="Calibri" w:cs="Calibri"/>
          <w:sz w:val="20"/>
        </w:rPr>
        <w:t xml:space="preserve">. </w:t>
      </w:r>
    </w:p>
    <w:p w14:paraId="59462D7F" w14:textId="2B423094" w:rsidR="005C5475" w:rsidRPr="00D633FF" w:rsidRDefault="005C5475" w:rsidP="005C5475">
      <w:pPr>
        <w:spacing w:line="276" w:lineRule="auto"/>
        <w:rPr>
          <w:rFonts w:ascii="Calibri" w:eastAsia="Arial" w:hAnsi="Calibri" w:cs="Calibri"/>
          <w:sz w:val="20"/>
        </w:rPr>
      </w:pPr>
      <w:r w:rsidRPr="00D633FF">
        <w:rPr>
          <w:rFonts w:ascii="Calibri" w:eastAsia="Arial" w:hAnsi="Calibri" w:cs="Calibri"/>
          <w:sz w:val="20"/>
        </w:rPr>
        <w:t xml:space="preserve">Plants accumulate inorganic forms of selenium through soil and ground water and convert to organic forms, with </w:t>
      </w:r>
      <w:proofErr w:type="spellStart"/>
      <w:r w:rsidRPr="00D633FF">
        <w:rPr>
          <w:rFonts w:ascii="Calibri" w:eastAsia="Arial" w:hAnsi="Calibri" w:cs="Calibri"/>
          <w:sz w:val="20"/>
        </w:rPr>
        <w:t>selenomethionine</w:t>
      </w:r>
      <w:proofErr w:type="spellEnd"/>
      <w:r w:rsidRPr="00D633FF">
        <w:rPr>
          <w:rFonts w:ascii="Calibri" w:eastAsia="Arial" w:hAnsi="Calibri" w:cs="Calibri"/>
          <w:sz w:val="20"/>
        </w:rPr>
        <w:t xml:space="preserve"> being more readily absorbed and retained than inorganic forms </w:t>
      </w:r>
      <w:r w:rsidR="00F41A14" w:rsidRPr="00D633FF">
        <w:rPr>
          <w:rFonts w:ascii="Calibri" w:eastAsia="Arial" w:hAnsi="Calibri" w:cs="Calibri"/>
          <w:noProof/>
          <w:sz w:val="20"/>
        </w:rPr>
        <w:t>(Hadrup &amp; Ravn-Haren 2021)</w:t>
      </w:r>
      <w:r w:rsidRPr="00D633FF">
        <w:rPr>
          <w:rFonts w:ascii="Calibri" w:eastAsia="Arial" w:hAnsi="Calibri" w:cs="Calibri"/>
          <w:sz w:val="20"/>
        </w:rPr>
        <w:t xml:space="preserve">. Selenium from meat (primarily </w:t>
      </w:r>
      <w:proofErr w:type="spellStart"/>
      <w:r w:rsidRPr="00D633FF">
        <w:rPr>
          <w:rFonts w:ascii="Calibri" w:eastAsia="Arial" w:hAnsi="Calibri" w:cs="Calibri"/>
          <w:sz w:val="20"/>
        </w:rPr>
        <w:t>selenomethionine</w:t>
      </w:r>
      <w:proofErr w:type="spellEnd"/>
      <w:r w:rsidRPr="00D633FF">
        <w:rPr>
          <w:rFonts w:ascii="Calibri" w:eastAsia="Arial" w:hAnsi="Calibri" w:cs="Calibri"/>
          <w:sz w:val="20"/>
        </w:rPr>
        <w:t xml:space="preserve">) and Brazil nuts is used effectively by the body </w:t>
      </w:r>
      <w:r w:rsidR="00F41A14" w:rsidRPr="00D633FF">
        <w:rPr>
          <w:rFonts w:ascii="Calibri" w:eastAsia="Arial" w:hAnsi="Calibri" w:cs="Calibri"/>
          <w:noProof/>
          <w:sz w:val="20"/>
        </w:rPr>
        <w:lastRenderedPageBreak/>
        <w:t>(Thomson et al. 2008)</w:t>
      </w:r>
      <w:r w:rsidRPr="00D633FF">
        <w:rPr>
          <w:rFonts w:ascii="Calibri" w:eastAsia="Arial" w:hAnsi="Calibri" w:cs="Calibri"/>
          <w:sz w:val="20"/>
        </w:rPr>
        <w:t xml:space="preserve">. The organic compound γ-glutamyl </w:t>
      </w:r>
      <w:proofErr w:type="spellStart"/>
      <w:r w:rsidRPr="00D633FF">
        <w:rPr>
          <w:rFonts w:ascii="Calibri" w:eastAsia="Arial" w:hAnsi="Calibri" w:cs="Calibri"/>
          <w:sz w:val="20"/>
        </w:rPr>
        <w:t>methylselenocysteine</w:t>
      </w:r>
      <w:proofErr w:type="spellEnd"/>
      <w:r w:rsidRPr="00D633FF">
        <w:rPr>
          <w:rFonts w:ascii="Calibri" w:eastAsia="Arial" w:hAnsi="Calibri" w:cs="Calibri"/>
          <w:sz w:val="20"/>
        </w:rPr>
        <w:t xml:space="preserve">, found in brassica and allium vegetables, is metabolised differently and mainly excreted in breath and urine </w:t>
      </w:r>
      <w:r w:rsidR="00F41A14" w:rsidRPr="00D633FF">
        <w:rPr>
          <w:rFonts w:ascii="Calibri" w:eastAsia="Arial" w:hAnsi="Calibri" w:cs="Calibri"/>
          <w:noProof/>
          <w:sz w:val="20"/>
        </w:rPr>
        <w:t>(Rayman et al. 2008)</w:t>
      </w:r>
      <w:r w:rsidRPr="00D633FF">
        <w:rPr>
          <w:rFonts w:ascii="Calibri" w:eastAsia="Arial" w:hAnsi="Calibri" w:cs="Calibri"/>
          <w:sz w:val="20"/>
        </w:rPr>
        <w:t>.</w:t>
      </w:r>
    </w:p>
    <w:p w14:paraId="744C55F2" w14:textId="6B8E518E" w:rsidR="005C5475" w:rsidRPr="00D633FF" w:rsidRDefault="005C5475" w:rsidP="005C5475">
      <w:pPr>
        <w:spacing w:line="276" w:lineRule="auto"/>
        <w:rPr>
          <w:rFonts w:ascii="Calibri" w:eastAsia="Arial" w:hAnsi="Calibri" w:cs="Calibri"/>
          <w:sz w:val="20"/>
        </w:rPr>
      </w:pPr>
      <w:r w:rsidRPr="00D633FF">
        <w:rPr>
          <w:rFonts w:ascii="Calibri" w:eastAsia="Arial" w:hAnsi="Calibri" w:cs="Calibri"/>
          <w:sz w:val="20"/>
        </w:rPr>
        <w:t>Although there is no evidence that current levels of selenium intake in Australia or New Zealand are associated with any health problems in the general population, habitual consumption of Brazil nuts (due to their high concentration of selenium) or excess consumption of selenium containing supplements could lead to excess in some individuals.</w:t>
      </w:r>
    </w:p>
    <w:p w14:paraId="2F8A2BF0" w14:textId="77777777" w:rsidR="005C5475" w:rsidRPr="00D633FF" w:rsidRDefault="005C5475" w:rsidP="005C5475">
      <w:pPr>
        <w:keepNext/>
        <w:keepLines/>
        <w:spacing w:line="276" w:lineRule="auto"/>
        <w:outlineLvl w:val="3"/>
        <w:rPr>
          <w:rFonts w:ascii="Calibri" w:eastAsia="SimHei" w:hAnsi="Calibri" w:cs="Calibri"/>
          <w:color w:val="09002E"/>
          <w:sz w:val="24"/>
          <w:szCs w:val="24"/>
        </w:rPr>
      </w:pPr>
      <w:r w:rsidRPr="00D633FF">
        <w:rPr>
          <w:rFonts w:ascii="Calibri" w:eastAsia="SimHei" w:hAnsi="Calibri" w:cs="Calibri"/>
          <w:color w:val="09002E"/>
          <w:sz w:val="24"/>
          <w:szCs w:val="24"/>
        </w:rPr>
        <w:t>Health effects of excess</w:t>
      </w:r>
    </w:p>
    <w:p w14:paraId="62C455F3" w14:textId="69F73DCF" w:rsidR="005C5475" w:rsidRPr="00D633FF" w:rsidRDefault="005C5475" w:rsidP="005C5475">
      <w:pPr>
        <w:spacing w:line="276" w:lineRule="auto"/>
        <w:rPr>
          <w:rFonts w:ascii="Calibri" w:eastAsia="Arial" w:hAnsi="Calibri" w:cs="Calibri"/>
          <w:sz w:val="20"/>
        </w:rPr>
      </w:pPr>
      <w:r w:rsidRPr="00D633FF">
        <w:rPr>
          <w:rFonts w:ascii="Calibri" w:eastAsia="Arial" w:hAnsi="Calibri" w:cs="Calibri"/>
          <w:sz w:val="20"/>
        </w:rPr>
        <w:t xml:space="preserve">Acute selenium poisoning (acute selenosis) presents with symptoms such as hypotension, tachycardia, nausea, vomiting, diarrhoea, abdominal pain, and pulmonary oedema. Neurological symptoms can include tremors, muscle spasms, restlessness, confusion, delirium, and even coma </w:t>
      </w:r>
      <w:r w:rsidR="00F41A14" w:rsidRPr="00D633FF">
        <w:rPr>
          <w:rFonts w:ascii="Calibri" w:eastAsia="Arial" w:hAnsi="Calibri" w:cs="Calibri"/>
          <w:noProof/>
          <w:sz w:val="20"/>
        </w:rPr>
        <w:t>(Fairweather-Tait &amp; Collings 2010; Nuttall 2006)</w:t>
      </w:r>
      <w:r w:rsidRPr="00D633FF">
        <w:rPr>
          <w:rFonts w:ascii="Calibri" w:eastAsia="Arial" w:hAnsi="Calibri" w:cs="Calibri"/>
          <w:sz w:val="20"/>
        </w:rPr>
        <w:t>.</w:t>
      </w:r>
    </w:p>
    <w:p w14:paraId="21223B39" w14:textId="258BC5FB" w:rsidR="005C5475" w:rsidRPr="00D633FF" w:rsidRDefault="005C5475" w:rsidP="005C5475">
      <w:pPr>
        <w:spacing w:line="276" w:lineRule="auto"/>
        <w:rPr>
          <w:rFonts w:ascii="Calibri" w:eastAsia="Arial" w:hAnsi="Calibri" w:cs="Calibri"/>
          <w:sz w:val="20"/>
        </w:rPr>
      </w:pPr>
      <w:r w:rsidRPr="00D633FF">
        <w:rPr>
          <w:rFonts w:ascii="Calibri" w:eastAsia="Arial" w:hAnsi="Calibri" w:cs="Calibri"/>
          <w:sz w:val="20"/>
        </w:rPr>
        <w:t xml:space="preserve">The most common signs of chronic selenosis include brittle, thickened nails with spots and streaks, brittle hair, and alopecia. Other symptoms include tooth discoloration and decay, a garlic odour on the breath, skin lesions, and neurological issues such as fatigue, weakness, peripheral paraesthesia, hyperreflexia, pain in the extremities, unsteady gait, paralysis, and decreased cognitive function </w:t>
      </w:r>
      <w:r w:rsidR="00F41A14" w:rsidRPr="00D633FF">
        <w:rPr>
          <w:rFonts w:ascii="Calibri" w:eastAsia="Arial" w:hAnsi="Calibri" w:cs="Calibri"/>
          <w:noProof/>
          <w:sz w:val="20"/>
        </w:rPr>
        <w:t xml:space="preserve">(Fairweather-Tait &amp; Collings 2010; </w:t>
      </w:r>
      <w:r w:rsidR="006D51C5" w:rsidRPr="00D633FF">
        <w:rPr>
          <w:rFonts w:ascii="Calibri" w:eastAsia="Arial" w:hAnsi="Calibri" w:cs="Calibri"/>
          <w:noProof/>
          <w:sz w:val="20"/>
        </w:rPr>
        <w:t>NHMRC</w:t>
      </w:r>
      <w:r w:rsidR="00F41A14" w:rsidRPr="00D633FF">
        <w:rPr>
          <w:rFonts w:ascii="Calibri" w:eastAsia="Arial" w:hAnsi="Calibri" w:cs="Calibri"/>
          <w:noProof/>
          <w:sz w:val="20"/>
        </w:rPr>
        <w:t xml:space="preserve"> 2006; Nuttall 2006; Rayman et al. 2008)</w:t>
      </w:r>
      <w:r w:rsidRPr="00D633FF">
        <w:rPr>
          <w:rFonts w:ascii="Calibri" w:eastAsia="Arial" w:hAnsi="Calibri" w:cs="Calibri"/>
          <w:sz w:val="20"/>
        </w:rPr>
        <w:t>.</w:t>
      </w:r>
    </w:p>
    <w:p w14:paraId="3946BB6B" w14:textId="77777777" w:rsidR="005C5475" w:rsidRPr="00D633FF" w:rsidRDefault="005C5475" w:rsidP="005C5475">
      <w:pPr>
        <w:spacing w:line="276" w:lineRule="auto"/>
        <w:rPr>
          <w:rFonts w:ascii="Calibri" w:eastAsia="Times New Roman" w:hAnsi="Calibri" w:cs="Calibri"/>
          <w:sz w:val="20"/>
          <w:szCs w:val="20"/>
        </w:rPr>
      </w:pPr>
      <w:r w:rsidRPr="00D633FF">
        <w:rPr>
          <w:rFonts w:ascii="Calibri" w:eastAsia="Times New Roman" w:hAnsi="Calibri" w:cs="Calibri"/>
          <w:sz w:val="20"/>
          <w:szCs w:val="20"/>
        </w:rPr>
        <w:t>While several population groups are at greater risk of suboptimal selenium status (i.e. during pregnancy, cigarette smokers, people living in regions with low soil selenium levels or with inflammatory conditions) the groups that may be at greater risk of excess selenium consumption or the associated health effects are regular consumers of Brazil nuts, and consumers of selenium containing supplements.</w:t>
      </w:r>
    </w:p>
    <w:p w14:paraId="6990DD2C" w14:textId="77777777" w:rsidR="005C5475" w:rsidRPr="00D633FF" w:rsidRDefault="005C5475" w:rsidP="005C5475">
      <w:pPr>
        <w:keepNext/>
        <w:keepLines/>
        <w:spacing w:line="276" w:lineRule="auto"/>
        <w:outlineLvl w:val="3"/>
        <w:rPr>
          <w:rFonts w:ascii="Calibri" w:eastAsia="SimHei" w:hAnsi="Calibri" w:cs="Calibri"/>
          <w:color w:val="09002E"/>
          <w:sz w:val="24"/>
          <w:szCs w:val="24"/>
        </w:rPr>
      </w:pPr>
      <w:r w:rsidRPr="00D633FF">
        <w:rPr>
          <w:rFonts w:ascii="Calibri" w:eastAsia="SimHei" w:hAnsi="Calibri" w:cs="Calibri"/>
          <w:color w:val="09002E"/>
          <w:sz w:val="24"/>
          <w:szCs w:val="24"/>
        </w:rPr>
        <w:t>Criteria for measuring selenium intake and status</w:t>
      </w:r>
    </w:p>
    <w:p w14:paraId="7581D100" w14:textId="12094C66" w:rsidR="005C5475" w:rsidRPr="00D633FF" w:rsidRDefault="005C5475" w:rsidP="005C5475">
      <w:pPr>
        <w:spacing w:line="276" w:lineRule="auto"/>
        <w:rPr>
          <w:rFonts w:ascii="Calibri" w:eastAsia="Times New Roman" w:hAnsi="Calibri" w:cs="Calibri"/>
          <w:sz w:val="20"/>
          <w:szCs w:val="20"/>
        </w:rPr>
      </w:pPr>
      <w:r w:rsidRPr="00D633FF">
        <w:rPr>
          <w:rFonts w:ascii="Calibri" w:eastAsia="Times New Roman" w:hAnsi="Calibri" w:cs="Calibri"/>
          <w:sz w:val="20"/>
          <w:szCs w:val="20"/>
        </w:rPr>
        <w:t xml:space="preserve">There are limitations in the accuracy of dietary selenium intake assessment methods, including concerns about reporting bias (including social desirability bias), variability of selenium content in foods, and the accuracy of food composition data. </w:t>
      </w:r>
      <w:bookmarkStart w:id="99" w:name="_Hlk213258380"/>
      <w:r w:rsidRPr="00D633FF">
        <w:rPr>
          <w:rFonts w:ascii="Calibri" w:eastAsia="Times New Roman" w:hAnsi="Calibri" w:cs="Calibri"/>
          <w:sz w:val="20"/>
          <w:szCs w:val="20"/>
        </w:rPr>
        <w:t xml:space="preserve">It is also difficult to ascertain individual status based on dietary intakes which reflect intakes at a specific point in time and fail to account for selenium stores. Biomarkers </w:t>
      </w:r>
      <w:bookmarkEnd w:id="99"/>
      <w:r w:rsidRPr="00D633FF">
        <w:rPr>
          <w:rFonts w:ascii="Calibri" w:eastAsia="Times New Roman" w:hAnsi="Calibri" w:cs="Calibri"/>
          <w:sz w:val="20"/>
          <w:szCs w:val="20"/>
        </w:rPr>
        <w:t>that are used to measure short-term selenium intake include urinary selenium and plasma selenium levels, while erythrocytes are used to measure medium-term</w:t>
      </w:r>
      <w:r w:rsidRPr="00B62BBE">
        <w:rPr>
          <w:rFonts w:ascii="Calibri" w:eastAsia="Times New Roman" w:hAnsi="Calibri" w:cs="Calibri"/>
          <w:sz w:val="20"/>
          <w:szCs w:val="20"/>
        </w:rPr>
        <w:t xml:space="preserve"> intake</w:t>
      </w:r>
      <w:r w:rsidR="005C3457" w:rsidRPr="00B62BBE">
        <w:rPr>
          <w:rFonts w:ascii="Calibri" w:eastAsia="Times New Roman" w:hAnsi="Calibri" w:cs="Calibri"/>
          <w:sz w:val="20"/>
          <w:szCs w:val="20"/>
        </w:rPr>
        <w:t xml:space="preserve"> (</w:t>
      </w:r>
      <w:r w:rsidR="005C3457" w:rsidRPr="00B62BBE">
        <w:rPr>
          <w:rFonts w:ascii="Calibri" w:hAnsi="Calibri" w:cs="Calibri"/>
          <w:noProof/>
          <w:sz w:val="20"/>
          <w:szCs w:val="20"/>
        </w:rPr>
        <w:t>Combs 2015)</w:t>
      </w:r>
      <w:r w:rsidRPr="00B62BBE">
        <w:rPr>
          <w:rFonts w:ascii="Calibri" w:eastAsia="Times New Roman" w:hAnsi="Calibri" w:cs="Calibri"/>
          <w:sz w:val="20"/>
          <w:szCs w:val="20"/>
        </w:rPr>
        <w:t>. Long-te</w:t>
      </w:r>
      <w:r w:rsidRPr="00D633FF">
        <w:rPr>
          <w:rFonts w:ascii="Calibri" w:eastAsia="Times New Roman" w:hAnsi="Calibri" w:cs="Calibri"/>
          <w:sz w:val="20"/>
          <w:szCs w:val="20"/>
        </w:rPr>
        <w:t xml:space="preserve">rm selenium status can be measured by toenail and hair selenium concentrations. Measurement of </w:t>
      </w:r>
      <w:proofErr w:type="spellStart"/>
      <w:r w:rsidRPr="00D633FF">
        <w:rPr>
          <w:rFonts w:ascii="Calibri" w:eastAsia="Times New Roman" w:hAnsi="Calibri" w:cs="Calibri"/>
          <w:sz w:val="20"/>
          <w:szCs w:val="20"/>
        </w:rPr>
        <w:t>selenoproteins</w:t>
      </w:r>
      <w:proofErr w:type="spellEnd"/>
      <w:r w:rsidRPr="00D633FF">
        <w:rPr>
          <w:rFonts w:ascii="Calibri" w:eastAsia="Times New Roman" w:hAnsi="Calibri" w:cs="Calibri"/>
          <w:sz w:val="20"/>
          <w:szCs w:val="20"/>
        </w:rPr>
        <w:t xml:space="preserve"> (i.e. </w:t>
      </w:r>
      <w:proofErr w:type="spellStart"/>
      <w:r w:rsidRPr="00D633FF">
        <w:rPr>
          <w:rFonts w:ascii="Calibri" w:eastAsia="Times New Roman" w:hAnsi="Calibri" w:cs="Calibri"/>
          <w:sz w:val="20"/>
          <w:szCs w:val="20"/>
        </w:rPr>
        <w:t>GPx</w:t>
      </w:r>
      <w:proofErr w:type="spellEnd"/>
      <w:r w:rsidRPr="00D633FF">
        <w:rPr>
          <w:rFonts w:ascii="Calibri" w:eastAsia="Times New Roman" w:hAnsi="Calibri" w:cs="Calibri"/>
          <w:sz w:val="20"/>
          <w:szCs w:val="20"/>
        </w:rPr>
        <w:t xml:space="preserve"> and selenoprotein P) are useful to assess functional selenium status, but their utility is limited to selenium intakes below 60 – 70</w:t>
      </w:r>
      <w:r w:rsidRPr="00D633FF">
        <w:rPr>
          <w:rFonts w:ascii="Calibri" w:eastAsia="Arial" w:hAnsi="Calibri" w:cs="Calibri"/>
          <w:sz w:val="20"/>
          <w:szCs w:val="20"/>
        </w:rPr>
        <w:t xml:space="preserve"> µg/day.</w:t>
      </w:r>
    </w:p>
    <w:p w14:paraId="103BDC0C" w14:textId="77777777" w:rsidR="005C5475" w:rsidRPr="00D633FF" w:rsidRDefault="005C5475" w:rsidP="005C5475">
      <w:pPr>
        <w:spacing w:line="276" w:lineRule="auto"/>
        <w:rPr>
          <w:rFonts w:ascii="Calibri" w:eastAsia="Times New Roman" w:hAnsi="Calibri" w:cs="Calibri"/>
          <w:sz w:val="20"/>
          <w:szCs w:val="20"/>
          <w:highlight w:val="yellow"/>
        </w:rPr>
      </w:pPr>
      <w:r w:rsidRPr="00D633FF">
        <w:rPr>
          <w:rFonts w:ascii="Calibri" w:eastAsia="Times New Roman" w:hAnsi="Calibri" w:cs="Calibri"/>
          <w:sz w:val="20"/>
          <w:szCs w:val="20"/>
        </w:rPr>
        <w:t>A</w:t>
      </w:r>
      <w:r w:rsidRPr="00D633FF">
        <w:rPr>
          <w:rFonts w:ascii="Calibri" w:eastAsia="Arial" w:hAnsi="Calibri" w:cs="Calibri"/>
          <w:sz w:val="20"/>
          <w:szCs w:val="20"/>
        </w:rPr>
        <w:t>ll selenium biomarkers are affected by various physiological and lifestyle factors, including age, sex, disease status, inflammation and smoking.</w:t>
      </w:r>
      <w:r w:rsidRPr="00D633FF">
        <w:rPr>
          <w:rFonts w:ascii="Calibri" w:eastAsia="Times New Roman" w:hAnsi="Calibri" w:cs="Calibri"/>
          <w:sz w:val="20"/>
          <w:szCs w:val="20"/>
          <w:highlight w:val="yellow"/>
        </w:rPr>
        <w:t xml:space="preserve"> </w:t>
      </w:r>
    </w:p>
    <w:p w14:paraId="63757353" w14:textId="77777777" w:rsidR="005C5475" w:rsidRPr="00D633FF" w:rsidRDefault="005C5475" w:rsidP="005C5475">
      <w:pPr>
        <w:spacing w:line="276" w:lineRule="auto"/>
        <w:rPr>
          <w:rFonts w:ascii="Calibri" w:eastAsia="Times New Roman" w:hAnsi="Calibri" w:cs="Calibri"/>
          <w:sz w:val="20"/>
          <w:szCs w:val="20"/>
        </w:rPr>
      </w:pPr>
      <w:r w:rsidRPr="00D633FF">
        <w:rPr>
          <w:rFonts w:ascii="Calibri" w:eastAsia="Times New Roman" w:hAnsi="Calibri" w:cs="Calibri"/>
          <w:sz w:val="20"/>
          <w:szCs w:val="20"/>
        </w:rPr>
        <w:t>Comparison of intake data between Australia, New Zealand and EFSA should be interpreted with caution as intake values are derived from different surveys, different food composition tables and databases, represent different years, and are reported for different age groups. Furthermore, intake estimates from Australia included food and supplements, while New Zealand and EFSA presented intakes from food only.</w:t>
      </w:r>
    </w:p>
    <w:p w14:paraId="2BD6357C" w14:textId="77777777" w:rsidR="005C5475" w:rsidRPr="00D633FF" w:rsidRDefault="005C5475" w:rsidP="005C5475">
      <w:pPr>
        <w:spacing w:line="276" w:lineRule="auto"/>
        <w:rPr>
          <w:rFonts w:ascii="Calibri" w:eastAsia="Times New Roman" w:hAnsi="Calibri" w:cs="Calibri"/>
          <w:sz w:val="20"/>
          <w:szCs w:val="20"/>
        </w:rPr>
      </w:pPr>
    </w:p>
    <w:p w14:paraId="53CE92F6" w14:textId="77777777" w:rsidR="005C5475" w:rsidRPr="00D633FF" w:rsidRDefault="005C5475" w:rsidP="005C5475">
      <w:pPr>
        <w:rPr>
          <w:rFonts w:ascii="Calibri" w:eastAsia="SimHei" w:hAnsi="Calibri" w:cs="Calibri"/>
          <w:color w:val="09002E"/>
          <w:sz w:val="28"/>
          <w:szCs w:val="28"/>
          <w:highlight w:val="lightGray"/>
        </w:rPr>
      </w:pPr>
      <w:r w:rsidRPr="00D633FF">
        <w:rPr>
          <w:rFonts w:ascii="Calibri" w:eastAsia="Arial" w:hAnsi="Calibri" w:cs="Calibri"/>
          <w:sz w:val="20"/>
          <w:highlight w:val="lightGray"/>
        </w:rPr>
        <w:br w:type="page"/>
      </w:r>
    </w:p>
    <w:p w14:paraId="36E8DB0F" w14:textId="77777777" w:rsidR="005C5475" w:rsidRPr="00D633FF" w:rsidRDefault="005C5475" w:rsidP="005C5475">
      <w:pPr>
        <w:keepNext/>
        <w:keepLines/>
        <w:pBdr>
          <w:bottom w:val="single" w:sz="4" w:space="12" w:color="CCCCCF"/>
        </w:pBdr>
        <w:spacing w:before="360" w:after="120" w:line="420" w:lineRule="atLeast"/>
        <w:contextualSpacing/>
        <w:outlineLvl w:val="1"/>
        <w:rPr>
          <w:rFonts w:ascii="Calibri" w:eastAsia="SimHei" w:hAnsi="Calibri" w:cs="Calibri"/>
          <w:color w:val="09002E"/>
          <w:kern w:val="0"/>
          <w:sz w:val="36"/>
          <w:szCs w:val="32"/>
        </w:rPr>
      </w:pPr>
      <w:bookmarkStart w:id="100" w:name="_Toc218527999"/>
      <w:r w:rsidRPr="00D633FF">
        <w:rPr>
          <w:rFonts w:ascii="Calibri" w:eastAsia="SimHei" w:hAnsi="Calibri" w:cs="Calibri"/>
          <w:color w:val="09002E"/>
          <w:kern w:val="0"/>
          <w:sz w:val="36"/>
          <w:szCs w:val="32"/>
        </w:rPr>
        <w:lastRenderedPageBreak/>
        <w:t>Evidence to decision tables – selenium UL</w:t>
      </w:r>
      <w:bookmarkEnd w:id="100"/>
    </w:p>
    <w:p w14:paraId="1E289350" w14:textId="77777777" w:rsidR="005C5475" w:rsidRPr="00D633FF" w:rsidRDefault="005C5475" w:rsidP="005C5475">
      <w:pPr>
        <w:keepNext/>
        <w:keepLines/>
        <w:spacing w:before="240" w:after="120"/>
        <w:outlineLvl w:val="2"/>
        <w:rPr>
          <w:rFonts w:ascii="Calibri" w:eastAsia="SimHei" w:hAnsi="Calibri" w:cs="Calibri"/>
          <w:color w:val="09002E"/>
          <w:sz w:val="28"/>
          <w:szCs w:val="28"/>
        </w:rPr>
      </w:pPr>
      <w:bookmarkStart w:id="101" w:name="_Toc218528000"/>
      <w:r w:rsidRPr="00D633FF">
        <w:rPr>
          <w:rFonts w:ascii="Calibri" w:eastAsia="SimHei" w:hAnsi="Calibri" w:cs="Calibri"/>
          <w:color w:val="09002E"/>
          <w:sz w:val="28"/>
          <w:szCs w:val="28"/>
        </w:rPr>
        <w:t>Adults</w:t>
      </w:r>
      <w:bookmarkEnd w:id="101"/>
      <w:r w:rsidRPr="00D633FF">
        <w:rPr>
          <w:rFonts w:ascii="Calibri" w:eastAsia="SimHei" w:hAnsi="Calibri" w:cs="Calibri"/>
          <w:color w:val="09002E"/>
          <w:sz w:val="28"/>
          <w:szCs w:val="28"/>
        </w:rPr>
        <w:t xml:space="preserve"> </w:t>
      </w:r>
    </w:p>
    <w:tbl>
      <w:tblPr>
        <w:tblStyle w:val="DefaultTable12"/>
        <w:tblW w:w="521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4252"/>
        <w:gridCol w:w="1276"/>
        <w:gridCol w:w="425"/>
        <w:gridCol w:w="5954"/>
      </w:tblGrid>
      <w:tr w:rsidR="005C5475" w:rsidRPr="00D633FF" w14:paraId="6E476C5F" w14:textId="77777777" w:rsidTr="0029777B">
        <w:trPr>
          <w:cnfStyle w:val="100000000000" w:firstRow="1" w:lastRow="0" w:firstColumn="0" w:lastColumn="0" w:oddVBand="0" w:evenVBand="0" w:oddHBand="0"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127" w:type="dxa"/>
            <w:hideMark/>
          </w:tcPr>
          <w:p w14:paraId="15A814C5" w14:textId="77777777" w:rsidR="005C5475" w:rsidRPr="00D633FF" w:rsidRDefault="005C5475" w:rsidP="00866543">
            <w:pPr>
              <w:spacing w:line="276" w:lineRule="auto"/>
              <w:ind w:left="284"/>
              <w:rPr>
                <w:rFonts w:ascii="Calibri" w:eastAsia="Times New Roman" w:hAnsi="Calibri" w:cs="Calibri"/>
              </w:rPr>
            </w:pPr>
          </w:p>
        </w:tc>
        <w:tc>
          <w:tcPr>
            <w:tcW w:w="5953" w:type="dxa"/>
            <w:gridSpan w:val="3"/>
          </w:tcPr>
          <w:p w14:paraId="6C317F96" w14:textId="77777777" w:rsidR="005C5475" w:rsidRPr="00D633FF" w:rsidRDefault="005C5475" w:rsidP="00866543">
            <w:pPr>
              <w:spacing w:line="276" w:lineRule="auto"/>
              <w:ind w:left="284"/>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u w:val="single"/>
              </w:rPr>
              <w:t>OPTION 1</w:t>
            </w:r>
            <w:r w:rsidRPr="00D633FF">
              <w:rPr>
                <w:rFonts w:ascii="Calibri" w:eastAsia="Times New Roman" w:hAnsi="Calibri" w:cs="Calibri"/>
              </w:rPr>
              <w:t>:</w:t>
            </w:r>
          </w:p>
          <w:p w14:paraId="41F89C45" w14:textId="77777777" w:rsidR="005C5475" w:rsidRPr="00D633FF" w:rsidRDefault="005C5475" w:rsidP="001C55BC">
            <w:pPr>
              <w:spacing w:line="276" w:lineRule="auto"/>
              <w:ind w:left="-6"/>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val="en-US" w:eastAsia="en-AU"/>
              </w:rPr>
            </w:pPr>
            <w:r w:rsidRPr="00D633FF">
              <w:rPr>
                <w:rFonts w:ascii="Calibri" w:eastAsia="Times New Roman" w:hAnsi="Calibri" w:cs="Calibri"/>
                <w:i/>
                <w:iCs/>
                <w:lang w:val="en-US" w:eastAsia="en-AU"/>
              </w:rPr>
              <w:t>Retain</w:t>
            </w:r>
            <w:r w:rsidRPr="00D633FF">
              <w:rPr>
                <w:rFonts w:ascii="Calibri" w:eastAsia="Times New Roman" w:hAnsi="Calibri" w:cs="Calibri"/>
                <w:lang w:val="en-US" w:eastAsia="en-AU"/>
              </w:rPr>
              <w:t xml:space="preserve"> the current UL for adults</w:t>
            </w:r>
          </w:p>
        </w:tc>
        <w:tc>
          <w:tcPr>
            <w:tcW w:w="5954" w:type="dxa"/>
          </w:tcPr>
          <w:p w14:paraId="798FE9CA" w14:textId="77777777" w:rsidR="005C5475" w:rsidRPr="00D633FF" w:rsidRDefault="005C5475" w:rsidP="00866543">
            <w:pPr>
              <w:spacing w:line="276" w:lineRule="auto"/>
              <w:ind w:left="284"/>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u w:val="single"/>
              </w:rPr>
              <w:t>OPTION 2</w:t>
            </w:r>
            <w:r w:rsidRPr="00D633FF">
              <w:rPr>
                <w:rFonts w:ascii="Calibri" w:eastAsia="Times New Roman" w:hAnsi="Calibri" w:cs="Calibri"/>
              </w:rPr>
              <w:t>:</w:t>
            </w:r>
          </w:p>
          <w:p w14:paraId="2108EBB6" w14:textId="77777777" w:rsidR="005C5475" w:rsidRPr="00D633FF" w:rsidRDefault="005C5475" w:rsidP="001C55BC">
            <w:pPr>
              <w:spacing w:line="276"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i/>
                <w:iCs/>
                <w:lang w:val="en-US" w:eastAsia="en-AU"/>
              </w:rPr>
              <w:t>Adapt</w:t>
            </w:r>
            <w:r w:rsidRPr="00D633FF">
              <w:rPr>
                <w:rFonts w:ascii="Calibri" w:eastAsia="Times New Roman" w:hAnsi="Calibri" w:cs="Calibri"/>
                <w:lang w:val="en-US" w:eastAsia="en-AU"/>
              </w:rPr>
              <w:t xml:space="preserve"> EFSAs 2023 UL for adults to the Australian and New Zealand context</w:t>
            </w:r>
          </w:p>
        </w:tc>
      </w:tr>
      <w:tr w:rsidR="005C5475" w:rsidRPr="00D633FF" w14:paraId="133726C4" w14:textId="77777777" w:rsidTr="0029777B">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127" w:type="dxa"/>
          </w:tcPr>
          <w:p w14:paraId="45156EC0" w14:textId="77777777" w:rsidR="005C5475" w:rsidRPr="00D633FF" w:rsidRDefault="005C5475" w:rsidP="00B61AAD">
            <w:pPr>
              <w:spacing w:before="120" w:line="276" w:lineRule="auto"/>
              <w:rPr>
                <w:rFonts w:ascii="Calibri" w:eastAsia="Times New Roman" w:hAnsi="Calibri" w:cs="Calibri"/>
              </w:rPr>
            </w:pPr>
            <w:r w:rsidRPr="00D633FF">
              <w:rPr>
                <w:rFonts w:ascii="Calibri" w:eastAsia="Times New Roman" w:hAnsi="Calibri" w:cs="Calibri"/>
              </w:rPr>
              <w:t>Example recommendation</w:t>
            </w:r>
          </w:p>
        </w:tc>
        <w:tc>
          <w:tcPr>
            <w:tcW w:w="5528" w:type="dxa"/>
            <w:gridSpan w:val="2"/>
          </w:tcPr>
          <w:tbl>
            <w:tblPr>
              <w:tblStyle w:val="GridTable4"/>
              <w:tblW w:w="3938" w:type="pct"/>
              <w:jc w:val="center"/>
              <w:tblLayout w:type="fixed"/>
              <w:tblLook w:val="04A0" w:firstRow="1" w:lastRow="0" w:firstColumn="1" w:lastColumn="0" w:noHBand="0" w:noVBand="1"/>
            </w:tblPr>
            <w:tblGrid>
              <w:gridCol w:w="2088"/>
              <w:gridCol w:w="2088"/>
            </w:tblGrid>
            <w:tr w:rsidR="005C5475" w:rsidRPr="00D633FF" w14:paraId="2EA3B7FD" w14:textId="77777777" w:rsidTr="00A579D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right w:val="single" w:sz="4" w:space="0" w:color="auto"/>
                  </w:tcBorders>
                  <w:shd w:val="clear" w:color="auto" w:fill="000000" w:themeFill="text1"/>
                </w:tcPr>
                <w:p w14:paraId="62468780" w14:textId="77777777" w:rsidR="005C5475" w:rsidRPr="00D633FF" w:rsidRDefault="005C5475" w:rsidP="005A65CE">
                  <w:pPr>
                    <w:spacing w:line="276" w:lineRule="auto"/>
                    <w:jc w:val="center"/>
                    <w:rPr>
                      <w:rFonts w:ascii="Calibri" w:eastAsia="Times New Roman" w:hAnsi="Calibri" w:cs="Calibri"/>
                      <w:color w:val="FFFFFF"/>
                    </w:rPr>
                  </w:pPr>
                  <w:r w:rsidRPr="00D633FF">
                    <w:rPr>
                      <w:rFonts w:ascii="Calibri" w:eastAsia="Times New Roman" w:hAnsi="Calibri" w:cs="Calibri"/>
                      <w:color w:val="FFFFFF"/>
                    </w:rPr>
                    <w:t>Age</w:t>
                  </w:r>
                </w:p>
              </w:tc>
              <w:tc>
                <w:tcPr>
                  <w:tcW w:w="2500" w:type="pct"/>
                  <w:tcBorders>
                    <w:top w:val="single" w:sz="4" w:space="0" w:color="auto"/>
                    <w:left w:val="single" w:sz="4" w:space="0" w:color="auto"/>
                    <w:right w:val="single" w:sz="4" w:space="0" w:color="auto"/>
                  </w:tcBorders>
                  <w:shd w:val="clear" w:color="auto" w:fill="000000" w:themeFill="text1"/>
                </w:tcPr>
                <w:p w14:paraId="46C92BD7" w14:textId="77777777" w:rsidR="005C5475" w:rsidRPr="00D633FF" w:rsidRDefault="005C5475" w:rsidP="005C5475">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rPr>
                  </w:pPr>
                  <w:r w:rsidRPr="00D633FF">
                    <w:rPr>
                      <w:rFonts w:ascii="Calibri" w:eastAsia="Times New Roman" w:hAnsi="Calibri" w:cs="Calibri"/>
                      <w:color w:val="FFFFFF"/>
                    </w:rPr>
                    <w:t>UL (</w:t>
                  </w:r>
                  <w:r w:rsidRPr="00D633FF">
                    <w:rPr>
                      <w:rFonts w:ascii="Calibri" w:eastAsia="Times New Roman" w:hAnsi="Calibri" w:cs="Calibri"/>
                    </w:rPr>
                    <w:t>µg/day)</w:t>
                  </w:r>
                </w:p>
              </w:tc>
            </w:tr>
            <w:tr w:rsidR="005C5475" w:rsidRPr="00D633FF" w14:paraId="07183364" w14:textId="77777777" w:rsidTr="00A579D6">
              <w:trPr>
                <w:jc w:val="center"/>
              </w:trPr>
              <w:tc>
                <w:tcPr>
                  <w:cnfStyle w:val="001000000000" w:firstRow="0" w:lastRow="0" w:firstColumn="1" w:lastColumn="0" w:oddVBand="0" w:evenVBand="0" w:oddHBand="0" w:evenHBand="0" w:firstRowFirstColumn="0" w:firstRowLastColumn="0" w:lastRowFirstColumn="0" w:lastRowLastColumn="0"/>
                  <w:tcW w:w="0" w:type="pct"/>
                  <w:tcBorders>
                    <w:left w:val="single" w:sz="4" w:space="0" w:color="auto"/>
                    <w:bottom w:val="single" w:sz="4" w:space="0" w:color="auto"/>
                  </w:tcBorders>
                </w:tcPr>
                <w:p w14:paraId="59D6396E" w14:textId="77777777" w:rsidR="005C5475" w:rsidRPr="00D633FF" w:rsidRDefault="005C5475" w:rsidP="005C5475">
                  <w:pPr>
                    <w:spacing w:line="276" w:lineRule="auto"/>
                    <w:jc w:val="center"/>
                    <w:rPr>
                      <w:rFonts w:ascii="Calibri" w:eastAsia="Times New Roman" w:hAnsi="Calibri" w:cs="Calibri"/>
                      <w:i/>
                      <w:iCs/>
                    </w:rPr>
                  </w:pPr>
                  <w:r w:rsidRPr="00D633FF">
                    <w:rPr>
                      <w:rFonts w:ascii="Calibri" w:eastAsia="Times New Roman" w:hAnsi="Calibri" w:cs="Calibri"/>
                    </w:rPr>
                    <w:t>18+ years</w:t>
                  </w:r>
                </w:p>
              </w:tc>
              <w:tc>
                <w:tcPr>
                  <w:tcW w:w="0" w:type="pct"/>
                  <w:tcBorders>
                    <w:bottom w:val="single" w:sz="4" w:space="0" w:color="auto"/>
                    <w:right w:val="single" w:sz="4" w:space="0" w:color="auto"/>
                  </w:tcBorders>
                  <w:shd w:val="clear" w:color="auto" w:fill="FFFFFF"/>
                </w:tcPr>
                <w:p w14:paraId="0A66069C" w14:textId="77777777" w:rsidR="005C5475" w:rsidRPr="00D633FF" w:rsidRDefault="005C5475" w:rsidP="005C5475">
                  <w:pPr>
                    <w:tabs>
                      <w:tab w:val="center" w:pos="629"/>
                    </w:tabs>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rPr>
                  </w:pPr>
                  <w:r w:rsidRPr="00D633FF">
                    <w:rPr>
                      <w:rFonts w:ascii="Calibri" w:eastAsia="Times New Roman" w:hAnsi="Calibri" w:cs="Calibri"/>
                    </w:rPr>
                    <w:tab/>
                    <w:t xml:space="preserve">400 </w:t>
                  </w:r>
                </w:p>
              </w:tc>
            </w:tr>
          </w:tbl>
          <w:p w14:paraId="467836F4" w14:textId="77777777" w:rsidR="005C5475" w:rsidRPr="00D633FF" w:rsidRDefault="005C5475" w:rsidP="00496EC3">
            <w:pPr>
              <w:spacing w:line="276" w:lineRule="auto"/>
              <w:ind w:left="284"/>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p>
          <w:p w14:paraId="0CE10E41" w14:textId="77777777" w:rsidR="005C5475" w:rsidRPr="00D633FF" w:rsidRDefault="005C5475" w:rsidP="006134BB">
            <w:pPr>
              <w:spacing w:before="0" w:after="16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UL applies to both sexes, and during pregnancy and lactation.</w:t>
            </w:r>
          </w:p>
          <w:p w14:paraId="30EC7E66" w14:textId="77777777" w:rsidR="005C5475" w:rsidRPr="00D633FF" w:rsidRDefault="005C5475" w:rsidP="00496EC3">
            <w:pPr>
              <w:spacing w:line="276" w:lineRule="auto"/>
              <w:ind w:left="284"/>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rPr>
            </w:pPr>
          </w:p>
        </w:tc>
        <w:tc>
          <w:tcPr>
            <w:tcW w:w="6379" w:type="dxa"/>
            <w:gridSpan w:val="2"/>
          </w:tcPr>
          <w:tbl>
            <w:tblPr>
              <w:tblStyle w:val="GridTable4"/>
              <w:tblW w:w="3941" w:type="pct"/>
              <w:jc w:val="center"/>
              <w:tblLayout w:type="fixed"/>
              <w:tblLook w:val="04A0" w:firstRow="1" w:lastRow="0" w:firstColumn="1" w:lastColumn="0" w:noHBand="0" w:noVBand="1"/>
            </w:tblPr>
            <w:tblGrid>
              <w:gridCol w:w="2424"/>
              <w:gridCol w:w="2426"/>
            </w:tblGrid>
            <w:tr w:rsidR="005C5475" w:rsidRPr="00D633FF" w14:paraId="01B67F9C" w14:textId="77777777" w:rsidTr="00A579D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9" w:type="pct"/>
                  <w:tcBorders>
                    <w:top w:val="single" w:sz="4" w:space="0" w:color="auto"/>
                    <w:left w:val="single" w:sz="4" w:space="0" w:color="auto"/>
                    <w:right w:val="single" w:sz="4" w:space="0" w:color="auto"/>
                  </w:tcBorders>
                  <w:shd w:val="clear" w:color="auto" w:fill="000000" w:themeFill="text1"/>
                </w:tcPr>
                <w:p w14:paraId="7BB9DE07" w14:textId="77777777" w:rsidR="005C5475" w:rsidRPr="00D633FF" w:rsidRDefault="005C5475" w:rsidP="005C5475">
                  <w:pPr>
                    <w:spacing w:line="276" w:lineRule="auto"/>
                    <w:jc w:val="center"/>
                    <w:rPr>
                      <w:rFonts w:ascii="Calibri" w:eastAsia="Times New Roman" w:hAnsi="Calibri" w:cs="Calibri"/>
                      <w:color w:val="FFFFFF"/>
                    </w:rPr>
                  </w:pPr>
                  <w:r w:rsidRPr="00D633FF">
                    <w:rPr>
                      <w:rFonts w:ascii="Calibri" w:eastAsia="Times New Roman" w:hAnsi="Calibri" w:cs="Calibri"/>
                      <w:sz w:val="20"/>
                      <w:szCs w:val="20"/>
                    </w:rPr>
                    <w:t xml:space="preserve"> </w:t>
                  </w:r>
                  <w:r w:rsidRPr="00D633FF">
                    <w:rPr>
                      <w:rFonts w:ascii="Calibri" w:eastAsia="Times New Roman" w:hAnsi="Calibri" w:cs="Calibri"/>
                      <w:color w:val="FFFFFF"/>
                    </w:rPr>
                    <w:t>Age</w:t>
                  </w:r>
                </w:p>
              </w:tc>
              <w:tc>
                <w:tcPr>
                  <w:tcW w:w="2501" w:type="pct"/>
                  <w:tcBorders>
                    <w:top w:val="single" w:sz="4" w:space="0" w:color="auto"/>
                    <w:left w:val="single" w:sz="4" w:space="0" w:color="auto"/>
                    <w:right w:val="single" w:sz="4" w:space="0" w:color="auto"/>
                  </w:tcBorders>
                  <w:shd w:val="clear" w:color="auto" w:fill="000000" w:themeFill="text1"/>
                </w:tcPr>
                <w:p w14:paraId="24879D9E" w14:textId="77777777" w:rsidR="005C5475" w:rsidRPr="00D633FF" w:rsidRDefault="005C5475" w:rsidP="005C5475">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rPr>
                  </w:pPr>
                  <w:r w:rsidRPr="00D633FF">
                    <w:rPr>
                      <w:rFonts w:ascii="Calibri" w:eastAsia="Times New Roman" w:hAnsi="Calibri" w:cs="Calibri"/>
                      <w:color w:val="FFFFFF"/>
                    </w:rPr>
                    <w:t>UL (</w:t>
                  </w:r>
                  <w:r w:rsidRPr="00D633FF">
                    <w:rPr>
                      <w:rFonts w:ascii="Calibri" w:eastAsia="Times New Roman" w:hAnsi="Calibri" w:cs="Calibri"/>
                    </w:rPr>
                    <w:t>µg/day)</w:t>
                  </w:r>
                </w:p>
              </w:tc>
            </w:tr>
            <w:tr w:rsidR="005C5475" w:rsidRPr="00D633FF" w14:paraId="61873EC7" w14:textId="77777777" w:rsidTr="00A579D6">
              <w:trPr>
                <w:jc w:val="center"/>
              </w:trPr>
              <w:tc>
                <w:tcPr>
                  <w:cnfStyle w:val="001000000000" w:firstRow="0" w:lastRow="0" w:firstColumn="1" w:lastColumn="0" w:oddVBand="0" w:evenVBand="0" w:oddHBand="0" w:evenHBand="0" w:firstRowFirstColumn="0" w:firstRowLastColumn="0" w:lastRowFirstColumn="0" w:lastRowLastColumn="0"/>
                  <w:tcW w:w="2499" w:type="pct"/>
                  <w:tcBorders>
                    <w:left w:val="single" w:sz="4" w:space="0" w:color="auto"/>
                    <w:bottom w:val="single" w:sz="4" w:space="0" w:color="auto"/>
                  </w:tcBorders>
                </w:tcPr>
                <w:p w14:paraId="514A228B" w14:textId="77777777" w:rsidR="005C5475" w:rsidRPr="00D633FF" w:rsidRDefault="005C5475" w:rsidP="005C5475">
                  <w:pPr>
                    <w:spacing w:line="276" w:lineRule="auto"/>
                    <w:jc w:val="center"/>
                    <w:rPr>
                      <w:rFonts w:ascii="Calibri" w:eastAsia="Times New Roman" w:hAnsi="Calibri" w:cs="Calibri"/>
                      <w:i/>
                      <w:iCs/>
                    </w:rPr>
                  </w:pPr>
                  <w:r w:rsidRPr="00D633FF">
                    <w:rPr>
                      <w:rFonts w:ascii="Calibri" w:eastAsia="Times New Roman" w:hAnsi="Calibri" w:cs="Calibri"/>
                    </w:rPr>
                    <w:t>18+ years</w:t>
                  </w:r>
                </w:p>
              </w:tc>
              <w:tc>
                <w:tcPr>
                  <w:tcW w:w="2501" w:type="pct"/>
                  <w:tcBorders>
                    <w:bottom w:val="single" w:sz="4" w:space="0" w:color="auto"/>
                    <w:right w:val="single" w:sz="4" w:space="0" w:color="auto"/>
                  </w:tcBorders>
                  <w:shd w:val="clear" w:color="auto" w:fill="FFFFFF"/>
                </w:tcPr>
                <w:p w14:paraId="241C020C" w14:textId="77777777" w:rsidR="005C5475" w:rsidRPr="00D633FF" w:rsidRDefault="005C5475" w:rsidP="005C5475">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rPr>
                  </w:pPr>
                  <w:r w:rsidRPr="00D633FF">
                    <w:rPr>
                      <w:rFonts w:ascii="Calibri" w:eastAsia="Times New Roman" w:hAnsi="Calibri" w:cs="Calibri"/>
                    </w:rPr>
                    <w:t xml:space="preserve">330 </w:t>
                  </w:r>
                </w:p>
              </w:tc>
            </w:tr>
          </w:tbl>
          <w:p w14:paraId="1C804FE2" w14:textId="77777777" w:rsidR="005C5475" w:rsidRPr="00D633FF" w:rsidRDefault="005C5475" w:rsidP="00496EC3">
            <w:pPr>
              <w:spacing w:line="276" w:lineRule="auto"/>
              <w:ind w:left="284"/>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018540AF" w14:textId="77777777" w:rsidR="005C5475" w:rsidRPr="00D633FF" w:rsidRDefault="005C5475" w:rsidP="006134BB">
            <w:pPr>
              <w:spacing w:before="0" w:after="16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 xml:space="preserve">UL applies to both sexes, and during pregnancy and lactation </w:t>
            </w:r>
          </w:p>
          <w:p w14:paraId="700F3A29" w14:textId="77777777" w:rsidR="005C5475" w:rsidRPr="00D633FF" w:rsidRDefault="005C5475" w:rsidP="006134BB">
            <w:pPr>
              <w:spacing w:before="0" w:after="16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r w:rsidRPr="00D633FF">
              <w:rPr>
                <w:rFonts w:ascii="Calibri" w:eastAsia="Times New Roman" w:hAnsi="Calibri" w:cs="Calibri"/>
                <w:sz w:val="20"/>
                <w:szCs w:val="20"/>
              </w:rPr>
              <w:t>Based on the intake data for the Australia (2011-2012) and New Zealand (2008-2009) populations it is unlikely that most of the general adult population will exceed this UL. Those most at risk are regular users of high-dose selenium supplements, and regular consumers of Brazil nuts, due to their high selenium content.</w:t>
            </w:r>
            <w:r w:rsidRPr="00D633FF">
              <w:rPr>
                <w:rFonts w:ascii="Calibri" w:eastAsia="Times New Roman" w:hAnsi="Calibri" w:cs="Calibri"/>
                <w:b/>
                <w:bCs/>
                <w:sz w:val="20"/>
                <w:szCs w:val="20"/>
              </w:rPr>
              <w:t xml:space="preserve"> </w:t>
            </w:r>
          </w:p>
        </w:tc>
      </w:tr>
      <w:tr w:rsidR="005C5475" w:rsidRPr="00D633FF" w14:paraId="2B07E0D3" w14:textId="77777777" w:rsidTr="0029777B">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127" w:type="dxa"/>
          </w:tcPr>
          <w:p w14:paraId="45D6F390" w14:textId="77777777" w:rsidR="005C5475" w:rsidRPr="00D633FF" w:rsidRDefault="005C5475" w:rsidP="00086333">
            <w:pPr>
              <w:spacing w:before="120" w:line="240" w:lineRule="auto"/>
              <w:rPr>
                <w:rFonts w:ascii="Calibri" w:eastAsia="Times New Roman" w:hAnsi="Calibri" w:cs="Calibri"/>
              </w:rPr>
            </w:pPr>
            <w:r w:rsidRPr="00D633FF">
              <w:rPr>
                <w:rFonts w:ascii="Calibri" w:eastAsia="Times New Roman" w:hAnsi="Calibri" w:cs="Calibri"/>
              </w:rPr>
              <w:t>Health evidence profile and supporting information</w:t>
            </w:r>
          </w:p>
        </w:tc>
        <w:tc>
          <w:tcPr>
            <w:tcW w:w="5528" w:type="dxa"/>
            <w:gridSpan w:val="2"/>
          </w:tcPr>
          <w:p w14:paraId="624AA44A" w14:textId="77777777" w:rsidR="005C5475" w:rsidRPr="006921A2" w:rsidRDefault="005C5475" w:rsidP="005A65CE">
            <w:pPr>
              <w:shd w:val="clear" w:color="auto" w:fill="C8E4EF"/>
              <w:spacing w:before="120" w:after="160" w:line="276" w:lineRule="auto"/>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auto"/>
                <w:sz w:val="20"/>
                <w:szCs w:val="20"/>
              </w:rPr>
            </w:pPr>
            <w:r w:rsidRPr="006921A2">
              <w:rPr>
                <w:rFonts w:ascii="Calibri" w:eastAsia="Times New Roman" w:hAnsi="Calibri" w:cs="Calibri"/>
                <w:color w:val="auto"/>
                <w:sz w:val="20"/>
                <w:szCs w:val="20"/>
                <w:lang w:eastAsia="en-AU"/>
              </w:rPr>
              <w:t xml:space="preserve">The 2006 NHMRC selenium ULs were adopted from the 2000 US Institute of Medicine (IOM) ULs. </w:t>
            </w:r>
            <w:r w:rsidRPr="006921A2">
              <w:rPr>
                <w:rFonts w:ascii="Calibri" w:eastAsia="Times New Roman" w:hAnsi="Calibri" w:cs="Calibri"/>
                <w:color w:val="auto"/>
                <w:sz w:val="20"/>
                <w:szCs w:val="20"/>
              </w:rPr>
              <w:t>Based on considerations of causality, relevance, and the quality and completeness of their database, the IOM selected hair and nail brittleness and hair loss as the critical endpoints on which to base their ULs due to the frequency of reporting of these symptoms of chronic selenosis. They considered biochemical markers to be too variable/unreliable except under controlled conditions.</w:t>
            </w:r>
          </w:p>
          <w:p w14:paraId="648DA7F0" w14:textId="37AC7929" w:rsidR="005C5475" w:rsidRPr="00D633FF" w:rsidRDefault="005C5475" w:rsidP="008D15E1">
            <w:pPr>
              <w:numPr>
                <w:ilvl w:val="0"/>
                <w:numId w:val="36"/>
              </w:numPr>
              <w:shd w:val="clear" w:color="auto" w:fill="C8E4EF"/>
              <w:spacing w:before="0" w:after="160" w:line="276" w:lineRule="auto"/>
              <w:ind w:left="0" w:hanging="357"/>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D633FF">
              <w:rPr>
                <w:rFonts w:ascii="Calibri" w:eastAsia="Arial" w:hAnsi="Calibri" w:cs="Calibri"/>
                <w:sz w:val="20"/>
                <w:szCs w:val="20"/>
              </w:rPr>
              <w:t xml:space="preserve">A NOAEL of 850 μg/day was </w:t>
            </w:r>
            <w:r w:rsidR="00622B42" w:rsidRPr="00D633FF">
              <w:rPr>
                <w:rFonts w:ascii="Calibri" w:eastAsia="Arial" w:hAnsi="Calibri" w:cs="Calibri"/>
                <w:sz w:val="20"/>
                <w:szCs w:val="20"/>
              </w:rPr>
              <w:t xml:space="preserve">selected, </w:t>
            </w:r>
            <w:r w:rsidRPr="00D633FF">
              <w:rPr>
                <w:rFonts w:ascii="Calibri" w:eastAsia="Arial" w:hAnsi="Calibri" w:cs="Calibri"/>
                <w:sz w:val="20"/>
                <w:szCs w:val="20"/>
              </w:rPr>
              <w:t xml:space="preserve">based on a cross-sectional study of 349 individuals (age 1–71 years) living in areas with ‘low’, ‘medium’ or ‘high’ soil selenium concentration in China </w:t>
            </w:r>
            <w:r w:rsidR="00F41A14" w:rsidRPr="00D633FF">
              <w:rPr>
                <w:rFonts w:ascii="Calibri" w:eastAsia="Arial" w:hAnsi="Calibri" w:cs="Calibri"/>
                <w:noProof/>
                <w:sz w:val="20"/>
                <w:szCs w:val="20"/>
              </w:rPr>
              <w:t>(Yang et al. 1989)</w:t>
            </w:r>
            <w:r w:rsidRPr="00D633FF">
              <w:rPr>
                <w:rFonts w:ascii="Calibri" w:eastAsia="Arial" w:hAnsi="Calibri" w:cs="Calibri"/>
                <w:sz w:val="20"/>
                <w:szCs w:val="20"/>
              </w:rPr>
              <w:t xml:space="preserve">. A total of 60 cases of selenosis (aged 13–70 years) were identiﬁed. Selenosis was diagnosed by morphological changes in ﬁngernails with or without hair loss or </w:t>
            </w:r>
            <w:r w:rsidRPr="00D633FF">
              <w:rPr>
                <w:rFonts w:ascii="Calibri" w:eastAsia="Arial" w:hAnsi="Calibri" w:cs="Calibri"/>
                <w:sz w:val="20"/>
                <w:szCs w:val="20"/>
              </w:rPr>
              <w:lastRenderedPageBreak/>
              <w:t xml:space="preserve">changes in hair structure. No clinical signs of selenosis were observed among individuals with whole blood selenium concentration &lt;1,000 μg/L, corresponding to selenium intakes of around 850 μg/day selenium (as calculated by the authors). </w:t>
            </w:r>
          </w:p>
          <w:p w14:paraId="29708219" w14:textId="2898F0E3" w:rsidR="005C5475" w:rsidRPr="00D633FF" w:rsidRDefault="005C5475" w:rsidP="008D15E1">
            <w:pPr>
              <w:numPr>
                <w:ilvl w:val="0"/>
                <w:numId w:val="36"/>
              </w:numPr>
              <w:shd w:val="clear" w:color="auto" w:fill="C8E4EF"/>
              <w:spacing w:before="0" w:after="160" w:line="276" w:lineRule="auto"/>
              <w:ind w:left="0" w:hanging="357"/>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auto"/>
                <w:sz w:val="20"/>
                <w:szCs w:val="20"/>
              </w:rPr>
            </w:pPr>
            <w:r w:rsidRPr="00D633FF">
              <w:rPr>
                <w:rFonts w:ascii="Calibri" w:eastAsia="Arial" w:hAnsi="Calibri" w:cs="Calibri"/>
                <w:sz w:val="20"/>
                <w:szCs w:val="20"/>
              </w:rPr>
              <w:t xml:space="preserve">A follow-up study among ﬁve cases with long-persisting clinical symptoms of selenosis found that symptoms disappeared after a change in diet resulting in lower selenium intakes </w:t>
            </w:r>
            <w:r w:rsidR="00F41A14" w:rsidRPr="00D633FF">
              <w:rPr>
                <w:rFonts w:ascii="Calibri" w:eastAsia="Arial" w:hAnsi="Calibri" w:cs="Calibri"/>
                <w:noProof/>
                <w:sz w:val="20"/>
                <w:szCs w:val="20"/>
              </w:rPr>
              <w:t>(Yang and Zhou, 1994, as cited by EFSA, 2023</w:t>
            </w:r>
            <w:r w:rsidR="00F41A14" w:rsidRPr="00D633FF">
              <w:rPr>
                <w:rFonts w:ascii="Calibri" w:eastAsia="Arial" w:hAnsi="Calibri" w:cs="Calibri"/>
                <w:noProof/>
                <w:color w:val="auto"/>
                <w:sz w:val="20"/>
                <w:szCs w:val="20"/>
              </w:rPr>
              <w:t>)</w:t>
            </w:r>
            <w:r w:rsidRPr="00D633FF">
              <w:rPr>
                <w:rFonts w:ascii="Calibri" w:eastAsia="Arial" w:hAnsi="Calibri" w:cs="Calibri"/>
                <w:color w:val="auto"/>
                <w:sz w:val="20"/>
                <w:szCs w:val="20"/>
              </w:rPr>
              <w:t xml:space="preserve">. </w:t>
            </w:r>
            <w:r w:rsidRPr="00D633FF">
              <w:rPr>
                <w:rFonts w:ascii="Calibri" w:eastAsia="Times New Roman" w:hAnsi="Calibri" w:cs="Calibri"/>
                <w:color w:val="auto"/>
                <w:sz w:val="20"/>
                <w:szCs w:val="20"/>
                <w:lang w:eastAsia="en-AU"/>
              </w:rPr>
              <w:t xml:space="preserve">This value was consistent with the findings of a US study </w:t>
            </w:r>
            <w:r w:rsidR="00F41A14" w:rsidRPr="00D633FF">
              <w:rPr>
                <w:rFonts w:ascii="Calibri" w:eastAsia="Times New Roman" w:hAnsi="Calibri" w:cs="Calibri"/>
                <w:noProof/>
                <w:color w:val="auto"/>
                <w:sz w:val="20"/>
                <w:szCs w:val="20"/>
                <w:lang w:eastAsia="en-AU"/>
              </w:rPr>
              <w:t>(Longnecker et al 1991, as cited by IOM, 2000)</w:t>
            </w:r>
            <w:r w:rsidRPr="00D633FF">
              <w:rPr>
                <w:rFonts w:ascii="Calibri" w:eastAsia="Times New Roman" w:hAnsi="Calibri" w:cs="Calibri"/>
                <w:color w:val="auto"/>
                <w:sz w:val="20"/>
                <w:szCs w:val="20"/>
                <w:lang w:eastAsia="en-AU"/>
              </w:rPr>
              <w:t xml:space="preserve">. </w:t>
            </w:r>
          </w:p>
          <w:p w14:paraId="5C3BBFBD" w14:textId="77777777" w:rsidR="005C5475" w:rsidRPr="00D633FF" w:rsidRDefault="005C5475" w:rsidP="008D15E1">
            <w:pPr>
              <w:numPr>
                <w:ilvl w:val="0"/>
                <w:numId w:val="36"/>
              </w:numPr>
              <w:shd w:val="clear" w:color="auto" w:fill="C8E4EF"/>
              <w:spacing w:before="0" w:after="160" w:line="276" w:lineRule="auto"/>
              <w:ind w:left="0" w:hanging="357"/>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 xml:space="preserve">An Uncertainty factor (UF) of 2 was applied to protect sensitive individuals because of gaps in data and incomplete knowledge, bearing in mind that the toxic effect of selenium was thought to be not severe but potentially irreversible. </w:t>
            </w:r>
          </w:p>
          <w:p w14:paraId="7B379A83" w14:textId="77777777" w:rsidR="005C5475" w:rsidRPr="00D633FF" w:rsidRDefault="005C5475" w:rsidP="006134BB">
            <w:pPr>
              <w:spacing w:before="0" w:after="160" w:line="276" w:lineRule="auto"/>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The UL set for adults was used for pregnancy and lactation as there were no data to suggest increased susceptibility during these life stages.</w:t>
            </w:r>
          </w:p>
        </w:tc>
        <w:tc>
          <w:tcPr>
            <w:tcW w:w="6379" w:type="dxa"/>
            <w:gridSpan w:val="2"/>
          </w:tcPr>
          <w:p w14:paraId="1F2F802A" w14:textId="2DB57B00" w:rsidR="005C5475" w:rsidRPr="00D633FF" w:rsidRDefault="005C5475" w:rsidP="005A65CE">
            <w:pPr>
              <w:spacing w:before="120" w:after="160" w:line="276" w:lineRule="auto"/>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lastRenderedPageBreak/>
              <w:t>The evidence underpinning EFSA’s 2023 selenium UL was a single, large RCT (roughly 8,700 per arm) of selenium supplementation (200</w:t>
            </w:r>
            <w:r w:rsidRPr="00D633FF">
              <w:rPr>
                <w:rFonts w:ascii="Calibri" w:eastAsia="Times New Roman" w:hAnsi="Calibri" w:cs="Calibri"/>
                <w:b/>
                <w:bCs/>
                <w:sz w:val="20"/>
                <w:szCs w:val="20"/>
              </w:rPr>
              <w:t xml:space="preserve"> </w:t>
            </w:r>
            <w:r w:rsidRPr="00A67056">
              <w:rPr>
                <w:rFonts w:ascii="Calibri" w:eastAsia="Times New Roman" w:hAnsi="Calibri" w:cs="Calibri"/>
                <w:sz w:val="20"/>
                <w:szCs w:val="20"/>
              </w:rPr>
              <w:t>μg</w:t>
            </w:r>
            <w:r w:rsidRPr="00D633FF">
              <w:rPr>
                <w:rFonts w:ascii="Calibri" w:eastAsia="Times New Roman" w:hAnsi="Calibri" w:cs="Calibri"/>
                <w:sz w:val="20"/>
                <w:szCs w:val="20"/>
              </w:rPr>
              <w:t xml:space="preserve">/day) vs placebo, with a median follow-up of 5.5 years </w:t>
            </w:r>
            <w:r w:rsidR="00F41A14" w:rsidRPr="00D633FF">
              <w:rPr>
                <w:rFonts w:ascii="Calibri" w:eastAsia="Times New Roman" w:hAnsi="Calibri" w:cs="Calibri"/>
                <w:noProof/>
                <w:sz w:val="20"/>
                <w:szCs w:val="20"/>
              </w:rPr>
              <w:t>(Lippman et al. 2009)</w:t>
            </w:r>
            <w:r w:rsidRPr="00D633FF">
              <w:rPr>
                <w:rFonts w:ascii="Calibri" w:eastAsia="Times New Roman" w:hAnsi="Calibri" w:cs="Calibri"/>
                <w:sz w:val="20"/>
                <w:szCs w:val="20"/>
              </w:rPr>
              <w:t xml:space="preserve">. Participants were healthy men aged </w:t>
            </w:r>
            <w:r w:rsidRPr="00D633FF">
              <w:rPr>
                <w:rFonts w:ascii="Calibri" w:eastAsia="Times New Roman" w:hAnsi="Calibri" w:cs="Calibri"/>
                <w:sz w:val="20"/>
                <w:szCs w:val="20"/>
                <w:u w:val="single"/>
              </w:rPr>
              <w:t>&gt;</w:t>
            </w:r>
            <w:r w:rsidRPr="00D633FF">
              <w:rPr>
                <w:rFonts w:ascii="Calibri" w:eastAsia="Times New Roman" w:hAnsi="Calibri" w:cs="Calibri"/>
                <w:sz w:val="20"/>
                <w:szCs w:val="20"/>
              </w:rPr>
              <w:t xml:space="preserve">50 years in the USA. The </w:t>
            </w:r>
            <w:r w:rsidR="001C6138" w:rsidRPr="00D633FF">
              <w:rPr>
                <w:rFonts w:ascii="Calibri" w:eastAsia="Times New Roman" w:hAnsi="Calibri" w:cs="Calibri"/>
                <w:sz w:val="20"/>
                <w:szCs w:val="20"/>
              </w:rPr>
              <w:t xml:space="preserve">study’s </w:t>
            </w:r>
            <w:r w:rsidRPr="00D633FF">
              <w:rPr>
                <w:rFonts w:ascii="Calibri" w:eastAsia="Times New Roman" w:hAnsi="Calibri" w:cs="Calibri"/>
                <w:sz w:val="20"/>
                <w:szCs w:val="20"/>
              </w:rPr>
              <w:t>primary endpoint was prostate cancer</w:t>
            </w:r>
            <w:r w:rsidR="001C6138" w:rsidRPr="00D633FF">
              <w:rPr>
                <w:rFonts w:ascii="Calibri" w:eastAsia="Times New Roman" w:hAnsi="Calibri" w:cs="Calibri"/>
                <w:sz w:val="20"/>
                <w:szCs w:val="20"/>
              </w:rPr>
              <w:t xml:space="preserve">, with adverse </w:t>
            </w:r>
            <w:r w:rsidRPr="00D633FF">
              <w:rPr>
                <w:rFonts w:ascii="Calibri" w:eastAsia="Times New Roman" w:hAnsi="Calibri" w:cs="Calibri"/>
                <w:sz w:val="20"/>
                <w:szCs w:val="20"/>
              </w:rPr>
              <w:t xml:space="preserve">effects </w:t>
            </w:r>
            <w:r w:rsidR="001C6138" w:rsidRPr="00D633FF">
              <w:rPr>
                <w:rFonts w:ascii="Calibri" w:eastAsia="Times New Roman" w:hAnsi="Calibri" w:cs="Calibri"/>
                <w:sz w:val="20"/>
                <w:szCs w:val="20"/>
              </w:rPr>
              <w:t xml:space="preserve">- </w:t>
            </w:r>
            <w:r w:rsidRPr="00D633FF">
              <w:rPr>
                <w:rFonts w:ascii="Calibri" w:eastAsia="Times New Roman" w:hAnsi="Calibri" w:cs="Calibri"/>
                <w:sz w:val="20"/>
                <w:szCs w:val="20"/>
              </w:rPr>
              <w:t xml:space="preserve">including </w:t>
            </w:r>
            <w:r w:rsidR="001C6138" w:rsidRPr="00D633FF">
              <w:rPr>
                <w:rFonts w:ascii="Calibri" w:eastAsia="Times New Roman" w:hAnsi="Calibri" w:cs="Calibri"/>
                <w:sz w:val="20"/>
                <w:szCs w:val="20"/>
              </w:rPr>
              <w:t xml:space="preserve">the critical end point of </w:t>
            </w:r>
            <w:r w:rsidRPr="00D633FF">
              <w:rPr>
                <w:rFonts w:ascii="Calibri" w:eastAsia="Times New Roman" w:hAnsi="Calibri" w:cs="Calibri"/>
                <w:sz w:val="20"/>
                <w:szCs w:val="20"/>
              </w:rPr>
              <w:t>alopecia</w:t>
            </w:r>
            <w:r w:rsidR="001C6138" w:rsidRPr="00D633FF">
              <w:rPr>
                <w:rFonts w:ascii="Calibri" w:eastAsia="Times New Roman" w:hAnsi="Calibri" w:cs="Calibri"/>
                <w:sz w:val="20"/>
                <w:szCs w:val="20"/>
              </w:rPr>
              <w:t xml:space="preserve"> -</w:t>
            </w:r>
            <w:r w:rsidRPr="00D633FF">
              <w:rPr>
                <w:rFonts w:ascii="Calibri" w:eastAsia="Times New Roman" w:hAnsi="Calibri" w:cs="Calibri"/>
                <w:sz w:val="20"/>
                <w:szCs w:val="20"/>
              </w:rPr>
              <w:t xml:space="preserve"> recorded every 6 months. </w:t>
            </w:r>
          </w:p>
          <w:p w14:paraId="7C54865F" w14:textId="77777777" w:rsidR="005C5475" w:rsidRPr="00D633FF" w:rsidRDefault="005C5475" w:rsidP="006134BB">
            <w:pPr>
              <w:spacing w:before="0" w:after="160" w:line="276" w:lineRule="auto"/>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 xml:space="preserve">The study found that at average selenium intakes of 330 μg/day (around 130 μg/day from the background diet and 200 μg/day from supplements), the risk of developing alopecia was increased compared to </w:t>
            </w:r>
            <w:proofErr w:type="spellStart"/>
            <w:r w:rsidRPr="00D633FF">
              <w:rPr>
                <w:rFonts w:ascii="Calibri" w:eastAsia="Times New Roman" w:hAnsi="Calibri" w:cs="Calibri"/>
                <w:sz w:val="20"/>
                <w:szCs w:val="20"/>
              </w:rPr>
              <w:t>unsupplemented</w:t>
            </w:r>
            <w:proofErr w:type="spellEnd"/>
            <w:r w:rsidRPr="00D633FF">
              <w:rPr>
                <w:rFonts w:ascii="Calibri" w:eastAsia="Times New Roman" w:hAnsi="Calibri" w:cs="Calibri"/>
                <w:sz w:val="20"/>
                <w:szCs w:val="20"/>
              </w:rPr>
              <w:t xml:space="preserve"> individuals with similar background selenium intakes. From this finding, EFSA selected a LOAEL of 330 </w:t>
            </w:r>
            <w:r w:rsidRPr="007D7F73">
              <w:rPr>
                <w:rFonts w:ascii="Calibri" w:eastAsia="Times New Roman" w:hAnsi="Calibri" w:cs="Calibri"/>
                <w:sz w:val="20"/>
                <w:szCs w:val="20"/>
              </w:rPr>
              <w:t>μg/</w:t>
            </w:r>
            <w:r w:rsidRPr="00D633FF">
              <w:rPr>
                <w:rFonts w:ascii="Calibri" w:eastAsia="Times New Roman" w:hAnsi="Calibri" w:cs="Calibri"/>
                <w:sz w:val="20"/>
                <w:szCs w:val="20"/>
              </w:rPr>
              <w:t>day as the reference point for the revised selenium UL.</w:t>
            </w:r>
          </w:p>
          <w:p w14:paraId="51B3F6C7" w14:textId="77777777" w:rsidR="005C5475" w:rsidRPr="00D633FF" w:rsidRDefault="005C5475" w:rsidP="006134BB">
            <w:pPr>
              <w:spacing w:before="0" w:after="160" w:line="276" w:lineRule="auto"/>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sz w:val="20"/>
                <w:szCs w:val="20"/>
              </w:rPr>
            </w:pPr>
            <w:r w:rsidRPr="00D633FF">
              <w:rPr>
                <w:rFonts w:ascii="Calibri" w:eastAsia="Times New Roman" w:hAnsi="Calibri" w:cs="Calibri"/>
                <w:sz w:val="20"/>
                <w:szCs w:val="20"/>
              </w:rPr>
              <w:lastRenderedPageBreak/>
              <w:t xml:space="preserve">Alopecia was considered suitable as the critical effect as it was considered a well-established, early observable effect of excess selenium intake. </w:t>
            </w:r>
          </w:p>
          <w:p w14:paraId="5C3289F4" w14:textId="4E372A7F" w:rsidR="005C5475" w:rsidRPr="00D633FF" w:rsidRDefault="005C5475" w:rsidP="006134BB">
            <w:pPr>
              <w:spacing w:before="0" w:after="160" w:line="276" w:lineRule="auto"/>
              <w:cnfStyle w:val="000000010000" w:firstRow="0" w:lastRow="0" w:firstColumn="0" w:lastColumn="0" w:oddVBand="0" w:evenVBand="0" w:oddHBand="0" w:evenHBand="1" w:firstRowFirstColumn="0" w:firstRowLastColumn="0" w:lastRowFirstColumn="0" w:lastRowLastColumn="0"/>
              <w:rPr>
                <w:rFonts w:ascii="Calibri" w:eastAsia="Arial" w:hAnsi="Calibri" w:cs="Calibri"/>
                <w:sz w:val="20"/>
                <w:szCs w:val="20"/>
                <w:highlight w:val="lightGray"/>
              </w:rPr>
            </w:pPr>
            <w:r w:rsidRPr="00D633FF">
              <w:rPr>
                <w:rFonts w:ascii="Calibri" w:eastAsia="Times New Roman" w:hAnsi="Calibri" w:cs="Calibri"/>
                <w:sz w:val="20"/>
                <w:szCs w:val="20"/>
              </w:rPr>
              <w:t xml:space="preserve">EFSA applied a UF of 1.3 to the reference point to account for the use of a LOAEL in place of a NOAEL (but they considered the NOAEL might be close to the LOAEL), and the lack of data in women (however, there is no evidence that women are more sensitive than men to selenium toxicity). The result was rounded to the nearest 5 μg to establish a UL of 255 μg/day for adults (including during pregnancy and lactation). </w:t>
            </w:r>
          </w:p>
          <w:p w14:paraId="75878FC1" w14:textId="14EF84E0" w:rsidR="0024074D" w:rsidRPr="00D633FF" w:rsidRDefault="00E2349E" w:rsidP="006134BB">
            <w:pPr>
              <w:spacing w:before="0" w:after="160" w:line="276" w:lineRule="auto"/>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 xml:space="preserve">To adapt the EFSA UL to </w:t>
            </w:r>
            <w:r w:rsidR="005C5475" w:rsidRPr="00D633FF">
              <w:rPr>
                <w:rFonts w:ascii="Calibri" w:eastAsia="Times New Roman" w:hAnsi="Calibri" w:cs="Calibri"/>
                <w:sz w:val="20"/>
                <w:szCs w:val="20"/>
              </w:rPr>
              <w:t xml:space="preserve">the Australian and New Zealand context, a UF of 1 was applied to the reference point (LOAEL of 330 μg/day), to establish a UL of 330 μg/day for adults. The UF of 1 was a pragmatic decision based on the judgement of Australian and New Zealand experts. This UF was selected </w:t>
            </w:r>
            <w:r w:rsidR="0024074D" w:rsidRPr="00D633FF">
              <w:rPr>
                <w:rFonts w:ascii="Calibri" w:eastAsia="Times New Roman" w:hAnsi="Calibri" w:cs="Calibri"/>
                <w:sz w:val="20"/>
                <w:szCs w:val="20"/>
              </w:rPr>
              <w:t xml:space="preserve">due </w:t>
            </w:r>
            <w:r w:rsidR="001F2D57" w:rsidRPr="00D633FF">
              <w:rPr>
                <w:rFonts w:ascii="Calibri" w:eastAsia="Times New Roman" w:hAnsi="Calibri" w:cs="Calibri"/>
                <w:sz w:val="20"/>
                <w:szCs w:val="20"/>
              </w:rPr>
              <w:t>to</w:t>
            </w:r>
            <w:r w:rsidR="0024074D" w:rsidRPr="00D633FF">
              <w:rPr>
                <w:rFonts w:ascii="Calibri" w:eastAsia="Times New Roman" w:hAnsi="Calibri" w:cs="Calibri"/>
                <w:sz w:val="20"/>
                <w:szCs w:val="20"/>
              </w:rPr>
              <w:t>:</w:t>
            </w:r>
          </w:p>
          <w:p w14:paraId="14FACDFC" w14:textId="0328C444" w:rsidR="0024074D" w:rsidRPr="00D633FF" w:rsidRDefault="00E2349E" w:rsidP="008D15E1">
            <w:pPr>
              <w:pStyle w:val="ListParagraph"/>
              <w:numPr>
                <w:ilvl w:val="0"/>
                <w:numId w:val="50"/>
              </w:numPr>
              <w:spacing w:line="276" w:lineRule="auto"/>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D633FF">
              <w:rPr>
                <w:rFonts w:ascii="Calibri" w:hAnsi="Calibri" w:cs="Calibri"/>
                <w:sz w:val="20"/>
                <w:szCs w:val="20"/>
              </w:rPr>
              <w:t xml:space="preserve">the mild and reversible nature of alopecia as an end point </w:t>
            </w:r>
          </w:p>
          <w:p w14:paraId="79D6D32C" w14:textId="0DCBB20B" w:rsidR="0024074D" w:rsidRPr="00D633FF" w:rsidRDefault="0024074D" w:rsidP="008D15E1">
            <w:pPr>
              <w:pStyle w:val="ListParagraph"/>
              <w:numPr>
                <w:ilvl w:val="0"/>
                <w:numId w:val="50"/>
              </w:numPr>
              <w:spacing w:line="276" w:lineRule="auto"/>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D633FF">
              <w:rPr>
                <w:rFonts w:ascii="Calibri" w:hAnsi="Calibri" w:cs="Calibri"/>
                <w:sz w:val="20"/>
                <w:szCs w:val="20"/>
              </w:rPr>
              <w:t xml:space="preserve">the likelihood that the </w:t>
            </w:r>
            <w:r w:rsidR="001F2D57" w:rsidRPr="00D633FF">
              <w:rPr>
                <w:rFonts w:ascii="Calibri" w:hAnsi="Calibri" w:cs="Calibri"/>
                <w:sz w:val="20"/>
                <w:szCs w:val="20"/>
              </w:rPr>
              <w:t>LOAEL</w:t>
            </w:r>
            <w:r w:rsidRPr="00D633FF">
              <w:rPr>
                <w:rFonts w:ascii="Calibri" w:hAnsi="Calibri" w:cs="Calibri"/>
                <w:sz w:val="20"/>
                <w:szCs w:val="20"/>
              </w:rPr>
              <w:t xml:space="preserve"> was </w:t>
            </w:r>
            <w:r w:rsidR="001F2D57" w:rsidRPr="00D633FF">
              <w:rPr>
                <w:rFonts w:ascii="Calibri" w:hAnsi="Calibri" w:cs="Calibri"/>
                <w:sz w:val="20"/>
                <w:szCs w:val="20"/>
              </w:rPr>
              <w:t>close to the NOAEL</w:t>
            </w:r>
            <w:r w:rsidRPr="00D633FF">
              <w:rPr>
                <w:rFonts w:ascii="Calibri" w:eastAsia="Times New Roman" w:hAnsi="Calibri" w:cs="Calibri"/>
                <w:sz w:val="20"/>
                <w:szCs w:val="20"/>
              </w:rPr>
              <w:t xml:space="preserve"> and</w:t>
            </w:r>
            <w:r w:rsidR="00176810" w:rsidRPr="00D633FF">
              <w:rPr>
                <w:rFonts w:ascii="Calibri" w:eastAsia="Times New Roman" w:hAnsi="Calibri" w:cs="Calibri"/>
                <w:sz w:val="20"/>
                <w:szCs w:val="20"/>
              </w:rPr>
              <w:t xml:space="preserve"> a lack of evidence for adverse effects at intakes below the proposed UL</w:t>
            </w:r>
          </w:p>
          <w:p w14:paraId="2144FF12" w14:textId="2F4EEC37" w:rsidR="00DF1938" w:rsidRPr="00D633FF" w:rsidRDefault="00DF1938" w:rsidP="008D15E1">
            <w:pPr>
              <w:pStyle w:val="ListParagraph"/>
              <w:numPr>
                <w:ilvl w:val="0"/>
                <w:numId w:val="50"/>
              </w:numPr>
              <w:spacing w:line="276" w:lineRule="auto"/>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 xml:space="preserve">the robustness of the evidence-base (particularly in comparison with evidence upon which existing </w:t>
            </w:r>
            <w:r w:rsidR="005C5475" w:rsidRPr="00D633FF">
              <w:rPr>
                <w:rFonts w:ascii="Calibri" w:eastAsia="Times New Roman" w:hAnsi="Calibri" w:cs="Calibri"/>
                <w:sz w:val="20"/>
                <w:szCs w:val="20"/>
              </w:rPr>
              <w:t>UL</w:t>
            </w:r>
            <w:r w:rsidRPr="00D633FF">
              <w:rPr>
                <w:rFonts w:ascii="Calibri" w:eastAsia="Times New Roman" w:hAnsi="Calibri" w:cs="Calibri"/>
                <w:sz w:val="20"/>
                <w:szCs w:val="20"/>
              </w:rPr>
              <w:t xml:space="preserve"> recommendations are based</w:t>
            </w:r>
            <w:r w:rsidR="005C5475" w:rsidRPr="00D633FF">
              <w:rPr>
                <w:rFonts w:ascii="Calibri" w:eastAsia="Times New Roman" w:hAnsi="Calibri" w:cs="Calibri"/>
                <w:sz w:val="20"/>
                <w:szCs w:val="20"/>
              </w:rPr>
              <w:t>)</w:t>
            </w:r>
            <w:r w:rsidRPr="00D633FF">
              <w:rPr>
                <w:rFonts w:ascii="Calibri" w:eastAsia="Times New Roman" w:hAnsi="Calibri" w:cs="Calibri"/>
                <w:sz w:val="20"/>
                <w:szCs w:val="20"/>
              </w:rPr>
              <w:t>.</w:t>
            </w:r>
          </w:p>
          <w:p w14:paraId="4580FE37" w14:textId="7DC5B2BE" w:rsidR="00176810" w:rsidRPr="00D633FF" w:rsidRDefault="00DF1938" w:rsidP="00164546">
            <w:pPr>
              <w:spacing w:before="0" w:after="160" w:line="276" w:lineRule="auto"/>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D633FF">
              <w:rPr>
                <w:rFonts w:ascii="Calibri" w:eastAsia="Times New Roman" w:hAnsi="Calibri" w:cs="Calibri"/>
                <w:sz w:val="20"/>
                <w:szCs w:val="20"/>
              </w:rPr>
              <w:t>Consideration was also given to ensuring</w:t>
            </w:r>
            <w:r w:rsidRPr="00D633FF">
              <w:rPr>
                <w:rFonts w:ascii="Calibri" w:hAnsi="Calibri" w:cs="Calibri"/>
              </w:rPr>
              <w:t xml:space="preserve"> </w:t>
            </w:r>
            <w:r w:rsidRPr="00D633FF">
              <w:rPr>
                <w:rFonts w:ascii="Calibri" w:eastAsia="Times New Roman" w:hAnsi="Calibri" w:cs="Calibri"/>
                <w:sz w:val="20"/>
                <w:szCs w:val="20"/>
              </w:rPr>
              <w:t xml:space="preserve">an adequate buffer between the proposed UL and the EAR and RDI, and usual population intakes in Australia and New Zealand. </w:t>
            </w:r>
          </w:p>
          <w:p w14:paraId="3D2E0F25" w14:textId="77777777" w:rsidR="005C5475" w:rsidRPr="00D633FF" w:rsidRDefault="005C5475" w:rsidP="00164546">
            <w:pPr>
              <w:spacing w:before="0" w:after="160" w:line="276" w:lineRule="auto"/>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sz w:val="20"/>
                <w:szCs w:val="20"/>
              </w:rPr>
            </w:pPr>
            <w:r w:rsidRPr="00D633FF">
              <w:rPr>
                <w:rFonts w:ascii="Calibri" w:eastAsia="Times New Roman" w:hAnsi="Calibri" w:cs="Calibri"/>
                <w:sz w:val="20"/>
                <w:szCs w:val="20"/>
              </w:rPr>
              <w:t xml:space="preserve">A UL of 330 μg/day better aligns with most recent evidence without lowering it to a level where the proportion of the population that exceeds the UL without demonstrating symptoms increases significantly.   </w:t>
            </w:r>
          </w:p>
        </w:tc>
      </w:tr>
      <w:tr w:rsidR="005C5475" w:rsidRPr="00D633FF" w14:paraId="6CAF132F" w14:textId="77777777" w:rsidTr="0029777B">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127" w:type="dxa"/>
          </w:tcPr>
          <w:p w14:paraId="6848C515" w14:textId="77777777" w:rsidR="005C5475" w:rsidRPr="00D633FF" w:rsidRDefault="005C5475" w:rsidP="00086333">
            <w:pPr>
              <w:spacing w:before="120" w:after="160" w:line="240" w:lineRule="auto"/>
              <w:rPr>
                <w:rFonts w:ascii="Calibri" w:eastAsia="Times New Roman" w:hAnsi="Calibri" w:cs="Calibri"/>
              </w:rPr>
            </w:pPr>
            <w:r w:rsidRPr="00D633FF">
              <w:rPr>
                <w:rFonts w:ascii="Calibri" w:eastAsia="Times New Roman" w:hAnsi="Calibri" w:cs="Calibri"/>
              </w:rPr>
              <w:lastRenderedPageBreak/>
              <w:t xml:space="preserve">Selenium exposure in Australia and New Zealand </w:t>
            </w:r>
          </w:p>
          <w:p w14:paraId="4ABDACF1" w14:textId="77777777" w:rsidR="005C5475" w:rsidRPr="00D633FF" w:rsidRDefault="005C5475" w:rsidP="00AC742B">
            <w:pPr>
              <w:spacing w:before="0" w:after="160" w:line="276" w:lineRule="auto"/>
              <w:rPr>
                <w:rFonts w:ascii="Calibri" w:eastAsia="Times New Roman" w:hAnsi="Calibri" w:cs="Calibri"/>
              </w:rPr>
            </w:pPr>
            <w:r w:rsidRPr="00D633FF">
              <w:rPr>
                <w:rFonts w:ascii="Calibri" w:eastAsia="Times New Roman" w:hAnsi="Calibri" w:cs="Calibri"/>
              </w:rPr>
              <w:t xml:space="preserve">General population </w:t>
            </w:r>
          </w:p>
        </w:tc>
        <w:tc>
          <w:tcPr>
            <w:tcW w:w="11907" w:type="dxa"/>
            <w:gridSpan w:val="4"/>
          </w:tcPr>
          <w:p w14:paraId="4A60C18B" w14:textId="7830C41C" w:rsidR="005C5475" w:rsidRPr="00D633FF" w:rsidRDefault="005C5475" w:rsidP="00AC742B">
            <w:pPr>
              <w:spacing w:before="0" w:after="16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 xml:space="preserve">The selenium intake data for adults in Australia (2011-12) and New Zealand (2008-09) are presented in </w:t>
            </w:r>
            <w:r w:rsidRPr="00D633FF">
              <w:rPr>
                <w:rFonts w:ascii="Calibri" w:eastAsia="Times New Roman" w:hAnsi="Calibri" w:cs="Calibri"/>
                <w:sz w:val="20"/>
                <w:szCs w:val="20"/>
              </w:rPr>
              <w:fldChar w:fldCharType="begin" w:fldLock="1"/>
            </w:r>
            <w:r w:rsidRPr="00D633FF">
              <w:rPr>
                <w:rFonts w:ascii="Calibri" w:eastAsia="Times New Roman" w:hAnsi="Calibri" w:cs="Calibri"/>
                <w:sz w:val="20"/>
                <w:szCs w:val="20"/>
              </w:rPr>
              <w:instrText xml:space="preserve"> REF _Ref204265663 \h  \* MERGEFORMAT </w:instrText>
            </w:r>
            <w:r w:rsidRPr="00D633FF">
              <w:rPr>
                <w:rFonts w:ascii="Calibri" w:eastAsia="Times New Roman" w:hAnsi="Calibri" w:cs="Calibri"/>
                <w:sz w:val="20"/>
                <w:szCs w:val="20"/>
              </w:rPr>
            </w:r>
            <w:r w:rsidRPr="00D633FF">
              <w:rPr>
                <w:rFonts w:ascii="Calibri" w:eastAsia="Times New Roman" w:hAnsi="Calibri" w:cs="Calibri"/>
                <w:sz w:val="20"/>
                <w:szCs w:val="20"/>
              </w:rPr>
              <w:fldChar w:fldCharType="separate"/>
            </w:r>
            <w:r w:rsidRPr="00D633FF">
              <w:rPr>
                <w:rFonts w:ascii="Calibri" w:eastAsia="Arial" w:hAnsi="Calibri" w:cs="Calibri"/>
                <w:sz w:val="20"/>
                <w:szCs w:val="20"/>
              </w:rPr>
              <w:t xml:space="preserve">Table </w:t>
            </w:r>
            <w:r w:rsidR="00D6021E">
              <w:rPr>
                <w:rFonts w:ascii="Calibri" w:eastAsia="Arial" w:hAnsi="Calibri" w:cs="Calibri"/>
                <w:noProof/>
                <w:sz w:val="20"/>
                <w:szCs w:val="20"/>
              </w:rPr>
              <w:t>4</w:t>
            </w:r>
            <w:r w:rsidRPr="00D633FF">
              <w:rPr>
                <w:rFonts w:ascii="Calibri" w:eastAsia="Times New Roman" w:hAnsi="Calibri" w:cs="Calibri"/>
                <w:sz w:val="20"/>
                <w:szCs w:val="20"/>
              </w:rPr>
              <w:fldChar w:fldCharType="end"/>
            </w:r>
            <w:r w:rsidRPr="00D633FF">
              <w:rPr>
                <w:rFonts w:ascii="Calibri" w:eastAsia="Times New Roman" w:hAnsi="Calibri" w:cs="Calibri"/>
                <w:sz w:val="20"/>
                <w:szCs w:val="20"/>
              </w:rPr>
              <w:t xml:space="preserve"> and </w:t>
            </w:r>
            <w:r w:rsidRPr="00D633FF">
              <w:rPr>
                <w:rFonts w:ascii="Calibri" w:eastAsia="Times New Roman" w:hAnsi="Calibri" w:cs="Calibri"/>
                <w:sz w:val="20"/>
                <w:szCs w:val="20"/>
              </w:rPr>
              <w:fldChar w:fldCharType="begin" w:fldLock="1"/>
            </w:r>
            <w:r w:rsidRPr="00D633FF">
              <w:rPr>
                <w:rFonts w:ascii="Calibri" w:eastAsia="Times New Roman" w:hAnsi="Calibri" w:cs="Calibri"/>
                <w:sz w:val="20"/>
                <w:szCs w:val="20"/>
              </w:rPr>
              <w:instrText xml:space="preserve"> REF _Ref204265773 \h  \* MERGEFORMAT </w:instrText>
            </w:r>
            <w:r w:rsidRPr="00D633FF">
              <w:rPr>
                <w:rFonts w:ascii="Calibri" w:eastAsia="Times New Roman" w:hAnsi="Calibri" w:cs="Calibri"/>
                <w:sz w:val="20"/>
                <w:szCs w:val="20"/>
              </w:rPr>
            </w:r>
            <w:r w:rsidRPr="00D633FF">
              <w:rPr>
                <w:rFonts w:ascii="Calibri" w:eastAsia="Times New Roman" w:hAnsi="Calibri" w:cs="Calibri"/>
                <w:sz w:val="20"/>
                <w:szCs w:val="20"/>
              </w:rPr>
              <w:fldChar w:fldCharType="separate"/>
            </w:r>
            <w:r w:rsidRPr="00D633FF">
              <w:rPr>
                <w:rFonts w:ascii="Calibri" w:eastAsia="Arial" w:hAnsi="Calibri" w:cs="Calibri"/>
                <w:sz w:val="20"/>
                <w:szCs w:val="20"/>
              </w:rPr>
              <w:t xml:space="preserve">Table </w:t>
            </w:r>
            <w:r w:rsidR="00D6021E">
              <w:rPr>
                <w:rFonts w:ascii="Calibri" w:eastAsia="Arial" w:hAnsi="Calibri" w:cs="Calibri"/>
                <w:noProof/>
                <w:sz w:val="20"/>
                <w:szCs w:val="20"/>
              </w:rPr>
              <w:t>5</w:t>
            </w:r>
            <w:r w:rsidRPr="00D633FF">
              <w:rPr>
                <w:rFonts w:ascii="Calibri" w:eastAsia="Times New Roman" w:hAnsi="Calibri" w:cs="Calibri"/>
                <w:sz w:val="20"/>
                <w:szCs w:val="20"/>
              </w:rPr>
              <w:fldChar w:fldCharType="end"/>
            </w:r>
            <w:r w:rsidRPr="00D633FF">
              <w:rPr>
                <w:rFonts w:ascii="Calibri" w:eastAsia="Times New Roman" w:hAnsi="Calibri" w:cs="Calibri"/>
                <w:sz w:val="20"/>
                <w:szCs w:val="20"/>
              </w:rPr>
              <w:t>.</w:t>
            </w:r>
          </w:p>
          <w:p w14:paraId="7CEDDAFE" w14:textId="541260CA" w:rsidR="005C5475" w:rsidRPr="00D633FF" w:rsidRDefault="005C5475" w:rsidP="00AC742B">
            <w:pPr>
              <w:spacing w:before="0" w:after="16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Cs/>
                <w:sz w:val="20"/>
                <w:szCs w:val="20"/>
                <w:highlight w:val="lightGray"/>
              </w:rPr>
            </w:pPr>
            <w:r w:rsidRPr="00D633FF">
              <w:rPr>
                <w:rFonts w:ascii="Calibri" w:eastAsia="Times New Roman" w:hAnsi="Calibri" w:cs="Calibri"/>
                <w:sz w:val="20"/>
                <w:szCs w:val="20"/>
              </w:rPr>
              <w:t>These data show that 95</w:t>
            </w:r>
            <w:r w:rsidRPr="00D633FF">
              <w:rPr>
                <w:rFonts w:ascii="Calibri" w:eastAsia="Times New Roman" w:hAnsi="Calibri" w:cs="Calibri"/>
                <w:sz w:val="20"/>
                <w:szCs w:val="20"/>
                <w:vertAlign w:val="superscript"/>
              </w:rPr>
              <w:t>th</w:t>
            </w:r>
            <w:r w:rsidRPr="00D633FF">
              <w:rPr>
                <w:rFonts w:ascii="Calibri" w:eastAsia="Times New Roman" w:hAnsi="Calibri" w:cs="Calibri"/>
                <w:sz w:val="20"/>
                <w:szCs w:val="20"/>
              </w:rPr>
              <w:t xml:space="preserve"> percentile selenium intakes from food and </w:t>
            </w:r>
            <w:r w:rsidRPr="00D633FF">
              <w:rPr>
                <w:rFonts w:ascii="Calibri" w:eastAsia="Arial" w:hAnsi="Calibri" w:cs="Calibri"/>
                <w:sz w:val="20"/>
              </w:rPr>
              <w:t>supplements</w:t>
            </w:r>
            <w:r w:rsidRPr="00D633FF">
              <w:rPr>
                <w:rFonts w:ascii="Calibri" w:eastAsia="Times New Roman" w:hAnsi="Calibri" w:cs="Calibri"/>
                <w:sz w:val="20"/>
                <w:szCs w:val="20"/>
              </w:rPr>
              <w:t xml:space="preserve"> in Australia and 90</w:t>
            </w:r>
            <w:r w:rsidRPr="00D633FF">
              <w:rPr>
                <w:rFonts w:ascii="Calibri" w:eastAsia="Times New Roman" w:hAnsi="Calibri" w:cs="Calibri"/>
                <w:sz w:val="20"/>
                <w:szCs w:val="20"/>
                <w:vertAlign w:val="superscript"/>
              </w:rPr>
              <w:t>th</w:t>
            </w:r>
            <w:r w:rsidRPr="00D633FF">
              <w:rPr>
                <w:rFonts w:ascii="Calibri" w:eastAsia="Times New Roman" w:hAnsi="Calibri" w:cs="Calibri"/>
                <w:sz w:val="20"/>
                <w:szCs w:val="20"/>
              </w:rPr>
              <w:t xml:space="preserve"> percentile intakes from food only in New Zealand are lower than the proposed ULs of 400 µg/day (option 1) or 330</w:t>
            </w:r>
            <w:r w:rsidRPr="00D633FF">
              <w:rPr>
                <w:rFonts w:ascii="Calibri" w:eastAsia="Arial" w:hAnsi="Calibri" w:cs="Calibri"/>
                <w:sz w:val="20"/>
                <w:szCs w:val="20"/>
              </w:rPr>
              <w:t xml:space="preserve"> </w:t>
            </w:r>
            <w:r w:rsidRPr="00D633FF">
              <w:rPr>
                <w:rFonts w:ascii="Calibri" w:eastAsia="Times New Roman" w:hAnsi="Calibri" w:cs="Calibri"/>
                <w:sz w:val="20"/>
                <w:szCs w:val="20"/>
              </w:rPr>
              <w:t>µg/day (option 2) for adults across all age groups.</w:t>
            </w:r>
            <w:r w:rsidR="00581D6D" w:rsidRPr="00D633FF">
              <w:rPr>
                <w:rFonts w:ascii="Calibri" w:eastAsia="Times New Roman" w:hAnsi="Calibri" w:cs="Calibri"/>
                <w:sz w:val="20"/>
                <w:szCs w:val="20"/>
              </w:rPr>
              <w:t xml:space="preserve"> Less than 5% of the Australian population exceeded the (2006) UL for selenium (ABS 2011). </w:t>
            </w:r>
            <w:r w:rsidRPr="00D633FF">
              <w:rPr>
                <w:rFonts w:ascii="Calibri" w:eastAsia="Times New Roman" w:hAnsi="Calibri" w:cs="Calibri"/>
                <w:sz w:val="20"/>
                <w:szCs w:val="20"/>
              </w:rPr>
              <w:t>The percentage of the population exceeding the proposed ULs or 90</w:t>
            </w:r>
            <w:r w:rsidRPr="00D633FF">
              <w:rPr>
                <w:rFonts w:ascii="Calibri" w:eastAsia="Times New Roman" w:hAnsi="Calibri" w:cs="Calibri"/>
                <w:sz w:val="20"/>
                <w:szCs w:val="20"/>
                <w:vertAlign w:val="superscript"/>
              </w:rPr>
              <w:t>th</w:t>
            </w:r>
            <w:r w:rsidR="00581D6D" w:rsidRPr="00D633FF">
              <w:rPr>
                <w:rFonts w:ascii="Calibri" w:eastAsia="Times New Roman" w:hAnsi="Calibri" w:cs="Calibri"/>
                <w:sz w:val="20"/>
                <w:szCs w:val="20"/>
                <w:vertAlign w:val="superscript"/>
              </w:rPr>
              <w:t xml:space="preserve"> </w:t>
            </w:r>
            <w:r w:rsidRPr="00D633FF">
              <w:rPr>
                <w:rFonts w:ascii="Calibri" w:eastAsia="Times New Roman" w:hAnsi="Calibri" w:cs="Calibri"/>
                <w:sz w:val="20"/>
                <w:szCs w:val="20"/>
              </w:rPr>
              <w:t xml:space="preserve">percentile </w:t>
            </w:r>
            <w:r w:rsidR="00581D6D" w:rsidRPr="00D633FF">
              <w:rPr>
                <w:rFonts w:ascii="Calibri" w:eastAsia="Times New Roman" w:hAnsi="Calibri" w:cs="Calibri"/>
                <w:sz w:val="20"/>
                <w:szCs w:val="20"/>
              </w:rPr>
              <w:t xml:space="preserve">in New Zealand </w:t>
            </w:r>
            <w:r w:rsidRPr="00D633FF">
              <w:rPr>
                <w:rFonts w:ascii="Calibri" w:eastAsia="Times New Roman" w:hAnsi="Calibri" w:cs="Calibri"/>
                <w:sz w:val="20"/>
                <w:szCs w:val="20"/>
              </w:rPr>
              <w:t>is not available.</w:t>
            </w:r>
          </w:p>
          <w:p w14:paraId="4BF738E2" w14:textId="08E1113C" w:rsidR="005C5475" w:rsidRPr="00D633FF" w:rsidRDefault="005C5475" w:rsidP="00AE2CC5">
            <w:pPr>
              <w:keepNext/>
              <w:spacing w:after="120"/>
              <w:cnfStyle w:val="000000100000" w:firstRow="0" w:lastRow="0" w:firstColumn="0" w:lastColumn="0" w:oddVBand="0" w:evenVBand="0" w:oddHBand="1" w:evenHBand="0" w:firstRowFirstColumn="0" w:firstRowLastColumn="0" w:lastRowFirstColumn="0" w:lastRowLastColumn="0"/>
              <w:rPr>
                <w:rFonts w:ascii="Calibri" w:eastAsia="Arial" w:hAnsi="Calibri" w:cs="Calibri"/>
                <w:iCs/>
                <w:caps/>
                <w:szCs w:val="24"/>
              </w:rPr>
            </w:pPr>
            <w:bookmarkStart w:id="102" w:name="_Ref204265663"/>
            <w:r w:rsidRPr="00D633FF">
              <w:rPr>
                <w:rFonts w:ascii="Calibri" w:eastAsia="Arial" w:hAnsi="Calibri" w:cs="Calibri"/>
                <w:b/>
                <w:iCs/>
                <w:caps/>
                <w:szCs w:val="24"/>
              </w:rPr>
              <w:lastRenderedPageBreak/>
              <w:t>T</w:t>
            </w:r>
            <w:r w:rsidR="0069638C">
              <w:rPr>
                <w:rFonts w:ascii="Calibri" w:eastAsia="Arial" w:hAnsi="Calibri" w:cs="Calibri"/>
                <w:b/>
                <w:iCs/>
                <w:caps/>
                <w:szCs w:val="24"/>
              </w:rPr>
              <w:t>ABLE</w:t>
            </w:r>
            <w:r w:rsidRPr="00D633FF">
              <w:rPr>
                <w:rFonts w:ascii="Calibri" w:eastAsia="Arial" w:hAnsi="Calibri" w:cs="Calibri"/>
                <w:b/>
                <w:iCs/>
                <w:caps/>
                <w:szCs w:val="24"/>
              </w:rPr>
              <w:t xml:space="preserve"> </w:t>
            </w:r>
            <w:r w:rsidRPr="00D633FF">
              <w:rPr>
                <w:rFonts w:ascii="Calibri" w:eastAsia="Arial" w:hAnsi="Calibri" w:cs="Calibri"/>
                <w:b/>
                <w:iCs/>
                <w:caps/>
                <w:szCs w:val="24"/>
              </w:rPr>
              <w:fldChar w:fldCharType="begin"/>
            </w:r>
            <w:r w:rsidRPr="00D633FF">
              <w:rPr>
                <w:rFonts w:ascii="Calibri" w:eastAsia="Arial" w:hAnsi="Calibri" w:cs="Calibri"/>
                <w:b/>
                <w:iCs/>
                <w:caps/>
                <w:szCs w:val="24"/>
              </w:rPr>
              <w:instrText xml:space="preserve"> SEQ Table \* ARABIC </w:instrText>
            </w:r>
            <w:r w:rsidRPr="00D633FF">
              <w:rPr>
                <w:rFonts w:ascii="Calibri" w:eastAsia="Arial" w:hAnsi="Calibri" w:cs="Calibri"/>
                <w:b/>
                <w:iCs/>
                <w:caps/>
                <w:szCs w:val="24"/>
              </w:rPr>
              <w:fldChar w:fldCharType="separate"/>
            </w:r>
            <w:r w:rsidR="00CB6915">
              <w:rPr>
                <w:rFonts w:ascii="Calibri" w:eastAsia="Arial" w:hAnsi="Calibri" w:cs="Calibri"/>
                <w:b/>
                <w:iCs/>
                <w:caps/>
                <w:noProof/>
                <w:szCs w:val="24"/>
              </w:rPr>
              <w:t>17</w:t>
            </w:r>
            <w:r w:rsidRPr="00D633FF">
              <w:rPr>
                <w:rFonts w:ascii="Calibri" w:eastAsia="Arial" w:hAnsi="Calibri" w:cs="Calibri"/>
                <w:b/>
                <w:iCs/>
                <w:caps/>
                <w:szCs w:val="24"/>
              </w:rPr>
              <w:fldChar w:fldCharType="end"/>
            </w:r>
            <w:bookmarkEnd w:id="102"/>
            <w:r w:rsidR="0069638C">
              <w:rPr>
                <w:rFonts w:ascii="Calibri" w:eastAsia="Arial" w:hAnsi="Calibri" w:cs="Calibri"/>
                <w:b/>
                <w:iCs/>
                <w:caps/>
                <w:szCs w:val="24"/>
              </w:rPr>
              <w:t>.</w:t>
            </w:r>
            <w:r w:rsidRPr="00D633FF">
              <w:rPr>
                <w:rFonts w:ascii="Calibri" w:eastAsia="Arial" w:hAnsi="Calibri" w:cs="Calibri"/>
                <w:iCs/>
                <w:caps/>
                <w:szCs w:val="24"/>
              </w:rPr>
              <w:t xml:space="preserve"> </w:t>
            </w:r>
            <w:r w:rsidR="00C371A4">
              <w:rPr>
                <w:rFonts w:ascii="Calibri" w:eastAsia="Arial" w:hAnsi="Calibri" w:cs="Calibri"/>
                <w:b/>
                <w:bCs/>
                <w:iCs/>
                <w:szCs w:val="24"/>
              </w:rPr>
              <w:t>S</w:t>
            </w:r>
            <w:r w:rsidR="00C371A4" w:rsidRPr="00C371A4">
              <w:rPr>
                <w:rFonts w:ascii="Calibri" w:eastAsia="Arial" w:hAnsi="Calibri" w:cs="Calibri"/>
                <w:b/>
                <w:bCs/>
                <w:iCs/>
                <w:szCs w:val="24"/>
              </w:rPr>
              <w:t xml:space="preserve">elenium intake in </w:t>
            </w:r>
            <w:r w:rsidR="00C371A4">
              <w:rPr>
                <w:rFonts w:ascii="Calibri" w:eastAsia="Arial" w:hAnsi="Calibri" w:cs="Calibri"/>
                <w:b/>
                <w:bCs/>
                <w:iCs/>
                <w:szCs w:val="24"/>
              </w:rPr>
              <w:t>A</w:t>
            </w:r>
            <w:r w:rsidR="00C371A4" w:rsidRPr="00C371A4">
              <w:rPr>
                <w:rFonts w:ascii="Calibri" w:eastAsia="Arial" w:hAnsi="Calibri" w:cs="Calibri"/>
                <w:b/>
                <w:bCs/>
                <w:iCs/>
                <w:szCs w:val="24"/>
              </w:rPr>
              <w:t xml:space="preserve">ustralian adults (general population), 2011-12 </w:t>
            </w:r>
            <w:r w:rsidR="00C371A4">
              <w:rPr>
                <w:rFonts w:ascii="Calibri" w:eastAsia="Arial" w:hAnsi="Calibri" w:cs="Calibri"/>
                <w:b/>
                <w:bCs/>
                <w:iCs/>
                <w:szCs w:val="24"/>
              </w:rPr>
              <w:t>A</w:t>
            </w:r>
            <w:r w:rsidR="00C371A4" w:rsidRPr="00C371A4">
              <w:rPr>
                <w:rFonts w:ascii="Calibri" w:eastAsia="Arial" w:hAnsi="Calibri" w:cs="Calibri"/>
                <w:b/>
                <w:bCs/>
                <w:iCs/>
                <w:szCs w:val="24"/>
              </w:rPr>
              <w:t xml:space="preserve">ustralian </w:t>
            </w:r>
            <w:r w:rsidR="00C371A4">
              <w:rPr>
                <w:rFonts w:ascii="Calibri" w:eastAsia="Arial" w:hAnsi="Calibri" w:cs="Calibri"/>
                <w:b/>
                <w:bCs/>
                <w:iCs/>
                <w:szCs w:val="24"/>
              </w:rPr>
              <w:t>H</w:t>
            </w:r>
            <w:r w:rsidR="00C371A4" w:rsidRPr="00C371A4">
              <w:rPr>
                <w:rFonts w:ascii="Calibri" w:eastAsia="Arial" w:hAnsi="Calibri" w:cs="Calibri"/>
                <w:b/>
                <w:bCs/>
                <w:iCs/>
                <w:szCs w:val="24"/>
              </w:rPr>
              <w:t xml:space="preserve">ealth </w:t>
            </w:r>
            <w:r w:rsidR="00C371A4">
              <w:rPr>
                <w:rFonts w:ascii="Calibri" w:eastAsia="Arial" w:hAnsi="Calibri" w:cs="Calibri"/>
                <w:b/>
                <w:bCs/>
                <w:iCs/>
                <w:szCs w:val="24"/>
              </w:rPr>
              <w:t>S</w:t>
            </w:r>
            <w:r w:rsidR="00C371A4" w:rsidRPr="00C371A4">
              <w:rPr>
                <w:rFonts w:ascii="Calibri" w:eastAsia="Arial" w:hAnsi="Calibri" w:cs="Calibri"/>
                <w:b/>
                <w:bCs/>
                <w:iCs/>
                <w:szCs w:val="24"/>
              </w:rPr>
              <w:t>urvey</w:t>
            </w:r>
          </w:p>
          <w:tbl>
            <w:tblPr>
              <w:tblStyle w:val="GridTable4"/>
              <w:tblW w:w="8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6"/>
              <w:gridCol w:w="1574"/>
              <w:gridCol w:w="1701"/>
              <w:gridCol w:w="1701"/>
              <w:gridCol w:w="1843"/>
            </w:tblGrid>
            <w:tr w:rsidR="005C5475" w:rsidRPr="00D633FF" w14:paraId="1CFA916A" w14:textId="77777777" w:rsidTr="007A5EB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6" w:type="dxa"/>
                  <w:tcBorders>
                    <w:bottom w:val="single" w:sz="4" w:space="0" w:color="auto"/>
                  </w:tcBorders>
                  <w:shd w:val="clear" w:color="auto" w:fill="000000" w:themeFill="text1"/>
                  <w:noWrap/>
                </w:tcPr>
                <w:p w14:paraId="664E249E" w14:textId="77777777" w:rsidR="005C5475" w:rsidRPr="00D633FF" w:rsidRDefault="005C5475" w:rsidP="00042A5A">
                  <w:pPr>
                    <w:keepNext/>
                    <w:spacing w:line="276" w:lineRule="auto"/>
                    <w:rPr>
                      <w:rFonts w:ascii="Calibri" w:eastAsia="Times New Roman" w:hAnsi="Calibri" w:cs="Calibri"/>
                      <w:color w:val="FFFFFF"/>
                    </w:rPr>
                  </w:pPr>
                  <w:r w:rsidRPr="00D633FF">
                    <w:rPr>
                      <w:rFonts w:ascii="Calibri" w:eastAsia="Times New Roman" w:hAnsi="Calibri" w:cs="Calibri"/>
                      <w:color w:val="FFFFFF"/>
                    </w:rPr>
                    <w:t>Age groups (years)</w:t>
                  </w:r>
                </w:p>
              </w:tc>
              <w:tc>
                <w:tcPr>
                  <w:tcW w:w="1574" w:type="dxa"/>
                  <w:shd w:val="clear" w:color="auto" w:fill="000000" w:themeFill="text1"/>
                </w:tcPr>
                <w:p w14:paraId="5EDFBE87" w14:textId="77777777" w:rsidR="005C5475" w:rsidRPr="00D633FF" w:rsidRDefault="005C5475" w:rsidP="00042A5A">
                  <w:pPr>
                    <w:keepNext/>
                    <w:spacing w:line="276"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rPr>
                  </w:pPr>
                  <w:r w:rsidRPr="00D633FF">
                    <w:rPr>
                      <w:rFonts w:ascii="Calibri" w:eastAsia="Times New Roman" w:hAnsi="Calibri" w:cs="Calibri"/>
                      <w:color w:val="FFFFFF"/>
                    </w:rPr>
                    <w:t>Sex</w:t>
                  </w:r>
                </w:p>
              </w:tc>
              <w:tc>
                <w:tcPr>
                  <w:tcW w:w="1701" w:type="dxa"/>
                  <w:shd w:val="clear" w:color="auto" w:fill="000000" w:themeFill="text1"/>
                </w:tcPr>
                <w:p w14:paraId="489D27EB" w14:textId="77777777" w:rsidR="005C5475" w:rsidRPr="00D633FF" w:rsidRDefault="005C5475" w:rsidP="005C5475">
                  <w:pPr>
                    <w:keepNex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rPr>
                  </w:pPr>
                  <w:r w:rsidRPr="00D633FF">
                    <w:rPr>
                      <w:rFonts w:ascii="Calibri" w:eastAsia="Times New Roman" w:hAnsi="Calibri" w:cs="Calibri"/>
                      <w:color w:val="FFFFFF"/>
                    </w:rPr>
                    <w:t>Mean Intake (µg/day)</w:t>
                  </w:r>
                </w:p>
              </w:tc>
              <w:tc>
                <w:tcPr>
                  <w:tcW w:w="1701" w:type="dxa"/>
                  <w:shd w:val="clear" w:color="auto" w:fill="000000" w:themeFill="text1"/>
                </w:tcPr>
                <w:p w14:paraId="50114B45" w14:textId="77777777" w:rsidR="005C5475" w:rsidRPr="00D633FF" w:rsidRDefault="005C5475" w:rsidP="005C5475">
                  <w:pPr>
                    <w:keepNext/>
                    <w:spacing w:line="276"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rPr>
                  </w:pPr>
                  <w:r w:rsidRPr="00D633FF">
                    <w:rPr>
                      <w:rFonts w:ascii="Calibri" w:eastAsia="Times New Roman" w:hAnsi="Calibri" w:cs="Calibri"/>
                      <w:color w:val="FFFFFF"/>
                    </w:rPr>
                    <w:t>% less than EAR</w:t>
                  </w:r>
                </w:p>
              </w:tc>
              <w:tc>
                <w:tcPr>
                  <w:tcW w:w="1843" w:type="dxa"/>
                  <w:shd w:val="clear" w:color="auto" w:fill="000000" w:themeFill="text1"/>
                </w:tcPr>
                <w:p w14:paraId="42817B4B" w14:textId="77777777" w:rsidR="005C5475" w:rsidRPr="00D633FF" w:rsidRDefault="005C5475" w:rsidP="005C5475">
                  <w:pPr>
                    <w:keepNext/>
                    <w:spacing w:line="276"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rPr>
                  </w:pPr>
                  <w:r w:rsidRPr="00D633FF">
                    <w:rPr>
                      <w:rFonts w:ascii="Calibri" w:eastAsia="Times New Roman" w:hAnsi="Calibri" w:cs="Calibri"/>
                      <w:color w:val="FFFFFF"/>
                    </w:rPr>
                    <w:t>95</w:t>
                  </w:r>
                  <w:r w:rsidRPr="00D633FF">
                    <w:rPr>
                      <w:rFonts w:ascii="Calibri" w:eastAsia="Times New Roman" w:hAnsi="Calibri" w:cs="Calibri"/>
                      <w:color w:val="FFFFFF"/>
                      <w:vertAlign w:val="superscript"/>
                    </w:rPr>
                    <w:t>th</w:t>
                  </w:r>
                  <w:r w:rsidRPr="00D633FF">
                    <w:rPr>
                      <w:rFonts w:ascii="Calibri" w:eastAsia="Times New Roman" w:hAnsi="Calibri" w:cs="Calibri"/>
                      <w:color w:val="FFFFFF"/>
                    </w:rPr>
                    <w:t xml:space="preserve"> percentile intake </w:t>
                  </w:r>
                </w:p>
                <w:p w14:paraId="7C63D54B" w14:textId="77777777" w:rsidR="005C5475" w:rsidRPr="00D633FF" w:rsidRDefault="005C5475" w:rsidP="00F41A57">
                  <w:pPr>
                    <w:keepNext/>
                    <w:spacing w:before="0" w:line="276"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rPr>
                  </w:pPr>
                  <w:r w:rsidRPr="00D633FF">
                    <w:rPr>
                      <w:rFonts w:ascii="Calibri" w:eastAsia="Times New Roman" w:hAnsi="Calibri" w:cs="Calibri"/>
                      <w:color w:val="FFFFFF"/>
                    </w:rPr>
                    <w:t>(µg/day)</w:t>
                  </w:r>
                </w:p>
              </w:tc>
            </w:tr>
            <w:tr w:rsidR="005C5475" w:rsidRPr="00D633FF" w14:paraId="37149995" w14:textId="77777777" w:rsidTr="007A5EB4">
              <w:trPr>
                <w:trHeight w:val="340"/>
              </w:trPr>
              <w:tc>
                <w:tcPr>
                  <w:cnfStyle w:val="001000000000" w:firstRow="0" w:lastRow="0" w:firstColumn="1" w:lastColumn="0" w:oddVBand="0" w:evenVBand="0" w:oddHBand="0" w:evenHBand="0" w:firstRowFirstColumn="0" w:firstRowLastColumn="0" w:lastRowFirstColumn="0" w:lastRowLastColumn="0"/>
                  <w:tcW w:w="1566" w:type="dxa"/>
                  <w:tcBorders>
                    <w:bottom w:val="nil"/>
                  </w:tcBorders>
                  <w:noWrap/>
                  <w:vAlign w:val="center"/>
                </w:tcPr>
                <w:p w14:paraId="53A94A07" w14:textId="77777777" w:rsidR="005C5475" w:rsidRPr="00D633FF" w:rsidRDefault="005C5475" w:rsidP="00042A5A">
                  <w:pPr>
                    <w:keepNext/>
                    <w:spacing w:line="276" w:lineRule="auto"/>
                    <w:rPr>
                      <w:rFonts w:ascii="Calibri" w:eastAsia="Times New Roman" w:hAnsi="Calibri" w:cs="Calibri"/>
                    </w:rPr>
                  </w:pPr>
                  <w:r w:rsidRPr="00D633FF">
                    <w:rPr>
                      <w:rFonts w:ascii="Calibri" w:eastAsia="Times New Roman" w:hAnsi="Calibri" w:cs="Calibri"/>
                    </w:rPr>
                    <w:t xml:space="preserve">19-30 </w:t>
                  </w:r>
                </w:p>
              </w:tc>
              <w:tc>
                <w:tcPr>
                  <w:tcW w:w="1574" w:type="dxa"/>
                  <w:vAlign w:val="center"/>
                </w:tcPr>
                <w:p w14:paraId="2089C310" w14:textId="77777777" w:rsidR="005C5475" w:rsidRPr="00D633FF" w:rsidRDefault="005C5475" w:rsidP="00042A5A">
                  <w:pPr>
                    <w:keepNext/>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Males</w:t>
                  </w:r>
                </w:p>
              </w:tc>
              <w:tc>
                <w:tcPr>
                  <w:tcW w:w="1701" w:type="dxa"/>
                  <w:vAlign w:val="center"/>
                </w:tcPr>
                <w:p w14:paraId="600D1274" w14:textId="4C8D6AA3" w:rsidR="005C5475" w:rsidRPr="00D633FF" w:rsidRDefault="005C5475" w:rsidP="00811A08">
                  <w:pPr>
                    <w:keepNext/>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110</w:t>
                  </w:r>
                </w:p>
              </w:tc>
              <w:tc>
                <w:tcPr>
                  <w:tcW w:w="1701" w:type="dxa"/>
                  <w:vAlign w:val="center"/>
                </w:tcPr>
                <w:p w14:paraId="7089DD94" w14:textId="77777777" w:rsidR="005C5475" w:rsidRPr="00D633FF" w:rsidRDefault="005C5475" w:rsidP="00811A08">
                  <w:pPr>
                    <w:keepNext/>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1.4%</w:t>
                  </w:r>
                </w:p>
              </w:tc>
              <w:tc>
                <w:tcPr>
                  <w:tcW w:w="1843" w:type="dxa"/>
                  <w:vAlign w:val="center"/>
                </w:tcPr>
                <w:p w14:paraId="7406771D" w14:textId="77777777" w:rsidR="005C5475" w:rsidRPr="00D633FF" w:rsidRDefault="005C5475" w:rsidP="00811A08">
                  <w:pPr>
                    <w:keepNext/>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160</w:t>
                  </w:r>
                </w:p>
              </w:tc>
            </w:tr>
            <w:tr w:rsidR="0017087A" w:rsidRPr="00D633FF" w14:paraId="6AC8D4BB" w14:textId="77777777" w:rsidTr="007A5EB4">
              <w:trPr>
                <w:trHeight w:val="340"/>
              </w:trPr>
              <w:tc>
                <w:tcPr>
                  <w:cnfStyle w:val="001000000000" w:firstRow="0" w:lastRow="0" w:firstColumn="1" w:lastColumn="0" w:oddVBand="0" w:evenVBand="0" w:oddHBand="0" w:evenHBand="0" w:firstRowFirstColumn="0" w:firstRowLastColumn="0" w:lastRowFirstColumn="0" w:lastRowLastColumn="0"/>
                  <w:tcW w:w="1566" w:type="dxa"/>
                  <w:tcBorders>
                    <w:top w:val="nil"/>
                    <w:bottom w:val="single" w:sz="4" w:space="0" w:color="auto"/>
                  </w:tcBorders>
                  <w:noWrap/>
                  <w:vAlign w:val="center"/>
                </w:tcPr>
                <w:p w14:paraId="2C54C152" w14:textId="77777777" w:rsidR="005C5475" w:rsidRPr="00D633FF" w:rsidRDefault="005C5475" w:rsidP="00042A5A">
                  <w:pPr>
                    <w:keepNext/>
                    <w:spacing w:line="276" w:lineRule="auto"/>
                    <w:rPr>
                      <w:rFonts w:ascii="Calibri" w:eastAsia="Times New Roman" w:hAnsi="Calibri" w:cs="Calibri"/>
                    </w:rPr>
                  </w:pPr>
                </w:p>
              </w:tc>
              <w:tc>
                <w:tcPr>
                  <w:tcW w:w="1574" w:type="dxa"/>
                  <w:shd w:val="clear" w:color="auto" w:fill="FFFFFF"/>
                  <w:vAlign w:val="center"/>
                </w:tcPr>
                <w:p w14:paraId="4A89389C" w14:textId="77777777" w:rsidR="005C5475" w:rsidRPr="00D633FF" w:rsidRDefault="005C5475" w:rsidP="00042A5A">
                  <w:pPr>
                    <w:keepNext/>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Females</w:t>
                  </w:r>
                </w:p>
              </w:tc>
              <w:tc>
                <w:tcPr>
                  <w:tcW w:w="1701" w:type="dxa"/>
                  <w:shd w:val="clear" w:color="auto" w:fill="FFFFFF"/>
                  <w:vAlign w:val="center"/>
                </w:tcPr>
                <w:p w14:paraId="0D4DA000" w14:textId="6840C8FA" w:rsidR="005C5475" w:rsidRPr="00D633FF" w:rsidRDefault="005C5475" w:rsidP="00811A08">
                  <w:pPr>
                    <w:keepNext/>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77</w:t>
                  </w:r>
                </w:p>
              </w:tc>
              <w:tc>
                <w:tcPr>
                  <w:tcW w:w="1701" w:type="dxa"/>
                  <w:shd w:val="clear" w:color="auto" w:fill="FFFFFF"/>
                  <w:vAlign w:val="center"/>
                </w:tcPr>
                <w:p w14:paraId="75FFE5FB" w14:textId="77777777" w:rsidR="005C5475" w:rsidRPr="00D633FF" w:rsidRDefault="005C5475" w:rsidP="00811A08">
                  <w:pPr>
                    <w:keepNext/>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6.4%</w:t>
                  </w:r>
                </w:p>
              </w:tc>
              <w:tc>
                <w:tcPr>
                  <w:tcW w:w="1843" w:type="dxa"/>
                  <w:shd w:val="clear" w:color="auto" w:fill="FFFFFF"/>
                  <w:vAlign w:val="center"/>
                </w:tcPr>
                <w:p w14:paraId="7526C10C" w14:textId="77777777" w:rsidR="005C5475" w:rsidRPr="00D633FF" w:rsidRDefault="005C5475" w:rsidP="00811A08">
                  <w:pPr>
                    <w:keepNext/>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114</w:t>
                  </w:r>
                </w:p>
              </w:tc>
            </w:tr>
            <w:tr w:rsidR="005C5475" w:rsidRPr="00D633FF" w14:paraId="15882685" w14:textId="77777777" w:rsidTr="007A5EB4">
              <w:trPr>
                <w:trHeight w:val="340"/>
              </w:trPr>
              <w:tc>
                <w:tcPr>
                  <w:cnfStyle w:val="001000000000" w:firstRow="0" w:lastRow="0" w:firstColumn="1" w:lastColumn="0" w:oddVBand="0" w:evenVBand="0" w:oddHBand="0" w:evenHBand="0" w:firstRowFirstColumn="0" w:firstRowLastColumn="0" w:lastRowFirstColumn="0" w:lastRowLastColumn="0"/>
                  <w:tcW w:w="1566" w:type="dxa"/>
                  <w:tcBorders>
                    <w:bottom w:val="nil"/>
                  </w:tcBorders>
                  <w:noWrap/>
                  <w:vAlign w:val="center"/>
                  <w:hideMark/>
                </w:tcPr>
                <w:p w14:paraId="3595EF03" w14:textId="77777777" w:rsidR="005C5475" w:rsidRPr="00D633FF" w:rsidRDefault="005C5475" w:rsidP="00042A5A">
                  <w:pPr>
                    <w:keepNext/>
                    <w:spacing w:line="276" w:lineRule="auto"/>
                    <w:rPr>
                      <w:rFonts w:ascii="Calibri" w:eastAsia="Times New Roman" w:hAnsi="Calibri" w:cs="Calibri"/>
                    </w:rPr>
                  </w:pPr>
                  <w:r w:rsidRPr="00D633FF">
                    <w:rPr>
                      <w:rFonts w:ascii="Calibri" w:eastAsia="Times New Roman" w:hAnsi="Calibri" w:cs="Calibri"/>
                    </w:rPr>
                    <w:t>31-50</w:t>
                  </w:r>
                </w:p>
              </w:tc>
              <w:tc>
                <w:tcPr>
                  <w:tcW w:w="1574" w:type="dxa"/>
                  <w:vAlign w:val="center"/>
                </w:tcPr>
                <w:p w14:paraId="53FF2147" w14:textId="77777777" w:rsidR="005C5475" w:rsidRPr="00D633FF" w:rsidRDefault="005C5475" w:rsidP="00042A5A">
                  <w:pPr>
                    <w:keepNext/>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Males</w:t>
                  </w:r>
                </w:p>
              </w:tc>
              <w:tc>
                <w:tcPr>
                  <w:tcW w:w="1701" w:type="dxa"/>
                  <w:vAlign w:val="center"/>
                </w:tcPr>
                <w:p w14:paraId="7DAC7CCD" w14:textId="186B0FE4" w:rsidR="005C5475" w:rsidRPr="00D633FF" w:rsidRDefault="005C5475" w:rsidP="00811A08">
                  <w:pPr>
                    <w:keepNext/>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105</w:t>
                  </w:r>
                </w:p>
              </w:tc>
              <w:tc>
                <w:tcPr>
                  <w:tcW w:w="1701" w:type="dxa"/>
                  <w:vAlign w:val="center"/>
                </w:tcPr>
                <w:p w14:paraId="5D3CC6C6" w14:textId="77777777" w:rsidR="005C5475" w:rsidRPr="00D633FF" w:rsidRDefault="005C5475" w:rsidP="00811A08">
                  <w:pPr>
                    <w:keepNext/>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2.3%</w:t>
                  </w:r>
                </w:p>
              </w:tc>
              <w:tc>
                <w:tcPr>
                  <w:tcW w:w="1843" w:type="dxa"/>
                  <w:vAlign w:val="center"/>
                </w:tcPr>
                <w:p w14:paraId="7FA26EF8" w14:textId="77777777" w:rsidR="005C5475" w:rsidRPr="00D633FF" w:rsidRDefault="005C5475" w:rsidP="00811A08">
                  <w:pPr>
                    <w:keepNext/>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153</w:t>
                  </w:r>
                </w:p>
              </w:tc>
            </w:tr>
            <w:tr w:rsidR="0017087A" w:rsidRPr="00D633FF" w14:paraId="305EC260" w14:textId="77777777" w:rsidTr="007A5EB4">
              <w:trPr>
                <w:trHeight w:val="340"/>
              </w:trPr>
              <w:tc>
                <w:tcPr>
                  <w:cnfStyle w:val="001000000000" w:firstRow="0" w:lastRow="0" w:firstColumn="1" w:lastColumn="0" w:oddVBand="0" w:evenVBand="0" w:oddHBand="0" w:evenHBand="0" w:firstRowFirstColumn="0" w:firstRowLastColumn="0" w:lastRowFirstColumn="0" w:lastRowLastColumn="0"/>
                  <w:tcW w:w="1566" w:type="dxa"/>
                  <w:tcBorders>
                    <w:top w:val="nil"/>
                    <w:bottom w:val="single" w:sz="4" w:space="0" w:color="auto"/>
                  </w:tcBorders>
                  <w:noWrap/>
                  <w:vAlign w:val="center"/>
                </w:tcPr>
                <w:p w14:paraId="233A6AB3" w14:textId="77777777" w:rsidR="005C5475" w:rsidRPr="00D633FF" w:rsidRDefault="005C5475" w:rsidP="00042A5A">
                  <w:pPr>
                    <w:keepNext/>
                    <w:spacing w:line="276" w:lineRule="auto"/>
                    <w:rPr>
                      <w:rFonts w:ascii="Calibri" w:eastAsia="Times New Roman" w:hAnsi="Calibri" w:cs="Calibri"/>
                    </w:rPr>
                  </w:pPr>
                </w:p>
              </w:tc>
              <w:tc>
                <w:tcPr>
                  <w:tcW w:w="1574" w:type="dxa"/>
                  <w:shd w:val="clear" w:color="auto" w:fill="FFFFFF"/>
                  <w:vAlign w:val="center"/>
                </w:tcPr>
                <w:p w14:paraId="131C1937" w14:textId="77777777" w:rsidR="005C5475" w:rsidRPr="00D633FF" w:rsidRDefault="005C5475" w:rsidP="00042A5A">
                  <w:pPr>
                    <w:keepNext/>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Females</w:t>
                  </w:r>
                </w:p>
              </w:tc>
              <w:tc>
                <w:tcPr>
                  <w:tcW w:w="1701" w:type="dxa"/>
                  <w:shd w:val="clear" w:color="auto" w:fill="FFFFFF"/>
                  <w:vAlign w:val="center"/>
                </w:tcPr>
                <w:p w14:paraId="380011B2" w14:textId="5E4D54F9" w:rsidR="005C5475" w:rsidRPr="00D633FF" w:rsidRDefault="005C5475" w:rsidP="00811A08">
                  <w:pPr>
                    <w:keepNext/>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79</w:t>
                  </w:r>
                </w:p>
              </w:tc>
              <w:tc>
                <w:tcPr>
                  <w:tcW w:w="1701" w:type="dxa"/>
                  <w:shd w:val="clear" w:color="auto" w:fill="FFFFFF"/>
                  <w:vAlign w:val="center"/>
                </w:tcPr>
                <w:p w14:paraId="75B3B4C6" w14:textId="77777777" w:rsidR="005C5475" w:rsidRPr="00D633FF" w:rsidRDefault="005C5475" w:rsidP="00811A08">
                  <w:pPr>
                    <w:keepNext/>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5.4%</w:t>
                  </w:r>
                </w:p>
              </w:tc>
              <w:tc>
                <w:tcPr>
                  <w:tcW w:w="1843" w:type="dxa"/>
                  <w:shd w:val="clear" w:color="auto" w:fill="FFFFFF"/>
                  <w:vAlign w:val="center"/>
                </w:tcPr>
                <w:p w14:paraId="0A2B0B57" w14:textId="77777777" w:rsidR="005C5475" w:rsidRPr="00D633FF" w:rsidRDefault="005C5475" w:rsidP="00811A08">
                  <w:pPr>
                    <w:keepNext/>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117</w:t>
                  </w:r>
                </w:p>
              </w:tc>
            </w:tr>
            <w:tr w:rsidR="005C5475" w:rsidRPr="00D633FF" w14:paraId="339C836C" w14:textId="77777777" w:rsidTr="007A5EB4">
              <w:trPr>
                <w:trHeight w:val="340"/>
              </w:trPr>
              <w:tc>
                <w:tcPr>
                  <w:cnfStyle w:val="001000000000" w:firstRow="0" w:lastRow="0" w:firstColumn="1" w:lastColumn="0" w:oddVBand="0" w:evenVBand="0" w:oddHBand="0" w:evenHBand="0" w:firstRowFirstColumn="0" w:firstRowLastColumn="0" w:lastRowFirstColumn="0" w:lastRowLastColumn="0"/>
                  <w:tcW w:w="1566" w:type="dxa"/>
                  <w:tcBorders>
                    <w:bottom w:val="nil"/>
                  </w:tcBorders>
                  <w:noWrap/>
                  <w:vAlign w:val="center"/>
                  <w:hideMark/>
                </w:tcPr>
                <w:p w14:paraId="3E53B870" w14:textId="77777777" w:rsidR="005C5475" w:rsidRPr="00D633FF" w:rsidRDefault="005C5475" w:rsidP="00042A5A">
                  <w:pPr>
                    <w:keepNext/>
                    <w:spacing w:line="276" w:lineRule="auto"/>
                    <w:rPr>
                      <w:rFonts w:ascii="Calibri" w:eastAsia="Times New Roman" w:hAnsi="Calibri" w:cs="Calibri"/>
                    </w:rPr>
                  </w:pPr>
                  <w:r w:rsidRPr="00D633FF">
                    <w:rPr>
                      <w:rFonts w:ascii="Calibri" w:eastAsia="Times New Roman" w:hAnsi="Calibri" w:cs="Calibri"/>
                    </w:rPr>
                    <w:t>51-70</w:t>
                  </w:r>
                </w:p>
              </w:tc>
              <w:tc>
                <w:tcPr>
                  <w:tcW w:w="1574" w:type="dxa"/>
                  <w:vAlign w:val="center"/>
                </w:tcPr>
                <w:p w14:paraId="2CD7792E" w14:textId="77777777" w:rsidR="005C5475" w:rsidRPr="00D633FF" w:rsidRDefault="005C5475" w:rsidP="00042A5A">
                  <w:pPr>
                    <w:keepNext/>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Males</w:t>
                  </w:r>
                </w:p>
              </w:tc>
              <w:tc>
                <w:tcPr>
                  <w:tcW w:w="1701" w:type="dxa"/>
                  <w:vAlign w:val="center"/>
                </w:tcPr>
                <w:p w14:paraId="6150A10A" w14:textId="57C1C8AB" w:rsidR="005C5475" w:rsidRPr="00D633FF" w:rsidRDefault="005C5475" w:rsidP="00811A08">
                  <w:pPr>
                    <w:keepNext/>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97</w:t>
                  </w:r>
                </w:p>
              </w:tc>
              <w:tc>
                <w:tcPr>
                  <w:tcW w:w="1701" w:type="dxa"/>
                  <w:vAlign w:val="center"/>
                </w:tcPr>
                <w:p w14:paraId="6D3EF9D6" w14:textId="77777777" w:rsidR="005C5475" w:rsidRPr="00D633FF" w:rsidRDefault="005C5475" w:rsidP="00811A08">
                  <w:pPr>
                    <w:keepNext/>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4.3%</w:t>
                  </w:r>
                </w:p>
              </w:tc>
              <w:tc>
                <w:tcPr>
                  <w:tcW w:w="1843" w:type="dxa"/>
                  <w:vAlign w:val="center"/>
                </w:tcPr>
                <w:p w14:paraId="24037497" w14:textId="77777777" w:rsidR="005C5475" w:rsidRPr="00D633FF" w:rsidRDefault="005C5475" w:rsidP="00811A08">
                  <w:pPr>
                    <w:keepNext/>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143</w:t>
                  </w:r>
                </w:p>
              </w:tc>
            </w:tr>
            <w:tr w:rsidR="0017087A" w:rsidRPr="00D633FF" w14:paraId="4007EF68" w14:textId="77777777" w:rsidTr="007A5EB4">
              <w:trPr>
                <w:trHeight w:val="340"/>
              </w:trPr>
              <w:tc>
                <w:tcPr>
                  <w:cnfStyle w:val="001000000000" w:firstRow="0" w:lastRow="0" w:firstColumn="1" w:lastColumn="0" w:oddVBand="0" w:evenVBand="0" w:oddHBand="0" w:evenHBand="0" w:firstRowFirstColumn="0" w:firstRowLastColumn="0" w:lastRowFirstColumn="0" w:lastRowLastColumn="0"/>
                  <w:tcW w:w="1566" w:type="dxa"/>
                  <w:tcBorders>
                    <w:top w:val="nil"/>
                    <w:bottom w:val="single" w:sz="4" w:space="0" w:color="auto"/>
                  </w:tcBorders>
                  <w:noWrap/>
                  <w:vAlign w:val="center"/>
                </w:tcPr>
                <w:p w14:paraId="166A936A" w14:textId="77777777" w:rsidR="005C5475" w:rsidRPr="00D633FF" w:rsidRDefault="005C5475" w:rsidP="00042A5A">
                  <w:pPr>
                    <w:keepNext/>
                    <w:spacing w:line="276" w:lineRule="auto"/>
                    <w:rPr>
                      <w:rFonts w:ascii="Calibri" w:eastAsia="Times New Roman" w:hAnsi="Calibri" w:cs="Calibri"/>
                    </w:rPr>
                  </w:pPr>
                </w:p>
              </w:tc>
              <w:tc>
                <w:tcPr>
                  <w:tcW w:w="1574" w:type="dxa"/>
                  <w:shd w:val="clear" w:color="auto" w:fill="FFFFFF"/>
                  <w:vAlign w:val="center"/>
                </w:tcPr>
                <w:p w14:paraId="11A6006F" w14:textId="77777777" w:rsidR="005C5475" w:rsidRPr="00D633FF" w:rsidRDefault="005C5475" w:rsidP="00042A5A">
                  <w:pPr>
                    <w:keepNext/>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Females</w:t>
                  </w:r>
                </w:p>
              </w:tc>
              <w:tc>
                <w:tcPr>
                  <w:tcW w:w="1701" w:type="dxa"/>
                  <w:shd w:val="clear" w:color="auto" w:fill="FFFFFF"/>
                  <w:vAlign w:val="center"/>
                </w:tcPr>
                <w:p w14:paraId="286B5B46" w14:textId="403C3DC2" w:rsidR="005C5475" w:rsidRPr="00D633FF" w:rsidRDefault="005C5475" w:rsidP="00811A08">
                  <w:pPr>
                    <w:keepNext/>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80</w:t>
                  </w:r>
                </w:p>
              </w:tc>
              <w:tc>
                <w:tcPr>
                  <w:tcW w:w="1701" w:type="dxa"/>
                  <w:shd w:val="clear" w:color="auto" w:fill="FFFFFF"/>
                  <w:vAlign w:val="center"/>
                </w:tcPr>
                <w:p w14:paraId="399941B4" w14:textId="77777777" w:rsidR="005C5475" w:rsidRPr="00D633FF" w:rsidRDefault="005C5475" w:rsidP="00811A08">
                  <w:pPr>
                    <w:keepNext/>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4.9%</w:t>
                  </w:r>
                </w:p>
              </w:tc>
              <w:tc>
                <w:tcPr>
                  <w:tcW w:w="1843" w:type="dxa"/>
                  <w:shd w:val="clear" w:color="auto" w:fill="FFFFFF"/>
                  <w:vAlign w:val="center"/>
                </w:tcPr>
                <w:p w14:paraId="477A75D9" w14:textId="77777777" w:rsidR="005C5475" w:rsidRPr="00D633FF" w:rsidRDefault="005C5475" w:rsidP="00811A08">
                  <w:pPr>
                    <w:keepNext/>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118</w:t>
                  </w:r>
                </w:p>
              </w:tc>
            </w:tr>
            <w:tr w:rsidR="005C5475" w:rsidRPr="00D633FF" w14:paraId="0DB5407B" w14:textId="77777777" w:rsidTr="007A5EB4">
              <w:trPr>
                <w:trHeight w:val="340"/>
              </w:trPr>
              <w:tc>
                <w:tcPr>
                  <w:cnfStyle w:val="001000000000" w:firstRow="0" w:lastRow="0" w:firstColumn="1" w:lastColumn="0" w:oddVBand="0" w:evenVBand="0" w:oddHBand="0" w:evenHBand="0" w:firstRowFirstColumn="0" w:firstRowLastColumn="0" w:lastRowFirstColumn="0" w:lastRowLastColumn="0"/>
                  <w:tcW w:w="1566" w:type="dxa"/>
                  <w:tcBorders>
                    <w:bottom w:val="nil"/>
                  </w:tcBorders>
                  <w:noWrap/>
                  <w:vAlign w:val="center"/>
                  <w:hideMark/>
                </w:tcPr>
                <w:p w14:paraId="0B784000" w14:textId="77777777" w:rsidR="005C5475" w:rsidRPr="00D633FF" w:rsidRDefault="005C5475" w:rsidP="00042A5A">
                  <w:pPr>
                    <w:keepNext/>
                    <w:spacing w:line="276" w:lineRule="auto"/>
                    <w:rPr>
                      <w:rFonts w:ascii="Calibri" w:eastAsia="Times New Roman" w:hAnsi="Calibri" w:cs="Calibri"/>
                    </w:rPr>
                  </w:pPr>
                  <w:r w:rsidRPr="00D633FF">
                    <w:rPr>
                      <w:rFonts w:ascii="Calibri" w:eastAsia="Times New Roman" w:hAnsi="Calibri" w:cs="Calibri"/>
                    </w:rPr>
                    <w:t>71 and over</w:t>
                  </w:r>
                </w:p>
              </w:tc>
              <w:tc>
                <w:tcPr>
                  <w:tcW w:w="1574" w:type="dxa"/>
                  <w:vAlign w:val="center"/>
                </w:tcPr>
                <w:p w14:paraId="1F3C03F6" w14:textId="77777777" w:rsidR="005C5475" w:rsidRPr="00D633FF" w:rsidRDefault="005C5475" w:rsidP="00042A5A">
                  <w:pPr>
                    <w:keepNext/>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Males</w:t>
                  </w:r>
                </w:p>
              </w:tc>
              <w:tc>
                <w:tcPr>
                  <w:tcW w:w="1701" w:type="dxa"/>
                  <w:vAlign w:val="center"/>
                </w:tcPr>
                <w:p w14:paraId="5C70C48A" w14:textId="621A1C0F" w:rsidR="005C5475" w:rsidRPr="00D633FF" w:rsidRDefault="005C5475" w:rsidP="00811A08">
                  <w:pPr>
                    <w:keepNext/>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85</w:t>
                  </w:r>
                </w:p>
              </w:tc>
              <w:tc>
                <w:tcPr>
                  <w:tcW w:w="1701" w:type="dxa"/>
                  <w:vAlign w:val="center"/>
                </w:tcPr>
                <w:p w14:paraId="6D30C99B" w14:textId="77777777" w:rsidR="005C5475" w:rsidRPr="00D633FF" w:rsidRDefault="005C5475" w:rsidP="00811A08">
                  <w:pPr>
                    <w:keepNext/>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12.2%</w:t>
                  </w:r>
                </w:p>
              </w:tc>
              <w:tc>
                <w:tcPr>
                  <w:tcW w:w="1843" w:type="dxa"/>
                  <w:vAlign w:val="center"/>
                </w:tcPr>
                <w:p w14:paraId="03B33998" w14:textId="77777777" w:rsidR="005C5475" w:rsidRPr="00D633FF" w:rsidRDefault="005C5475" w:rsidP="00811A08">
                  <w:pPr>
                    <w:keepNext/>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125</w:t>
                  </w:r>
                </w:p>
              </w:tc>
            </w:tr>
            <w:tr w:rsidR="0017087A" w:rsidRPr="00D633FF" w14:paraId="0E33C36F" w14:textId="77777777" w:rsidTr="007A5EB4">
              <w:trPr>
                <w:trHeight w:val="340"/>
              </w:trPr>
              <w:tc>
                <w:tcPr>
                  <w:cnfStyle w:val="001000000000" w:firstRow="0" w:lastRow="0" w:firstColumn="1" w:lastColumn="0" w:oddVBand="0" w:evenVBand="0" w:oddHBand="0" w:evenHBand="0" w:firstRowFirstColumn="0" w:firstRowLastColumn="0" w:lastRowFirstColumn="0" w:lastRowLastColumn="0"/>
                  <w:tcW w:w="1566" w:type="dxa"/>
                  <w:tcBorders>
                    <w:top w:val="nil"/>
                  </w:tcBorders>
                  <w:noWrap/>
                  <w:vAlign w:val="center"/>
                </w:tcPr>
                <w:p w14:paraId="7D77745D" w14:textId="77777777" w:rsidR="005C5475" w:rsidRPr="001E07D5" w:rsidRDefault="005C5475" w:rsidP="00042A5A">
                  <w:pPr>
                    <w:keepNext/>
                    <w:spacing w:line="276" w:lineRule="auto"/>
                    <w:rPr>
                      <w:rFonts w:ascii="Calibri" w:eastAsia="Times New Roman" w:hAnsi="Calibri" w:cs="Calibri"/>
                    </w:rPr>
                  </w:pPr>
                </w:p>
              </w:tc>
              <w:tc>
                <w:tcPr>
                  <w:tcW w:w="1574" w:type="dxa"/>
                  <w:shd w:val="clear" w:color="auto" w:fill="FFFFFF"/>
                  <w:vAlign w:val="center"/>
                </w:tcPr>
                <w:p w14:paraId="6AB81123" w14:textId="77777777" w:rsidR="005C5475" w:rsidRPr="00D633FF" w:rsidRDefault="005C5475" w:rsidP="00042A5A">
                  <w:pPr>
                    <w:keepNext/>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Females</w:t>
                  </w:r>
                </w:p>
              </w:tc>
              <w:tc>
                <w:tcPr>
                  <w:tcW w:w="1701" w:type="dxa"/>
                  <w:shd w:val="clear" w:color="auto" w:fill="FFFFFF"/>
                  <w:vAlign w:val="center"/>
                </w:tcPr>
                <w:p w14:paraId="32766793" w14:textId="1EB34A76" w:rsidR="005C5475" w:rsidRPr="00D633FF" w:rsidRDefault="005C5475" w:rsidP="00811A08">
                  <w:pPr>
                    <w:keepNext/>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72</w:t>
                  </w:r>
                </w:p>
              </w:tc>
              <w:tc>
                <w:tcPr>
                  <w:tcW w:w="1701" w:type="dxa"/>
                  <w:shd w:val="clear" w:color="auto" w:fill="FFFFFF"/>
                  <w:vAlign w:val="center"/>
                </w:tcPr>
                <w:p w14:paraId="03702F8C" w14:textId="77777777" w:rsidR="005C5475" w:rsidRPr="00D633FF" w:rsidRDefault="005C5475" w:rsidP="00811A08">
                  <w:pPr>
                    <w:keepNext/>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10.4%</w:t>
                  </w:r>
                </w:p>
              </w:tc>
              <w:tc>
                <w:tcPr>
                  <w:tcW w:w="1843" w:type="dxa"/>
                  <w:shd w:val="clear" w:color="auto" w:fill="FFFFFF"/>
                  <w:vAlign w:val="center"/>
                </w:tcPr>
                <w:p w14:paraId="01DCC9BB" w14:textId="77777777" w:rsidR="005C5475" w:rsidRPr="00D633FF" w:rsidRDefault="005C5475" w:rsidP="00811A08">
                  <w:pPr>
                    <w:keepNext/>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107</w:t>
                  </w:r>
                </w:p>
              </w:tc>
            </w:tr>
          </w:tbl>
          <w:p w14:paraId="72DD2B27" w14:textId="0621A25F" w:rsidR="005C5475" w:rsidRPr="00D633FF" w:rsidRDefault="005C5475" w:rsidP="00DF15FF">
            <w:pPr>
              <w:spacing w:after="160" w:line="180" w:lineRule="atLeast"/>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16"/>
                <w:szCs w:val="16"/>
              </w:rPr>
            </w:pPr>
            <w:r w:rsidRPr="00D633FF">
              <w:rPr>
                <w:rFonts w:ascii="Calibri" w:eastAsia="Arial" w:hAnsi="Calibri" w:cs="Calibri"/>
                <w:b/>
                <w:bCs/>
                <w:sz w:val="16"/>
                <w:szCs w:val="16"/>
              </w:rPr>
              <w:t>Source:</w:t>
            </w:r>
            <w:r w:rsidRPr="00D633FF">
              <w:rPr>
                <w:rFonts w:ascii="Calibri" w:eastAsia="Arial" w:hAnsi="Calibri" w:cs="Calibri"/>
                <w:sz w:val="16"/>
                <w:szCs w:val="16"/>
              </w:rPr>
              <w:t xml:space="preserve"> </w:t>
            </w:r>
            <w:hyperlink r:id="rId38" w:history="1">
              <w:r w:rsidRPr="00090062">
                <w:rPr>
                  <w:rFonts w:ascii="Calibri" w:eastAsia="Arial" w:hAnsi="Calibri" w:cs="Calibri"/>
                  <w:color w:val="006CBC"/>
                  <w:sz w:val="16"/>
                  <w:szCs w:val="16"/>
                  <w:u w:val="single"/>
                </w:rPr>
                <w:t>https://www.abs.gov.au/statistics/health/health-conditions-and-risks/usual-nutrient-intakes/latest-release</w:t>
              </w:r>
            </w:hyperlink>
            <w:r w:rsidRPr="00D633FF">
              <w:rPr>
                <w:rFonts w:ascii="Calibri" w:eastAsia="Arial" w:hAnsi="Calibri" w:cs="Calibri"/>
                <w:sz w:val="16"/>
                <w:szCs w:val="16"/>
              </w:rPr>
              <w:t xml:space="preserve"> </w:t>
            </w:r>
            <w:bookmarkStart w:id="103" w:name="_Ref204265773"/>
            <w:r w:rsidRPr="00D633FF">
              <w:rPr>
                <w:rFonts w:ascii="Calibri" w:eastAsia="Arial" w:hAnsi="Calibri" w:cs="Calibri"/>
                <w:sz w:val="16"/>
                <w:szCs w:val="16"/>
              </w:rPr>
              <w:br/>
            </w:r>
            <w:r w:rsidRPr="006F04A4">
              <w:rPr>
                <w:rFonts w:ascii="Calibri" w:eastAsia="Arial" w:hAnsi="Calibri" w:cs="Calibri"/>
                <w:b/>
                <w:bCs/>
                <w:sz w:val="16"/>
                <w:szCs w:val="16"/>
              </w:rPr>
              <w:t>Abbreviations:</w:t>
            </w:r>
            <w:r w:rsidRPr="00D633FF">
              <w:rPr>
                <w:rFonts w:ascii="Calibri" w:eastAsia="Arial" w:hAnsi="Calibri" w:cs="Calibri"/>
                <w:sz w:val="16"/>
                <w:szCs w:val="16"/>
              </w:rPr>
              <w:t xml:space="preserve"> CI, confidence interval; EAR, estimated average requirement; UL, upper level.</w:t>
            </w:r>
          </w:p>
          <w:p w14:paraId="29CD5FFF" w14:textId="7E08B800" w:rsidR="005C5475" w:rsidRPr="000E6907" w:rsidRDefault="005C5475" w:rsidP="00B07CC4">
            <w:pPr>
              <w:keepNext/>
              <w:keepLines/>
              <w:widowControl w:val="0"/>
              <w:spacing w:after="120"/>
              <w:cnfStyle w:val="000000100000" w:firstRow="0" w:lastRow="0" w:firstColumn="0" w:lastColumn="0" w:oddVBand="0" w:evenVBand="0" w:oddHBand="1" w:evenHBand="0" w:firstRowFirstColumn="0" w:firstRowLastColumn="0" w:lastRowFirstColumn="0" w:lastRowLastColumn="0"/>
              <w:rPr>
                <w:rFonts w:ascii="Calibri" w:eastAsia="Arial" w:hAnsi="Calibri" w:cs="Calibri"/>
                <w:b/>
                <w:bCs/>
                <w:iCs/>
                <w:caps/>
                <w:szCs w:val="24"/>
              </w:rPr>
            </w:pPr>
            <w:bookmarkStart w:id="104" w:name="_Ref205215649"/>
            <w:r w:rsidRPr="00D633FF">
              <w:rPr>
                <w:rFonts w:ascii="Calibri" w:eastAsia="Arial" w:hAnsi="Calibri" w:cs="Calibri"/>
                <w:b/>
                <w:iCs/>
                <w:caps/>
                <w:szCs w:val="24"/>
              </w:rPr>
              <w:t xml:space="preserve">Table </w:t>
            </w:r>
            <w:r w:rsidRPr="00D633FF">
              <w:rPr>
                <w:rFonts w:ascii="Calibri" w:eastAsia="Arial" w:hAnsi="Calibri" w:cs="Calibri"/>
                <w:b/>
                <w:iCs/>
                <w:caps/>
                <w:szCs w:val="24"/>
              </w:rPr>
              <w:fldChar w:fldCharType="begin"/>
            </w:r>
            <w:r w:rsidRPr="00D633FF">
              <w:rPr>
                <w:rFonts w:ascii="Calibri" w:eastAsia="Arial" w:hAnsi="Calibri" w:cs="Calibri"/>
                <w:b/>
                <w:iCs/>
                <w:caps/>
                <w:szCs w:val="24"/>
              </w:rPr>
              <w:instrText xml:space="preserve"> SEQ Table \* ARABIC </w:instrText>
            </w:r>
            <w:r w:rsidRPr="00D633FF">
              <w:rPr>
                <w:rFonts w:ascii="Calibri" w:eastAsia="Arial" w:hAnsi="Calibri" w:cs="Calibri"/>
                <w:b/>
                <w:iCs/>
                <w:caps/>
                <w:szCs w:val="24"/>
              </w:rPr>
              <w:fldChar w:fldCharType="separate"/>
            </w:r>
            <w:r w:rsidR="00CB6915">
              <w:rPr>
                <w:rFonts w:ascii="Calibri" w:eastAsia="Arial" w:hAnsi="Calibri" w:cs="Calibri"/>
                <w:b/>
                <w:iCs/>
                <w:caps/>
                <w:noProof/>
                <w:szCs w:val="24"/>
              </w:rPr>
              <w:t>18</w:t>
            </w:r>
            <w:r w:rsidRPr="00D633FF">
              <w:rPr>
                <w:rFonts w:ascii="Calibri" w:eastAsia="Arial" w:hAnsi="Calibri" w:cs="Calibri"/>
                <w:b/>
                <w:iCs/>
                <w:caps/>
                <w:szCs w:val="24"/>
              </w:rPr>
              <w:fldChar w:fldCharType="end"/>
            </w:r>
            <w:bookmarkEnd w:id="103"/>
            <w:bookmarkEnd w:id="104"/>
            <w:r w:rsidR="0069638C">
              <w:rPr>
                <w:rFonts w:ascii="Calibri" w:eastAsia="Arial" w:hAnsi="Calibri" w:cs="Calibri"/>
                <w:b/>
                <w:iCs/>
                <w:caps/>
                <w:szCs w:val="24"/>
              </w:rPr>
              <w:t>.</w:t>
            </w:r>
            <w:r w:rsidRPr="00D633FF">
              <w:rPr>
                <w:rFonts w:ascii="Calibri" w:eastAsia="Arial" w:hAnsi="Calibri" w:cs="Calibri"/>
                <w:iCs/>
                <w:caps/>
                <w:szCs w:val="24"/>
              </w:rPr>
              <w:t xml:space="preserve"> </w:t>
            </w:r>
            <w:r w:rsidR="006F04A4" w:rsidRPr="000E6907">
              <w:rPr>
                <w:rFonts w:ascii="Calibri" w:eastAsia="Arial" w:hAnsi="Calibri" w:cs="Calibri"/>
                <w:b/>
                <w:bCs/>
                <w:iCs/>
                <w:szCs w:val="24"/>
              </w:rPr>
              <w:t xml:space="preserve">Selenium intake in New Zealand adults (general population), 2008-09 </w:t>
            </w:r>
            <w:r w:rsidR="007A5EB4" w:rsidRPr="000E6907">
              <w:rPr>
                <w:rFonts w:ascii="Calibri" w:eastAsia="Arial" w:hAnsi="Calibri" w:cs="Calibri"/>
                <w:b/>
                <w:bCs/>
                <w:iCs/>
                <w:szCs w:val="24"/>
              </w:rPr>
              <w:t>N</w:t>
            </w:r>
            <w:r w:rsidR="006F04A4" w:rsidRPr="000E6907">
              <w:rPr>
                <w:rFonts w:ascii="Calibri" w:eastAsia="Arial" w:hAnsi="Calibri" w:cs="Calibri"/>
                <w:b/>
                <w:bCs/>
                <w:iCs/>
                <w:szCs w:val="24"/>
              </w:rPr>
              <w:t xml:space="preserve">ew </w:t>
            </w:r>
            <w:r w:rsidR="007A5EB4" w:rsidRPr="000E6907">
              <w:rPr>
                <w:rFonts w:ascii="Calibri" w:eastAsia="Arial" w:hAnsi="Calibri" w:cs="Calibri"/>
                <w:b/>
                <w:bCs/>
                <w:iCs/>
                <w:szCs w:val="24"/>
              </w:rPr>
              <w:t>Z</w:t>
            </w:r>
            <w:r w:rsidR="006F04A4" w:rsidRPr="000E6907">
              <w:rPr>
                <w:rFonts w:ascii="Calibri" w:eastAsia="Arial" w:hAnsi="Calibri" w:cs="Calibri"/>
                <w:b/>
                <w:bCs/>
                <w:iCs/>
                <w:szCs w:val="24"/>
              </w:rPr>
              <w:t xml:space="preserve">ealand </w:t>
            </w:r>
            <w:r w:rsidR="007A5EB4" w:rsidRPr="000E6907">
              <w:rPr>
                <w:rFonts w:ascii="Calibri" w:eastAsia="Arial" w:hAnsi="Calibri" w:cs="Calibri"/>
                <w:b/>
                <w:bCs/>
                <w:iCs/>
                <w:szCs w:val="24"/>
              </w:rPr>
              <w:t>A</w:t>
            </w:r>
            <w:r w:rsidR="006F04A4" w:rsidRPr="000E6907">
              <w:rPr>
                <w:rFonts w:ascii="Calibri" w:eastAsia="Arial" w:hAnsi="Calibri" w:cs="Calibri"/>
                <w:b/>
                <w:bCs/>
                <w:iCs/>
                <w:szCs w:val="24"/>
              </w:rPr>
              <w:t xml:space="preserve">dult </w:t>
            </w:r>
            <w:r w:rsidR="007A5EB4" w:rsidRPr="000E6907">
              <w:rPr>
                <w:rFonts w:ascii="Calibri" w:eastAsia="Arial" w:hAnsi="Calibri" w:cs="Calibri"/>
                <w:b/>
                <w:bCs/>
                <w:iCs/>
                <w:szCs w:val="24"/>
              </w:rPr>
              <w:t>N</w:t>
            </w:r>
            <w:r w:rsidR="006F04A4" w:rsidRPr="000E6907">
              <w:rPr>
                <w:rFonts w:ascii="Calibri" w:eastAsia="Arial" w:hAnsi="Calibri" w:cs="Calibri"/>
                <w:b/>
                <w:bCs/>
                <w:iCs/>
                <w:szCs w:val="24"/>
              </w:rPr>
              <w:t xml:space="preserve">utrition </w:t>
            </w:r>
            <w:r w:rsidR="007A5EB4" w:rsidRPr="000E6907">
              <w:rPr>
                <w:rFonts w:ascii="Calibri" w:eastAsia="Arial" w:hAnsi="Calibri" w:cs="Calibri"/>
                <w:b/>
                <w:bCs/>
                <w:iCs/>
                <w:szCs w:val="24"/>
              </w:rPr>
              <w:t>S</w:t>
            </w:r>
            <w:r w:rsidR="006F04A4" w:rsidRPr="000E6907">
              <w:rPr>
                <w:rFonts w:ascii="Calibri" w:eastAsia="Arial" w:hAnsi="Calibri" w:cs="Calibri"/>
                <w:b/>
                <w:bCs/>
                <w:iCs/>
                <w:szCs w:val="24"/>
              </w:rPr>
              <w:t>urvey</w:t>
            </w:r>
          </w:p>
          <w:tbl>
            <w:tblPr>
              <w:tblStyle w:val="GridTable4"/>
              <w:tblW w:w="8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1"/>
              <w:gridCol w:w="1559"/>
              <w:gridCol w:w="1701"/>
              <w:gridCol w:w="1701"/>
              <w:gridCol w:w="1843"/>
            </w:tblGrid>
            <w:tr w:rsidR="005C5475" w:rsidRPr="00D633FF" w14:paraId="2FDF5AEA" w14:textId="77777777" w:rsidTr="00691CBF">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81" w:type="dxa"/>
                  <w:tcBorders>
                    <w:bottom w:val="single" w:sz="4" w:space="0" w:color="auto"/>
                  </w:tcBorders>
                  <w:shd w:val="clear" w:color="auto" w:fill="000000" w:themeFill="text1"/>
                  <w:noWrap/>
                  <w:vAlign w:val="center"/>
                </w:tcPr>
                <w:p w14:paraId="46E8719C" w14:textId="77777777" w:rsidR="005C5475" w:rsidRPr="00D633FF" w:rsidRDefault="005C5475" w:rsidP="001A6730">
                  <w:pPr>
                    <w:keepNext/>
                    <w:keepLines/>
                    <w:widowControl w:val="0"/>
                    <w:spacing w:line="276" w:lineRule="auto"/>
                    <w:jc w:val="right"/>
                    <w:rPr>
                      <w:rFonts w:ascii="Calibri" w:eastAsia="Times New Roman" w:hAnsi="Calibri" w:cs="Calibri"/>
                      <w:color w:val="FFFFFF"/>
                    </w:rPr>
                  </w:pPr>
                  <w:r w:rsidRPr="00D633FF">
                    <w:rPr>
                      <w:rFonts w:ascii="Calibri" w:eastAsia="Times New Roman" w:hAnsi="Calibri" w:cs="Calibri"/>
                      <w:color w:val="FFFFFF"/>
                    </w:rPr>
                    <w:t>Age groups (years)</w:t>
                  </w:r>
                </w:p>
              </w:tc>
              <w:tc>
                <w:tcPr>
                  <w:tcW w:w="1559" w:type="dxa"/>
                  <w:shd w:val="clear" w:color="auto" w:fill="000000" w:themeFill="text1"/>
                  <w:vAlign w:val="center"/>
                </w:tcPr>
                <w:p w14:paraId="5E5B3B72" w14:textId="77777777" w:rsidR="005C5475" w:rsidRPr="00D633FF" w:rsidRDefault="005C5475" w:rsidP="001A6730">
                  <w:pPr>
                    <w:keepNext/>
                    <w:keepLines/>
                    <w:widowControl w:val="0"/>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rPr>
                  </w:pPr>
                  <w:r w:rsidRPr="00D633FF">
                    <w:rPr>
                      <w:rFonts w:ascii="Calibri" w:eastAsia="Times New Roman" w:hAnsi="Calibri" w:cs="Calibri"/>
                      <w:color w:val="FFFFFF"/>
                    </w:rPr>
                    <w:t>Sex</w:t>
                  </w:r>
                </w:p>
              </w:tc>
              <w:tc>
                <w:tcPr>
                  <w:tcW w:w="1701" w:type="dxa"/>
                  <w:shd w:val="clear" w:color="auto" w:fill="000000" w:themeFill="text1"/>
                </w:tcPr>
                <w:p w14:paraId="6D047315" w14:textId="46FD449D" w:rsidR="005C5475" w:rsidRPr="00D633FF" w:rsidRDefault="005C5475" w:rsidP="001A6730">
                  <w:pPr>
                    <w:keepNext/>
                    <w:keepLines/>
                    <w:widowControl w:val="0"/>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rPr>
                  </w:pPr>
                  <w:r w:rsidRPr="00D633FF">
                    <w:rPr>
                      <w:rFonts w:ascii="Calibri" w:eastAsia="Times New Roman" w:hAnsi="Calibri" w:cs="Calibri"/>
                      <w:color w:val="FFFFFF"/>
                    </w:rPr>
                    <w:t>Mean Intake</w:t>
                  </w:r>
                </w:p>
                <w:p w14:paraId="5EBFD155" w14:textId="77777777" w:rsidR="005C5475" w:rsidRPr="00D633FF" w:rsidRDefault="005C5475" w:rsidP="001A6730">
                  <w:pPr>
                    <w:keepNext/>
                    <w:keepLines/>
                    <w:widowControl w:val="0"/>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rPr>
                  </w:pPr>
                  <w:r w:rsidRPr="00D633FF">
                    <w:rPr>
                      <w:rFonts w:ascii="Calibri" w:eastAsia="Times New Roman" w:hAnsi="Calibri" w:cs="Calibri"/>
                      <w:color w:val="FFFFFF"/>
                    </w:rPr>
                    <w:t>(µg/day)</w:t>
                  </w:r>
                </w:p>
              </w:tc>
              <w:tc>
                <w:tcPr>
                  <w:tcW w:w="1701" w:type="dxa"/>
                  <w:shd w:val="clear" w:color="auto" w:fill="000000" w:themeFill="text1"/>
                </w:tcPr>
                <w:p w14:paraId="7FCE8883" w14:textId="77777777" w:rsidR="005C5475" w:rsidRPr="00D633FF" w:rsidRDefault="005C5475" w:rsidP="001A6730">
                  <w:pPr>
                    <w:keepNext/>
                    <w:keepLines/>
                    <w:widowControl w:val="0"/>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rPr>
                  </w:pPr>
                  <w:r w:rsidRPr="00D633FF">
                    <w:rPr>
                      <w:rFonts w:ascii="Calibri" w:eastAsia="Times New Roman" w:hAnsi="Calibri" w:cs="Calibri"/>
                      <w:color w:val="FFFFFF"/>
                    </w:rPr>
                    <w:t>% less than EAR</w:t>
                  </w:r>
                </w:p>
              </w:tc>
              <w:tc>
                <w:tcPr>
                  <w:tcW w:w="1843" w:type="dxa"/>
                  <w:shd w:val="clear" w:color="auto" w:fill="000000" w:themeFill="text1"/>
                </w:tcPr>
                <w:p w14:paraId="3157F33D" w14:textId="7D3E1638" w:rsidR="005C5475" w:rsidRPr="00D633FF" w:rsidRDefault="005C5475" w:rsidP="001A6730">
                  <w:pPr>
                    <w:keepNext/>
                    <w:keepLines/>
                    <w:widowControl w:val="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rPr>
                  </w:pPr>
                  <w:r w:rsidRPr="00D633FF">
                    <w:rPr>
                      <w:rFonts w:ascii="Calibri" w:eastAsia="Times New Roman" w:hAnsi="Calibri" w:cs="Calibri"/>
                      <w:color w:val="FFFFFF"/>
                    </w:rPr>
                    <w:t>90</w:t>
                  </w:r>
                  <w:r w:rsidRPr="00D633FF">
                    <w:rPr>
                      <w:rFonts w:ascii="Calibri" w:eastAsia="Times New Roman" w:hAnsi="Calibri" w:cs="Calibri"/>
                      <w:color w:val="FFFFFF"/>
                      <w:vertAlign w:val="superscript"/>
                    </w:rPr>
                    <w:t>th</w:t>
                  </w:r>
                  <w:r w:rsidRPr="00D633FF">
                    <w:rPr>
                      <w:rFonts w:ascii="Calibri" w:eastAsia="Times New Roman" w:hAnsi="Calibri" w:cs="Calibri"/>
                      <w:color w:val="FFFFFF"/>
                    </w:rPr>
                    <w:t xml:space="preserve"> Percentile intake</w:t>
                  </w:r>
                </w:p>
                <w:p w14:paraId="161B497F" w14:textId="77777777" w:rsidR="005C5475" w:rsidRPr="00D633FF" w:rsidRDefault="005C5475" w:rsidP="001A6730">
                  <w:pPr>
                    <w:keepNext/>
                    <w:keepLines/>
                    <w:widowControl w:val="0"/>
                    <w:spacing w:before="0"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rPr>
                  </w:pPr>
                  <w:r w:rsidRPr="00D633FF">
                    <w:rPr>
                      <w:rFonts w:ascii="Calibri" w:eastAsia="Times New Roman" w:hAnsi="Calibri" w:cs="Calibri"/>
                      <w:color w:val="FFFFFF"/>
                    </w:rPr>
                    <w:t>(ug/day)</w:t>
                  </w:r>
                </w:p>
              </w:tc>
            </w:tr>
            <w:tr w:rsidR="005C5475" w:rsidRPr="00D633FF" w14:paraId="2C245DCB" w14:textId="77777777" w:rsidTr="00691CBF">
              <w:trPr>
                <w:cantSplit/>
              </w:trPr>
              <w:tc>
                <w:tcPr>
                  <w:cnfStyle w:val="001000000000" w:firstRow="0" w:lastRow="0" w:firstColumn="1" w:lastColumn="0" w:oddVBand="0" w:evenVBand="0" w:oddHBand="0" w:evenHBand="0" w:firstRowFirstColumn="0" w:firstRowLastColumn="0" w:lastRowFirstColumn="0" w:lastRowLastColumn="0"/>
                  <w:tcW w:w="1581" w:type="dxa"/>
                  <w:tcBorders>
                    <w:bottom w:val="nil"/>
                  </w:tcBorders>
                  <w:noWrap/>
                  <w:vAlign w:val="center"/>
                </w:tcPr>
                <w:p w14:paraId="26AF8B51" w14:textId="77777777" w:rsidR="005C5475" w:rsidRPr="00D633FF" w:rsidRDefault="005C5475" w:rsidP="001A6730">
                  <w:pPr>
                    <w:keepNext/>
                    <w:keepLines/>
                    <w:widowControl w:val="0"/>
                    <w:spacing w:line="276" w:lineRule="auto"/>
                    <w:jc w:val="right"/>
                    <w:rPr>
                      <w:rFonts w:ascii="Calibri" w:eastAsia="Times New Roman" w:hAnsi="Calibri" w:cs="Calibri"/>
                    </w:rPr>
                  </w:pPr>
                  <w:r w:rsidRPr="00D633FF">
                    <w:rPr>
                      <w:rFonts w:ascii="Calibri" w:eastAsia="Times New Roman" w:hAnsi="Calibri" w:cs="Calibri"/>
                    </w:rPr>
                    <w:t>15-18</w:t>
                  </w:r>
                </w:p>
              </w:tc>
              <w:tc>
                <w:tcPr>
                  <w:tcW w:w="1559" w:type="dxa"/>
                  <w:vAlign w:val="center"/>
                </w:tcPr>
                <w:p w14:paraId="378060C4" w14:textId="77777777" w:rsidR="005C5475" w:rsidRPr="00D633FF" w:rsidRDefault="005C5475" w:rsidP="001A6730">
                  <w:pPr>
                    <w:keepNext/>
                    <w:keepLines/>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Males</w:t>
                  </w:r>
                </w:p>
              </w:tc>
              <w:tc>
                <w:tcPr>
                  <w:tcW w:w="1701" w:type="dxa"/>
                  <w:vAlign w:val="center"/>
                </w:tcPr>
                <w:p w14:paraId="530D1DD6" w14:textId="77777777" w:rsidR="005C5475" w:rsidRPr="00D633FF" w:rsidRDefault="005C5475" w:rsidP="001A6730">
                  <w:pPr>
                    <w:keepNext/>
                    <w:keepLines/>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66.6</w:t>
                  </w:r>
                </w:p>
              </w:tc>
              <w:tc>
                <w:tcPr>
                  <w:tcW w:w="1701" w:type="dxa"/>
                  <w:vAlign w:val="center"/>
                </w:tcPr>
                <w:p w14:paraId="393E8464" w14:textId="77777777" w:rsidR="005C5475" w:rsidRPr="00D633FF" w:rsidRDefault="005C5475" w:rsidP="001A6730">
                  <w:pPr>
                    <w:keepNext/>
                    <w:keepLines/>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40.4%</w:t>
                  </w:r>
                </w:p>
              </w:tc>
              <w:tc>
                <w:tcPr>
                  <w:tcW w:w="1843" w:type="dxa"/>
                  <w:vAlign w:val="center"/>
                </w:tcPr>
                <w:p w14:paraId="2E69CE84" w14:textId="77777777" w:rsidR="005C5475" w:rsidRPr="00D633FF" w:rsidRDefault="005C5475" w:rsidP="001A6730">
                  <w:pPr>
                    <w:keepNext/>
                    <w:keepLines/>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91.0</w:t>
                  </w:r>
                </w:p>
              </w:tc>
            </w:tr>
            <w:tr w:rsidR="0017087A" w:rsidRPr="00D633FF" w14:paraId="480E3579" w14:textId="77777777" w:rsidTr="00691CBF">
              <w:trPr>
                <w:cantSplit/>
              </w:trPr>
              <w:tc>
                <w:tcPr>
                  <w:cnfStyle w:val="001000000000" w:firstRow="0" w:lastRow="0" w:firstColumn="1" w:lastColumn="0" w:oddVBand="0" w:evenVBand="0" w:oddHBand="0" w:evenHBand="0" w:firstRowFirstColumn="0" w:firstRowLastColumn="0" w:lastRowFirstColumn="0" w:lastRowLastColumn="0"/>
                  <w:tcW w:w="1581" w:type="dxa"/>
                  <w:tcBorders>
                    <w:top w:val="nil"/>
                    <w:bottom w:val="single" w:sz="4" w:space="0" w:color="auto"/>
                  </w:tcBorders>
                  <w:noWrap/>
                  <w:vAlign w:val="center"/>
                </w:tcPr>
                <w:p w14:paraId="0A2F054C" w14:textId="77777777" w:rsidR="005C5475" w:rsidRPr="00D633FF" w:rsidRDefault="005C5475" w:rsidP="001A6730">
                  <w:pPr>
                    <w:keepNext/>
                    <w:keepLines/>
                    <w:widowControl w:val="0"/>
                    <w:spacing w:line="276" w:lineRule="auto"/>
                    <w:jc w:val="right"/>
                    <w:rPr>
                      <w:rFonts w:ascii="Calibri" w:eastAsia="Times New Roman" w:hAnsi="Calibri" w:cs="Calibri"/>
                    </w:rPr>
                  </w:pPr>
                </w:p>
              </w:tc>
              <w:tc>
                <w:tcPr>
                  <w:tcW w:w="1559" w:type="dxa"/>
                  <w:shd w:val="clear" w:color="auto" w:fill="FFFFFF"/>
                  <w:vAlign w:val="center"/>
                </w:tcPr>
                <w:p w14:paraId="48EAF233" w14:textId="77777777" w:rsidR="005C5475" w:rsidRPr="00D633FF" w:rsidRDefault="005C5475" w:rsidP="001A6730">
                  <w:pPr>
                    <w:keepNext/>
                    <w:keepLines/>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Females</w:t>
                  </w:r>
                </w:p>
              </w:tc>
              <w:tc>
                <w:tcPr>
                  <w:tcW w:w="1701" w:type="dxa"/>
                  <w:shd w:val="clear" w:color="auto" w:fill="FFFFFF"/>
                  <w:vAlign w:val="center"/>
                </w:tcPr>
                <w:p w14:paraId="785A7434" w14:textId="77777777" w:rsidR="005C5475" w:rsidRPr="00D633FF" w:rsidRDefault="005C5475" w:rsidP="001A6730">
                  <w:pPr>
                    <w:keepNext/>
                    <w:keepLines/>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41.1</w:t>
                  </w:r>
                </w:p>
              </w:tc>
              <w:tc>
                <w:tcPr>
                  <w:tcW w:w="1701" w:type="dxa"/>
                  <w:shd w:val="clear" w:color="auto" w:fill="FFFFFF"/>
                  <w:vAlign w:val="center"/>
                </w:tcPr>
                <w:p w14:paraId="4128DB63" w14:textId="77777777" w:rsidR="005C5475" w:rsidRPr="00D633FF" w:rsidRDefault="005C5475" w:rsidP="001A6730">
                  <w:pPr>
                    <w:keepNext/>
                    <w:keepLines/>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highlight w:val="yellow"/>
                    </w:rPr>
                  </w:pPr>
                  <w:r w:rsidRPr="00D633FF">
                    <w:rPr>
                      <w:rFonts w:ascii="Calibri" w:eastAsia="Times New Roman" w:hAnsi="Calibri" w:cs="Calibri"/>
                      <w:color w:val="000000"/>
                    </w:rPr>
                    <w:t>78.2%</w:t>
                  </w:r>
                </w:p>
              </w:tc>
              <w:tc>
                <w:tcPr>
                  <w:tcW w:w="1843" w:type="dxa"/>
                  <w:shd w:val="clear" w:color="auto" w:fill="FFFFFF"/>
                  <w:vAlign w:val="center"/>
                </w:tcPr>
                <w:p w14:paraId="57753F67" w14:textId="77777777" w:rsidR="005C5475" w:rsidRPr="00D633FF" w:rsidRDefault="005C5475" w:rsidP="001A6730">
                  <w:pPr>
                    <w:keepNext/>
                    <w:keepLines/>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highlight w:val="yellow"/>
                    </w:rPr>
                  </w:pPr>
                  <w:r w:rsidRPr="00D633FF">
                    <w:rPr>
                      <w:rFonts w:ascii="Calibri" w:eastAsia="Times New Roman" w:hAnsi="Calibri" w:cs="Calibri"/>
                      <w:color w:val="000000"/>
                    </w:rPr>
                    <w:t>59.0</w:t>
                  </w:r>
                </w:p>
              </w:tc>
            </w:tr>
            <w:tr w:rsidR="005C5475" w:rsidRPr="00D633FF" w14:paraId="72730D6D" w14:textId="77777777" w:rsidTr="00691CBF">
              <w:trPr>
                <w:cantSplit/>
              </w:trPr>
              <w:tc>
                <w:tcPr>
                  <w:cnfStyle w:val="001000000000" w:firstRow="0" w:lastRow="0" w:firstColumn="1" w:lastColumn="0" w:oddVBand="0" w:evenVBand="0" w:oddHBand="0" w:evenHBand="0" w:firstRowFirstColumn="0" w:firstRowLastColumn="0" w:lastRowFirstColumn="0" w:lastRowLastColumn="0"/>
                  <w:tcW w:w="1581" w:type="dxa"/>
                  <w:tcBorders>
                    <w:bottom w:val="nil"/>
                  </w:tcBorders>
                  <w:noWrap/>
                  <w:vAlign w:val="center"/>
                </w:tcPr>
                <w:p w14:paraId="642641BD" w14:textId="77777777" w:rsidR="005C5475" w:rsidRPr="00D633FF" w:rsidRDefault="005C5475" w:rsidP="001A6730">
                  <w:pPr>
                    <w:keepNext/>
                    <w:keepLines/>
                    <w:widowControl w:val="0"/>
                    <w:spacing w:line="276" w:lineRule="auto"/>
                    <w:jc w:val="right"/>
                    <w:rPr>
                      <w:rFonts w:ascii="Calibri" w:eastAsia="Times New Roman" w:hAnsi="Calibri" w:cs="Calibri"/>
                    </w:rPr>
                  </w:pPr>
                  <w:r w:rsidRPr="00D633FF">
                    <w:rPr>
                      <w:rFonts w:ascii="Calibri" w:eastAsia="Times New Roman" w:hAnsi="Calibri" w:cs="Calibri"/>
                    </w:rPr>
                    <w:t xml:space="preserve">19-30 </w:t>
                  </w:r>
                </w:p>
              </w:tc>
              <w:tc>
                <w:tcPr>
                  <w:tcW w:w="1559" w:type="dxa"/>
                  <w:vAlign w:val="center"/>
                </w:tcPr>
                <w:p w14:paraId="2AB4E73F" w14:textId="77777777" w:rsidR="005C5475" w:rsidRPr="00D633FF" w:rsidRDefault="005C5475" w:rsidP="001A6730">
                  <w:pPr>
                    <w:keepNext/>
                    <w:keepLines/>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Males</w:t>
                  </w:r>
                </w:p>
              </w:tc>
              <w:tc>
                <w:tcPr>
                  <w:tcW w:w="1701" w:type="dxa"/>
                  <w:vAlign w:val="center"/>
                </w:tcPr>
                <w:p w14:paraId="791831D4" w14:textId="77777777" w:rsidR="005C5475" w:rsidRPr="00D633FF" w:rsidRDefault="005C5475" w:rsidP="001A6730">
                  <w:pPr>
                    <w:keepNext/>
                    <w:keepLines/>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67.6</w:t>
                  </w:r>
                </w:p>
              </w:tc>
              <w:tc>
                <w:tcPr>
                  <w:tcW w:w="1701" w:type="dxa"/>
                  <w:vAlign w:val="center"/>
                </w:tcPr>
                <w:p w14:paraId="303C78F8" w14:textId="77777777" w:rsidR="005C5475" w:rsidRPr="00D633FF" w:rsidRDefault="005C5475" w:rsidP="001A6730">
                  <w:pPr>
                    <w:keepNext/>
                    <w:keepLines/>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highlight w:val="yellow"/>
                    </w:rPr>
                  </w:pPr>
                  <w:r w:rsidRPr="00D633FF">
                    <w:rPr>
                      <w:rFonts w:ascii="Calibri" w:eastAsia="Times New Roman" w:hAnsi="Calibri" w:cs="Calibri"/>
                      <w:color w:val="000000"/>
                    </w:rPr>
                    <w:t>29.7%</w:t>
                  </w:r>
                  <w:r w:rsidRPr="00D633FF">
                    <w:rPr>
                      <w:rFonts w:ascii="Calibri" w:eastAsia="Times New Roman" w:hAnsi="Calibri" w:cs="Calibri"/>
                      <w:color w:val="000000"/>
                      <w:vertAlign w:val="superscript"/>
                    </w:rPr>
                    <w:t>#</w:t>
                  </w:r>
                </w:p>
              </w:tc>
              <w:tc>
                <w:tcPr>
                  <w:tcW w:w="1843" w:type="dxa"/>
                  <w:vAlign w:val="center"/>
                </w:tcPr>
                <w:p w14:paraId="1AF98BC0" w14:textId="77777777" w:rsidR="005C5475" w:rsidRPr="00D633FF" w:rsidRDefault="005C5475" w:rsidP="001A6730">
                  <w:pPr>
                    <w:keepNext/>
                    <w:keepLines/>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highlight w:val="yellow"/>
                    </w:rPr>
                  </w:pPr>
                  <w:r w:rsidRPr="00D633FF">
                    <w:rPr>
                      <w:rFonts w:ascii="Calibri" w:eastAsia="Times New Roman" w:hAnsi="Calibri" w:cs="Calibri"/>
                      <w:color w:val="000000"/>
                    </w:rPr>
                    <w:t>84.7</w:t>
                  </w:r>
                </w:p>
              </w:tc>
            </w:tr>
            <w:tr w:rsidR="0017087A" w:rsidRPr="00D633FF" w14:paraId="076FA8FE" w14:textId="77777777" w:rsidTr="00691CBF">
              <w:trPr>
                <w:cantSplit/>
              </w:trPr>
              <w:tc>
                <w:tcPr>
                  <w:cnfStyle w:val="001000000000" w:firstRow="0" w:lastRow="0" w:firstColumn="1" w:lastColumn="0" w:oddVBand="0" w:evenVBand="0" w:oddHBand="0" w:evenHBand="0" w:firstRowFirstColumn="0" w:firstRowLastColumn="0" w:lastRowFirstColumn="0" w:lastRowLastColumn="0"/>
                  <w:tcW w:w="1581" w:type="dxa"/>
                  <w:tcBorders>
                    <w:top w:val="nil"/>
                    <w:bottom w:val="single" w:sz="4" w:space="0" w:color="auto"/>
                  </w:tcBorders>
                  <w:noWrap/>
                  <w:vAlign w:val="center"/>
                </w:tcPr>
                <w:p w14:paraId="42D71625" w14:textId="77777777" w:rsidR="005C5475" w:rsidRPr="00D633FF" w:rsidRDefault="005C5475" w:rsidP="001A6730">
                  <w:pPr>
                    <w:keepNext/>
                    <w:keepLines/>
                    <w:widowControl w:val="0"/>
                    <w:spacing w:line="276" w:lineRule="auto"/>
                    <w:jc w:val="right"/>
                    <w:rPr>
                      <w:rFonts w:ascii="Calibri" w:eastAsia="Times New Roman" w:hAnsi="Calibri" w:cs="Calibri"/>
                    </w:rPr>
                  </w:pPr>
                </w:p>
              </w:tc>
              <w:tc>
                <w:tcPr>
                  <w:tcW w:w="1559" w:type="dxa"/>
                  <w:shd w:val="clear" w:color="auto" w:fill="FFFFFF"/>
                  <w:vAlign w:val="center"/>
                </w:tcPr>
                <w:p w14:paraId="5079538B" w14:textId="77777777" w:rsidR="005C5475" w:rsidRPr="00D633FF" w:rsidRDefault="005C5475" w:rsidP="001A6730">
                  <w:pPr>
                    <w:keepNext/>
                    <w:keepLines/>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Females</w:t>
                  </w:r>
                </w:p>
              </w:tc>
              <w:tc>
                <w:tcPr>
                  <w:tcW w:w="1701" w:type="dxa"/>
                  <w:shd w:val="clear" w:color="auto" w:fill="FFFFFF"/>
                  <w:vAlign w:val="center"/>
                </w:tcPr>
                <w:p w14:paraId="5986EDFC" w14:textId="77777777" w:rsidR="005C5475" w:rsidRPr="00D633FF" w:rsidRDefault="005C5475" w:rsidP="001A6730">
                  <w:pPr>
                    <w:keepNext/>
                    <w:keepLines/>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47.1</w:t>
                  </w:r>
                </w:p>
              </w:tc>
              <w:tc>
                <w:tcPr>
                  <w:tcW w:w="1701" w:type="dxa"/>
                  <w:shd w:val="clear" w:color="auto" w:fill="FFFFFF"/>
                  <w:vAlign w:val="center"/>
                </w:tcPr>
                <w:p w14:paraId="2864CB5E" w14:textId="77777777" w:rsidR="005C5475" w:rsidRPr="00D633FF" w:rsidRDefault="005C5475" w:rsidP="001A6730">
                  <w:pPr>
                    <w:keepNext/>
                    <w:keepLines/>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highlight w:val="yellow"/>
                    </w:rPr>
                  </w:pPr>
                  <w:r w:rsidRPr="00D633FF">
                    <w:rPr>
                      <w:rFonts w:ascii="Calibri" w:eastAsia="Times New Roman" w:hAnsi="Calibri" w:cs="Calibri"/>
                      <w:color w:val="000000"/>
                    </w:rPr>
                    <w:t>71.7%</w:t>
                  </w:r>
                </w:p>
              </w:tc>
              <w:tc>
                <w:tcPr>
                  <w:tcW w:w="1843" w:type="dxa"/>
                  <w:shd w:val="clear" w:color="auto" w:fill="FFFFFF"/>
                  <w:vAlign w:val="center"/>
                </w:tcPr>
                <w:p w14:paraId="3DDAA16D" w14:textId="77777777" w:rsidR="005C5475" w:rsidRPr="00D633FF" w:rsidRDefault="005C5475" w:rsidP="001A6730">
                  <w:pPr>
                    <w:keepNext/>
                    <w:keepLines/>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highlight w:val="yellow"/>
                    </w:rPr>
                  </w:pPr>
                  <w:r w:rsidRPr="00D633FF">
                    <w:rPr>
                      <w:rFonts w:ascii="Calibri" w:eastAsia="Times New Roman" w:hAnsi="Calibri" w:cs="Calibri"/>
                      <w:color w:val="000000"/>
                    </w:rPr>
                    <w:t>57.6</w:t>
                  </w:r>
                </w:p>
              </w:tc>
            </w:tr>
            <w:tr w:rsidR="005C5475" w:rsidRPr="00D633FF" w14:paraId="5A4B6F14" w14:textId="77777777" w:rsidTr="00691CBF">
              <w:trPr>
                <w:cantSplit/>
              </w:trPr>
              <w:tc>
                <w:tcPr>
                  <w:cnfStyle w:val="001000000000" w:firstRow="0" w:lastRow="0" w:firstColumn="1" w:lastColumn="0" w:oddVBand="0" w:evenVBand="0" w:oddHBand="0" w:evenHBand="0" w:firstRowFirstColumn="0" w:firstRowLastColumn="0" w:lastRowFirstColumn="0" w:lastRowLastColumn="0"/>
                  <w:tcW w:w="1581" w:type="dxa"/>
                  <w:tcBorders>
                    <w:bottom w:val="nil"/>
                  </w:tcBorders>
                  <w:noWrap/>
                  <w:vAlign w:val="center"/>
                  <w:hideMark/>
                </w:tcPr>
                <w:p w14:paraId="61B2DC4E" w14:textId="77777777" w:rsidR="005C5475" w:rsidRPr="00D633FF" w:rsidRDefault="005C5475" w:rsidP="001A6730">
                  <w:pPr>
                    <w:keepNext/>
                    <w:keepLines/>
                    <w:widowControl w:val="0"/>
                    <w:spacing w:line="276" w:lineRule="auto"/>
                    <w:jc w:val="right"/>
                    <w:rPr>
                      <w:rFonts w:ascii="Calibri" w:eastAsia="Times New Roman" w:hAnsi="Calibri" w:cs="Calibri"/>
                    </w:rPr>
                  </w:pPr>
                  <w:r w:rsidRPr="00D633FF">
                    <w:rPr>
                      <w:rFonts w:ascii="Calibri" w:eastAsia="Times New Roman" w:hAnsi="Calibri" w:cs="Calibri"/>
                    </w:rPr>
                    <w:t>31-50</w:t>
                  </w:r>
                </w:p>
              </w:tc>
              <w:tc>
                <w:tcPr>
                  <w:tcW w:w="1559" w:type="dxa"/>
                  <w:vAlign w:val="center"/>
                </w:tcPr>
                <w:p w14:paraId="25BA99D8" w14:textId="77777777" w:rsidR="005C5475" w:rsidRPr="00D633FF" w:rsidRDefault="005C5475" w:rsidP="001A6730">
                  <w:pPr>
                    <w:keepNext/>
                    <w:keepLines/>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Males</w:t>
                  </w:r>
                </w:p>
              </w:tc>
              <w:tc>
                <w:tcPr>
                  <w:tcW w:w="1701" w:type="dxa"/>
                  <w:vAlign w:val="center"/>
                </w:tcPr>
                <w:p w14:paraId="02ACB077" w14:textId="77777777" w:rsidR="005C5475" w:rsidRPr="00D633FF" w:rsidRDefault="005C5475" w:rsidP="001A6730">
                  <w:pPr>
                    <w:keepNext/>
                    <w:keepLines/>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79.4</w:t>
                  </w:r>
                </w:p>
              </w:tc>
              <w:tc>
                <w:tcPr>
                  <w:tcW w:w="1701" w:type="dxa"/>
                  <w:vAlign w:val="center"/>
                </w:tcPr>
                <w:p w14:paraId="35FA732A" w14:textId="77777777" w:rsidR="005C5475" w:rsidRPr="00D633FF" w:rsidRDefault="005C5475" w:rsidP="001A6730">
                  <w:pPr>
                    <w:keepNext/>
                    <w:keepLines/>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highlight w:val="yellow"/>
                    </w:rPr>
                  </w:pPr>
                  <w:r w:rsidRPr="00D633FF">
                    <w:rPr>
                      <w:rFonts w:ascii="Calibri" w:eastAsia="Times New Roman" w:hAnsi="Calibri" w:cs="Calibri"/>
                      <w:color w:val="000000"/>
                    </w:rPr>
                    <w:t>10.9%</w:t>
                  </w:r>
                  <w:r w:rsidRPr="00D633FF">
                    <w:rPr>
                      <w:rFonts w:ascii="Calibri" w:eastAsia="Times New Roman" w:hAnsi="Calibri" w:cs="Calibri"/>
                      <w:color w:val="000000"/>
                      <w:vertAlign w:val="superscript"/>
                    </w:rPr>
                    <w:t>#</w:t>
                  </w:r>
                </w:p>
              </w:tc>
              <w:tc>
                <w:tcPr>
                  <w:tcW w:w="1843" w:type="dxa"/>
                  <w:vAlign w:val="center"/>
                </w:tcPr>
                <w:p w14:paraId="6420D2FF" w14:textId="77777777" w:rsidR="005C5475" w:rsidRPr="00D633FF" w:rsidRDefault="005C5475" w:rsidP="001A6730">
                  <w:pPr>
                    <w:keepNext/>
                    <w:keepLines/>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highlight w:val="yellow"/>
                    </w:rPr>
                  </w:pPr>
                  <w:r w:rsidRPr="00D633FF">
                    <w:rPr>
                      <w:rFonts w:ascii="Calibri" w:eastAsia="Times New Roman" w:hAnsi="Calibri" w:cs="Calibri"/>
                      <w:color w:val="000000"/>
                    </w:rPr>
                    <w:t>102.0</w:t>
                  </w:r>
                </w:p>
              </w:tc>
            </w:tr>
            <w:tr w:rsidR="0017087A" w:rsidRPr="00D633FF" w14:paraId="275E68A3" w14:textId="77777777" w:rsidTr="00691CBF">
              <w:trPr>
                <w:cantSplit/>
              </w:trPr>
              <w:tc>
                <w:tcPr>
                  <w:cnfStyle w:val="001000000000" w:firstRow="0" w:lastRow="0" w:firstColumn="1" w:lastColumn="0" w:oddVBand="0" w:evenVBand="0" w:oddHBand="0" w:evenHBand="0" w:firstRowFirstColumn="0" w:firstRowLastColumn="0" w:lastRowFirstColumn="0" w:lastRowLastColumn="0"/>
                  <w:tcW w:w="1581" w:type="dxa"/>
                  <w:tcBorders>
                    <w:top w:val="nil"/>
                    <w:bottom w:val="single" w:sz="4" w:space="0" w:color="auto"/>
                  </w:tcBorders>
                  <w:noWrap/>
                  <w:vAlign w:val="center"/>
                </w:tcPr>
                <w:p w14:paraId="1AF1486E" w14:textId="77777777" w:rsidR="005C5475" w:rsidRPr="00D633FF" w:rsidRDefault="005C5475" w:rsidP="001A6730">
                  <w:pPr>
                    <w:keepNext/>
                    <w:keepLines/>
                    <w:widowControl w:val="0"/>
                    <w:spacing w:line="276" w:lineRule="auto"/>
                    <w:jc w:val="right"/>
                    <w:rPr>
                      <w:rFonts w:ascii="Calibri" w:eastAsia="Times New Roman" w:hAnsi="Calibri" w:cs="Calibri"/>
                    </w:rPr>
                  </w:pPr>
                </w:p>
              </w:tc>
              <w:tc>
                <w:tcPr>
                  <w:tcW w:w="1559" w:type="dxa"/>
                  <w:shd w:val="clear" w:color="auto" w:fill="FFFFFF"/>
                  <w:vAlign w:val="center"/>
                </w:tcPr>
                <w:p w14:paraId="35746899" w14:textId="77777777" w:rsidR="005C5475" w:rsidRPr="00D633FF" w:rsidRDefault="005C5475" w:rsidP="001A6730">
                  <w:pPr>
                    <w:keepNext/>
                    <w:keepLines/>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Females</w:t>
                  </w:r>
                </w:p>
              </w:tc>
              <w:tc>
                <w:tcPr>
                  <w:tcW w:w="1701" w:type="dxa"/>
                  <w:shd w:val="clear" w:color="auto" w:fill="FFFFFF"/>
                  <w:vAlign w:val="center"/>
                </w:tcPr>
                <w:p w14:paraId="4DDD77BE" w14:textId="77777777" w:rsidR="005C5475" w:rsidRPr="00D633FF" w:rsidRDefault="005C5475" w:rsidP="001A6730">
                  <w:pPr>
                    <w:keepNext/>
                    <w:keepLines/>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54.2</w:t>
                  </w:r>
                </w:p>
              </w:tc>
              <w:tc>
                <w:tcPr>
                  <w:tcW w:w="1701" w:type="dxa"/>
                  <w:shd w:val="clear" w:color="auto" w:fill="FFFFFF"/>
                  <w:vAlign w:val="center"/>
                </w:tcPr>
                <w:p w14:paraId="44479CC6" w14:textId="77777777" w:rsidR="005C5475" w:rsidRPr="00D633FF" w:rsidRDefault="005C5475" w:rsidP="001A6730">
                  <w:pPr>
                    <w:keepNext/>
                    <w:keepLines/>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highlight w:val="yellow"/>
                    </w:rPr>
                  </w:pPr>
                  <w:r w:rsidRPr="00D633FF">
                    <w:rPr>
                      <w:rFonts w:ascii="Calibri" w:eastAsia="Times New Roman" w:hAnsi="Calibri" w:cs="Calibri"/>
                      <w:color w:val="000000"/>
                    </w:rPr>
                    <w:t>43.8%</w:t>
                  </w:r>
                </w:p>
              </w:tc>
              <w:tc>
                <w:tcPr>
                  <w:tcW w:w="1843" w:type="dxa"/>
                  <w:shd w:val="clear" w:color="auto" w:fill="FFFFFF"/>
                  <w:vAlign w:val="center"/>
                </w:tcPr>
                <w:p w14:paraId="0A562F3A" w14:textId="77777777" w:rsidR="005C5475" w:rsidRPr="00D633FF" w:rsidRDefault="005C5475" w:rsidP="001A6730">
                  <w:pPr>
                    <w:keepNext/>
                    <w:keepLines/>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highlight w:val="yellow"/>
                    </w:rPr>
                  </w:pPr>
                  <w:r w:rsidRPr="00D633FF">
                    <w:rPr>
                      <w:rFonts w:ascii="Calibri" w:eastAsia="Times New Roman" w:hAnsi="Calibri" w:cs="Calibri"/>
                      <w:color w:val="000000"/>
                    </w:rPr>
                    <w:t>73.8</w:t>
                  </w:r>
                </w:p>
              </w:tc>
            </w:tr>
            <w:tr w:rsidR="005C5475" w:rsidRPr="00D633FF" w14:paraId="4A677667" w14:textId="77777777" w:rsidTr="00691CBF">
              <w:trPr>
                <w:cantSplit/>
              </w:trPr>
              <w:tc>
                <w:tcPr>
                  <w:cnfStyle w:val="001000000000" w:firstRow="0" w:lastRow="0" w:firstColumn="1" w:lastColumn="0" w:oddVBand="0" w:evenVBand="0" w:oddHBand="0" w:evenHBand="0" w:firstRowFirstColumn="0" w:firstRowLastColumn="0" w:lastRowFirstColumn="0" w:lastRowLastColumn="0"/>
                  <w:tcW w:w="1581" w:type="dxa"/>
                  <w:tcBorders>
                    <w:bottom w:val="nil"/>
                  </w:tcBorders>
                  <w:noWrap/>
                  <w:vAlign w:val="center"/>
                  <w:hideMark/>
                </w:tcPr>
                <w:p w14:paraId="6BE10144" w14:textId="77777777" w:rsidR="005C5475" w:rsidRPr="00D633FF" w:rsidRDefault="005C5475" w:rsidP="001A6730">
                  <w:pPr>
                    <w:keepNext/>
                    <w:keepLines/>
                    <w:widowControl w:val="0"/>
                    <w:spacing w:line="276" w:lineRule="auto"/>
                    <w:jc w:val="right"/>
                    <w:rPr>
                      <w:rFonts w:ascii="Calibri" w:eastAsia="Times New Roman" w:hAnsi="Calibri" w:cs="Calibri"/>
                    </w:rPr>
                  </w:pPr>
                  <w:r w:rsidRPr="00D633FF">
                    <w:rPr>
                      <w:rFonts w:ascii="Calibri" w:eastAsia="Times New Roman" w:hAnsi="Calibri" w:cs="Calibri"/>
                    </w:rPr>
                    <w:t>51-70</w:t>
                  </w:r>
                </w:p>
              </w:tc>
              <w:tc>
                <w:tcPr>
                  <w:tcW w:w="1559" w:type="dxa"/>
                  <w:vAlign w:val="center"/>
                </w:tcPr>
                <w:p w14:paraId="31FA758E" w14:textId="77777777" w:rsidR="005C5475" w:rsidRPr="00D633FF" w:rsidRDefault="005C5475" w:rsidP="001A6730">
                  <w:pPr>
                    <w:keepNext/>
                    <w:keepLines/>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Males</w:t>
                  </w:r>
                </w:p>
              </w:tc>
              <w:tc>
                <w:tcPr>
                  <w:tcW w:w="1701" w:type="dxa"/>
                  <w:vAlign w:val="center"/>
                </w:tcPr>
                <w:p w14:paraId="707C9922" w14:textId="77777777" w:rsidR="005C5475" w:rsidRPr="00D633FF" w:rsidRDefault="005C5475" w:rsidP="001A6730">
                  <w:pPr>
                    <w:keepNext/>
                    <w:keepLines/>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63.8</w:t>
                  </w:r>
                </w:p>
              </w:tc>
              <w:tc>
                <w:tcPr>
                  <w:tcW w:w="1701" w:type="dxa"/>
                  <w:vAlign w:val="center"/>
                </w:tcPr>
                <w:p w14:paraId="770B914E" w14:textId="77777777" w:rsidR="005C5475" w:rsidRPr="00D633FF" w:rsidRDefault="005C5475" w:rsidP="001A6730">
                  <w:pPr>
                    <w:keepNext/>
                    <w:keepLines/>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highlight w:val="yellow"/>
                    </w:rPr>
                  </w:pPr>
                  <w:r w:rsidRPr="00D633FF">
                    <w:rPr>
                      <w:rFonts w:ascii="Calibri" w:eastAsia="Times New Roman" w:hAnsi="Calibri" w:cs="Calibri"/>
                      <w:color w:val="000000"/>
                    </w:rPr>
                    <w:t>46.8%</w:t>
                  </w:r>
                </w:p>
              </w:tc>
              <w:tc>
                <w:tcPr>
                  <w:tcW w:w="1843" w:type="dxa"/>
                  <w:vAlign w:val="center"/>
                </w:tcPr>
                <w:p w14:paraId="11D2432B" w14:textId="77777777" w:rsidR="005C5475" w:rsidRPr="00D633FF" w:rsidRDefault="005C5475" w:rsidP="001A6730">
                  <w:pPr>
                    <w:keepNext/>
                    <w:keepLines/>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highlight w:val="yellow"/>
                    </w:rPr>
                  </w:pPr>
                  <w:r w:rsidRPr="00D633FF">
                    <w:rPr>
                      <w:rFonts w:ascii="Calibri" w:eastAsia="Times New Roman" w:hAnsi="Calibri" w:cs="Calibri"/>
                      <w:color w:val="000000"/>
                    </w:rPr>
                    <w:t>87.0</w:t>
                  </w:r>
                </w:p>
              </w:tc>
            </w:tr>
            <w:tr w:rsidR="0017087A" w:rsidRPr="00D633FF" w14:paraId="5129250A" w14:textId="77777777" w:rsidTr="00691CBF">
              <w:trPr>
                <w:cantSplit/>
              </w:trPr>
              <w:tc>
                <w:tcPr>
                  <w:cnfStyle w:val="001000000000" w:firstRow="0" w:lastRow="0" w:firstColumn="1" w:lastColumn="0" w:oddVBand="0" w:evenVBand="0" w:oddHBand="0" w:evenHBand="0" w:firstRowFirstColumn="0" w:firstRowLastColumn="0" w:lastRowFirstColumn="0" w:lastRowLastColumn="0"/>
                  <w:tcW w:w="1581" w:type="dxa"/>
                  <w:tcBorders>
                    <w:top w:val="nil"/>
                    <w:bottom w:val="single" w:sz="4" w:space="0" w:color="auto"/>
                  </w:tcBorders>
                  <w:noWrap/>
                  <w:vAlign w:val="center"/>
                </w:tcPr>
                <w:p w14:paraId="7E362694" w14:textId="77777777" w:rsidR="005C5475" w:rsidRPr="00D633FF" w:rsidRDefault="005C5475" w:rsidP="001A6730">
                  <w:pPr>
                    <w:keepNext/>
                    <w:keepLines/>
                    <w:widowControl w:val="0"/>
                    <w:spacing w:line="276" w:lineRule="auto"/>
                    <w:jc w:val="right"/>
                    <w:rPr>
                      <w:rFonts w:ascii="Calibri" w:eastAsia="Times New Roman" w:hAnsi="Calibri" w:cs="Calibri"/>
                    </w:rPr>
                  </w:pPr>
                </w:p>
              </w:tc>
              <w:tc>
                <w:tcPr>
                  <w:tcW w:w="1559" w:type="dxa"/>
                  <w:shd w:val="clear" w:color="auto" w:fill="FFFFFF"/>
                  <w:vAlign w:val="center"/>
                </w:tcPr>
                <w:p w14:paraId="7E7301CF" w14:textId="77777777" w:rsidR="005C5475" w:rsidRPr="00D633FF" w:rsidRDefault="005C5475" w:rsidP="001A6730">
                  <w:pPr>
                    <w:keepNext/>
                    <w:keepLines/>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Females</w:t>
                  </w:r>
                </w:p>
              </w:tc>
              <w:tc>
                <w:tcPr>
                  <w:tcW w:w="1701" w:type="dxa"/>
                  <w:shd w:val="clear" w:color="auto" w:fill="FFFFFF"/>
                  <w:vAlign w:val="center"/>
                </w:tcPr>
                <w:p w14:paraId="1D1960C1" w14:textId="77777777" w:rsidR="005C5475" w:rsidRPr="00D633FF" w:rsidRDefault="005C5475" w:rsidP="001A6730">
                  <w:pPr>
                    <w:keepNext/>
                    <w:keepLines/>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52.3</w:t>
                  </w:r>
                </w:p>
              </w:tc>
              <w:tc>
                <w:tcPr>
                  <w:tcW w:w="1701" w:type="dxa"/>
                  <w:shd w:val="clear" w:color="auto" w:fill="FFFFFF"/>
                  <w:vAlign w:val="center"/>
                </w:tcPr>
                <w:p w14:paraId="71A19E02" w14:textId="77777777" w:rsidR="005C5475" w:rsidRPr="00D633FF" w:rsidRDefault="005C5475" w:rsidP="001A6730">
                  <w:pPr>
                    <w:keepNext/>
                    <w:keepLines/>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highlight w:val="yellow"/>
                    </w:rPr>
                  </w:pPr>
                  <w:r w:rsidRPr="00D633FF">
                    <w:rPr>
                      <w:rFonts w:ascii="Calibri" w:eastAsia="Times New Roman" w:hAnsi="Calibri" w:cs="Calibri"/>
                      <w:color w:val="000000"/>
                    </w:rPr>
                    <w:t>55%</w:t>
                  </w:r>
                </w:p>
              </w:tc>
              <w:tc>
                <w:tcPr>
                  <w:tcW w:w="1843" w:type="dxa"/>
                  <w:shd w:val="clear" w:color="auto" w:fill="FFFFFF"/>
                  <w:vAlign w:val="center"/>
                </w:tcPr>
                <w:p w14:paraId="6037A105" w14:textId="77777777" w:rsidR="005C5475" w:rsidRPr="00D633FF" w:rsidRDefault="005C5475" w:rsidP="001A6730">
                  <w:pPr>
                    <w:keepNext/>
                    <w:keepLines/>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highlight w:val="yellow"/>
                    </w:rPr>
                  </w:pPr>
                  <w:r w:rsidRPr="00D633FF">
                    <w:rPr>
                      <w:rFonts w:ascii="Calibri" w:eastAsia="Times New Roman" w:hAnsi="Calibri" w:cs="Calibri"/>
                      <w:color w:val="000000"/>
                    </w:rPr>
                    <w:t>82.0</w:t>
                  </w:r>
                </w:p>
              </w:tc>
            </w:tr>
            <w:tr w:rsidR="005C5475" w:rsidRPr="00D633FF" w14:paraId="7016DC4E" w14:textId="77777777" w:rsidTr="00691CBF">
              <w:trPr>
                <w:cantSplit/>
              </w:trPr>
              <w:tc>
                <w:tcPr>
                  <w:cnfStyle w:val="001000000000" w:firstRow="0" w:lastRow="0" w:firstColumn="1" w:lastColumn="0" w:oddVBand="0" w:evenVBand="0" w:oddHBand="0" w:evenHBand="0" w:firstRowFirstColumn="0" w:firstRowLastColumn="0" w:lastRowFirstColumn="0" w:lastRowLastColumn="0"/>
                  <w:tcW w:w="1581" w:type="dxa"/>
                  <w:tcBorders>
                    <w:bottom w:val="nil"/>
                  </w:tcBorders>
                  <w:noWrap/>
                  <w:vAlign w:val="center"/>
                  <w:hideMark/>
                </w:tcPr>
                <w:p w14:paraId="327EE3E0" w14:textId="77777777" w:rsidR="005C5475" w:rsidRPr="00D633FF" w:rsidRDefault="005C5475" w:rsidP="001A6730">
                  <w:pPr>
                    <w:keepNext/>
                    <w:keepLines/>
                    <w:widowControl w:val="0"/>
                    <w:spacing w:line="276" w:lineRule="auto"/>
                    <w:jc w:val="right"/>
                    <w:rPr>
                      <w:rFonts w:ascii="Calibri" w:eastAsia="Times New Roman" w:hAnsi="Calibri" w:cs="Calibri"/>
                    </w:rPr>
                  </w:pPr>
                  <w:r w:rsidRPr="00D633FF">
                    <w:rPr>
                      <w:rFonts w:ascii="Calibri" w:eastAsia="Times New Roman" w:hAnsi="Calibri" w:cs="Calibri"/>
                    </w:rPr>
                    <w:t>71 and over</w:t>
                  </w:r>
                </w:p>
              </w:tc>
              <w:tc>
                <w:tcPr>
                  <w:tcW w:w="1559" w:type="dxa"/>
                  <w:vAlign w:val="center"/>
                </w:tcPr>
                <w:p w14:paraId="48F8C9CA" w14:textId="77777777" w:rsidR="005C5475" w:rsidRPr="00D633FF" w:rsidRDefault="005C5475" w:rsidP="001A6730">
                  <w:pPr>
                    <w:keepNext/>
                    <w:keepLines/>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Males</w:t>
                  </w:r>
                </w:p>
              </w:tc>
              <w:tc>
                <w:tcPr>
                  <w:tcW w:w="1701" w:type="dxa"/>
                  <w:vAlign w:val="center"/>
                </w:tcPr>
                <w:p w14:paraId="0B6213D1" w14:textId="77777777" w:rsidR="005C5475" w:rsidRPr="00D633FF" w:rsidRDefault="005C5475" w:rsidP="001A6730">
                  <w:pPr>
                    <w:keepNext/>
                    <w:keepLines/>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56.9</w:t>
                  </w:r>
                </w:p>
              </w:tc>
              <w:tc>
                <w:tcPr>
                  <w:tcW w:w="1701" w:type="dxa"/>
                  <w:vAlign w:val="center"/>
                </w:tcPr>
                <w:p w14:paraId="4C9EECB3" w14:textId="77777777" w:rsidR="005C5475" w:rsidRPr="00D633FF" w:rsidRDefault="005C5475" w:rsidP="001A6730">
                  <w:pPr>
                    <w:keepNext/>
                    <w:keepLines/>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highlight w:val="yellow"/>
                    </w:rPr>
                  </w:pPr>
                  <w:r w:rsidRPr="00D633FF">
                    <w:rPr>
                      <w:rFonts w:ascii="Calibri" w:eastAsia="Times New Roman" w:hAnsi="Calibri" w:cs="Calibri"/>
                      <w:color w:val="000000"/>
                    </w:rPr>
                    <w:t>63.8%</w:t>
                  </w:r>
                </w:p>
              </w:tc>
              <w:tc>
                <w:tcPr>
                  <w:tcW w:w="1843" w:type="dxa"/>
                  <w:vAlign w:val="center"/>
                </w:tcPr>
                <w:p w14:paraId="07EB7C94" w14:textId="77777777" w:rsidR="005C5475" w:rsidRPr="00D633FF" w:rsidRDefault="005C5475" w:rsidP="001A6730">
                  <w:pPr>
                    <w:keepNext/>
                    <w:keepLines/>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highlight w:val="yellow"/>
                    </w:rPr>
                  </w:pPr>
                  <w:r w:rsidRPr="00D633FF">
                    <w:rPr>
                      <w:rFonts w:ascii="Calibri" w:eastAsia="Times New Roman" w:hAnsi="Calibri" w:cs="Calibri"/>
                      <w:color w:val="000000"/>
                    </w:rPr>
                    <w:t>87.0</w:t>
                  </w:r>
                </w:p>
              </w:tc>
            </w:tr>
            <w:tr w:rsidR="0017087A" w:rsidRPr="00D633FF" w14:paraId="3FB9D044" w14:textId="77777777" w:rsidTr="00691CBF">
              <w:trPr>
                <w:cantSplit/>
              </w:trPr>
              <w:tc>
                <w:tcPr>
                  <w:cnfStyle w:val="001000000000" w:firstRow="0" w:lastRow="0" w:firstColumn="1" w:lastColumn="0" w:oddVBand="0" w:evenVBand="0" w:oddHBand="0" w:evenHBand="0" w:firstRowFirstColumn="0" w:firstRowLastColumn="0" w:lastRowFirstColumn="0" w:lastRowLastColumn="0"/>
                  <w:tcW w:w="1581" w:type="dxa"/>
                  <w:tcBorders>
                    <w:top w:val="nil"/>
                  </w:tcBorders>
                  <w:noWrap/>
                  <w:vAlign w:val="center"/>
                </w:tcPr>
                <w:p w14:paraId="380E926C" w14:textId="77777777" w:rsidR="005C5475" w:rsidRPr="00D633FF" w:rsidRDefault="005C5475" w:rsidP="001A6730">
                  <w:pPr>
                    <w:keepNext/>
                    <w:keepLines/>
                    <w:widowControl w:val="0"/>
                    <w:spacing w:line="276" w:lineRule="auto"/>
                    <w:rPr>
                      <w:rFonts w:ascii="Calibri" w:eastAsia="Times New Roman" w:hAnsi="Calibri" w:cs="Calibri"/>
                      <w:highlight w:val="lightGray"/>
                    </w:rPr>
                  </w:pPr>
                </w:p>
              </w:tc>
              <w:tc>
                <w:tcPr>
                  <w:tcW w:w="1559" w:type="dxa"/>
                  <w:shd w:val="clear" w:color="auto" w:fill="FFFFFF"/>
                  <w:vAlign w:val="center"/>
                </w:tcPr>
                <w:p w14:paraId="22141D44" w14:textId="77777777" w:rsidR="005C5475" w:rsidRPr="00D633FF" w:rsidRDefault="005C5475" w:rsidP="001A6730">
                  <w:pPr>
                    <w:keepNext/>
                    <w:keepLines/>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Females</w:t>
                  </w:r>
                </w:p>
              </w:tc>
              <w:tc>
                <w:tcPr>
                  <w:tcW w:w="1701" w:type="dxa"/>
                  <w:shd w:val="clear" w:color="auto" w:fill="FFFFFF"/>
                  <w:vAlign w:val="center"/>
                </w:tcPr>
                <w:p w14:paraId="78B37FFC" w14:textId="77777777" w:rsidR="005C5475" w:rsidRPr="00D633FF" w:rsidRDefault="005C5475" w:rsidP="001A6730">
                  <w:pPr>
                    <w:keepNext/>
                    <w:keepLines/>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41.6</w:t>
                  </w:r>
                </w:p>
              </w:tc>
              <w:tc>
                <w:tcPr>
                  <w:tcW w:w="1701" w:type="dxa"/>
                  <w:shd w:val="clear" w:color="auto" w:fill="FFFFFF"/>
                  <w:vAlign w:val="center"/>
                </w:tcPr>
                <w:p w14:paraId="1941CEED" w14:textId="77777777" w:rsidR="005C5475" w:rsidRPr="00D633FF" w:rsidRDefault="005C5475" w:rsidP="001A6730">
                  <w:pPr>
                    <w:keepNext/>
                    <w:keepLines/>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highlight w:val="yellow"/>
                    </w:rPr>
                  </w:pPr>
                  <w:r w:rsidRPr="00D633FF">
                    <w:rPr>
                      <w:rFonts w:ascii="Calibri" w:eastAsia="Times New Roman" w:hAnsi="Calibri" w:cs="Calibri"/>
                      <w:color w:val="000000"/>
                    </w:rPr>
                    <w:t>58.2%</w:t>
                  </w:r>
                </w:p>
              </w:tc>
              <w:tc>
                <w:tcPr>
                  <w:tcW w:w="1843" w:type="dxa"/>
                  <w:shd w:val="clear" w:color="auto" w:fill="FFFFFF"/>
                  <w:vAlign w:val="center"/>
                </w:tcPr>
                <w:p w14:paraId="0CAC0EA0" w14:textId="77777777" w:rsidR="005C5475" w:rsidRPr="00D633FF" w:rsidRDefault="005C5475" w:rsidP="001A6730">
                  <w:pPr>
                    <w:keepNext/>
                    <w:keepLines/>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highlight w:val="yellow"/>
                    </w:rPr>
                  </w:pPr>
                  <w:r w:rsidRPr="00D633FF">
                    <w:rPr>
                      <w:rFonts w:ascii="Calibri" w:eastAsia="Times New Roman" w:hAnsi="Calibri" w:cs="Calibri"/>
                      <w:color w:val="000000"/>
                    </w:rPr>
                    <w:t>58.2</w:t>
                  </w:r>
                </w:p>
              </w:tc>
            </w:tr>
          </w:tbl>
          <w:p w14:paraId="567786C3" w14:textId="77777777" w:rsidR="005C5475" w:rsidRPr="00D633FF" w:rsidRDefault="005C5475" w:rsidP="001A6730">
            <w:pPr>
              <w:keepNext/>
              <w:keepLines/>
              <w:widowControl w:val="0"/>
              <w:spacing w:line="276" w:lineRule="auto"/>
              <w:contextualSpacing/>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16"/>
                <w:szCs w:val="16"/>
              </w:rPr>
            </w:pPr>
            <w:r w:rsidRPr="00D633FF">
              <w:rPr>
                <w:rFonts w:ascii="Calibri" w:eastAsia="Arial" w:hAnsi="Calibri" w:cs="Calibri"/>
                <w:b/>
                <w:bCs/>
                <w:sz w:val="16"/>
                <w:szCs w:val="16"/>
              </w:rPr>
              <w:t>Source:</w:t>
            </w:r>
            <w:r w:rsidRPr="00D633FF">
              <w:rPr>
                <w:rFonts w:ascii="Calibri" w:eastAsia="Arial" w:hAnsi="Calibri" w:cs="Calibri"/>
                <w:sz w:val="16"/>
                <w:szCs w:val="16"/>
              </w:rPr>
              <w:t xml:space="preserve"> </w:t>
            </w:r>
            <w:hyperlink r:id="rId39" w:history="1">
              <w:r w:rsidRPr="00090062">
                <w:rPr>
                  <w:rFonts w:ascii="Calibri" w:eastAsia="Arial" w:hAnsi="Calibri" w:cs="Calibri"/>
                  <w:color w:val="006CBC"/>
                  <w:sz w:val="14"/>
                  <w:u w:val="single"/>
                </w:rPr>
                <w:t>https://www.health.govt.nz/system/files/2011-10/a-focus-on-nutrition-v2.pdf</w:t>
              </w:r>
            </w:hyperlink>
          </w:p>
          <w:p w14:paraId="4279BA4F" w14:textId="77777777" w:rsidR="005C5475" w:rsidRPr="00D633FF" w:rsidRDefault="005C5475" w:rsidP="001A6730">
            <w:pPr>
              <w:keepNext/>
              <w:keepLines/>
              <w:widowControl w:val="0"/>
              <w:spacing w:line="276" w:lineRule="auto"/>
              <w:contextualSpacing/>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16"/>
                <w:szCs w:val="16"/>
              </w:rPr>
            </w:pPr>
            <w:r w:rsidRPr="00D633FF">
              <w:rPr>
                <w:rFonts w:ascii="Calibri" w:eastAsia="Arial" w:hAnsi="Calibri" w:cs="Calibri"/>
                <w:b/>
                <w:bCs/>
                <w:sz w:val="16"/>
                <w:szCs w:val="16"/>
              </w:rPr>
              <w:lastRenderedPageBreak/>
              <w:t>Abbreviations:</w:t>
            </w:r>
            <w:r w:rsidRPr="00D633FF">
              <w:rPr>
                <w:rFonts w:ascii="Calibri" w:eastAsia="Arial" w:hAnsi="Calibri" w:cs="Calibri"/>
                <w:i/>
                <w:iCs/>
                <w:sz w:val="16"/>
                <w:szCs w:val="16"/>
              </w:rPr>
              <w:t xml:space="preserve"> </w:t>
            </w:r>
            <w:r w:rsidRPr="00D633FF">
              <w:rPr>
                <w:rFonts w:ascii="Calibri" w:eastAsia="Arial" w:hAnsi="Calibri" w:cs="Calibri"/>
                <w:sz w:val="16"/>
                <w:szCs w:val="16"/>
              </w:rPr>
              <w:t xml:space="preserve">CI, confidence interval; EAR, estimated average requirement; </w:t>
            </w:r>
            <w:r w:rsidRPr="00D633FF">
              <w:rPr>
                <w:rFonts w:ascii="Calibri" w:eastAsia="Arial" w:hAnsi="Calibri" w:cs="Calibri"/>
                <w:i/>
                <w:iCs/>
                <w:sz w:val="16"/>
                <w:szCs w:val="16"/>
              </w:rPr>
              <w:t>nr</w:t>
            </w:r>
            <w:r w:rsidRPr="00D633FF">
              <w:rPr>
                <w:rFonts w:ascii="Calibri" w:eastAsia="Arial" w:hAnsi="Calibri" w:cs="Calibri"/>
                <w:sz w:val="16"/>
                <w:szCs w:val="16"/>
              </w:rPr>
              <w:t>, not reported; UL, upper level.</w:t>
            </w:r>
          </w:p>
          <w:p w14:paraId="52ED4FE0" w14:textId="77777777" w:rsidR="005C5475" w:rsidRPr="00D633FF" w:rsidRDefault="005C5475" w:rsidP="001A6730">
            <w:pPr>
              <w:keepNext/>
              <w:keepLines/>
              <w:widowControl w:val="0"/>
              <w:spacing w:before="0" w:after="160" w:line="276" w:lineRule="auto"/>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16"/>
                <w:szCs w:val="16"/>
              </w:rPr>
            </w:pPr>
            <w:r w:rsidRPr="00D633FF">
              <w:rPr>
                <w:rFonts w:ascii="Calibri" w:eastAsia="Arial" w:hAnsi="Calibri" w:cs="Calibri"/>
                <w:b/>
                <w:bCs/>
                <w:sz w:val="16"/>
                <w:szCs w:val="16"/>
                <w:vertAlign w:val="superscript"/>
              </w:rPr>
              <w:t>#</w:t>
            </w:r>
            <w:r w:rsidRPr="00D633FF">
              <w:rPr>
                <w:rFonts w:ascii="Calibri" w:eastAsia="Arial" w:hAnsi="Calibri" w:cs="Calibri"/>
                <w:sz w:val="16"/>
                <w:szCs w:val="16"/>
              </w:rPr>
              <w:t xml:space="preserve"> Coefficient of variation of estimated inadequate intake is greater than 50% and confidence interval lies outside range (0–5%). Estimate should be interpreted with caution due to the high level of imprecision relative to the estimate.</w:t>
            </w:r>
          </w:p>
          <w:p w14:paraId="751E22C8" w14:textId="77777777" w:rsidR="005C5475" w:rsidRPr="00D633FF" w:rsidRDefault="005C5475" w:rsidP="00825978">
            <w:pPr>
              <w:spacing w:before="120" w:after="16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rPr>
            </w:pPr>
            <w:r w:rsidRPr="00D633FF">
              <w:rPr>
                <w:rFonts w:ascii="Calibri" w:eastAsia="Times New Roman" w:hAnsi="Calibri" w:cs="Calibri"/>
                <w:b/>
                <w:bCs/>
                <w:sz w:val="20"/>
                <w:szCs w:val="20"/>
              </w:rPr>
              <w:t>Highest intake</w:t>
            </w:r>
          </w:p>
          <w:p w14:paraId="20294DC4" w14:textId="152DEDCB" w:rsidR="005C5475" w:rsidRPr="00D633FF" w:rsidRDefault="005C5475" w:rsidP="00F621E7">
            <w:pPr>
              <w:spacing w:before="0" w:after="16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The population with the highest intake overall was New Zealand 31</w:t>
            </w:r>
            <w:r w:rsidR="0082637F">
              <w:rPr>
                <w:rFonts w:ascii="Calibri" w:eastAsia="Times New Roman" w:hAnsi="Calibri" w:cs="Calibri"/>
                <w:sz w:val="20"/>
                <w:szCs w:val="20"/>
              </w:rPr>
              <w:t>–</w:t>
            </w:r>
            <w:r w:rsidRPr="00D633FF">
              <w:rPr>
                <w:rFonts w:ascii="Calibri" w:eastAsia="Times New Roman" w:hAnsi="Calibri" w:cs="Calibri"/>
                <w:sz w:val="20"/>
                <w:szCs w:val="20"/>
              </w:rPr>
              <w:t>50-year-old Pacific males, with a 90</w:t>
            </w:r>
            <w:r w:rsidRPr="00D633FF">
              <w:rPr>
                <w:rFonts w:ascii="Calibri" w:eastAsia="Times New Roman" w:hAnsi="Calibri" w:cs="Calibri"/>
                <w:sz w:val="20"/>
                <w:szCs w:val="20"/>
                <w:vertAlign w:val="superscript"/>
              </w:rPr>
              <w:t>th</w:t>
            </w:r>
            <w:r w:rsidRPr="00D633FF">
              <w:rPr>
                <w:rFonts w:ascii="Calibri" w:eastAsia="Times New Roman" w:hAnsi="Calibri" w:cs="Calibri"/>
                <w:sz w:val="20"/>
                <w:szCs w:val="20"/>
              </w:rPr>
              <w:t xml:space="preserve"> percentile intake of (194 µg/day, food only), followed by Australian 19–30-year-old males, with a 95</w:t>
            </w:r>
            <w:r w:rsidRPr="00D633FF">
              <w:rPr>
                <w:rFonts w:ascii="Calibri" w:eastAsia="Times New Roman" w:hAnsi="Calibri" w:cs="Calibri"/>
                <w:sz w:val="20"/>
                <w:szCs w:val="20"/>
                <w:vertAlign w:val="superscript"/>
              </w:rPr>
              <w:t>th</w:t>
            </w:r>
            <w:r w:rsidRPr="00D633FF">
              <w:rPr>
                <w:rFonts w:ascii="Calibri" w:eastAsia="Times New Roman" w:hAnsi="Calibri" w:cs="Calibri"/>
                <w:sz w:val="20"/>
                <w:szCs w:val="20"/>
              </w:rPr>
              <w:t xml:space="preserve"> percentile intake of 160 µg/day (food and supplements). These estimated intakes are lower than both the current NHMRC selenium UL (400 µg/day) and </w:t>
            </w:r>
            <w:r w:rsidR="00581D6D" w:rsidRPr="00D633FF">
              <w:rPr>
                <w:rFonts w:ascii="Calibri" w:eastAsia="Times New Roman" w:hAnsi="Calibri" w:cs="Calibri"/>
                <w:sz w:val="20"/>
                <w:szCs w:val="20"/>
              </w:rPr>
              <w:t>adapted EFSA selenium UL (330</w:t>
            </w:r>
            <w:r w:rsidRPr="00D633FF">
              <w:rPr>
                <w:rFonts w:ascii="Calibri" w:eastAsia="Times New Roman" w:hAnsi="Calibri" w:cs="Calibri"/>
                <w:sz w:val="20"/>
                <w:szCs w:val="20"/>
              </w:rPr>
              <w:t xml:space="preserve"> µg/day). </w:t>
            </w:r>
          </w:p>
          <w:p w14:paraId="6BE5C6E9" w14:textId="77777777" w:rsidR="005C5475" w:rsidRPr="00D633FF" w:rsidRDefault="005C5475" w:rsidP="00F621E7">
            <w:pPr>
              <w:spacing w:before="0" w:after="16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rPr>
            </w:pPr>
            <w:r w:rsidRPr="00D633FF">
              <w:rPr>
                <w:rFonts w:ascii="Calibri" w:eastAsia="Times New Roman" w:hAnsi="Calibri" w:cs="Calibri"/>
                <w:b/>
                <w:bCs/>
                <w:sz w:val="20"/>
                <w:szCs w:val="20"/>
              </w:rPr>
              <w:t>Supplements</w:t>
            </w:r>
          </w:p>
          <w:p w14:paraId="690CD626" w14:textId="1B3D4E09" w:rsidR="005C5475" w:rsidRPr="00D633FF" w:rsidRDefault="005C5475" w:rsidP="00F1381E">
            <w:pPr>
              <w:numPr>
                <w:ilvl w:val="0"/>
                <w:numId w:val="10"/>
              </w:numPr>
              <w:spacing w:before="0" w:after="16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 xml:space="preserve">The Therapeutic Goods Administration (TGA) </w:t>
            </w:r>
            <w:r w:rsidRPr="00D633FF">
              <w:rPr>
                <w:rFonts w:ascii="Calibri" w:eastAsia="Arial" w:hAnsi="Calibri" w:cs="Calibri"/>
                <w:sz w:val="20"/>
              </w:rPr>
              <w:t xml:space="preserve">Poisons Standard </w:t>
            </w:r>
            <w:r w:rsidR="00F41A14" w:rsidRPr="00D633FF">
              <w:rPr>
                <w:rFonts w:ascii="Calibri" w:eastAsia="Arial" w:hAnsi="Calibri" w:cs="Calibri"/>
                <w:noProof/>
                <w:sz w:val="20"/>
              </w:rPr>
              <w:t>(Australian Government 2025a, 2025b)</w:t>
            </w:r>
            <w:r w:rsidRPr="00D633FF">
              <w:rPr>
                <w:rFonts w:ascii="Calibri" w:eastAsia="Arial" w:hAnsi="Calibri" w:cs="Calibri"/>
                <w:sz w:val="20"/>
              </w:rPr>
              <w:t xml:space="preserve"> regulates selenium as a Schedule 2 (pharmacy medicines) except for products for human oral use with a recommended daily dose of 150 µg or less, and under Schedule 4 (prescription only medicines) for human oral use with a recommended daily dose of more than 300 micrograms.</w:t>
            </w:r>
          </w:p>
          <w:p w14:paraId="2C80533C" w14:textId="77777777" w:rsidR="005C5475" w:rsidRPr="00D633FF" w:rsidRDefault="005C5475" w:rsidP="00F1381E">
            <w:pPr>
              <w:numPr>
                <w:ilvl w:val="0"/>
                <w:numId w:val="10"/>
              </w:numPr>
              <w:spacing w:before="0" w:after="16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No data are available specifically related to selenium supplement use in Australia or New Zealand</w:t>
            </w:r>
          </w:p>
          <w:p w14:paraId="5206000F" w14:textId="77777777" w:rsidR="005C5475" w:rsidRPr="00D633FF" w:rsidRDefault="005C5475" w:rsidP="00F621E7">
            <w:pPr>
              <w:spacing w:before="0" w:after="16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rPr>
            </w:pPr>
            <w:r w:rsidRPr="00D633FF">
              <w:rPr>
                <w:rFonts w:ascii="Calibri" w:eastAsia="Times New Roman" w:hAnsi="Calibri" w:cs="Calibri"/>
                <w:b/>
                <w:bCs/>
                <w:sz w:val="20"/>
                <w:szCs w:val="20"/>
              </w:rPr>
              <w:t>Food supply</w:t>
            </w:r>
          </w:p>
          <w:p w14:paraId="4B3D226E" w14:textId="77777777" w:rsidR="005C5475" w:rsidRPr="00D633FF" w:rsidRDefault="005C5475" w:rsidP="00562AC7">
            <w:pPr>
              <w:spacing w:before="0" w:after="0" w:line="276" w:lineRule="auto"/>
              <w:ind w:right="1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rPr>
            </w:pPr>
            <w:r w:rsidRPr="00D633FF">
              <w:rPr>
                <w:rFonts w:ascii="Calibri" w:eastAsia="Times New Roman" w:hAnsi="Calibri" w:cs="Calibri"/>
                <w:sz w:val="20"/>
              </w:rPr>
              <w:t>The Australia New Zealand Food Standards Code permits selenium to be added up to a maximum of:</w:t>
            </w:r>
          </w:p>
          <w:p w14:paraId="035EADC8" w14:textId="77777777" w:rsidR="005C5475" w:rsidRPr="00D633FF" w:rsidRDefault="005C5475" w:rsidP="00F1381E">
            <w:pPr>
              <w:pStyle w:val="ListParagraph"/>
              <w:numPr>
                <w:ilvl w:val="0"/>
                <w:numId w:val="13"/>
              </w:numPr>
              <w:spacing w:line="276" w:lineRule="auto"/>
              <w:ind w:right="1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rPr>
            </w:pPr>
            <w:r w:rsidRPr="00D633FF">
              <w:rPr>
                <w:rFonts w:ascii="Calibri" w:eastAsia="Times New Roman" w:hAnsi="Calibri" w:cs="Calibri"/>
                <w:sz w:val="20"/>
              </w:rPr>
              <w:t xml:space="preserve">formulated beverages – 17.5 µg/600mL </w:t>
            </w:r>
          </w:p>
          <w:p w14:paraId="623D80A2" w14:textId="77777777" w:rsidR="005C5475" w:rsidRPr="00D633FF" w:rsidRDefault="005C5475" w:rsidP="00F1381E">
            <w:pPr>
              <w:pStyle w:val="ListParagraph"/>
              <w:numPr>
                <w:ilvl w:val="0"/>
                <w:numId w:val="13"/>
              </w:numPr>
              <w:spacing w:line="276" w:lineRule="auto"/>
              <w:ind w:right="1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rPr>
            </w:pPr>
            <w:r w:rsidRPr="00D633FF">
              <w:rPr>
                <w:rFonts w:ascii="Calibri" w:eastAsia="Times New Roman" w:hAnsi="Calibri" w:cs="Calibri"/>
                <w:sz w:val="20"/>
              </w:rPr>
              <w:t xml:space="preserve">formulated meal replacements - 17.5 µg/serve inorganic, 9 µg/serve organic  </w:t>
            </w:r>
          </w:p>
          <w:p w14:paraId="6C7CC2C8" w14:textId="77777777" w:rsidR="005C5475" w:rsidRPr="00D633FF" w:rsidRDefault="005C5475" w:rsidP="00F1381E">
            <w:pPr>
              <w:pStyle w:val="ListParagraph"/>
              <w:numPr>
                <w:ilvl w:val="0"/>
                <w:numId w:val="13"/>
              </w:numPr>
              <w:spacing w:line="276" w:lineRule="auto"/>
              <w:ind w:right="1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rPr>
            </w:pPr>
            <w:r w:rsidRPr="00D633FF">
              <w:rPr>
                <w:rFonts w:ascii="Calibri" w:eastAsia="Times New Roman" w:hAnsi="Calibri" w:cs="Calibri"/>
                <w:sz w:val="20"/>
              </w:rPr>
              <w:t xml:space="preserve">formulated supplementary sports foods - 52 µg/serve inorganic, 26 µg/serve organic </w:t>
            </w:r>
          </w:p>
          <w:p w14:paraId="09495D22" w14:textId="422B7662" w:rsidR="005C5475" w:rsidRPr="00D633FF" w:rsidRDefault="005C5475" w:rsidP="00F1381E">
            <w:pPr>
              <w:pStyle w:val="ListParagraph"/>
              <w:numPr>
                <w:ilvl w:val="0"/>
                <w:numId w:val="13"/>
              </w:numPr>
              <w:spacing w:line="276" w:lineRule="auto"/>
              <w:ind w:right="1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sz w:val="20"/>
                <w:szCs w:val="20"/>
              </w:rPr>
              <w:t>food for special medical purposes represented as a sole source of nutrition</w:t>
            </w:r>
            <w:r w:rsidRPr="00D633FF">
              <w:rPr>
                <w:rFonts w:ascii="Calibri" w:eastAsia="Times New Roman" w:hAnsi="Calibri" w:cs="Calibri"/>
                <w:sz w:val="20"/>
              </w:rPr>
              <w:t xml:space="preserve"> - </w:t>
            </w:r>
            <w:r w:rsidRPr="00D633FF">
              <w:rPr>
                <w:rFonts w:ascii="Calibri" w:eastAsia="Times New Roman" w:hAnsi="Calibri" w:cs="Calibri"/>
                <w:sz w:val="20"/>
                <w:szCs w:val="20"/>
              </w:rPr>
              <w:t xml:space="preserve">25 µg/MJ </w:t>
            </w:r>
            <w:r w:rsidR="00F41A14" w:rsidRPr="00D633FF">
              <w:rPr>
                <w:rFonts w:ascii="Calibri" w:eastAsia="Arial" w:hAnsi="Calibri" w:cs="Calibri"/>
                <w:noProof/>
                <w:sz w:val="20"/>
              </w:rPr>
              <w:t>(Australian Government 2021, 2025c)</w:t>
            </w:r>
            <w:r w:rsidRPr="00D633FF">
              <w:rPr>
                <w:rFonts w:ascii="Calibri" w:eastAsia="Arial" w:hAnsi="Calibri" w:cs="Calibri"/>
                <w:sz w:val="20"/>
              </w:rPr>
              <w:t>.</w:t>
            </w:r>
            <w:r w:rsidRPr="00D633FF">
              <w:rPr>
                <w:rFonts w:ascii="Calibri" w:eastAsia="Times New Roman" w:hAnsi="Calibri" w:cs="Calibri"/>
                <w:sz w:val="20"/>
                <w:szCs w:val="20"/>
              </w:rPr>
              <w:t xml:space="preserve"> </w:t>
            </w:r>
          </w:p>
          <w:p w14:paraId="5E86992C" w14:textId="3CFB01D3" w:rsidR="005C5475" w:rsidRPr="00D633FF" w:rsidRDefault="005C5475" w:rsidP="008D15E1">
            <w:pPr>
              <w:numPr>
                <w:ilvl w:val="0"/>
                <w:numId w:val="20"/>
              </w:numPr>
              <w:tabs>
                <w:tab w:val="clear" w:pos="284"/>
              </w:tabs>
              <w:spacing w:before="0" w:after="0" w:line="276" w:lineRule="auto"/>
              <w:ind w:left="29" w:right="170" w:hanging="284"/>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sz w:val="20"/>
                <w:szCs w:val="20"/>
              </w:rPr>
              <w:t xml:space="preserve">There are no regulatory requirements to </w:t>
            </w:r>
            <w:r w:rsidR="00844C6E" w:rsidRPr="00D633FF">
              <w:rPr>
                <w:rFonts w:ascii="Calibri" w:eastAsia="Times New Roman" w:hAnsi="Calibri" w:cs="Calibri"/>
                <w:sz w:val="20"/>
                <w:szCs w:val="20"/>
              </w:rPr>
              <w:t xml:space="preserve">mandate the addition of </w:t>
            </w:r>
            <w:r w:rsidRPr="00D633FF">
              <w:rPr>
                <w:rFonts w:ascii="Calibri" w:eastAsia="Times New Roman" w:hAnsi="Calibri" w:cs="Calibri"/>
                <w:sz w:val="20"/>
                <w:szCs w:val="20"/>
              </w:rPr>
              <w:t>selenium to food in Australia or New Zealand (except infant formula).</w:t>
            </w:r>
          </w:p>
        </w:tc>
      </w:tr>
      <w:tr w:rsidR="005C5475" w:rsidRPr="00D633FF" w14:paraId="35EB1242" w14:textId="77777777" w:rsidTr="0029777B">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127" w:type="dxa"/>
          </w:tcPr>
          <w:p w14:paraId="137FE8FD" w14:textId="77777777" w:rsidR="005C5475" w:rsidRPr="00D633FF" w:rsidRDefault="005C5475" w:rsidP="00086333">
            <w:pPr>
              <w:spacing w:before="120" w:after="160" w:line="240" w:lineRule="auto"/>
              <w:rPr>
                <w:rFonts w:ascii="Calibri" w:eastAsia="Times New Roman" w:hAnsi="Calibri" w:cs="Calibri"/>
              </w:rPr>
            </w:pPr>
            <w:r w:rsidRPr="00D633FF">
              <w:rPr>
                <w:rFonts w:ascii="Calibri" w:eastAsia="Times New Roman" w:hAnsi="Calibri" w:cs="Calibri"/>
              </w:rPr>
              <w:lastRenderedPageBreak/>
              <w:t xml:space="preserve">Selenium exposure in Australia and New Zealand </w:t>
            </w:r>
          </w:p>
          <w:p w14:paraId="2D19EF94" w14:textId="77777777" w:rsidR="005C5475" w:rsidRPr="00D633FF" w:rsidRDefault="005C5475" w:rsidP="00F621E7">
            <w:pPr>
              <w:spacing w:before="0" w:after="160" w:line="276" w:lineRule="auto"/>
              <w:rPr>
                <w:rFonts w:ascii="Calibri" w:eastAsia="Times New Roman" w:hAnsi="Calibri" w:cs="Calibri"/>
              </w:rPr>
            </w:pPr>
            <w:r w:rsidRPr="00D633FF">
              <w:rPr>
                <w:rFonts w:ascii="Calibri" w:eastAsia="Times New Roman" w:hAnsi="Calibri" w:cs="Calibri"/>
              </w:rPr>
              <w:t>Special populations</w:t>
            </w:r>
          </w:p>
        </w:tc>
        <w:tc>
          <w:tcPr>
            <w:tcW w:w="11907" w:type="dxa"/>
            <w:gridSpan w:val="4"/>
          </w:tcPr>
          <w:p w14:paraId="5708C70C" w14:textId="0D208B31" w:rsidR="005C5475" w:rsidRPr="00D633FF" w:rsidRDefault="00DC788A" w:rsidP="00825978">
            <w:pPr>
              <w:spacing w:before="120" w:after="160" w:line="276" w:lineRule="auto"/>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sz w:val="20"/>
                <w:szCs w:val="20"/>
              </w:rPr>
            </w:pPr>
            <w:r>
              <w:rPr>
                <w:rFonts w:ascii="Calibri" w:eastAsia="Times New Roman" w:hAnsi="Calibri" w:cs="Calibri"/>
                <w:b/>
                <w:bCs/>
                <w:sz w:val="20"/>
                <w:szCs w:val="20"/>
              </w:rPr>
              <w:t>Aboriginal and Torres Strait Islander Australians</w:t>
            </w:r>
            <w:r w:rsidR="005C5475" w:rsidRPr="00D633FF">
              <w:rPr>
                <w:rFonts w:ascii="Calibri" w:eastAsia="Times New Roman" w:hAnsi="Calibri" w:cs="Calibri"/>
                <w:b/>
                <w:bCs/>
                <w:sz w:val="20"/>
                <w:szCs w:val="20"/>
              </w:rPr>
              <w:t xml:space="preserve"> and other cultural populations</w:t>
            </w:r>
          </w:p>
          <w:p w14:paraId="06C8FFBD" w14:textId="77777777" w:rsidR="005C5475" w:rsidRPr="00D633FF" w:rsidRDefault="005C5475" w:rsidP="00DC0D76">
            <w:pPr>
              <w:spacing w:before="0" w:after="160" w:line="276" w:lineRule="auto"/>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There is no evidence to suggest that special considerations are needed for Aboriginal and Torres Strait Islander, Māori or Pacific populations.</w:t>
            </w:r>
          </w:p>
          <w:p w14:paraId="6807AA1C" w14:textId="555AF3A6" w:rsidR="005C5475" w:rsidRPr="00D633FF" w:rsidRDefault="005C5475" w:rsidP="00DC0D76">
            <w:pPr>
              <w:spacing w:before="0" w:after="160" w:line="276" w:lineRule="auto"/>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 xml:space="preserve">Selenium intakes are generally similar between </w:t>
            </w:r>
            <w:r w:rsidR="00DC788A">
              <w:rPr>
                <w:rFonts w:ascii="Calibri" w:eastAsia="Times New Roman" w:hAnsi="Calibri" w:cs="Calibri"/>
                <w:sz w:val="20"/>
                <w:szCs w:val="20"/>
              </w:rPr>
              <w:t>Aboriginal and Torres Strait Islander Australians</w:t>
            </w:r>
            <w:r w:rsidRPr="00D633FF">
              <w:rPr>
                <w:rFonts w:ascii="Calibri" w:eastAsia="Times New Roman" w:hAnsi="Calibri" w:cs="Calibri"/>
                <w:sz w:val="20"/>
                <w:szCs w:val="20"/>
              </w:rPr>
              <w:t xml:space="preserve"> and non-Indigenous Australians.</w:t>
            </w:r>
          </w:p>
          <w:p w14:paraId="0915D3B6" w14:textId="095ACCCC" w:rsidR="005C5475" w:rsidRPr="00D633FF" w:rsidRDefault="005C5475" w:rsidP="00DC0D76">
            <w:pPr>
              <w:spacing w:before="0" w:after="160" w:line="276" w:lineRule="auto"/>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sz w:val="20"/>
                <w:szCs w:val="20"/>
              </w:rPr>
            </w:pPr>
            <w:r w:rsidRPr="00D633FF">
              <w:rPr>
                <w:rFonts w:ascii="Calibri" w:eastAsia="Times New Roman" w:hAnsi="Calibri" w:cs="Calibri"/>
                <w:b/>
                <w:bCs/>
                <w:sz w:val="20"/>
                <w:szCs w:val="20"/>
              </w:rPr>
              <w:t xml:space="preserve">Australia, comparison of </w:t>
            </w:r>
            <w:r w:rsidR="00DC788A">
              <w:rPr>
                <w:rFonts w:ascii="Calibri" w:eastAsia="Times New Roman" w:hAnsi="Calibri" w:cs="Calibri"/>
                <w:b/>
                <w:bCs/>
                <w:sz w:val="20"/>
                <w:szCs w:val="20"/>
              </w:rPr>
              <w:t>Aboriginal and Torres Strait Islander Australians</w:t>
            </w:r>
            <w:r w:rsidRPr="00D633FF">
              <w:rPr>
                <w:rFonts w:ascii="Calibri" w:eastAsia="Times New Roman" w:hAnsi="Calibri" w:cs="Calibri"/>
                <w:b/>
                <w:bCs/>
                <w:sz w:val="20"/>
                <w:szCs w:val="20"/>
              </w:rPr>
              <w:t xml:space="preserve"> and non-Indigenous populations</w:t>
            </w:r>
          </w:p>
          <w:p w14:paraId="256790EF" w14:textId="6B83C7FC" w:rsidR="005C5475" w:rsidRPr="00D633FF" w:rsidRDefault="005C5475" w:rsidP="00F1381E">
            <w:pPr>
              <w:numPr>
                <w:ilvl w:val="0"/>
                <w:numId w:val="10"/>
              </w:numPr>
              <w:spacing w:after="0" w:line="276" w:lineRule="auto"/>
              <w:contextualSpacing/>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 xml:space="preserve">Mean selenium intake estimates for </w:t>
            </w:r>
            <w:r w:rsidR="00DC788A">
              <w:rPr>
                <w:rFonts w:ascii="Calibri" w:eastAsia="Times New Roman" w:hAnsi="Calibri" w:cs="Calibri"/>
                <w:sz w:val="20"/>
                <w:szCs w:val="20"/>
              </w:rPr>
              <w:t>Aboriginal and Torres Strait Islander Australians</w:t>
            </w:r>
            <w:r w:rsidRPr="00D633FF">
              <w:rPr>
                <w:rFonts w:ascii="Calibri" w:eastAsia="Times New Roman" w:hAnsi="Calibri" w:cs="Calibri"/>
                <w:sz w:val="20"/>
                <w:szCs w:val="20"/>
              </w:rPr>
              <w:t xml:space="preserve"> and non-Indigenous Australian</w:t>
            </w:r>
            <w:r w:rsidR="00DC788A">
              <w:rPr>
                <w:rFonts w:ascii="Calibri" w:eastAsia="Times New Roman" w:hAnsi="Calibri" w:cs="Calibri"/>
                <w:sz w:val="20"/>
                <w:szCs w:val="20"/>
              </w:rPr>
              <w:t>s</w:t>
            </w:r>
            <w:r w:rsidRPr="00D633FF">
              <w:rPr>
                <w:rFonts w:ascii="Calibri" w:eastAsia="Times New Roman" w:hAnsi="Calibri" w:cs="Calibri"/>
                <w:sz w:val="20"/>
                <w:szCs w:val="20"/>
              </w:rPr>
              <w:t xml:space="preserve"> were similar: </w:t>
            </w:r>
          </w:p>
          <w:p w14:paraId="112FF3EC" w14:textId="4318DD7C" w:rsidR="005C5475" w:rsidRPr="00D633FF" w:rsidRDefault="00DC788A" w:rsidP="00F1381E">
            <w:pPr>
              <w:numPr>
                <w:ilvl w:val="1"/>
                <w:numId w:val="10"/>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Pr>
                <w:rFonts w:ascii="Calibri" w:eastAsia="Times New Roman" w:hAnsi="Calibri" w:cs="Calibri"/>
                <w:sz w:val="20"/>
                <w:szCs w:val="20"/>
              </w:rPr>
              <w:t>Aboriginal and Torres Strait Islander Australians</w:t>
            </w:r>
            <w:r w:rsidR="005C5475" w:rsidRPr="00D633FF">
              <w:rPr>
                <w:rFonts w:ascii="Calibri" w:eastAsia="Times New Roman" w:hAnsi="Calibri" w:cs="Calibri"/>
                <w:sz w:val="20"/>
                <w:szCs w:val="20"/>
              </w:rPr>
              <w:t xml:space="preserve">: 49.9-92.9µg/day, </w:t>
            </w:r>
          </w:p>
          <w:p w14:paraId="77AD6911" w14:textId="77777777" w:rsidR="005C5475" w:rsidRPr="00D633FF" w:rsidRDefault="005C5475" w:rsidP="00F1381E">
            <w:pPr>
              <w:numPr>
                <w:ilvl w:val="1"/>
                <w:numId w:val="10"/>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 xml:space="preserve">non-Indigenous Australians: 47.0–93.5 µg/day). </w:t>
            </w:r>
          </w:p>
          <w:p w14:paraId="52A4A431" w14:textId="77777777" w:rsidR="005C5475" w:rsidRPr="00D633FF" w:rsidRDefault="005C5475" w:rsidP="00F1381E">
            <w:pPr>
              <w:numPr>
                <w:ilvl w:val="0"/>
                <w:numId w:val="10"/>
              </w:numPr>
              <w:spacing w:after="120" w:line="276" w:lineRule="auto"/>
              <w:contextualSpacing/>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u w:val="single"/>
              </w:rPr>
              <w:lastRenderedPageBreak/>
              <w:t xml:space="preserve">Excess intake: </w:t>
            </w:r>
            <w:r w:rsidRPr="00D633FF">
              <w:rPr>
                <w:rFonts w:ascii="Calibri" w:eastAsia="Times New Roman" w:hAnsi="Calibri" w:cs="Calibri"/>
                <w:sz w:val="20"/>
                <w:szCs w:val="20"/>
              </w:rPr>
              <w:t>There was no information on the proportion of the Australian Aboriginal and Torres Strait Islander population exceeding the UL for selenium (less than 5% of the non-Indigenous population exceeded the UL).</w:t>
            </w:r>
          </w:p>
          <w:p w14:paraId="113BBEC0" w14:textId="77777777" w:rsidR="005C5475" w:rsidRPr="00D633FF" w:rsidRDefault="005C5475" w:rsidP="00F1381E">
            <w:pPr>
              <w:numPr>
                <w:ilvl w:val="0"/>
                <w:numId w:val="10"/>
              </w:numPr>
              <w:spacing w:before="0" w:after="160" w:line="276" w:lineRule="auto"/>
              <w:ind w:left="714" w:hanging="357"/>
              <w:contextualSpacing/>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 xml:space="preserve">Data source: </w:t>
            </w:r>
            <w:hyperlink r:id="rId40" w:history="1">
              <w:r w:rsidRPr="007B3142">
                <w:rPr>
                  <w:rFonts w:ascii="Calibri" w:eastAsia="Times New Roman" w:hAnsi="Calibri" w:cs="Calibri"/>
                  <w:color w:val="0062B1"/>
                  <w:sz w:val="20"/>
                  <w:szCs w:val="20"/>
                  <w:u w:val="single"/>
                </w:rPr>
                <w:t>Australian Aboriginal and Torres Strait Islander Health Survey: Nutrition Results - Foods and Nutrients, 2012-13</w:t>
              </w:r>
            </w:hyperlink>
          </w:p>
          <w:p w14:paraId="3C118226" w14:textId="77777777" w:rsidR="005C5475" w:rsidRPr="00D633FF" w:rsidRDefault="005C5475" w:rsidP="00DC0D76">
            <w:pPr>
              <w:spacing w:before="0" w:after="160" w:line="276" w:lineRule="auto"/>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sz w:val="20"/>
                <w:szCs w:val="20"/>
              </w:rPr>
            </w:pPr>
            <w:r w:rsidRPr="00D633FF">
              <w:rPr>
                <w:rFonts w:ascii="Calibri" w:eastAsia="Times New Roman" w:hAnsi="Calibri" w:cs="Calibri"/>
                <w:b/>
                <w:bCs/>
                <w:sz w:val="20"/>
                <w:szCs w:val="20"/>
              </w:rPr>
              <w:t>New Zealand</w:t>
            </w:r>
          </w:p>
          <w:p w14:paraId="06BAC0B4" w14:textId="77777777" w:rsidR="005C5475" w:rsidRPr="00D633FF" w:rsidRDefault="005C5475" w:rsidP="00F1381E">
            <w:pPr>
              <w:numPr>
                <w:ilvl w:val="0"/>
                <w:numId w:val="10"/>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Mean selenium intake was higher in the Pacific and Māori populations than the ‘European and other’ population</w:t>
            </w:r>
          </w:p>
          <w:p w14:paraId="457F6526" w14:textId="77777777" w:rsidR="005C5475" w:rsidRPr="00D633FF" w:rsidRDefault="005C5475" w:rsidP="00F1381E">
            <w:pPr>
              <w:numPr>
                <w:ilvl w:val="1"/>
                <w:numId w:val="10"/>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 xml:space="preserve">Māori population: 33.7-69.1 µg/day </w:t>
            </w:r>
            <w:r w:rsidRPr="00D633FF">
              <w:rPr>
                <w:rFonts w:ascii="Calibri" w:eastAsia="Times New Roman" w:hAnsi="Calibri" w:cs="Calibri"/>
                <w:i/>
                <w:iCs/>
                <w:sz w:val="20"/>
                <w:szCs w:val="20"/>
              </w:rPr>
              <w:t>(mean of male and female values)</w:t>
            </w:r>
          </w:p>
          <w:p w14:paraId="43583FA4" w14:textId="77777777" w:rsidR="005C5475" w:rsidRPr="00D633FF" w:rsidRDefault="005C5475" w:rsidP="00F1381E">
            <w:pPr>
              <w:numPr>
                <w:ilvl w:val="1"/>
                <w:numId w:val="10"/>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 xml:space="preserve">Pacific population: 31.8-84.5 µg/day </w:t>
            </w:r>
            <w:r w:rsidRPr="00D633FF">
              <w:rPr>
                <w:rFonts w:ascii="Calibri" w:eastAsia="Times New Roman" w:hAnsi="Calibri" w:cs="Calibri"/>
                <w:i/>
                <w:iCs/>
                <w:sz w:val="20"/>
                <w:szCs w:val="20"/>
              </w:rPr>
              <w:t>(mean of male and female values)</w:t>
            </w:r>
          </w:p>
          <w:p w14:paraId="2B8E5271" w14:textId="77777777" w:rsidR="005C5475" w:rsidRPr="00D633FF" w:rsidRDefault="005C5475" w:rsidP="00F1381E">
            <w:pPr>
              <w:numPr>
                <w:ilvl w:val="1"/>
                <w:numId w:val="10"/>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 xml:space="preserve">‘European and other’ population: 25.5-64.7 µg/day </w:t>
            </w:r>
            <w:r w:rsidRPr="00D633FF">
              <w:rPr>
                <w:rFonts w:ascii="Calibri" w:eastAsia="Times New Roman" w:hAnsi="Calibri" w:cs="Calibri"/>
                <w:i/>
                <w:iCs/>
                <w:sz w:val="20"/>
                <w:szCs w:val="20"/>
              </w:rPr>
              <w:t>(mean of male and female values)</w:t>
            </w:r>
          </w:p>
          <w:p w14:paraId="0DFD870E" w14:textId="77777777" w:rsidR="005C5475" w:rsidRPr="00D633FF" w:rsidRDefault="005C5475" w:rsidP="00F1381E">
            <w:pPr>
              <w:numPr>
                <w:ilvl w:val="0"/>
                <w:numId w:val="10"/>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u w:val="single"/>
              </w:rPr>
              <w:t>Excess intake</w:t>
            </w:r>
            <w:r w:rsidRPr="00D633FF">
              <w:rPr>
                <w:rFonts w:ascii="Calibri" w:eastAsia="Times New Roman" w:hAnsi="Calibri" w:cs="Calibri"/>
                <w:sz w:val="20"/>
                <w:szCs w:val="20"/>
              </w:rPr>
              <w:t>: there was no information on the proportion exceeding the UL for selenium for any population in New Zealand.</w:t>
            </w:r>
          </w:p>
          <w:p w14:paraId="5232DAEF" w14:textId="2A7E2DA1" w:rsidR="005C5475" w:rsidRPr="00D633FF" w:rsidRDefault="005C5475" w:rsidP="00F1381E">
            <w:pPr>
              <w:numPr>
                <w:ilvl w:val="0"/>
                <w:numId w:val="10"/>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 xml:space="preserve">The group with the highest intake overall was the 31–50-year-old New Zealand male Pacific population (90th percentile intake of 194 µg/day), which is lower than the current selenium ULs from NHMRC </w:t>
            </w:r>
            <w:r w:rsidR="00581D6D" w:rsidRPr="00D633FF">
              <w:rPr>
                <w:rFonts w:ascii="Calibri" w:eastAsia="Times New Roman" w:hAnsi="Calibri" w:cs="Calibri"/>
                <w:sz w:val="20"/>
                <w:szCs w:val="20"/>
              </w:rPr>
              <w:t xml:space="preserve">(400 µg/day) </w:t>
            </w:r>
            <w:r w:rsidRPr="00D633FF">
              <w:rPr>
                <w:rFonts w:ascii="Calibri" w:eastAsia="Times New Roman" w:hAnsi="Calibri" w:cs="Calibri"/>
                <w:sz w:val="20"/>
                <w:szCs w:val="20"/>
              </w:rPr>
              <w:t xml:space="preserve">and </w:t>
            </w:r>
            <w:r w:rsidR="00581D6D" w:rsidRPr="00D633FF">
              <w:rPr>
                <w:rFonts w:ascii="Calibri" w:eastAsia="Times New Roman" w:hAnsi="Calibri" w:cs="Calibri"/>
                <w:sz w:val="20"/>
                <w:szCs w:val="20"/>
              </w:rPr>
              <w:t xml:space="preserve">adapted </w:t>
            </w:r>
            <w:r w:rsidRPr="00D633FF">
              <w:rPr>
                <w:rFonts w:ascii="Calibri" w:eastAsia="Times New Roman" w:hAnsi="Calibri" w:cs="Calibri"/>
                <w:sz w:val="20"/>
                <w:szCs w:val="20"/>
              </w:rPr>
              <w:t xml:space="preserve">EFSA </w:t>
            </w:r>
            <w:r w:rsidR="00581D6D" w:rsidRPr="00D633FF">
              <w:rPr>
                <w:rFonts w:ascii="Calibri" w:eastAsia="Times New Roman" w:hAnsi="Calibri" w:cs="Calibri"/>
                <w:sz w:val="20"/>
                <w:szCs w:val="20"/>
              </w:rPr>
              <w:t>(330</w:t>
            </w:r>
            <w:r w:rsidRPr="00D633FF">
              <w:rPr>
                <w:rFonts w:ascii="Calibri" w:eastAsia="Times New Roman" w:hAnsi="Calibri" w:cs="Calibri"/>
                <w:sz w:val="20"/>
                <w:szCs w:val="20"/>
              </w:rPr>
              <w:t xml:space="preserve"> µg/day</w:t>
            </w:r>
            <w:r w:rsidR="00581D6D" w:rsidRPr="00D633FF">
              <w:rPr>
                <w:rFonts w:ascii="Calibri" w:eastAsia="Times New Roman" w:hAnsi="Calibri" w:cs="Calibri"/>
                <w:sz w:val="20"/>
                <w:szCs w:val="20"/>
              </w:rPr>
              <w:t>)</w:t>
            </w:r>
            <w:r w:rsidRPr="00D633FF">
              <w:rPr>
                <w:rFonts w:ascii="Calibri" w:eastAsia="Times New Roman" w:hAnsi="Calibri" w:cs="Calibri"/>
                <w:sz w:val="20"/>
                <w:szCs w:val="20"/>
              </w:rPr>
              <w:t>.</w:t>
            </w:r>
          </w:p>
          <w:p w14:paraId="0405DB2B" w14:textId="77777777" w:rsidR="005C5475" w:rsidRPr="00D633FF" w:rsidRDefault="005C5475" w:rsidP="00F1381E">
            <w:pPr>
              <w:numPr>
                <w:ilvl w:val="0"/>
                <w:numId w:val="10"/>
              </w:numPr>
              <w:spacing w:before="0" w:after="160" w:line="276" w:lineRule="auto"/>
              <w:ind w:left="714" w:hanging="357"/>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 xml:space="preserve">Data source: </w:t>
            </w:r>
            <w:hyperlink r:id="rId41" w:history="1">
              <w:r w:rsidRPr="007B3142">
                <w:rPr>
                  <w:rFonts w:ascii="Calibri" w:eastAsia="Arial" w:hAnsi="Calibri" w:cs="Calibri"/>
                  <w:color w:val="0062B1"/>
                  <w:sz w:val="20"/>
                  <w:szCs w:val="20"/>
                  <w:u w:val="single"/>
                </w:rPr>
                <w:t>2008-09 New Zealand Adults Nutrition Survey</w:t>
              </w:r>
            </w:hyperlink>
          </w:p>
          <w:p w14:paraId="6FB5BA03" w14:textId="77777777" w:rsidR="005C5475" w:rsidRPr="00D633FF" w:rsidRDefault="005C5475" w:rsidP="00584BF1">
            <w:pPr>
              <w:spacing w:line="276" w:lineRule="auto"/>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sz w:val="20"/>
                <w:szCs w:val="20"/>
              </w:rPr>
            </w:pPr>
            <w:r w:rsidRPr="00D633FF">
              <w:rPr>
                <w:rFonts w:ascii="Calibri" w:eastAsia="Times New Roman" w:hAnsi="Calibri" w:cs="Calibri"/>
                <w:b/>
                <w:bCs/>
                <w:sz w:val="20"/>
                <w:szCs w:val="20"/>
              </w:rPr>
              <w:t>Pregnancy and lactation</w:t>
            </w:r>
          </w:p>
          <w:p w14:paraId="29AE0A8A" w14:textId="77777777" w:rsidR="005C5475" w:rsidRPr="00D633FF" w:rsidRDefault="005C5475" w:rsidP="00F1381E">
            <w:pPr>
              <w:numPr>
                <w:ilvl w:val="0"/>
                <w:numId w:val="16"/>
              </w:numPr>
              <w:spacing w:line="276" w:lineRule="auto"/>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 xml:space="preserve">There is no evidence that special considerations are needed during pregnancy and lactation. </w:t>
            </w:r>
          </w:p>
          <w:p w14:paraId="14D716F1" w14:textId="77777777" w:rsidR="005C5475" w:rsidRPr="00D633FF" w:rsidRDefault="005C5475" w:rsidP="00F1381E">
            <w:pPr>
              <w:numPr>
                <w:ilvl w:val="0"/>
                <w:numId w:val="16"/>
              </w:numPr>
              <w:spacing w:before="0" w:after="160" w:line="276" w:lineRule="auto"/>
              <w:ind w:left="714" w:hanging="357"/>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6"/>
                <w:szCs w:val="20"/>
              </w:rPr>
            </w:pPr>
            <w:r w:rsidRPr="00D633FF">
              <w:rPr>
                <w:rFonts w:ascii="Calibri" w:eastAsia="Times New Roman" w:hAnsi="Calibri" w:cs="Calibri"/>
                <w:sz w:val="20"/>
                <w:szCs w:val="20"/>
              </w:rPr>
              <w:t>EFSA’s Selenium UL recommendations apply to all adults (including people who are pregnant or lactating).</w:t>
            </w:r>
          </w:p>
          <w:p w14:paraId="1A97E7FB" w14:textId="77777777" w:rsidR="005C5475" w:rsidRPr="00D633FF" w:rsidRDefault="005C5475" w:rsidP="00584BF1">
            <w:pPr>
              <w:spacing w:line="276" w:lineRule="auto"/>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20"/>
                <w:szCs w:val="20"/>
              </w:rPr>
            </w:pPr>
            <w:r w:rsidRPr="00D633FF">
              <w:rPr>
                <w:rFonts w:ascii="Calibri" w:eastAsia="Times New Roman" w:hAnsi="Calibri" w:cs="Calibri"/>
                <w:b/>
                <w:sz w:val="20"/>
                <w:szCs w:val="20"/>
              </w:rPr>
              <w:t>Sex considerations</w:t>
            </w:r>
          </w:p>
          <w:p w14:paraId="50AB4626" w14:textId="77777777" w:rsidR="005C5475" w:rsidRPr="00D633FF" w:rsidRDefault="005C5475" w:rsidP="008D15E1">
            <w:pPr>
              <w:numPr>
                <w:ilvl w:val="0"/>
                <w:numId w:val="43"/>
              </w:numPr>
              <w:spacing w:line="276" w:lineRule="auto"/>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There is no evidence that special considerations are needed in relation to sex.</w:t>
            </w:r>
          </w:p>
          <w:p w14:paraId="55AF01F6" w14:textId="77777777" w:rsidR="005C5475" w:rsidRPr="00D633FF" w:rsidRDefault="005C5475" w:rsidP="008D15E1">
            <w:pPr>
              <w:numPr>
                <w:ilvl w:val="0"/>
                <w:numId w:val="43"/>
              </w:numPr>
              <w:spacing w:after="0" w:line="276" w:lineRule="auto"/>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EFSA’s ULs apply to entire age groups for adults, they are not differentiated by sex. This is consistent with NHMRCs 2006 ULs.</w:t>
            </w:r>
          </w:p>
        </w:tc>
      </w:tr>
      <w:tr w:rsidR="005C5475" w:rsidRPr="00D633FF" w14:paraId="172FCE40" w14:textId="77777777" w:rsidTr="0029777B">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127" w:type="dxa"/>
          </w:tcPr>
          <w:p w14:paraId="16284A4B" w14:textId="77777777" w:rsidR="005C5475" w:rsidRPr="00D633FF" w:rsidRDefault="005C5475" w:rsidP="00825978">
            <w:pPr>
              <w:spacing w:before="120" w:line="276" w:lineRule="auto"/>
              <w:rPr>
                <w:rFonts w:ascii="Calibri" w:eastAsia="Times New Roman" w:hAnsi="Calibri" w:cs="Calibri"/>
                <w:highlight w:val="lightGray"/>
              </w:rPr>
            </w:pPr>
            <w:r w:rsidRPr="00D633FF">
              <w:rPr>
                <w:rFonts w:ascii="Calibri" w:eastAsia="Times New Roman" w:hAnsi="Calibri" w:cs="Calibri"/>
              </w:rPr>
              <w:lastRenderedPageBreak/>
              <w:t>Benchmarking against comparable international jurisdictions</w:t>
            </w:r>
          </w:p>
        </w:tc>
        <w:tc>
          <w:tcPr>
            <w:tcW w:w="11907" w:type="dxa"/>
            <w:gridSpan w:val="4"/>
          </w:tcPr>
          <w:p w14:paraId="22B6CA55" w14:textId="729EA520" w:rsidR="005C5475" w:rsidRPr="00D633FF" w:rsidRDefault="005C5475" w:rsidP="00825978">
            <w:pPr>
              <w:spacing w:before="120" w:after="16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 xml:space="preserve">Proposed Upper Level (UL) recommendations for adults are presented below in </w:t>
            </w:r>
            <w:r w:rsidRPr="00D633FF">
              <w:rPr>
                <w:rFonts w:ascii="Calibri" w:eastAsia="Times New Roman" w:hAnsi="Calibri" w:cs="Calibri"/>
                <w:sz w:val="20"/>
                <w:szCs w:val="20"/>
                <w:highlight w:val="yellow"/>
              </w:rPr>
              <w:fldChar w:fldCharType="begin" w:fldLock="1"/>
            </w:r>
            <w:r w:rsidRPr="00D633FF">
              <w:rPr>
                <w:rFonts w:ascii="Calibri" w:eastAsia="Times New Roman" w:hAnsi="Calibri" w:cs="Calibri"/>
                <w:sz w:val="20"/>
                <w:szCs w:val="20"/>
              </w:rPr>
              <w:instrText xml:space="preserve"> REF _Ref203989770 \h </w:instrText>
            </w:r>
            <w:r w:rsidRPr="00D633FF">
              <w:rPr>
                <w:rFonts w:ascii="Calibri" w:eastAsia="Times New Roman" w:hAnsi="Calibri" w:cs="Calibri"/>
                <w:sz w:val="20"/>
                <w:szCs w:val="20"/>
                <w:highlight w:val="yellow"/>
              </w:rPr>
              <w:instrText xml:space="preserve"> \* MERGEFORMAT </w:instrText>
            </w:r>
            <w:r w:rsidRPr="00D633FF">
              <w:rPr>
                <w:rFonts w:ascii="Calibri" w:eastAsia="Times New Roman" w:hAnsi="Calibri" w:cs="Calibri"/>
                <w:sz w:val="20"/>
                <w:szCs w:val="20"/>
                <w:highlight w:val="yellow"/>
              </w:rPr>
            </w:r>
            <w:r w:rsidRPr="00D633FF">
              <w:rPr>
                <w:rFonts w:ascii="Calibri" w:eastAsia="Times New Roman" w:hAnsi="Calibri" w:cs="Calibri"/>
                <w:sz w:val="20"/>
                <w:szCs w:val="20"/>
                <w:highlight w:val="yellow"/>
              </w:rPr>
              <w:fldChar w:fldCharType="separate"/>
            </w:r>
            <w:r w:rsidRPr="00D633FF">
              <w:rPr>
                <w:rFonts w:ascii="Calibri" w:eastAsia="Arial" w:hAnsi="Calibri" w:cs="Calibri"/>
                <w:sz w:val="20"/>
                <w:szCs w:val="20"/>
              </w:rPr>
              <w:t xml:space="preserve">Table </w:t>
            </w:r>
            <w:r w:rsidR="00DC64AD">
              <w:rPr>
                <w:rFonts w:ascii="Calibri" w:eastAsia="Arial" w:hAnsi="Calibri" w:cs="Calibri"/>
                <w:noProof/>
                <w:sz w:val="20"/>
                <w:szCs w:val="20"/>
              </w:rPr>
              <w:t>19</w:t>
            </w:r>
            <w:r w:rsidRPr="00D633FF">
              <w:rPr>
                <w:rFonts w:ascii="Calibri" w:eastAsia="Times New Roman" w:hAnsi="Calibri" w:cs="Calibri"/>
                <w:sz w:val="20"/>
                <w:szCs w:val="20"/>
                <w:highlight w:val="yellow"/>
              </w:rPr>
              <w:fldChar w:fldCharType="end"/>
            </w:r>
            <w:r w:rsidRPr="00D633FF">
              <w:rPr>
                <w:rFonts w:ascii="Calibri" w:eastAsia="Times New Roman" w:hAnsi="Calibri" w:cs="Calibri"/>
                <w:sz w:val="20"/>
                <w:szCs w:val="20"/>
              </w:rPr>
              <w:t xml:space="preserve"> alongside ULs from comparable international jurisdictions. </w:t>
            </w:r>
          </w:p>
          <w:p w14:paraId="597CE35D" w14:textId="77777777" w:rsidR="005C5475" w:rsidRPr="00D633FF" w:rsidRDefault="005C5475" w:rsidP="00DC0D76">
            <w:pPr>
              <w:spacing w:before="0" w:after="16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 xml:space="preserve">The UL for adults is consistent between Australia and New Zealand, the USA, and WHO at 400 μg/day, and the UK value is slightly higher at 450 μg/day. It should be noted, however, that these values are more than 20-years old. </w:t>
            </w:r>
          </w:p>
          <w:p w14:paraId="4177CA81" w14:textId="50A07C9A" w:rsidR="005C5475" w:rsidRPr="003C07C5" w:rsidRDefault="005C5475" w:rsidP="00DC0D76">
            <w:pPr>
              <w:spacing w:before="0" w:after="16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In 2023, the adult UL for Europe was lowered from 300 μg/day to 255 μg/day.</w:t>
            </w:r>
          </w:p>
          <w:p w14:paraId="2BA08D68" w14:textId="21DD1138" w:rsidR="005C5475" w:rsidRPr="00D633FF" w:rsidRDefault="005C5475" w:rsidP="00AE2CC5">
            <w:pPr>
              <w:keepNext/>
              <w:spacing w:after="120" w:line="276" w:lineRule="auto"/>
              <w:cnfStyle w:val="000000100000" w:firstRow="0" w:lastRow="0" w:firstColumn="0" w:lastColumn="0" w:oddVBand="0" w:evenVBand="0" w:oddHBand="1" w:evenHBand="0" w:firstRowFirstColumn="0" w:firstRowLastColumn="0" w:lastRowFirstColumn="0" w:lastRowLastColumn="0"/>
              <w:rPr>
                <w:rFonts w:ascii="Calibri" w:eastAsia="Arial" w:hAnsi="Calibri" w:cs="Calibri"/>
                <w:iCs/>
                <w:caps/>
                <w:szCs w:val="16"/>
              </w:rPr>
            </w:pPr>
            <w:bookmarkStart w:id="105" w:name="_Ref203989770"/>
            <w:r w:rsidRPr="00D633FF">
              <w:rPr>
                <w:rFonts w:ascii="Calibri" w:eastAsia="Arial" w:hAnsi="Calibri" w:cs="Calibri"/>
                <w:b/>
                <w:iCs/>
                <w:caps/>
              </w:rPr>
              <w:t xml:space="preserve">Table </w:t>
            </w:r>
            <w:r w:rsidRPr="00D633FF">
              <w:rPr>
                <w:rFonts w:ascii="Calibri" w:eastAsia="Arial" w:hAnsi="Calibri" w:cs="Calibri"/>
                <w:b/>
                <w:iCs/>
                <w:caps/>
              </w:rPr>
              <w:fldChar w:fldCharType="begin"/>
            </w:r>
            <w:r w:rsidRPr="00D633FF">
              <w:rPr>
                <w:rFonts w:ascii="Calibri" w:eastAsia="Arial" w:hAnsi="Calibri" w:cs="Calibri"/>
                <w:b/>
                <w:iCs/>
                <w:caps/>
              </w:rPr>
              <w:instrText xml:space="preserve"> SEQ Table \* ARABIC </w:instrText>
            </w:r>
            <w:r w:rsidRPr="00D633FF">
              <w:rPr>
                <w:rFonts w:ascii="Calibri" w:eastAsia="Arial" w:hAnsi="Calibri" w:cs="Calibri"/>
                <w:b/>
                <w:iCs/>
                <w:caps/>
              </w:rPr>
              <w:fldChar w:fldCharType="separate"/>
            </w:r>
            <w:r w:rsidR="00CB6915">
              <w:rPr>
                <w:rFonts w:ascii="Calibri" w:eastAsia="Arial" w:hAnsi="Calibri" w:cs="Calibri"/>
                <w:b/>
                <w:iCs/>
                <w:caps/>
                <w:noProof/>
              </w:rPr>
              <w:t>19</w:t>
            </w:r>
            <w:r w:rsidRPr="00D633FF">
              <w:rPr>
                <w:rFonts w:ascii="Calibri" w:eastAsia="Arial" w:hAnsi="Calibri" w:cs="Calibri"/>
                <w:b/>
                <w:iCs/>
                <w:caps/>
              </w:rPr>
              <w:fldChar w:fldCharType="end"/>
            </w:r>
            <w:bookmarkEnd w:id="105"/>
            <w:r w:rsidR="0069638C">
              <w:rPr>
                <w:rFonts w:ascii="Calibri" w:eastAsia="Arial" w:hAnsi="Calibri" w:cs="Calibri"/>
                <w:b/>
                <w:iCs/>
                <w:caps/>
              </w:rPr>
              <w:t>.</w:t>
            </w:r>
            <w:r w:rsidRPr="00D633FF">
              <w:rPr>
                <w:rFonts w:ascii="Calibri" w:eastAsia="Arial" w:hAnsi="Calibri" w:cs="Calibri"/>
                <w:iCs/>
                <w:caps/>
              </w:rPr>
              <w:t xml:space="preserve"> </w:t>
            </w:r>
            <w:r w:rsidR="008C2178">
              <w:rPr>
                <w:rFonts w:ascii="Calibri" w:eastAsia="Arial" w:hAnsi="Calibri" w:cs="Calibri"/>
                <w:b/>
                <w:bCs/>
                <w:iCs/>
              </w:rPr>
              <w:t>A</w:t>
            </w:r>
            <w:r w:rsidR="008C2178" w:rsidRPr="008C2178">
              <w:rPr>
                <w:rFonts w:ascii="Calibri" w:eastAsia="Arial" w:hAnsi="Calibri" w:cs="Calibri"/>
                <w:b/>
                <w:bCs/>
                <w:iCs/>
              </w:rPr>
              <w:t xml:space="preserve">dult selenium </w:t>
            </w:r>
            <w:r w:rsidR="00B07CC4">
              <w:rPr>
                <w:rFonts w:ascii="Calibri" w:eastAsia="Arial" w:hAnsi="Calibri" w:cs="Calibri"/>
                <w:b/>
                <w:bCs/>
                <w:iCs/>
              </w:rPr>
              <w:t>UL</w:t>
            </w:r>
            <w:r w:rsidR="008C2178" w:rsidRPr="008C2178">
              <w:rPr>
                <w:rFonts w:ascii="Calibri" w:eastAsia="Arial" w:hAnsi="Calibri" w:cs="Calibri"/>
                <w:b/>
                <w:bCs/>
                <w:iCs/>
              </w:rPr>
              <w:t xml:space="preserve"> recommendations across comparable international jurisdictions</w:t>
            </w:r>
            <w:r w:rsidR="008C2178" w:rsidRPr="00D633FF">
              <w:rPr>
                <w:rFonts w:ascii="Calibri" w:eastAsia="Arial" w:hAnsi="Calibri" w:cs="Calibri"/>
                <w:iCs/>
              </w:rPr>
              <w:t xml:space="preserve"> </w:t>
            </w:r>
          </w:p>
          <w:tbl>
            <w:tblPr>
              <w:tblStyle w:val="GridTable4"/>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1437"/>
              <w:gridCol w:w="1437"/>
              <w:gridCol w:w="1437"/>
              <w:gridCol w:w="1437"/>
              <w:gridCol w:w="1437"/>
              <w:gridCol w:w="1437"/>
              <w:gridCol w:w="1436"/>
            </w:tblGrid>
            <w:tr w:rsidR="00C874AD" w:rsidRPr="00D633FF" w14:paraId="7A64B7A5" w14:textId="77777777" w:rsidTr="00F87473">
              <w:trPr>
                <w:cnfStyle w:val="100000000000" w:firstRow="1" w:lastRow="0" w:firstColumn="0" w:lastColumn="0" w:oddVBand="0" w:evenVBand="0" w:oddHBand="0"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629" w:type="pct"/>
                  <w:shd w:val="clear" w:color="auto" w:fill="000000" w:themeFill="text1"/>
                  <w:noWrap/>
                  <w:vAlign w:val="center"/>
                </w:tcPr>
                <w:p w14:paraId="495DA0C1" w14:textId="77777777" w:rsidR="00C874AD" w:rsidRPr="00D633FF" w:rsidRDefault="00C874AD" w:rsidP="00874159">
                  <w:pPr>
                    <w:jc w:val="right"/>
                    <w:rPr>
                      <w:rFonts w:ascii="Calibri" w:eastAsia="Times New Roman" w:hAnsi="Calibri" w:cs="Calibri"/>
                      <w:color w:val="FFFFFF"/>
                    </w:rPr>
                  </w:pPr>
                  <w:r w:rsidRPr="00D633FF">
                    <w:rPr>
                      <w:rFonts w:ascii="Calibri" w:eastAsia="Times New Roman" w:hAnsi="Calibri" w:cs="Calibri"/>
                      <w:color w:val="FFFFFF"/>
                    </w:rPr>
                    <w:t>Jurisdiction</w:t>
                  </w:r>
                </w:p>
              </w:tc>
              <w:tc>
                <w:tcPr>
                  <w:tcW w:w="624" w:type="pct"/>
                  <w:shd w:val="clear" w:color="auto" w:fill="000000" w:themeFill="text1"/>
                  <w:vAlign w:val="center"/>
                </w:tcPr>
                <w:p w14:paraId="19059888" w14:textId="02EE5F51" w:rsidR="00C874AD" w:rsidRPr="00D633FF" w:rsidRDefault="00C874AD" w:rsidP="00104C26">
                  <w:pPr>
                    <w:ind w:right="-32"/>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rPr>
                  </w:pPr>
                  <w:r w:rsidRPr="00D633FF">
                    <w:rPr>
                      <w:rFonts w:ascii="Calibri" w:eastAsia="Times New Roman" w:hAnsi="Calibri" w:cs="Calibri"/>
                    </w:rPr>
                    <w:t xml:space="preserve">Australia &amp; </w:t>
                  </w:r>
                </w:p>
              </w:tc>
              <w:tc>
                <w:tcPr>
                  <w:tcW w:w="624" w:type="pct"/>
                  <w:tcBorders>
                    <w:left w:val="single" w:sz="4" w:space="0" w:color="000000" w:themeColor="text1"/>
                    <w:right w:val="single" w:sz="4" w:space="0" w:color="000000" w:themeColor="text1"/>
                  </w:tcBorders>
                  <w:shd w:val="clear" w:color="auto" w:fill="000000" w:themeFill="text1"/>
                  <w:vAlign w:val="center"/>
                </w:tcPr>
                <w:p w14:paraId="449AE632" w14:textId="0DCB5ACE" w:rsidR="00C874AD" w:rsidRPr="00D633FF" w:rsidRDefault="00104C26" w:rsidP="00104C26">
                  <w:pPr>
                    <w:ind w:left="-44"/>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New Zealand</w:t>
                  </w:r>
                </w:p>
              </w:tc>
              <w:tc>
                <w:tcPr>
                  <w:tcW w:w="624" w:type="pct"/>
                  <w:shd w:val="clear" w:color="auto" w:fill="000000" w:themeFill="text1"/>
                  <w:vAlign w:val="center"/>
                </w:tcPr>
                <w:p w14:paraId="057DD96B" w14:textId="77777777" w:rsidR="00C874AD" w:rsidRPr="00D633FF" w:rsidRDefault="00C874AD" w:rsidP="0087415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Europe (current)</w:t>
                  </w:r>
                </w:p>
              </w:tc>
              <w:tc>
                <w:tcPr>
                  <w:tcW w:w="624" w:type="pct"/>
                  <w:shd w:val="clear" w:color="auto" w:fill="000000" w:themeFill="text1"/>
                  <w:vAlign w:val="center"/>
                </w:tcPr>
                <w:p w14:paraId="480A9BC3" w14:textId="77777777" w:rsidR="00C874AD" w:rsidRPr="00D633FF" w:rsidRDefault="00C874AD" w:rsidP="0087415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Europe (previous)</w:t>
                  </w:r>
                </w:p>
              </w:tc>
              <w:tc>
                <w:tcPr>
                  <w:tcW w:w="624" w:type="pct"/>
                  <w:shd w:val="clear" w:color="auto" w:fill="000000" w:themeFill="text1"/>
                  <w:vAlign w:val="center"/>
                </w:tcPr>
                <w:p w14:paraId="5A066307" w14:textId="77777777" w:rsidR="00C874AD" w:rsidRPr="00D633FF" w:rsidRDefault="00C874AD" w:rsidP="0087415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USA</w:t>
                  </w:r>
                </w:p>
              </w:tc>
              <w:tc>
                <w:tcPr>
                  <w:tcW w:w="624" w:type="pct"/>
                  <w:shd w:val="clear" w:color="auto" w:fill="000000" w:themeFill="text1"/>
                  <w:vAlign w:val="center"/>
                </w:tcPr>
                <w:p w14:paraId="4211DF8E" w14:textId="77777777" w:rsidR="00C874AD" w:rsidRPr="00D633FF" w:rsidRDefault="00C874AD" w:rsidP="0087415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UK</w:t>
                  </w:r>
                </w:p>
              </w:tc>
              <w:tc>
                <w:tcPr>
                  <w:tcW w:w="624" w:type="pct"/>
                  <w:shd w:val="clear" w:color="auto" w:fill="000000" w:themeFill="text1"/>
                  <w:vAlign w:val="center"/>
                </w:tcPr>
                <w:p w14:paraId="42BA2686" w14:textId="77777777" w:rsidR="00C874AD" w:rsidRPr="00D633FF" w:rsidRDefault="00C874AD" w:rsidP="0087415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International</w:t>
                  </w:r>
                </w:p>
              </w:tc>
            </w:tr>
            <w:tr w:rsidR="0017087A" w:rsidRPr="00D633FF" w14:paraId="33FBA13C" w14:textId="77777777" w:rsidTr="00F87473">
              <w:trPr>
                <w:trHeight w:val="310"/>
              </w:trPr>
              <w:tc>
                <w:tcPr>
                  <w:cnfStyle w:val="001000000000" w:firstRow="0" w:lastRow="0" w:firstColumn="1" w:lastColumn="0" w:oddVBand="0" w:evenVBand="0" w:oddHBand="0" w:evenHBand="0" w:firstRowFirstColumn="0" w:firstRowLastColumn="0" w:lastRowFirstColumn="0" w:lastRowLastColumn="0"/>
                  <w:tcW w:w="629" w:type="pct"/>
                  <w:shd w:val="clear" w:color="auto" w:fill="000000"/>
                  <w:noWrap/>
                  <w:vAlign w:val="center"/>
                  <w:hideMark/>
                </w:tcPr>
                <w:p w14:paraId="04E63466" w14:textId="77777777" w:rsidR="005C5475" w:rsidRPr="00D633FF" w:rsidRDefault="005C5475" w:rsidP="00874159">
                  <w:pPr>
                    <w:jc w:val="right"/>
                    <w:rPr>
                      <w:rFonts w:ascii="Calibri" w:eastAsia="Times New Roman" w:hAnsi="Calibri" w:cs="Calibri"/>
                      <w:color w:val="FFFFFF"/>
                    </w:rPr>
                  </w:pPr>
                  <w:bookmarkStart w:id="106" w:name="_Hlk197954268"/>
                </w:p>
              </w:tc>
              <w:tc>
                <w:tcPr>
                  <w:tcW w:w="624" w:type="pct"/>
                  <w:shd w:val="clear" w:color="auto" w:fill="CCCCCF"/>
                  <w:vAlign w:val="center"/>
                </w:tcPr>
                <w:p w14:paraId="0E74DF7C" w14:textId="77777777" w:rsidR="005C5475" w:rsidRPr="00090062" w:rsidRDefault="005C5475" w:rsidP="00ED50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55A3"/>
                      <w:sz w:val="16"/>
                      <w:szCs w:val="16"/>
                    </w:rPr>
                  </w:pPr>
                  <w:r w:rsidRPr="00090062">
                    <w:rPr>
                      <w:rFonts w:ascii="Calibri" w:eastAsia="Times New Roman" w:hAnsi="Calibri" w:cs="Calibri"/>
                      <w:b/>
                      <w:bCs/>
                      <w:color w:val="0055A3"/>
                      <w:sz w:val="16"/>
                      <w:szCs w:val="16"/>
                    </w:rPr>
                    <w:t>Option 1: RETAIN</w:t>
                  </w:r>
                </w:p>
                <w:p w14:paraId="34AE54E4" w14:textId="77777777" w:rsidR="005C5475" w:rsidRPr="00D633FF" w:rsidRDefault="005C5475" w:rsidP="00ED50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r w:rsidRPr="00D633FF">
                    <w:rPr>
                      <w:rFonts w:ascii="Calibri" w:eastAsia="Times New Roman" w:hAnsi="Calibri" w:cs="Calibri"/>
                      <w:b/>
                      <w:bCs/>
                    </w:rPr>
                    <w:t>NHMRC</w:t>
                  </w:r>
                </w:p>
                <w:p w14:paraId="1EFB7530" w14:textId="77777777" w:rsidR="005C5475" w:rsidRPr="00ED5041" w:rsidRDefault="005C5475" w:rsidP="00ED5041">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ED5041">
                    <w:rPr>
                      <w:rFonts w:ascii="Calibri" w:eastAsia="Times New Roman" w:hAnsi="Calibri" w:cs="Calibri"/>
                    </w:rPr>
                    <w:t>(2006)</w:t>
                  </w:r>
                </w:p>
              </w:tc>
              <w:tc>
                <w:tcPr>
                  <w:tcW w:w="624" w:type="pct"/>
                  <w:shd w:val="clear" w:color="auto" w:fill="FFFFFF"/>
                  <w:vAlign w:val="center"/>
                </w:tcPr>
                <w:p w14:paraId="2FCB7B6B" w14:textId="77777777" w:rsidR="005C5475" w:rsidRPr="00D633FF" w:rsidRDefault="005C5475" w:rsidP="00C523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70C0"/>
                      <w:sz w:val="16"/>
                      <w:szCs w:val="16"/>
                    </w:rPr>
                  </w:pPr>
                  <w:r w:rsidRPr="00D633FF">
                    <w:rPr>
                      <w:rFonts w:ascii="Calibri" w:eastAsia="Times New Roman" w:hAnsi="Calibri" w:cs="Calibri"/>
                      <w:b/>
                      <w:bCs/>
                      <w:color w:val="0070C0"/>
                      <w:sz w:val="16"/>
                      <w:szCs w:val="16"/>
                    </w:rPr>
                    <w:t>Option 2: ADAPT</w:t>
                  </w:r>
                </w:p>
                <w:p w14:paraId="2C4A8E91" w14:textId="77777777" w:rsidR="005C5475" w:rsidRPr="00D633FF" w:rsidRDefault="005C5475" w:rsidP="00ED50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b/>
                      <w:bCs/>
                    </w:rPr>
                    <w:t>Adapted EFSA value</w:t>
                  </w:r>
                </w:p>
              </w:tc>
              <w:tc>
                <w:tcPr>
                  <w:tcW w:w="624" w:type="pct"/>
                  <w:shd w:val="clear" w:color="auto" w:fill="CCCCCF"/>
                  <w:vAlign w:val="center"/>
                </w:tcPr>
                <w:p w14:paraId="7B93123D" w14:textId="77777777" w:rsidR="00ED5041" w:rsidRDefault="00ED5041" w:rsidP="00ED50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p w14:paraId="5DEF14E7" w14:textId="2041136D" w:rsidR="00ED5041" w:rsidRDefault="005C5475" w:rsidP="00ED50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r w:rsidRPr="00D633FF">
                    <w:rPr>
                      <w:rFonts w:ascii="Calibri" w:eastAsia="Times New Roman" w:hAnsi="Calibri" w:cs="Calibri"/>
                      <w:b/>
                      <w:bCs/>
                    </w:rPr>
                    <w:t xml:space="preserve">EFSA </w:t>
                  </w:r>
                </w:p>
                <w:p w14:paraId="434C0A39" w14:textId="264C7346" w:rsidR="005C5475" w:rsidRPr="00ED5041" w:rsidRDefault="005C5475" w:rsidP="00ED5041">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ED5041">
                    <w:rPr>
                      <w:rFonts w:ascii="Calibri" w:eastAsia="Times New Roman" w:hAnsi="Calibri" w:cs="Calibri"/>
                    </w:rPr>
                    <w:t>(2023)</w:t>
                  </w:r>
                </w:p>
              </w:tc>
              <w:tc>
                <w:tcPr>
                  <w:tcW w:w="624" w:type="pct"/>
                  <w:shd w:val="clear" w:color="auto" w:fill="FFFFFF"/>
                  <w:vAlign w:val="center"/>
                </w:tcPr>
                <w:p w14:paraId="420AB116" w14:textId="77777777" w:rsidR="00ED5041" w:rsidRDefault="00ED5041" w:rsidP="00ED50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p w14:paraId="5730F35D" w14:textId="542F9F9A" w:rsidR="005C5475" w:rsidRPr="00D633FF" w:rsidRDefault="005C5475" w:rsidP="00ED50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r w:rsidRPr="00D633FF">
                    <w:rPr>
                      <w:rFonts w:ascii="Calibri" w:eastAsia="Times New Roman" w:hAnsi="Calibri" w:cs="Calibri"/>
                      <w:b/>
                      <w:bCs/>
                    </w:rPr>
                    <w:t>SCF</w:t>
                  </w:r>
                </w:p>
                <w:p w14:paraId="0BF51BA4" w14:textId="77777777" w:rsidR="005C5475" w:rsidRPr="00D633FF" w:rsidRDefault="005C5475" w:rsidP="00ED5041">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(2000)</w:t>
                  </w:r>
                </w:p>
              </w:tc>
              <w:tc>
                <w:tcPr>
                  <w:tcW w:w="624" w:type="pct"/>
                  <w:shd w:val="clear" w:color="auto" w:fill="CCCCCF"/>
                  <w:vAlign w:val="center"/>
                </w:tcPr>
                <w:p w14:paraId="20CE6741" w14:textId="77777777" w:rsidR="00ED5041" w:rsidRDefault="00ED5041" w:rsidP="00ED50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p w14:paraId="553228C9" w14:textId="2F38602D" w:rsidR="005C5475" w:rsidRPr="00D633FF" w:rsidRDefault="005C5475" w:rsidP="00ED50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r w:rsidRPr="00D633FF">
                    <w:rPr>
                      <w:rFonts w:ascii="Calibri" w:eastAsia="Times New Roman" w:hAnsi="Calibri" w:cs="Calibri"/>
                      <w:b/>
                      <w:bCs/>
                    </w:rPr>
                    <w:t>IOM</w:t>
                  </w:r>
                </w:p>
                <w:p w14:paraId="0053886E" w14:textId="77777777" w:rsidR="005C5475" w:rsidRPr="00D633FF" w:rsidRDefault="005C5475" w:rsidP="00ED5041">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r w:rsidRPr="00D633FF">
                    <w:rPr>
                      <w:rFonts w:ascii="Calibri" w:eastAsia="Times New Roman" w:hAnsi="Calibri" w:cs="Calibri"/>
                    </w:rPr>
                    <w:t>(2000)</w:t>
                  </w:r>
                </w:p>
              </w:tc>
              <w:tc>
                <w:tcPr>
                  <w:tcW w:w="624" w:type="pct"/>
                  <w:shd w:val="clear" w:color="auto" w:fill="FFFFFF"/>
                  <w:vAlign w:val="center"/>
                </w:tcPr>
                <w:p w14:paraId="4852DF45" w14:textId="77777777" w:rsidR="00ED5041" w:rsidRDefault="00ED5041" w:rsidP="00ED50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p w14:paraId="1FA59C89" w14:textId="295BF857" w:rsidR="005C5475" w:rsidRPr="00D633FF" w:rsidRDefault="005C5475" w:rsidP="00ED50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r w:rsidRPr="00D633FF">
                    <w:rPr>
                      <w:rFonts w:ascii="Calibri" w:eastAsia="Times New Roman" w:hAnsi="Calibri" w:cs="Calibri"/>
                      <w:b/>
                      <w:bCs/>
                    </w:rPr>
                    <w:t>EVM</w:t>
                  </w:r>
                </w:p>
                <w:p w14:paraId="2F72EC91" w14:textId="77777777" w:rsidR="005C5475" w:rsidRPr="00D633FF" w:rsidRDefault="005C5475" w:rsidP="00ED5041">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r w:rsidRPr="00D633FF">
                    <w:rPr>
                      <w:rFonts w:ascii="Calibri" w:eastAsia="Times New Roman" w:hAnsi="Calibri" w:cs="Calibri"/>
                    </w:rPr>
                    <w:t>(2003)</w:t>
                  </w:r>
                </w:p>
              </w:tc>
              <w:tc>
                <w:tcPr>
                  <w:tcW w:w="624" w:type="pct"/>
                  <w:shd w:val="clear" w:color="auto" w:fill="CCCCCF"/>
                  <w:vAlign w:val="center"/>
                </w:tcPr>
                <w:p w14:paraId="3F419C7E" w14:textId="77777777" w:rsidR="00ED5041" w:rsidRDefault="00ED5041" w:rsidP="00ED50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p w14:paraId="66EA52C3" w14:textId="2E4C46B7" w:rsidR="005C5475" w:rsidRPr="00D633FF" w:rsidRDefault="005C5475" w:rsidP="00ED50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r w:rsidRPr="00D633FF">
                    <w:rPr>
                      <w:rFonts w:ascii="Calibri" w:eastAsia="Times New Roman" w:hAnsi="Calibri" w:cs="Calibri"/>
                      <w:b/>
                      <w:bCs/>
                    </w:rPr>
                    <w:t>WHO/FAO</w:t>
                  </w:r>
                </w:p>
                <w:p w14:paraId="4675E5BF" w14:textId="0295BE3B" w:rsidR="005C5475" w:rsidRPr="00D633FF" w:rsidRDefault="00F41A14" w:rsidP="00ED5041">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noProof/>
                    </w:rPr>
                    <w:t>(2004)</w:t>
                  </w:r>
                </w:p>
              </w:tc>
            </w:tr>
            <w:tr w:rsidR="0017087A" w:rsidRPr="00D633FF" w14:paraId="1AA9E152" w14:textId="77777777" w:rsidTr="00F87473">
              <w:trPr>
                <w:trHeight w:val="310"/>
              </w:trPr>
              <w:tc>
                <w:tcPr>
                  <w:cnfStyle w:val="001000000000" w:firstRow="0" w:lastRow="0" w:firstColumn="1" w:lastColumn="0" w:oddVBand="0" w:evenVBand="0" w:oddHBand="0" w:evenHBand="0" w:firstRowFirstColumn="0" w:firstRowLastColumn="0" w:lastRowFirstColumn="0" w:lastRowLastColumn="0"/>
                  <w:tcW w:w="629" w:type="pct"/>
                  <w:shd w:val="clear" w:color="auto" w:fill="000000"/>
                  <w:noWrap/>
                  <w:vAlign w:val="center"/>
                  <w:hideMark/>
                </w:tcPr>
                <w:p w14:paraId="57655443" w14:textId="77777777" w:rsidR="005C5475" w:rsidRPr="00D633FF" w:rsidRDefault="005C5475" w:rsidP="00874159">
                  <w:pPr>
                    <w:spacing w:line="276" w:lineRule="auto"/>
                    <w:jc w:val="right"/>
                    <w:rPr>
                      <w:rFonts w:ascii="Calibri" w:eastAsia="Times New Roman" w:hAnsi="Calibri" w:cs="Calibri"/>
                      <w:color w:val="FFFFFF"/>
                    </w:rPr>
                  </w:pPr>
                  <w:r w:rsidRPr="00D633FF">
                    <w:rPr>
                      <w:rFonts w:ascii="Calibri" w:eastAsia="Times New Roman" w:hAnsi="Calibri" w:cs="Calibri"/>
                      <w:color w:val="FFFFFF"/>
                    </w:rPr>
                    <w:lastRenderedPageBreak/>
                    <w:t>UL</w:t>
                  </w:r>
                  <w:r w:rsidRPr="00D633FF">
                    <w:rPr>
                      <w:rFonts w:ascii="Calibri" w:eastAsia="Times New Roman" w:hAnsi="Calibri" w:cs="Calibri"/>
                      <w:color w:val="FFFFFF"/>
                    </w:rPr>
                    <w:br/>
                    <w:t>(µg/day)</w:t>
                  </w:r>
                </w:p>
              </w:tc>
              <w:tc>
                <w:tcPr>
                  <w:tcW w:w="624" w:type="pct"/>
                  <w:shd w:val="clear" w:color="auto" w:fill="CCCCCF"/>
                  <w:vAlign w:val="center"/>
                </w:tcPr>
                <w:p w14:paraId="655E6388" w14:textId="77777777" w:rsidR="005C5475" w:rsidRPr="00D633FF" w:rsidRDefault="005C5475" w:rsidP="00ED504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400</w:t>
                  </w:r>
                  <w:r w:rsidRPr="00D633FF">
                    <w:rPr>
                      <w:rFonts w:ascii="Calibri" w:eastAsia="Times New Roman" w:hAnsi="Calibri" w:cs="Calibri"/>
                      <w:color w:val="000000"/>
                      <w:vertAlign w:val="superscript"/>
                    </w:rPr>
                    <w:t>#</w:t>
                  </w:r>
                </w:p>
              </w:tc>
              <w:tc>
                <w:tcPr>
                  <w:tcW w:w="624" w:type="pct"/>
                  <w:shd w:val="clear" w:color="auto" w:fill="FFFFFF"/>
                  <w:vAlign w:val="center"/>
                </w:tcPr>
                <w:p w14:paraId="711D4666" w14:textId="77777777" w:rsidR="005C5475" w:rsidRPr="00D633FF" w:rsidRDefault="005C5475" w:rsidP="00ED504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330</w:t>
                  </w:r>
                  <w:r w:rsidRPr="00D633FF">
                    <w:rPr>
                      <w:rFonts w:ascii="Calibri" w:eastAsia="Times New Roman" w:hAnsi="Calibri" w:cs="Calibri"/>
                      <w:color w:val="000000"/>
                      <w:vertAlign w:val="superscript"/>
                    </w:rPr>
                    <w:t>#</w:t>
                  </w:r>
                </w:p>
              </w:tc>
              <w:tc>
                <w:tcPr>
                  <w:tcW w:w="624" w:type="pct"/>
                  <w:shd w:val="clear" w:color="auto" w:fill="CCCCCF"/>
                  <w:vAlign w:val="center"/>
                </w:tcPr>
                <w:p w14:paraId="0B22A9C6" w14:textId="77777777" w:rsidR="005C5475" w:rsidRPr="00D633FF" w:rsidRDefault="005C5475" w:rsidP="00ED504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255</w:t>
                  </w:r>
                  <w:r w:rsidRPr="00D633FF">
                    <w:rPr>
                      <w:rFonts w:ascii="Calibri" w:eastAsia="Times New Roman" w:hAnsi="Calibri" w:cs="Calibri"/>
                      <w:color w:val="000000"/>
                      <w:vertAlign w:val="superscript"/>
                    </w:rPr>
                    <w:t>#</w:t>
                  </w:r>
                </w:p>
              </w:tc>
              <w:tc>
                <w:tcPr>
                  <w:tcW w:w="624" w:type="pct"/>
                  <w:shd w:val="clear" w:color="auto" w:fill="FFFFFF"/>
                  <w:vAlign w:val="center"/>
                </w:tcPr>
                <w:p w14:paraId="4BD7C800" w14:textId="77777777" w:rsidR="005C5475" w:rsidRPr="00D633FF" w:rsidRDefault="005C5475" w:rsidP="00ED504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300</w:t>
                  </w:r>
                  <w:r w:rsidRPr="00D633FF">
                    <w:rPr>
                      <w:rFonts w:ascii="Calibri" w:eastAsia="Times New Roman" w:hAnsi="Calibri" w:cs="Calibri"/>
                      <w:color w:val="000000"/>
                      <w:vertAlign w:val="superscript"/>
                    </w:rPr>
                    <w:t>#</w:t>
                  </w:r>
                </w:p>
              </w:tc>
              <w:tc>
                <w:tcPr>
                  <w:tcW w:w="624" w:type="pct"/>
                  <w:shd w:val="clear" w:color="auto" w:fill="CCCCCF"/>
                  <w:vAlign w:val="center"/>
                </w:tcPr>
                <w:p w14:paraId="3020953F" w14:textId="77777777" w:rsidR="005C5475" w:rsidRPr="00D633FF" w:rsidRDefault="005C5475" w:rsidP="00ED504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400</w:t>
                  </w:r>
                </w:p>
              </w:tc>
              <w:tc>
                <w:tcPr>
                  <w:tcW w:w="624" w:type="pct"/>
                  <w:shd w:val="clear" w:color="auto" w:fill="FFFFFF"/>
                  <w:vAlign w:val="center"/>
                </w:tcPr>
                <w:p w14:paraId="6D0A6548" w14:textId="77777777" w:rsidR="005C5475" w:rsidRPr="00D633FF" w:rsidRDefault="005C5475" w:rsidP="00ED504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450</w:t>
                  </w:r>
                </w:p>
              </w:tc>
              <w:tc>
                <w:tcPr>
                  <w:tcW w:w="624" w:type="pct"/>
                  <w:shd w:val="clear" w:color="auto" w:fill="CCCCCF"/>
                  <w:vAlign w:val="center"/>
                </w:tcPr>
                <w:p w14:paraId="42DC5B5D" w14:textId="77777777" w:rsidR="005C5475" w:rsidRPr="00D633FF" w:rsidRDefault="005C5475" w:rsidP="00ED5041">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400</w:t>
                  </w:r>
                </w:p>
              </w:tc>
            </w:tr>
          </w:tbl>
          <w:bookmarkEnd w:id="106"/>
          <w:p w14:paraId="0235B4CD" w14:textId="77777777" w:rsidR="005C5475" w:rsidRPr="00D633FF" w:rsidRDefault="005C5475" w:rsidP="00DC0D76">
            <w:pPr>
              <w:tabs>
                <w:tab w:val="center" w:pos="4513"/>
                <w:tab w:val="right" w:pos="9026"/>
              </w:tabs>
              <w:spacing w:line="276" w:lineRule="auto"/>
              <w:contextualSpacing/>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16"/>
                <w:szCs w:val="16"/>
              </w:rPr>
            </w:pPr>
            <w:r w:rsidRPr="00D633FF">
              <w:rPr>
                <w:rFonts w:ascii="Calibri" w:eastAsia="Arial" w:hAnsi="Calibri" w:cs="Calibri"/>
                <w:b/>
                <w:bCs/>
                <w:sz w:val="16"/>
                <w:szCs w:val="16"/>
              </w:rPr>
              <w:t>Abbreviations:</w:t>
            </w:r>
            <w:r w:rsidRPr="00D633FF">
              <w:rPr>
                <w:rFonts w:ascii="Calibri" w:eastAsia="Arial" w:hAnsi="Calibri" w:cs="Calibri"/>
                <w:sz w:val="16"/>
                <w:szCs w:val="16"/>
              </w:rPr>
              <w:t xml:space="preserve"> EVM, UK Expert Group on Vitamins and Minerals (UK); IOM, Institute of Medicine (US); NHMRC, National Health and Medical Research Council; SCF, Scientiﬁc Committee on Food; WHO/FAO, World Health Organization/Food and Agriculture Organization of the United Nations; UL: upper level.</w:t>
            </w:r>
          </w:p>
          <w:p w14:paraId="6165BDD0" w14:textId="77777777" w:rsidR="005C5475" w:rsidRPr="00D633FF" w:rsidRDefault="005C5475" w:rsidP="00DC0D76">
            <w:pPr>
              <w:tabs>
                <w:tab w:val="center" w:pos="4513"/>
                <w:tab w:val="right" w:pos="9026"/>
              </w:tabs>
              <w:spacing w:line="276" w:lineRule="auto"/>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16"/>
                <w:szCs w:val="16"/>
              </w:rPr>
            </w:pPr>
            <w:r w:rsidRPr="00D633FF">
              <w:rPr>
                <w:rFonts w:ascii="Calibri" w:eastAsia="Times New Roman" w:hAnsi="Calibri" w:cs="Calibri"/>
                <w:b/>
                <w:bCs/>
                <w:sz w:val="16"/>
                <w:szCs w:val="16"/>
                <w:vertAlign w:val="superscript"/>
                <w:lang w:eastAsia="en-AU"/>
              </w:rPr>
              <w:t>#</w:t>
            </w:r>
            <w:r w:rsidRPr="00D633FF">
              <w:rPr>
                <w:rFonts w:ascii="Calibri" w:eastAsia="Times New Roman" w:hAnsi="Calibri" w:cs="Calibri"/>
                <w:sz w:val="16"/>
                <w:szCs w:val="16"/>
                <w:lang w:eastAsia="en-AU"/>
              </w:rPr>
              <w:t xml:space="preserve"> </w:t>
            </w:r>
            <w:r w:rsidRPr="00D633FF">
              <w:rPr>
                <w:rFonts w:ascii="Calibri" w:eastAsia="Arial" w:hAnsi="Calibri" w:cs="Calibri"/>
                <w:sz w:val="16"/>
                <w:szCs w:val="16"/>
              </w:rPr>
              <w:t>Including pregnant and lactating women.</w:t>
            </w:r>
          </w:p>
        </w:tc>
      </w:tr>
      <w:tr w:rsidR="005C5475" w:rsidRPr="00D633FF" w14:paraId="117AC40C" w14:textId="77777777" w:rsidTr="0029777B">
        <w:trPr>
          <w:cnfStyle w:val="000000010000" w:firstRow="0" w:lastRow="0" w:firstColumn="0" w:lastColumn="0" w:oddVBand="0" w:evenVBand="0" w:oddHBand="0" w:evenHBand="1" w:firstRowFirstColumn="0" w:firstRowLastColumn="0" w:lastRowFirstColumn="0" w:lastRowLastColumn="0"/>
          <w:cantSplit w:val="0"/>
          <w:trHeight w:val="1497"/>
        </w:trPr>
        <w:tc>
          <w:tcPr>
            <w:cnfStyle w:val="001000000000" w:firstRow="0" w:lastRow="0" w:firstColumn="1" w:lastColumn="0" w:oddVBand="0" w:evenVBand="0" w:oddHBand="0" w:evenHBand="0" w:firstRowFirstColumn="0" w:firstRowLastColumn="0" w:lastRowFirstColumn="0" w:lastRowLastColumn="0"/>
            <w:tcW w:w="2127" w:type="dxa"/>
            <w:hideMark/>
          </w:tcPr>
          <w:p w14:paraId="20083722" w14:textId="77777777" w:rsidR="005C5475" w:rsidRPr="00D633FF" w:rsidRDefault="005C5475" w:rsidP="006C2C05">
            <w:pPr>
              <w:spacing w:before="120" w:line="276" w:lineRule="auto"/>
              <w:rPr>
                <w:rFonts w:ascii="Calibri" w:eastAsia="Arial" w:hAnsi="Calibri" w:cs="Calibri"/>
              </w:rPr>
            </w:pPr>
            <w:r w:rsidRPr="00D633FF">
              <w:rPr>
                <w:rFonts w:ascii="Calibri" w:eastAsia="Arial" w:hAnsi="Calibri" w:cs="Calibri"/>
              </w:rPr>
              <w:lastRenderedPageBreak/>
              <w:t>Balance of effects (benefits and harms)</w:t>
            </w:r>
          </w:p>
          <w:p w14:paraId="7637CA92" w14:textId="77777777" w:rsidR="005C5475" w:rsidRPr="00D633FF" w:rsidRDefault="005C5475" w:rsidP="00862E37">
            <w:pPr>
              <w:spacing w:line="276" w:lineRule="auto"/>
              <w:ind w:right="-1346"/>
              <w:rPr>
                <w:rFonts w:ascii="Calibri" w:eastAsia="Times New Roman" w:hAnsi="Calibri" w:cs="Calibri"/>
                <w:highlight w:val="lightGray"/>
              </w:rPr>
            </w:pPr>
          </w:p>
        </w:tc>
        <w:tc>
          <w:tcPr>
            <w:tcW w:w="4252" w:type="dxa"/>
          </w:tcPr>
          <w:p w14:paraId="55633E38" w14:textId="77777777" w:rsidR="005C5475" w:rsidRPr="00D633FF" w:rsidRDefault="005C5475" w:rsidP="006C2C05">
            <w:pPr>
              <w:spacing w:before="120" w:after="160" w:line="276" w:lineRule="auto"/>
              <w:ind w:right="34"/>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It is unclear whether the current UL of 400 µg/day is protective of most individuals in the general population of Australia and New Zealand as intakes for most population are significantly lower that this level.</w:t>
            </w:r>
          </w:p>
          <w:p w14:paraId="5B56DBDC" w14:textId="0BF00592" w:rsidR="005C5475" w:rsidRPr="00D633FF" w:rsidRDefault="005C5475" w:rsidP="00862E37">
            <w:pPr>
              <w:spacing w:before="0" w:after="160" w:line="276" w:lineRule="auto"/>
              <w:ind w:right="34"/>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There is no evidence to suggest that acute or chronic selenosis are public health concerns in Australia or New Zealand.</w:t>
            </w:r>
          </w:p>
        </w:tc>
        <w:tc>
          <w:tcPr>
            <w:tcW w:w="7655" w:type="dxa"/>
            <w:gridSpan w:val="3"/>
          </w:tcPr>
          <w:p w14:paraId="2E3D67E1" w14:textId="77777777" w:rsidR="005C5475" w:rsidRPr="00D633FF" w:rsidRDefault="005C5475" w:rsidP="006C2C05">
            <w:pPr>
              <w:spacing w:before="120" w:after="160" w:line="276" w:lineRule="auto"/>
              <w:cnfStyle w:val="000000010000" w:firstRow="0" w:lastRow="0" w:firstColumn="0" w:lastColumn="0" w:oddVBand="0" w:evenVBand="0" w:oddHBand="0" w:evenHBand="1" w:firstRowFirstColumn="0" w:firstRowLastColumn="0" w:lastRowFirstColumn="0" w:lastRowLastColumn="0"/>
              <w:rPr>
                <w:rFonts w:ascii="Calibri" w:eastAsia="Arial" w:hAnsi="Calibri" w:cs="Calibri"/>
                <w:sz w:val="20"/>
                <w:szCs w:val="20"/>
              </w:rPr>
            </w:pPr>
            <w:r w:rsidRPr="00D633FF">
              <w:rPr>
                <w:rFonts w:ascii="Calibri" w:eastAsia="Times New Roman" w:hAnsi="Calibri" w:cs="Calibri"/>
                <w:sz w:val="20"/>
                <w:szCs w:val="20"/>
              </w:rPr>
              <w:t xml:space="preserve">The proposed UL of </w:t>
            </w:r>
            <w:r w:rsidRPr="00D633FF">
              <w:rPr>
                <w:rFonts w:ascii="Calibri" w:eastAsia="Times New Roman" w:hAnsi="Calibri" w:cs="Calibri"/>
                <w:sz w:val="20"/>
                <w:szCs w:val="20"/>
                <w:lang w:eastAsia="en-AU"/>
              </w:rPr>
              <w:t>330</w:t>
            </w:r>
            <w:r w:rsidRPr="00D633FF">
              <w:rPr>
                <w:rFonts w:ascii="Calibri" w:eastAsia="Times New Roman" w:hAnsi="Calibri" w:cs="Calibri"/>
                <w:sz w:val="20"/>
                <w:szCs w:val="20"/>
              </w:rPr>
              <w:t xml:space="preserve"> µg/day is expected to be protective of most individuals in the general population of Australia and New Zealand.</w:t>
            </w:r>
            <w:r w:rsidRPr="00D633FF">
              <w:rPr>
                <w:rFonts w:ascii="Calibri" w:eastAsia="Arial" w:hAnsi="Calibri" w:cs="Calibri"/>
                <w:sz w:val="20"/>
                <w:szCs w:val="20"/>
              </w:rPr>
              <w:t xml:space="preserve"> </w:t>
            </w:r>
          </w:p>
          <w:p w14:paraId="04C6FE3B" w14:textId="14F8338C" w:rsidR="005C5475" w:rsidRPr="00D633FF" w:rsidRDefault="005C5475" w:rsidP="00862E37">
            <w:pPr>
              <w:spacing w:before="0" w:after="160" w:line="276" w:lineRule="auto"/>
              <w:ind w:right="34"/>
              <w:cnfStyle w:val="000000010000" w:firstRow="0" w:lastRow="0" w:firstColumn="0" w:lastColumn="0" w:oddVBand="0" w:evenVBand="0" w:oddHBand="0" w:evenHBand="1" w:firstRowFirstColumn="0" w:firstRowLastColumn="0" w:lastRowFirstColumn="0" w:lastRowLastColumn="0"/>
              <w:rPr>
                <w:rFonts w:ascii="Calibri" w:eastAsia="Arial" w:hAnsi="Calibri" w:cs="Calibri"/>
                <w:sz w:val="20"/>
                <w:szCs w:val="20"/>
              </w:rPr>
            </w:pPr>
            <w:r w:rsidRPr="00D633FF">
              <w:rPr>
                <w:rFonts w:ascii="Calibri" w:eastAsia="Times New Roman" w:hAnsi="Calibri" w:cs="Calibri"/>
                <w:sz w:val="20"/>
                <w:szCs w:val="20"/>
              </w:rPr>
              <w:t xml:space="preserve">In Australia and New Zealand there is a </w:t>
            </w:r>
            <w:r w:rsidRPr="00D633FF">
              <w:rPr>
                <w:rFonts w:ascii="Calibri" w:eastAsia="Arial" w:hAnsi="Calibri" w:cs="Calibri"/>
                <w:sz w:val="20"/>
                <w:szCs w:val="20"/>
              </w:rPr>
              <w:t>relatively low risk of selenium toxicity due to moderate selenium levels in soil and food supply. Certain regions (</w:t>
            </w:r>
            <w:r w:rsidR="007570CD" w:rsidRPr="00D633FF">
              <w:rPr>
                <w:rFonts w:ascii="Calibri" w:eastAsia="Arial" w:hAnsi="Calibri" w:cs="Calibri"/>
                <w:sz w:val="20"/>
                <w:szCs w:val="20"/>
              </w:rPr>
              <w:t>such as</w:t>
            </w:r>
            <w:r w:rsidRPr="00D633FF">
              <w:rPr>
                <w:rFonts w:ascii="Calibri" w:eastAsia="Arial" w:hAnsi="Calibri" w:cs="Calibri"/>
                <w:sz w:val="20"/>
                <w:szCs w:val="20"/>
              </w:rPr>
              <w:t xml:space="preserve"> central Queensland) have selenium-rich soils. Overall dietary selenium intake appears to remain within safe limits for most of the population, as no evidence of excess intakes was identified.</w:t>
            </w:r>
          </w:p>
          <w:p w14:paraId="6113C897" w14:textId="77777777" w:rsidR="005C5475" w:rsidRPr="00D633FF" w:rsidRDefault="005C5475" w:rsidP="00862E37">
            <w:pPr>
              <w:spacing w:before="0" w:after="160" w:line="276" w:lineRule="auto"/>
              <w:ind w:right="34"/>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 xml:space="preserve">There is no evidence to suggest that acute selenosis, chronic selenosis, or alopecia as an early marker of selenosis are public health concerns in Australia or New Zealand. </w:t>
            </w:r>
          </w:p>
          <w:p w14:paraId="4F033AAC" w14:textId="77777777" w:rsidR="005C5475" w:rsidRPr="00D633FF" w:rsidRDefault="005C5475" w:rsidP="00862E37">
            <w:pPr>
              <w:spacing w:before="0" w:after="160" w:line="276" w:lineRule="auto"/>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 xml:space="preserve">There is no evidence that specific populations are more sensitive to selenium, at greater risk of excess or more susceptible to the health effects associated with excess consumption. </w:t>
            </w:r>
          </w:p>
          <w:p w14:paraId="49EEAEF4" w14:textId="77777777" w:rsidR="005C5475" w:rsidRPr="00D633FF" w:rsidRDefault="005C5475" w:rsidP="00862E37">
            <w:pPr>
              <w:spacing w:before="0" w:after="160" w:line="276" w:lineRule="auto"/>
              <w:ind w:right="34"/>
              <w:cnfStyle w:val="000000010000" w:firstRow="0" w:lastRow="0" w:firstColumn="0" w:lastColumn="0" w:oddVBand="0" w:evenVBand="0" w:oddHBand="0" w:evenHBand="1" w:firstRowFirstColumn="0" w:firstRowLastColumn="0" w:lastRowFirstColumn="0" w:lastRowLastColumn="0"/>
              <w:rPr>
                <w:rFonts w:ascii="Calibri" w:eastAsia="Arial" w:hAnsi="Calibri" w:cs="Calibri"/>
                <w:sz w:val="20"/>
                <w:szCs w:val="20"/>
              </w:rPr>
            </w:pPr>
            <w:r w:rsidRPr="00D633FF">
              <w:rPr>
                <w:rFonts w:ascii="Calibri" w:eastAsia="Arial" w:hAnsi="Calibri" w:cs="Calibri"/>
                <w:sz w:val="20"/>
                <w:szCs w:val="20"/>
              </w:rPr>
              <w:t>People most likely to develop selenosis are those who regularly consume Brazil nuts or take supplements at levels significantly higher than the UL.</w:t>
            </w:r>
          </w:p>
          <w:p w14:paraId="64BA91A4" w14:textId="77777777" w:rsidR="005C5475" w:rsidRPr="00D633FF" w:rsidRDefault="005C5475" w:rsidP="007570CD">
            <w:pPr>
              <w:keepNext/>
              <w:spacing w:before="0" w:after="160" w:line="276" w:lineRule="auto"/>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sz w:val="20"/>
                <w:szCs w:val="20"/>
              </w:rPr>
            </w:pPr>
            <w:r w:rsidRPr="00D633FF">
              <w:rPr>
                <w:rFonts w:ascii="Calibri" w:eastAsia="Arial" w:hAnsi="Calibri" w:cs="Calibri"/>
                <w:b/>
                <w:bCs/>
                <w:sz w:val="20"/>
                <w:szCs w:val="20"/>
              </w:rPr>
              <w:t>Benefits of adapting EFSA’s reduced UL 330</w:t>
            </w:r>
            <w:r w:rsidRPr="00D633FF">
              <w:rPr>
                <w:rFonts w:ascii="Calibri" w:eastAsia="Times New Roman" w:hAnsi="Calibri" w:cs="Calibri"/>
                <w:b/>
                <w:bCs/>
                <w:sz w:val="20"/>
                <w:szCs w:val="20"/>
              </w:rPr>
              <w:t xml:space="preserve"> µg/day:</w:t>
            </w:r>
          </w:p>
          <w:p w14:paraId="647239F6" w14:textId="77777777" w:rsidR="005C5475" w:rsidRPr="00D633FF" w:rsidRDefault="005C5475" w:rsidP="008D15E1">
            <w:pPr>
              <w:numPr>
                <w:ilvl w:val="0"/>
                <w:numId w:val="45"/>
              </w:numPr>
              <w:spacing w:line="276" w:lineRule="auto"/>
              <w:cnfStyle w:val="000000010000" w:firstRow="0" w:lastRow="0" w:firstColumn="0" w:lastColumn="0" w:oddVBand="0" w:evenVBand="0" w:oddHBand="0" w:evenHBand="1" w:firstRowFirstColumn="0" w:firstRowLastColumn="0" w:lastRowFirstColumn="0" w:lastRowLastColumn="0"/>
              <w:rPr>
                <w:rFonts w:ascii="Calibri" w:eastAsia="Arial" w:hAnsi="Calibri" w:cs="Calibri"/>
                <w:sz w:val="20"/>
                <w:szCs w:val="20"/>
              </w:rPr>
            </w:pPr>
            <w:r w:rsidRPr="00D633FF">
              <w:rPr>
                <w:rFonts w:ascii="Calibri" w:eastAsia="Arial" w:hAnsi="Calibri" w:cs="Calibri"/>
                <w:sz w:val="20"/>
                <w:szCs w:val="20"/>
              </w:rPr>
              <w:t>Aligns with international best practice based on evidence from a large higher certainty RCT (Lippman et al 2009)</w:t>
            </w:r>
          </w:p>
          <w:p w14:paraId="0D26761A" w14:textId="77777777" w:rsidR="005C5475" w:rsidRPr="00D633FF" w:rsidRDefault="005C5475" w:rsidP="008D15E1">
            <w:pPr>
              <w:numPr>
                <w:ilvl w:val="0"/>
                <w:numId w:val="45"/>
              </w:numPr>
              <w:spacing w:line="276" w:lineRule="auto"/>
              <w:cnfStyle w:val="000000010000" w:firstRow="0" w:lastRow="0" w:firstColumn="0" w:lastColumn="0" w:oddVBand="0" w:evenVBand="0" w:oddHBand="0" w:evenHBand="1" w:firstRowFirstColumn="0" w:firstRowLastColumn="0" w:lastRowFirstColumn="0" w:lastRowLastColumn="0"/>
              <w:rPr>
                <w:rFonts w:ascii="Calibri" w:eastAsia="Arial" w:hAnsi="Calibri" w:cs="Calibri"/>
                <w:sz w:val="20"/>
                <w:szCs w:val="20"/>
              </w:rPr>
            </w:pPr>
            <w:r w:rsidRPr="00D633FF">
              <w:rPr>
                <w:rFonts w:ascii="Calibri" w:eastAsia="Arial" w:hAnsi="Calibri" w:cs="Calibri"/>
                <w:sz w:val="20"/>
                <w:szCs w:val="20"/>
              </w:rPr>
              <w:t>Provides potentially enhanced protection against early markers of selenium toxicity (alopecia) before more serious health effects occur</w:t>
            </w:r>
          </w:p>
          <w:p w14:paraId="178D6DDC" w14:textId="77777777" w:rsidR="005C5475" w:rsidRPr="00D633FF" w:rsidRDefault="005C5475" w:rsidP="008D15E1">
            <w:pPr>
              <w:numPr>
                <w:ilvl w:val="0"/>
                <w:numId w:val="45"/>
              </w:numPr>
              <w:spacing w:line="276" w:lineRule="auto"/>
              <w:cnfStyle w:val="000000010000" w:firstRow="0" w:lastRow="0" w:firstColumn="0" w:lastColumn="0" w:oddVBand="0" w:evenVBand="0" w:oddHBand="0" w:evenHBand="1" w:firstRowFirstColumn="0" w:firstRowLastColumn="0" w:lastRowFirstColumn="0" w:lastRowLastColumn="0"/>
              <w:rPr>
                <w:rFonts w:ascii="Calibri" w:eastAsia="Arial" w:hAnsi="Calibri" w:cs="Calibri"/>
                <w:sz w:val="20"/>
                <w:szCs w:val="20"/>
              </w:rPr>
            </w:pPr>
            <w:r w:rsidRPr="00D633FF">
              <w:rPr>
                <w:rFonts w:ascii="Calibri" w:eastAsia="Arial" w:hAnsi="Calibri" w:cs="Calibri"/>
                <w:sz w:val="20"/>
                <w:szCs w:val="20"/>
              </w:rPr>
              <w:t>Ensures harmonised standards with comparable international jurisdictions</w:t>
            </w:r>
          </w:p>
          <w:p w14:paraId="27BC3D0E" w14:textId="77777777" w:rsidR="005C5475" w:rsidRPr="00D633FF" w:rsidRDefault="005C5475" w:rsidP="008D15E1">
            <w:pPr>
              <w:numPr>
                <w:ilvl w:val="0"/>
                <w:numId w:val="45"/>
              </w:numPr>
              <w:spacing w:line="276" w:lineRule="auto"/>
              <w:cnfStyle w:val="000000010000" w:firstRow="0" w:lastRow="0" w:firstColumn="0" w:lastColumn="0" w:oddVBand="0" w:evenVBand="0" w:oddHBand="0" w:evenHBand="1" w:firstRowFirstColumn="0" w:firstRowLastColumn="0" w:lastRowFirstColumn="0" w:lastRowLastColumn="0"/>
              <w:rPr>
                <w:rFonts w:ascii="Calibri" w:eastAsia="Arial" w:hAnsi="Calibri" w:cs="Calibri"/>
                <w:sz w:val="20"/>
                <w:szCs w:val="20"/>
              </w:rPr>
            </w:pPr>
            <w:r w:rsidRPr="00D633FF">
              <w:rPr>
                <w:rFonts w:ascii="Calibri" w:eastAsia="Arial" w:hAnsi="Calibri" w:cs="Calibri"/>
                <w:sz w:val="20"/>
                <w:szCs w:val="20"/>
              </w:rPr>
              <w:t>Offers an additional margin of safety through precautionary approach</w:t>
            </w:r>
          </w:p>
          <w:p w14:paraId="7B7F1B66" w14:textId="77777777" w:rsidR="005C5475" w:rsidRPr="00D633FF" w:rsidRDefault="005C5475" w:rsidP="008D15E1">
            <w:pPr>
              <w:numPr>
                <w:ilvl w:val="0"/>
                <w:numId w:val="45"/>
              </w:numPr>
              <w:spacing w:line="276" w:lineRule="auto"/>
              <w:cnfStyle w:val="000000010000" w:firstRow="0" w:lastRow="0" w:firstColumn="0" w:lastColumn="0" w:oddVBand="0" w:evenVBand="0" w:oddHBand="0" w:evenHBand="1" w:firstRowFirstColumn="0" w:firstRowLastColumn="0" w:lastRowFirstColumn="0" w:lastRowLastColumn="0"/>
              <w:rPr>
                <w:rFonts w:ascii="Calibri" w:eastAsia="Arial" w:hAnsi="Calibri" w:cs="Calibri"/>
                <w:sz w:val="20"/>
                <w:szCs w:val="20"/>
              </w:rPr>
            </w:pPr>
            <w:r w:rsidRPr="00D633FF">
              <w:rPr>
                <w:rFonts w:ascii="Calibri" w:eastAsia="Arial" w:hAnsi="Calibri" w:cs="Calibri"/>
                <w:sz w:val="20"/>
                <w:szCs w:val="20"/>
              </w:rPr>
              <w:t>Provides additional evidence to strengthen supplement regulation and consumer guidance for high-risk consumption patterns</w:t>
            </w:r>
          </w:p>
          <w:p w14:paraId="564B05AC" w14:textId="77777777" w:rsidR="005C5475" w:rsidRPr="00D633FF" w:rsidRDefault="005C5475" w:rsidP="00862E37">
            <w:pPr>
              <w:spacing w:line="276" w:lineRule="auto"/>
              <w:cnfStyle w:val="000000010000" w:firstRow="0" w:lastRow="0" w:firstColumn="0" w:lastColumn="0" w:oddVBand="0" w:evenVBand="0" w:oddHBand="0" w:evenHBand="1" w:firstRowFirstColumn="0" w:firstRowLastColumn="0" w:lastRowFirstColumn="0" w:lastRowLastColumn="0"/>
              <w:rPr>
                <w:rFonts w:ascii="Calibri" w:eastAsia="Arial" w:hAnsi="Calibri" w:cs="Calibri"/>
                <w:b/>
                <w:bCs/>
                <w:sz w:val="20"/>
                <w:szCs w:val="20"/>
              </w:rPr>
            </w:pPr>
            <w:r w:rsidRPr="00D633FF">
              <w:rPr>
                <w:rFonts w:ascii="Calibri" w:eastAsia="Arial" w:hAnsi="Calibri" w:cs="Calibri"/>
                <w:b/>
                <w:bCs/>
                <w:sz w:val="20"/>
                <w:szCs w:val="20"/>
              </w:rPr>
              <w:t>Potential harms/considerations:</w:t>
            </w:r>
          </w:p>
          <w:p w14:paraId="17258DCD" w14:textId="77777777" w:rsidR="005C5475" w:rsidRPr="00D633FF" w:rsidRDefault="005C5475" w:rsidP="008D15E1">
            <w:pPr>
              <w:numPr>
                <w:ilvl w:val="0"/>
                <w:numId w:val="46"/>
              </w:numPr>
              <w:spacing w:line="276" w:lineRule="auto"/>
              <w:cnfStyle w:val="000000010000" w:firstRow="0" w:lastRow="0" w:firstColumn="0" w:lastColumn="0" w:oddVBand="0" w:evenVBand="0" w:oddHBand="0" w:evenHBand="1" w:firstRowFirstColumn="0" w:firstRowLastColumn="0" w:lastRowFirstColumn="0" w:lastRowLastColumn="0"/>
              <w:rPr>
                <w:rFonts w:ascii="Calibri" w:eastAsia="Arial" w:hAnsi="Calibri" w:cs="Calibri"/>
                <w:sz w:val="20"/>
                <w:szCs w:val="20"/>
              </w:rPr>
            </w:pPr>
            <w:r w:rsidRPr="00D633FF">
              <w:rPr>
                <w:rFonts w:ascii="Calibri" w:eastAsia="Arial" w:hAnsi="Calibri" w:cs="Calibri"/>
                <w:sz w:val="20"/>
                <w:szCs w:val="20"/>
              </w:rPr>
              <w:lastRenderedPageBreak/>
              <w:t>May represent a more restrictive approach than currently warranted by the Australian and New Zealand context, where selenium toxicity risk is relatively low due to moderate selenium levels in soil and food supply</w:t>
            </w:r>
          </w:p>
          <w:p w14:paraId="16BD9DAF" w14:textId="77777777" w:rsidR="005C5475" w:rsidRPr="00D633FF" w:rsidRDefault="005C5475" w:rsidP="00862E37">
            <w:pPr>
              <w:spacing w:before="0" w:after="160" w:line="276" w:lineRule="auto"/>
              <w:cnfStyle w:val="000000010000" w:firstRow="0" w:lastRow="0" w:firstColumn="0" w:lastColumn="0" w:oddVBand="0" w:evenVBand="0" w:oddHBand="0" w:evenHBand="1" w:firstRowFirstColumn="0" w:firstRowLastColumn="0" w:lastRowFirstColumn="0" w:lastRowLastColumn="0"/>
              <w:rPr>
                <w:rFonts w:ascii="Calibri" w:eastAsia="Arial" w:hAnsi="Calibri" w:cs="Calibri"/>
                <w:sz w:val="20"/>
                <w:szCs w:val="20"/>
              </w:rPr>
            </w:pPr>
            <w:bookmarkStart w:id="107" w:name="_Hlk213260057"/>
            <w:r w:rsidRPr="00D633FF">
              <w:rPr>
                <w:rFonts w:ascii="Calibri" w:eastAsia="Arial" w:hAnsi="Calibri" w:cs="Calibri"/>
                <w:b/>
                <w:bCs/>
                <w:sz w:val="20"/>
                <w:szCs w:val="20"/>
              </w:rPr>
              <w:t>Current risk context:</w:t>
            </w:r>
            <w:r w:rsidRPr="00D633FF">
              <w:rPr>
                <w:rFonts w:ascii="Calibri" w:eastAsia="Arial" w:hAnsi="Calibri" w:cs="Calibri"/>
                <w:sz w:val="20"/>
                <w:szCs w:val="20"/>
              </w:rPr>
              <w:t xml:space="preserve"> In Australia and New Zealand, overall dietary selenium intake remains within safe limits for most of the population, with certain regions (i.e. central Queensland) having selenium-rich soils. There is currently no evidence that acute selenosis, chronic selenosis or alopecia are public health concerns in the general population. No specific population has been identified as being more sensitive to selenium. </w:t>
            </w:r>
          </w:p>
          <w:bookmarkEnd w:id="107"/>
          <w:p w14:paraId="0356FC7F" w14:textId="78BE6E27" w:rsidR="005C5475" w:rsidRPr="00D633FF" w:rsidRDefault="005C5475" w:rsidP="00862E37">
            <w:pPr>
              <w:spacing w:before="0" w:after="160" w:line="276" w:lineRule="auto"/>
              <w:cnfStyle w:val="000000010000" w:firstRow="0" w:lastRow="0" w:firstColumn="0" w:lastColumn="0" w:oddVBand="0" w:evenVBand="0" w:oddHBand="0" w:evenHBand="1" w:firstRowFirstColumn="0" w:firstRowLastColumn="0" w:lastRowFirstColumn="0" w:lastRowLastColumn="0"/>
              <w:rPr>
                <w:rFonts w:ascii="Calibri" w:eastAsia="Arial" w:hAnsi="Calibri" w:cs="Calibri"/>
                <w:sz w:val="20"/>
                <w:szCs w:val="20"/>
              </w:rPr>
            </w:pPr>
            <w:r w:rsidRPr="00D633FF">
              <w:rPr>
                <w:rFonts w:ascii="Calibri" w:eastAsia="Arial" w:hAnsi="Calibri" w:cs="Calibri"/>
                <w:sz w:val="20"/>
                <w:szCs w:val="20"/>
              </w:rPr>
              <w:t>The population group at greatest risk of excess consumption is the group with the highest selenium intake level – the male New Zealand Pacific population, 31</w:t>
            </w:r>
            <w:r w:rsidR="00A73F5E">
              <w:rPr>
                <w:rFonts w:ascii="Calibri" w:eastAsia="Arial" w:hAnsi="Calibri" w:cs="Calibri"/>
                <w:sz w:val="20"/>
                <w:szCs w:val="20"/>
              </w:rPr>
              <w:t>–</w:t>
            </w:r>
            <w:r w:rsidRPr="00D633FF">
              <w:rPr>
                <w:rFonts w:ascii="Calibri" w:eastAsia="Arial" w:hAnsi="Calibri" w:cs="Calibri"/>
                <w:sz w:val="20"/>
                <w:szCs w:val="20"/>
              </w:rPr>
              <w:t>50 years (90</w:t>
            </w:r>
            <w:r w:rsidRPr="00D633FF">
              <w:rPr>
                <w:rFonts w:ascii="Calibri" w:eastAsia="Arial" w:hAnsi="Calibri" w:cs="Calibri"/>
                <w:sz w:val="20"/>
                <w:szCs w:val="20"/>
                <w:vertAlign w:val="superscript"/>
              </w:rPr>
              <w:t>th</w:t>
            </w:r>
            <w:r w:rsidRPr="00D633FF">
              <w:rPr>
                <w:rFonts w:ascii="Calibri" w:eastAsia="Arial" w:hAnsi="Calibri" w:cs="Calibri"/>
                <w:sz w:val="20"/>
                <w:szCs w:val="20"/>
              </w:rPr>
              <w:t xml:space="preserve"> percentile intake of 194 µg/day, from food only).</w:t>
            </w:r>
          </w:p>
          <w:p w14:paraId="3B215746" w14:textId="77777777" w:rsidR="005C5475" w:rsidRPr="00D633FF" w:rsidRDefault="005C5475" w:rsidP="00862E37">
            <w:pPr>
              <w:spacing w:before="0" w:after="160" w:line="276" w:lineRule="auto"/>
              <w:ind w:right="34"/>
              <w:cnfStyle w:val="000000010000" w:firstRow="0" w:lastRow="0" w:firstColumn="0" w:lastColumn="0" w:oddVBand="0" w:evenVBand="0" w:oddHBand="0" w:evenHBand="1" w:firstRowFirstColumn="0" w:firstRowLastColumn="0" w:lastRowFirstColumn="0" w:lastRowLastColumn="0"/>
              <w:rPr>
                <w:rFonts w:ascii="Calibri" w:eastAsia="Arial" w:hAnsi="Calibri" w:cs="Calibri"/>
                <w:sz w:val="20"/>
                <w:szCs w:val="20"/>
              </w:rPr>
            </w:pPr>
            <w:r w:rsidRPr="00D633FF">
              <w:rPr>
                <w:rFonts w:ascii="Calibri" w:eastAsia="Arial" w:hAnsi="Calibri" w:cs="Calibri"/>
                <w:sz w:val="20"/>
                <w:szCs w:val="20"/>
              </w:rPr>
              <w:t xml:space="preserve">Other groups most likely to approach or exceed upper levels are those who regularly consume Brazil nuts or take supplements, making the evidence-based UL reduction particularly relevant for protecting those consumers from potential adverse effects. </w:t>
            </w:r>
          </w:p>
          <w:p w14:paraId="091DE8AE" w14:textId="4E7B7951" w:rsidR="005C5475" w:rsidRPr="00D633FF" w:rsidRDefault="005C5475" w:rsidP="00862E37">
            <w:pPr>
              <w:spacing w:before="0" w:after="160" w:line="276" w:lineRule="auto"/>
              <w:ind w:right="34"/>
              <w:cnfStyle w:val="000000010000" w:firstRow="0" w:lastRow="0" w:firstColumn="0" w:lastColumn="0" w:oddVBand="0" w:evenVBand="0" w:oddHBand="0" w:evenHBand="1" w:firstRowFirstColumn="0" w:firstRowLastColumn="0" w:lastRowFirstColumn="0" w:lastRowLastColumn="0"/>
              <w:rPr>
                <w:rFonts w:ascii="Calibri" w:eastAsia="Arial" w:hAnsi="Calibri" w:cs="Calibri"/>
                <w:sz w:val="20"/>
                <w:szCs w:val="20"/>
              </w:rPr>
            </w:pPr>
            <w:r w:rsidRPr="00D633FF">
              <w:rPr>
                <w:rFonts w:ascii="Calibri" w:eastAsia="Arial" w:hAnsi="Calibri" w:cs="Calibri"/>
                <w:sz w:val="20"/>
                <w:szCs w:val="20"/>
              </w:rPr>
              <w:t>It should be noted that there is no recent nationally representative information on selenium intakes in Australia or New Zealand</w:t>
            </w:r>
            <w:r w:rsidR="007570CD" w:rsidRPr="00D633FF">
              <w:rPr>
                <w:rFonts w:ascii="Calibri" w:eastAsia="Arial" w:hAnsi="Calibri" w:cs="Calibri"/>
                <w:sz w:val="20"/>
                <w:szCs w:val="20"/>
              </w:rPr>
              <w:t xml:space="preserve"> currently available. Intake may have</w:t>
            </w:r>
            <w:r w:rsidRPr="00D633FF">
              <w:rPr>
                <w:rFonts w:ascii="Calibri" w:eastAsia="Arial" w:hAnsi="Calibri" w:cs="Calibri"/>
                <w:sz w:val="20"/>
                <w:szCs w:val="20"/>
              </w:rPr>
              <w:t xml:space="preserve"> increased since the last national nutrition surveys in 2011/12 and 2008/09, respectively.</w:t>
            </w:r>
          </w:p>
          <w:p w14:paraId="5B74234A" w14:textId="3FE897E1" w:rsidR="005C5475" w:rsidRPr="00D633FF" w:rsidRDefault="005C5475" w:rsidP="00862E37">
            <w:pPr>
              <w:spacing w:before="0" w:after="160" w:line="276" w:lineRule="auto"/>
              <w:ind w:right="34"/>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highlight w:val="lightGray"/>
              </w:rPr>
            </w:pPr>
            <w:r w:rsidRPr="00D633FF">
              <w:rPr>
                <w:rFonts w:ascii="Calibri" w:eastAsia="Arial" w:hAnsi="Calibri" w:cs="Calibri"/>
                <w:sz w:val="20"/>
                <w:szCs w:val="20"/>
              </w:rPr>
              <w:t xml:space="preserve">There is no evidence that harm from excess consumption of selenium is occurring in Australia or New Zealand with the current UL of 400 </w:t>
            </w:r>
            <w:r w:rsidRPr="00D633FF">
              <w:rPr>
                <w:rFonts w:ascii="Calibri" w:eastAsia="Times New Roman" w:hAnsi="Calibri" w:cs="Calibri"/>
                <w:sz w:val="20"/>
                <w:szCs w:val="20"/>
              </w:rPr>
              <w:t xml:space="preserve">µg/day. However, </w:t>
            </w:r>
            <w:r w:rsidR="00BE5634" w:rsidRPr="00D633FF">
              <w:rPr>
                <w:rFonts w:ascii="Calibri" w:eastAsia="Times New Roman" w:hAnsi="Calibri" w:cs="Calibri"/>
                <w:sz w:val="20"/>
                <w:szCs w:val="20"/>
              </w:rPr>
              <w:t>this may be due to habitual intakes not approaching the level of the UL, rather than suggesting that the UL of 400 µg/day</w:t>
            </w:r>
            <w:r w:rsidR="00BE5634" w:rsidRPr="00D633FF">
              <w:rPr>
                <w:rFonts w:ascii="Calibri" w:eastAsia="Arial" w:hAnsi="Calibri" w:cs="Calibri"/>
                <w:sz w:val="20"/>
                <w:szCs w:val="20"/>
              </w:rPr>
              <w:t xml:space="preserve"> is sufficiently protective. T</w:t>
            </w:r>
            <w:r w:rsidRPr="00D633FF">
              <w:rPr>
                <w:rFonts w:ascii="Calibri" w:eastAsia="Arial" w:hAnsi="Calibri" w:cs="Calibri"/>
                <w:sz w:val="20"/>
                <w:szCs w:val="20"/>
              </w:rPr>
              <w:t xml:space="preserve">he large RCT identified by EFSA </w:t>
            </w:r>
            <w:r w:rsidR="00F41A14" w:rsidRPr="00D633FF">
              <w:rPr>
                <w:rFonts w:ascii="Calibri" w:eastAsia="Arial" w:hAnsi="Calibri" w:cs="Calibri"/>
                <w:noProof/>
                <w:sz w:val="20"/>
                <w:szCs w:val="20"/>
              </w:rPr>
              <w:t>(Lippman et al. 2009)</w:t>
            </w:r>
            <w:r w:rsidRPr="00D633FF">
              <w:rPr>
                <w:rFonts w:ascii="Calibri" w:eastAsia="Arial" w:hAnsi="Calibri" w:cs="Calibri"/>
                <w:sz w:val="20"/>
                <w:szCs w:val="20"/>
              </w:rPr>
              <w:t xml:space="preserve"> gives a more reliable estimate of the level at which harm has the potential to occur in adults (330 </w:t>
            </w:r>
            <w:r w:rsidRPr="00D633FF">
              <w:rPr>
                <w:rFonts w:ascii="Calibri" w:eastAsia="Times New Roman" w:hAnsi="Calibri" w:cs="Calibri"/>
                <w:sz w:val="20"/>
                <w:szCs w:val="20"/>
              </w:rPr>
              <w:t>µg/day)</w:t>
            </w:r>
            <w:r w:rsidRPr="00D633FF">
              <w:rPr>
                <w:rFonts w:ascii="Calibri" w:eastAsia="Arial" w:hAnsi="Calibri" w:cs="Calibri"/>
                <w:sz w:val="20"/>
                <w:szCs w:val="20"/>
              </w:rPr>
              <w:t xml:space="preserve"> compared to the 1989 cross-sectional study </w:t>
            </w:r>
            <w:r w:rsidR="000A01A5" w:rsidRPr="00D633FF">
              <w:rPr>
                <w:rFonts w:ascii="Calibri" w:eastAsia="Arial" w:hAnsi="Calibri" w:cs="Calibri"/>
                <w:sz w:val="20"/>
                <w:szCs w:val="20"/>
              </w:rPr>
              <w:t>(</w:t>
            </w:r>
            <w:r w:rsidRPr="00D633FF">
              <w:rPr>
                <w:rFonts w:ascii="Calibri" w:eastAsia="Arial" w:hAnsi="Calibri" w:cs="Calibri"/>
                <w:sz w:val="20"/>
                <w:szCs w:val="20"/>
              </w:rPr>
              <w:t>n=349) u</w:t>
            </w:r>
            <w:r w:rsidR="000A01A5" w:rsidRPr="00D633FF">
              <w:rPr>
                <w:rFonts w:ascii="Calibri" w:eastAsia="Arial" w:hAnsi="Calibri" w:cs="Calibri"/>
                <w:sz w:val="20"/>
                <w:szCs w:val="20"/>
              </w:rPr>
              <w:t>pon which current UL recommendations are based</w:t>
            </w:r>
          </w:p>
        </w:tc>
      </w:tr>
      <w:tr w:rsidR="005C5475" w:rsidRPr="00D633FF" w14:paraId="0C0064F6" w14:textId="77777777" w:rsidTr="0029777B">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127" w:type="dxa"/>
          </w:tcPr>
          <w:p w14:paraId="2DBFC4FF" w14:textId="77777777" w:rsidR="005C5475" w:rsidRPr="00D633FF" w:rsidRDefault="005C5475" w:rsidP="006C2C05">
            <w:pPr>
              <w:spacing w:before="120" w:line="276" w:lineRule="auto"/>
              <w:rPr>
                <w:rFonts w:ascii="Calibri" w:eastAsia="Arial" w:hAnsi="Calibri" w:cs="Calibri"/>
              </w:rPr>
            </w:pPr>
            <w:r w:rsidRPr="00D633FF">
              <w:rPr>
                <w:rFonts w:ascii="Calibri" w:eastAsia="Arial" w:hAnsi="Calibri" w:cs="Calibri"/>
              </w:rPr>
              <w:lastRenderedPageBreak/>
              <w:t>Certainty of the evidence</w:t>
            </w:r>
          </w:p>
        </w:tc>
        <w:tc>
          <w:tcPr>
            <w:tcW w:w="4252" w:type="dxa"/>
          </w:tcPr>
          <w:p w14:paraId="30F52CCD" w14:textId="245D5881" w:rsidR="005C5475" w:rsidRPr="00D633FF" w:rsidRDefault="005C5475" w:rsidP="006C2C05">
            <w:pPr>
              <w:numPr>
                <w:ilvl w:val="0"/>
                <w:numId w:val="36"/>
              </w:numPr>
              <w:spacing w:before="120" w:after="160" w:line="276" w:lineRule="auto"/>
              <w:ind w:left="0" w:hanging="357"/>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D633FF">
              <w:rPr>
                <w:rFonts w:ascii="Calibri" w:eastAsia="Arial" w:hAnsi="Calibri" w:cs="Calibri"/>
                <w:sz w:val="20"/>
                <w:szCs w:val="20"/>
              </w:rPr>
              <w:t xml:space="preserve">The reference point came from a cross-sectional study of 349 individuals (age 1–71 years) living in areas with ‘low’, ‘medium’ or ‘high’ soil selenium concentration in China </w:t>
            </w:r>
            <w:r w:rsidR="00F41A14" w:rsidRPr="00D633FF">
              <w:rPr>
                <w:rFonts w:ascii="Calibri" w:eastAsia="Arial" w:hAnsi="Calibri" w:cs="Calibri"/>
                <w:noProof/>
                <w:sz w:val="20"/>
                <w:szCs w:val="20"/>
              </w:rPr>
              <w:t>(Yang et al. 1989)</w:t>
            </w:r>
            <w:r w:rsidRPr="00D633FF">
              <w:rPr>
                <w:rFonts w:ascii="Calibri" w:eastAsia="Arial" w:hAnsi="Calibri" w:cs="Calibri"/>
                <w:sz w:val="20"/>
                <w:szCs w:val="20"/>
              </w:rPr>
              <w:t xml:space="preserve">, with 60 cases of selenosis (aged 13–70 years) identiﬁed. Whole blood selenium concentration and its </w:t>
            </w:r>
            <w:r w:rsidRPr="00D633FF">
              <w:rPr>
                <w:rFonts w:ascii="Calibri" w:eastAsia="Arial" w:hAnsi="Calibri" w:cs="Calibri"/>
                <w:sz w:val="20"/>
                <w:szCs w:val="20"/>
              </w:rPr>
              <w:lastRenderedPageBreak/>
              <w:t>corresponding intakes (as calculated by the authors) were used to establish a NOAEL.</w:t>
            </w:r>
          </w:p>
          <w:p w14:paraId="48C476DC" w14:textId="474D1971" w:rsidR="005C5475" w:rsidRPr="00D633FF" w:rsidRDefault="005C5475" w:rsidP="008D15E1">
            <w:pPr>
              <w:numPr>
                <w:ilvl w:val="0"/>
                <w:numId w:val="36"/>
              </w:numPr>
              <w:spacing w:before="0" w:after="160" w:line="276" w:lineRule="auto"/>
              <w:ind w:left="0" w:hanging="357"/>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D633FF">
              <w:rPr>
                <w:rFonts w:ascii="Calibri" w:eastAsia="Arial" w:hAnsi="Calibri" w:cs="Calibri"/>
                <w:sz w:val="20"/>
                <w:szCs w:val="20"/>
              </w:rPr>
              <w:t xml:space="preserve">A follow-up study, among ﬁve cases with long-persisting clinical symptoms of selenosis found that symptoms disappeared after a change in diet resulting in lower selenium intakes </w:t>
            </w:r>
            <w:r w:rsidR="00F41A14" w:rsidRPr="00D633FF">
              <w:rPr>
                <w:rFonts w:ascii="Calibri" w:eastAsia="Arial" w:hAnsi="Calibri" w:cs="Calibri"/>
                <w:noProof/>
                <w:sz w:val="20"/>
                <w:szCs w:val="20"/>
              </w:rPr>
              <w:t>(Yang and Zhou, 1994, as cited by EFSA, 2023)</w:t>
            </w:r>
            <w:r w:rsidRPr="00D633FF">
              <w:rPr>
                <w:rFonts w:ascii="Calibri" w:eastAsia="Arial" w:hAnsi="Calibri" w:cs="Calibri"/>
                <w:sz w:val="20"/>
                <w:szCs w:val="20"/>
              </w:rPr>
              <w:t xml:space="preserve">. </w:t>
            </w:r>
            <w:r w:rsidRPr="00D633FF">
              <w:rPr>
                <w:rFonts w:ascii="Calibri" w:eastAsia="Times New Roman" w:hAnsi="Calibri" w:cs="Calibri"/>
                <w:sz w:val="20"/>
                <w:szCs w:val="20"/>
                <w:lang w:eastAsia="en-AU"/>
              </w:rPr>
              <w:t xml:space="preserve">This value was consistent with the findings of a US study </w:t>
            </w:r>
            <w:r w:rsidR="00F41A14" w:rsidRPr="00D633FF">
              <w:rPr>
                <w:rFonts w:ascii="Calibri" w:eastAsia="Times New Roman" w:hAnsi="Calibri" w:cs="Calibri"/>
                <w:noProof/>
                <w:sz w:val="20"/>
                <w:szCs w:val="20"/>
                <w:lang w:eastAsia="en-AU"/>
              </w:rPr>
              <w:t>(Longnecker et al 1991, as cited by IOM, 2000)</w:t>
            </w:r>
            <w:r w:rsidRPr="00D633FF">
              <w:rPr>
                <w:rFonts w:ascii="Calibri" w:eastAsia="Times New Roman" w:hAnsi="Calibri" w:cs="Calibri"/>
                <w:sz w:val="20"/>
                <w:szCs w:val="20"/>
                <w:lang w:eastAsia="en-AU"/>
              </w:rPr>
              <w:t xml:space="preserve">. </w:t>
            </w:r>
          </w:p>
          <w:p w14:paraId="3410AD37" w14:textId="77777777" w:rsidR="005C5475" w:rsidRPr="00D633FF" w:rsidRDefault="005C5475" w:rsidP="00544ECA">
            <w:pPr>
              <w:spacing w:before="0" w:after="160" w:line="276" w:lineRule="auto"/>
              <w:ind w:right="34"/>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The evidence underpinning current recommendations is limited by concerns about:</w:t>
            </w:r>
          </w:p>
          <w:p w14:paraId="7ED1E1E8" w14:textId="77777777" w:rsidR="005C5475" w:rsidRPr="00D633FF" w:rsidRDefault="005C5475" w:rsidP="008D15E1">
            <w:pPr>
              <w:numPr>
                <w:ilvl w:val="0"/>
                <w:numId w:val="32"/>
              </w:numPr>
              <w:spacing w:before="0" w:after="160" w:line="276" w:lineRule="auto"/>
              <w:ind w:right="34"/>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observational study design (cross section and case-study data)</w:t>
            </w:r>
          </w:p>
          <w:p w14:paraId="54D473B2" w14:textId="77777777" w:rsidR="005C5475" w:rsidRPr="00D633FF" w:rsidRDefault="005C5475" w:rsidP="008D15E1">
            <w:pPr>
              <w:numPr>
                <w:ilvl w:val="0"/>
                <w:numId w:val="32"/>
              </w:numPr>
              <w:spacing w:before="0" w:after="160" w:line="276" w:lineRule="auto"/>
              <w:ind w:right="34"/>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imprecision (small sample sizes)</w:t>
            </w:r>
          </w:p>
          <w:p w14:paraId="75675B96" w14:textId="77777777" w:rsidR="005C5475" w:rsidRPr="00D633FF" w:rsidRDefault="005C5475" w:rsidP="008D15E1">
            <w:pPr>
              <w:numPr>
                <w:ilvl w:val="0"/>
                <w:numId w:val="32"/>
              </w:numPr>
              <w:spacing w:before="0" w:after="160" w:line="276" w:lineRule="auto"/>
              <w:ind w:right="34"/>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 xml:space="preserve">generalisability: studies conducted in people in China, who may be either more or less sensitive to selenium than other populations </w:t>
            </w:r>
          </w:p>
          <w:p w14:paraId="19318739" w14:textId="77777777" w:rsidR="005C5475" w:rsidRPr="00D633FF" w:rsidRDefault="005C5475" w:rsidP="008D15E1">
            <w:pPr>
              <w:numPr>
                <w:ilvl w:val="0"/>
                <w:numId w:val="32"/>
              </w:numPr>
              <w:spacing w:before="0" w:after="160" w:line="276" w:lineRule="auto"/>
              <w:ind w:right="34"/>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heterogeneity: wide-ranging age group (1-77 years).</w:t>
            </w:r>
          </w:p>
        </w:tc>
        <w:tc>
          <w:tcPr>
            <w:tcW w:w="7655" w:type="dxa"/>
            <w:gridSpan w:val="3"/>
          </w:tcPr>
          <w:p w14:paraId="1C1D67C2" w14:textId="77CEE479" w:rsidR="005C5475" w:rsidRPr="00D633FF" w:rsidRDefault="005C5475" w:rsidP="006C2C05">
            <w:pPr>
              <w:spacing w:before="120" w:after="16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lastRenderedPageBreak/>
              <w:t xml:space="preserve">Evidence appraisal of the SELECT trial </w:t>
            </w:r>
            <w:r w:rsidR="00F41A14" w:rsidRPr="00D633FF">
              <w:rPr>
                <w:rFonts w:ascii="Calibri" w:eastAsia="Times New Roman" w:hAnsi="Calibri" w:cs="Calibri"/>
                <w:noProof/>
                <w:sz w:val="20"/>
                <w:szCs w:val="20"/>
              </w:rPr>
              <w:t>(Lippman et al. 2009)</w:t>
            </w:r>
            <w:r w:rsidRPr="00D633FF">
              <w:rPr>
                <w:rFonts w:ascii="Calibri" w:eastAsia="Times New Roman" w:hAnsi="Calibri" w:cs="Calibri"/>
                <w:sz w:val="20"/>
                <w:szCs w:val="20"/>
              </w:rPr>
              <w:t xml:space="preserve"> was performed using the Ofﬁce of Health Assessment and Translation (OHAT) Risk of Bias tool developed by the US National Toxicology Program (NTP) </w:t>
            </w:r>
            <w:r w:rsidR="00F41A14" w:rsidRPr="00D633FF">
              <w:rPr>
                <w:rFonts w:ascii="Calibri" w:eastAsia="Times New Roman" w:hAnsi="Calibri" w:cs="Calibri"/>
                <w:noProof/>
                <w:sz w:val="20"/>
                <w:szCs w:val="20"/>
              </w:rPr>
              <w:t>(OHAT-NTP, 2015, as cited by EFSA, 2023)</w:t>
            </w:r>
            <w:r w:rsidRPr="00D633FF">
              <w:rPr>
                <w:rFonts w:ascii="Calibri" w:eastAsia="Times New Roman" w:hAnsi="Calibri" w:cs="Calibri"/>
                <w:sz w:val="20"/>
                <w:szCs w:val="20"/>
              </w:rPr>
              <w:t>, as it is more suited to toxicology and risk assessment applications.</w:t>
            </w:r>
          </w:p>
          <w:p w14:paraId="2F222CFC" w14:textId="77777777" w:rsidR="005C5475" w:rsidRPr="00D633FF" w:rsidRDefault="005C5475" w:rsidP="004D1E86">
            <w:pPr>
              <w:spacing w:before="0" w:after="16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lastRenderedPageBreak/>
              <w:t xml:space="preserve">EFSA did not assess the risk of bias for the outcome of alopecia, but when assessed for the outcome of Type 2 Diabetes (which was a pre-specified primary outcome), the study was found to have a </w:t>
            </w:r>
            <w:r w:rsidRPr="00D633FF">
              <w:rPr>
                <w:rFonts w:ascii="Calibri" w:eastAsia="Times New Roman" w:hAnsi="Calibri" w:cs="Calibri"/>
                <w:i/>
                <w:iCs/>
                <w:sz w:val="20"/>
                <w:szCs w:val="20"/>
              </w:rPr>
              <w:t>low risk of bias</w:t>
            </w:r>
            <w:r w:rsidRPr="00D633FF">
              <w:rPr>
                <w:rFonts w:ascii="Calibri" w:eastAsia="Times New Roman" w:hAnsi="Calibri" w:cs="Calibri"/>
                <w:sz w:val="20"/>
                <w:szCs w:val="20"/>
              </w:rPr>
              <w:t>.</w:t>
            </w:r>
          </w:p>
          <w:p w14:paraId="4D24792B" w14:textId="77777777" w:rsidR="005C5475" w:rsidRPr="00D633FF" w:rsidRDefault="005C5475" w:rsidP="007570CD">
            <w:pPr>
              <w:spacing w:before="0" w:after="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The EFSA Panel noted strengths of the study were:</w:t>
            </w:r>
          </w:p>
          <w:p w14:paraId="0B493440" w14:textId="77777777" w:rsidR="005C5475" w:rsidRPr="00D633FF" w:rsidRDefault="005C5475" w:rsidP="008D15E1">
            <w:pPr>
              <w:numPr>
                <w:ilvl w:val="0"/>
                <w:numId w:val="38"/>
              </w:numPr>
              <w:spacing w:before="0" w:after="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controlled setting regarding selenium intake (ﬁxed supplemental dose, high level of compliance among participants)</w:t>
            </w:r>
          </w:p>
          <w:p w14:paraId="1266359F" w14:textId="77777777" w:rsidR="005C5475" w:rsidRPr="00D633FF" w:rsidRDefault="005C5475" w:rsidP="008D15E1">
            <w:pPr>
              <w:numPr>
                <w:ilvl w:val="0"/>
                <w:numId w:val="38"/>
              </w:numPr>
              <w:spacing w:before="0" w:after="16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large sample size and its long duration.</w:t>
            </w:r>
          </w:p>
          <w:p w14:paraId="7623DB57" w14:textId="43452B9E" w:rsidR="005C5475" w:rsidRPr="00D633FF" w:rsidRDefault="005C5475" w:rsidP="007570CD">
            <w:pPr>
              <w:spacing w:before="0" w:after="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 xml:space="preserve">Uncertainties related to </w:t>
            </w:r>
            <w:r w:rsidR="009E024B" w:rsidRPr="00D633FF">
              <w:rPr>
                <w:rFonts w:ascii="Calibri" w:eastAsia="Times New Roman" w:hAnsi="Calibri" w:cs="Calibri"/>
                <w:sz w:val="20"/>
                <w:szCs w:val="20"/>
              </w:rPr>
              <w:t xml:space="preserve">deriving an UL from </w:t>
            </w:r>
            <w:r w:rsidRPr="00D633FF">
              <w:rPr>
                <w:rFonts w:ascii="Calibri" w:eastAsia="Times New Roman" w:hAnsi="Calibri" w:cs="Calibri"/>
                <w:sz w:val="20"/>
                <w:szCs w:val="20"/>
              </w:rPr>
              <w:t xml:space="preserve">the study </w:t>
            </w:r>
            <w:r w:rsidR="009E024B" w:rsidRPr="00D633FF">
              <w:rPr>
                <w:rFonts w:ascii="Calibri" w:eastAsia="Times New Roman" w:hAnsi="Calibri" w:cs="Calibri"/>
                <w:sz w:val="20"/>
                <w:szCs w:val="20"/>
              </w:rPr>
              <w:t>include</w:t>
            </w:r>
            <w:r w:rsidRPr="00D633FF">
              <w:rPr>
                <w:rFonts w:ascii="Calibri" w:eastAsia="Times New Roman" w:hAnsi="Calibri" w:cs="Calibri"/>
                <w:sz w:val="20"/>
                <w:szCs w:val="20"/>
              </w:rPr>
              <w:t>:</w:t>
            </w:r>
          </w:p>
          <w:p w14:paraId="58A29CDA" w14:textId="77777777" w:rsidR="005C5475" w:rsidRPr="00D633FF" w:rsidRDefault="005C5475" w:rsidP="008D15E1">
            <w:pPr>
              <w:numPr>
                <w:ilvl w:val="0"/>
                <w:numId w:val="39"/>
              </w:numPr>
              <w:spacing w:before="0" w:after="16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self-reporting of adverse events (however, the signs and symptoms of selenosis recorded were pre-planned adverse events that were monitored using standardised criteria)</w:t>
            </w:r>
          </w:p>
          <w:p w14:paraId="716847F6" w14:textId="77777777" w:rsidR="005C5475" w:rsidRPr="00D633FF" w:rsidRDefault="005C5475" w:rsidP="008D15E1">
            <w:pPr>
              <w:numPr>
                <w:ilvl w:val="0"/>
                <w:numId w:val="37"/>
              </w:numPr>
              <w:spacing w:before="0" w:after="16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use of a LOAEL in place of a NOAEL (however, they considered the NOAEL might be close to the LOAEL)</w:t>
            </w:r>
          </w:p>
          <w:p w14:paraId="489D905E" w14:textId="77777777" w:rsidR="005C5475" w:rsidRPr="00D633FF" w:rsidRDefault="005C5475" w:rsidP="008D15E1">
            <w:pPr>
              <w:numPr>
                <w:ilvl w:val="0"/>
                <w:numId w:val="37"/>
              </w:numPr>
              <w:spacing w:before="0" w:after="16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lack of evidence in women (however, there is no evidence that women are more sensitive than men to selenium toxicity).</w:t>
            </w:r>
          </w:p>
          <w:p w14:paraId="5FB8447B" w14:textId="08ED044A" w:rsidR="005C5475" w:rsidRPr="00D633FF" w:rsidRDefault="005C5475" w:rsidP="004D1E86">
            <w:pPr>
              <w:spacing w:before="0" w:after="16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 xml:space="preserve">The selenium toxicity findings of the Lippman study were not replicated in three other smaller RCTs at similar or higher levels of selenium intake </w:t>
            </w:r>
            <w:r w:rsidR="00F41A14" w:rsidRPr="00D633FF">
              <w:rPr>
                <w:rFonts w:ascii="Calibri" w:eastAsia="Times New Roman" w:hAnsi="Calibri" w:cs="Calibri"/>
                <w:noProof/>
                <w:sz w:val="20"/>
                <w:szCs w:val="20"/>
              </w:rPr>
              <w:t>(Algotar et al. 2013; Thompson et al. 2016; Winther et al. 2015)</w:t>
            </w:r>
            <w:r w:rsidRPr="00D633FF">
              <w:rPr>
                <w:rFonts w:ascii="Calibri" w:eastAsia="Times New Roman" w:hAnsi="Calibri" w:cs="Calibri"/>
                <w:sz w:val="20"/>
                <w:szCs w:val="20"/>
              </w:rPr>
              <w:t>; however, the smaller RCTS were considered to provide limited information on the method used to identify adverse events and may have lacked sufficient power to detect such effects.</w:t>
            </w:r>
          </w:p>
          <w:p w14:paraId="3B2816D3" w14:textId="704A66EF" w:rsidR="005C5475" w:rsidRPr="00D633FF" w:rsidRDefault="005C5475" w:rsidP="004D1E86">
            <w:pPr>
              <w:spacing w:before="0" w:after="16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 xml:space="preserve">Overall, EFSA considered the SELECT trial </w:t>
            </w:r>
            <w:r w:rsidR="00F41A14" w:rsidRPr="00D633FF">
              <w:rPr>
                <w:rFonts w:ascii="Calibri" w:eastAsia="Times New Roman" w:hAnsi="Calibri" w:cs="Calibri"/>
                <w:sz w:val="20"/>
              </w:rPr>
              <w:t>(Lippman et al. 2009)</w:t>
            </w:r>
            <w:r w:rsidRPr="00D633FF">
              <w:rPr>
                <w:rFonts w:ascii="Calibri" w:eastAsia="Times New Roman" w:hAnsi="Calibri" w:cs="Calibri"/>
                <w:sz w:val="20"/>
              </w:rPr>
              <w:t xml:space="preserve"> </w:t>
            </w:r>
            <w:r w:rsidRPr="00D633FF">
              <w:rPr>
                <w:rFonts w:ascii="Calibri" w:eastAsia="Times New Roman" w:hAnsi="Calibri" w:cs="Calibri"/>
                <w:sz w:val="20"/>
                <w:szCs w:val="20"/>
              </w:rPr>
              <w:t xml:space="preserve">to be the best available evidence upon which to base </w:t>
            </w:r>
            <w:r w:rsidR="009E024B" w:rsidRPr="00D633FF">
              <w:rPr>
                <w:rFonts w:ascii="Calibri" w:eastAsia="Times New Roman" w:hAnsi="Calibri" w:cs="Calibri"/>
                <w:sz w:val="20"/>
                <w:szCs w:val="20"/>
              </w:rPr>
              <w:t>an</w:t>
            </w:r>
            <w:r w:rsidRPr="00D633FF">
              <w:rPr>
                <w:rFonts w:ascii="Calibri" w:eastAsia="Times New Roman" w:hAnsi="Calibri" w:cs="Calibri"/>
                <w:sz w:val="20"/>
                <w:szCs w:val="20"/>
              </w:rPr>
              <w:t xml:space="preserve"> updated UL.</w:t>
            </w:r>
            <w:r w:rsidRPr="00D633FF">
              <w:rPr>
                <w:rFonts w:ascii="Calibri" w:eastAsia="Arial" w:hAnsi="Calibri" w:cs="Calibri"/>
                <w:sz w:val="20"/>
                <w:szCs w:val="20"/>
              </w:rPr>
              <w:t xml:space="preserve"> </w:t>
            </w:r>
          </w:p>
        </w:tc>
      </w:tr>
      <w:tr w:rsidR="005C5475" w:rsidRPr="00D633FF" w14:paraId="4509EA60" w14:textId="77777777" w:rsidTr="0029777B">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127" w:type="dxa"/>
          </w:tcPr>
          <w:p w14:paraId="062DEFB6" w14:textId="77777777" w:rsidR="005C5475" w:rsidRPr="00D633FF" w:rsidRDefault="005C5475" w:rsidP="006C2C05">
            <w:pPr>
              <w:spacing w:before="120" w:line="276" w:lineRule="auto"/>
              <w:rPr>
                <w:rFonts w:ascii="Calibri" w:eastAsia="Arial" w:hAnsi="Calibri" w:cs="Calibri"/>
                <w:highlight w:val="lightGray"/>
              </w:rPr>
            </w:pPr>
            <w:r w:rsidRPr="00D633FF">
              <w:rPr>
                <w:rFonts w:ascii="Calibri" w:eastAsia="Arial" w:hAnsi="Calibri" w:cs="Calibri"/>
              </w:rPr>
              <w:lastRenderedPageBreak/>
              <w:t>Values, preferences and feasibility (consumers, communities)</w:t>
            </w:r>
            <w:r w:rsidRPr="00D633FF">
              <w:rPr>
                <w:rFonts w:ascii="Calibri" w:eastAsia="Arial" w:hAnsi="Calibri" w:cs="Calibri"/>
                <w:highlight w:val="lightGray"/>
              </w:rPr>
              <w:br/>
            </w:r>
            <w:r w:rsidRPr="00D633FF">
              <w:rPr>
                <w:rFonts w:ascii="Calibri" w:eastAsia="Arial" w:hAnsi="Calibri" w:cs="Calibri"/>
                <w:highlight w:val="lightGray"/>
              </w:rPr>
              <w:br/>
            </w:r>
          </w:p>
        </w:tc>
        <w:tc>
          <w:tcPr>
            <w:tcW w:w="11907" w:type="dxa"/>
            <w:gridSpan w:val="4"/>
          </w:tcPr>
          <w:p w14:paraId="2B51D164" w14:textId="76F54396" w:rsidR="005C5475" w:rsidRPr="00D633FF" w:rsidRDefault="005C5475" w:rsidP="006C2C05">
            <w:pPr>
              <w:spacing w:before="120" w:after="160" w:line="276" w:lineRule="auto"/>
              <w:cnfStyle w:val="000000010000" w:firstRow="0" w:lastRow="0" w:firstColumn="0" w:lastColumn="0" w:oddVBand="0" w:evenVBand="0" w:oddHBand="0" w:evenHBand="1" w:firstRowFirstColumn="0" w:firstRowLastColumn="0" w:lastRowFirstColumn="0" w:lastRowLastColumn="0"/>
              <w:rPr>
                <w:rFonts w:ascii="Calibri" w:eastAsia="Arial" w:hAnsi="Calibri" w:cs="Calibri"/>
                <w:sz w:val="20"/>
              </w:rPr>
            </w:pPr>
            <w:bookmarkStart w:id="108" w:name="_Ref204606853"/>
            <w:r w:rsidRPr="00D633FF">
              <w:rPr>
                <w:rFonts w:ascii="Calibri" w:eastAsia="Arial" w:hAnsi="Calibri" w:cs="Calibri"/>
                <w:sz w:val="20"/>
              </w:rPr>
              <w:t>Selenium intake data shows that New Zealand tends to have lower intakes than Australia. Dietary modelling data indicate that selenium intakes among adults in both Australia and New Zealand consistently fall below both current and proposed ULs, with approximately 30% of model intakes below the current RDI (male RDI: 70 µg/day, female RDI: 60 µg/day;</w:t>
            </w:r>
            <w:r w:rsidRPr="00D633FF">
              <w:rPr>
                <w:rFonts w:ascii="Calibri" w:eastAsia="Arial" w:hAnsi="Calibri" w:cs="Calibri"/>
                <w:sz w:val="20"/>
                <w:szCs w:val="20"/>
              </w:rPr>
              <w:t xml:space="preserve"> </w:t>
            </w:r>
            <w:r w:rsidRPr="00D633FF">
              <w:rPr>
                <w:rFonts w:ascii="Calibri" w:eastAsia="Arial" w:hAnsi="Calibri" w:cs="Calibri"/>
                <w:sz w:val="20"/>
                <w:szCs w:val="20"/>
              </w:rPr>
              <w:fldChar w:fldCharType="begin" w:fldLock="1"/>
            </w:r>
            <w:r w:rsidRPr="00D633FF">
              <w:rPr>
                <w:rFonts w:ascii="Calibri" w:eastAsia="Arial" w:hAnsi="Calibri" w:cs="Calibri"/>
                <w:sz w:val="20"/>
                <w:szCs w:val="20"/>
              </w:rPr>
              <w:instrText xml:space="preserve"> REF _Ref205215599 \h  \* MERGEFORMAT </w:instrText>
            </w:r>
            <w:r w:rsidRPr="00D633FF">
              <w:rPr>
                <w:rFonts w:ascii="Calibri" w:eastAsia="Arial" w:hAnsi="Calibri" w:cs="Calibri"/>
                <w:sz w:val="20"/>
                <w:szCs w:val="20"/>
              </w:rPr>
            </w:r>
            <w:r w:rsidRPr="00D633FF">
              <w:rPr>
                <w:rFonts w:ascii="Calibri" w:eastAsia="Arial" w:hAnsi="Calibri" w:cs="Calibri"/>
                <w:sz w:val="20"/>
                <w:szCs w:val="20"/>
              </w:rPr>
              <w:fldChar w:fldCharType="separate"/>
            </w:r>
            <w:r w:rsidRPr="00D633FF">
              <w:rPr>
                <w:rFonts w:ascii="Calibri" w:eastAsia="Arial" w:hAnsi="Calibri" w:cs="Calibri"/>
                <w:sz w:val="20"/>
                <w:szCs w:val="20"/>
              </w:rPr>
              <w:t xml:space="preserve">Table </w:t>
            </w:r>
            <w:r w:rsidR="00D92D52">
              <w:rPr>
                <w:rFonts w:ascii="Calibri" w:eastAsia="Arial" w:hAnsi="Calibri" w:cs="Calibri"/>
                <w:noProof/>
                <w:sz w:val="20"/>
                <w:szCs w:val="20"/>
              </w:rPr>
              <w:t>20</w:t>
            </w:r>
            <w:r w:rsidRPr="00D633FF">
              <w:rPr>
                <w:rFonts w:ascii="Calibri" w:eastAsia="Arial" w:hAnsi="Calibri" w:cs="Calibri"/>
                <w:sz w:val="20"/>
                <w:szCs w:val="20"/>
              </w:rPr>
              <w:fldChar w:fldCharType="end"/>
            </w:r>
            <w:r w:rsidRPr="00D633FF">
              <w:rPr>
                <w:rFonts w:ascii="Calibri" w:eastAsia="Arial" w:hAnsi="Calibri" w:cs="Calibri"/>
                <w:sz w:val="20"/>
              </w:rPr>
              <w:t xml:space="preserve">). The average model intake (~70 µg/day) is significantly lower than the </w:t>
            </w:r>
            <w:r w:rsidR="007570CD" w:rsidRPr="00D633FF">
              <w:rPr>
                <w:rFonts w:ascii="Calibri" w:eastAsia="Arial" w:hAnsi="Calibri" w:cs="Calibri"/>
                <w:sz w:val="20"/>
              </w:rPr>
              <w:t xml:space="preserve">adapted </w:t>
            </w:r>
            <w:r w:rsidRPr="00D633FF">
              <w:rPr>
                <w:rFonts w:ascii="Calibri" w:eastAsia="Arial" w:hAnsi="Calibri" w:cs="Calibri"/>
                <w:sz w:val="20"/>
              </w:rPr>
              <w:t>EFSA UL (</w:t>
            </w:r>
            <w:r w:rsidR="007570CD" w:rsidRPr="00D633FF">
              <w:rPr>
                <w:rFonts w:ascii="Calibri" w:eastAsia="Arial" w:hAnsi="Calibri" w:cs="Calibri"/>
                <w:sz w:val="20"/>
              </w:rPr>
              <w:t>330</w:t>
            </w:r>
            <w:r w:rsidRPr="00D633FF">
              <w:rPr>
                <w:rFonts w:ascii="Calibri" w:eastAsia="Arial" w:hAnsi="Calibri" w:cs="Calibri"/>
                <w:sz w:val="20"/>
              </w:rPr>
              <w:t xml:space="preserve"> µg/day) and the current NHMRC UL (400 µg/day). This pattern is consistent across pregnant and lactating populations, who use the same adult UL values (</w:t>
            </w:r>
            <w:r w:rsidRPr="00D633FF">
              <w:rPr>
                <w:rFonts w:ascii="Calibri" w:eastAsia="Arial" w:hAnsi="Calibri" w:cs="Calibri"/>
                <w:sz w:val="20"/>
              </w:rPr>
              <w:fldChar w:fldCharType="begin" w:fldLock="1"/>
            </w:r>
            <w:r w:rsidRPr="00D633FF">
              <w:rPr>
                <w:rFonts w:ascii="Calibri" w:eastAsia="Arial" w:hAnsi="Calibri" w:cs="Calibri"/>
                <w:sz w:val="20"/>
              </w:rPr>
              <w:instrText xml:space="preserve"> REF _Ref205215625 \h </w:instrText>
            </w:r>
            <w:r w:rsidR="00D633FF">
              <w:rPr>
                <w:rFonts w:ascii="Calibri" w:eastAsia="Arial" w:hAnsi="Calibri" w:cs="Calibri"/>
                <w:sz w:val="20"/>
              </w:rPr>
              <w:instrText xml:space="preserve"> \* MERGEFORMAT </w:instrText>
            </w:r>
            <w:r w:rsidRPr="00D633FF">
              <w:rPr>
                <w:rFonts w:ascii="Calibri" w:eastAsia="Arial" w:hAnsi="Calibri" w:cs="Calibri"/>
                <w:sz w:val="20"/>
              </w:rPr>
            </w:r>
            <w:r w:rsidRPr="00D633FF">
              <w:rPr>
                <w:rFonts w:ascii="Calibri" w:eastAsia="Arial" w:hAnsi="Calibri" w:cs="Calibri"/>
                <w:sz w:val="20"/>
              </w:rPr>
              <w:fldChar w:fldCharType="separate"/>
            </w:r>
            <w:r w:rsidRPr="00D633FF">
              <w:rPr>
                <w:rFonts w:ascii="Calibri" w:eastAsia="Arial" w:hAnsi="Calibri" w:cs="Calibri"/>
                <w:sz w:val="20"/>
              </w:rPr>
              <w:t xml:space="preserve">Table </w:t>
            </w:r>
            <w:r w:rsidR="00D92D52">
              <w:rPr>
                <w:rFonts w:ascii="Calibri" w:eastAsia="Arial" w:hAnsi="Calibri" w:cs="Calibri"/>
                <w:noProof/>
                <w:sz w:val="20"/>
              </w:rPr>
              <w:t>21</w:t>
            </w:r>
            <w:r w:rsidRPr="00D633FF">
              <w:rPr>
                <w:rFonts w:ascii="Calibri" w:eastAsia="Arial" w:hAnsi="Calibri" w:cs="Calibri"/>
                <w:sz w:val="20"/>
              </w:rPr>
              <w:fldChar w:fldCharType="end"/>
            </w:r>
            <w:r w:rsidRPr="00D633FF">
              <w:rPr>
                <w:rFonts w:ascii="Calibri" w:eastAsia="Arial" w:hAnsi="Calibri" w:cs="Calibri"/>
                <w:sz w:val="20"/>
              </w:rPr>
              <w:t xml:space="preserve">). This suggests that a reduction in the UL would be safe and feasible. </w:t>
            </w:r>
          </w:p>
          <w:p w14:paraId="6C1CE138" w14:textId="6DF595C2" w:rsidR="005C5475" w:rsidRPr="00D633FF" w:rsidRDefault="005C5475" w:rsidP="002A7650">
            <w:pPr>
              <w:spacing w:before="0" w:after="160" w:line="276" w:lineRule="auto"/>
              <w:cnfStyle w:val="000000010000" w:firstRow="0" w:lastRow="0" w:firstColumn="0" w:lastColumn="0" w:oddVBand="0" w:evenVBand="0" w:oddHBand="0" w:evenHBand="1" w:firstRowFirstColumn="0" w:firstRowLastColumn="0" w:lastRowFirstColumn="0" w:lastRowLastColumn="0"/>
              <w:rPr>
                <w:rFonts w:ascii="Calibri" w:eastAsia="Arial" w:hAnsi="Calibri" w:cs="Calibri"/>
                <w:sz w:val="20"/>
              </w:rPr>
            </w:pPr>
            <w:r w:rsidRPr="00D633FF">
              <w:rPr>
                <w:rFonts w:ascii="Calibri" w:eastAsia="Arial" w:hAnsi="Calibri" w:cs="Calibri"/>
                <w:sz w:val="20"/>
              </w:rPr>
              <w:t>While modelling relied on incomplete data and interpolation, intake patterns align with empirical survey findings from Australia and New Zealand (</w:t>
            </w:r>
            <w:r w:rsidRPr="00D633FF">
              <w:rPr>
                <w:rFonts w:ascii="Calibri" w:eastAsia="Arial" w:hAnsi="Calibri" w:cs="Calibri"/>
                <w:sz w:val="20"/>
                <w:szCs w:val="20"/>
              </w:rPr>
              <w:fldChar w:fldCharType="begin" w:fldLock="1"/>
            </w:r>
            <w:r w:rsidRPr="00D633FF">
              <w:rPr>
                <w:rFonts w:ascii="Calibri" w:eastAsia="Arial" w:hAnsi="Calibri" w:cs="Calibri"/>
                <w:sz w:val="20"/>
                <w:szCs w:val="20"/>
              </w:rPr>
              <w:instrText xml:space="preserve"> REF _Ref204265663 \h  \* MERGEFORMAT </w:instrText>
            </w:r>
            <w:r w:rsidRPr="00D633FF">
              <w:rPr>
                <w:rFonts w:ascii="Calibri" w:eastAsia="Arial" w:hAnsi="Calibri" w:cs="Calibri"/>
                <w:sz w:val="20"/>
                <w:szCs w:val="20"/>
              </w:rPr>
            </w:r>
            <w:r w:rsidRPr="00D633FF">
              <w:rPr>
                <w:rFonts w:ascii="Calibri" w:eastAsia="Arial" w:hAnsi="Calibri" w:cs="Calibri"/>
                <w:sz w:val="20"/>
                <w:szCs w:val="20"/>
              </w:rPr>
              <w:fldChar w:fldCharType="separate"/>
            </w:r>
            <w:r w:rsidRPr="00D633FF">
              <w:rPr>
                <w:rFonts w:ascii="Calibri" w:eastAsia="Arial" w:hAnsi="Calibri" w:cs="Calibri"/>
                <w:sz w:val="20"/>
                <w:szCs w:val="20"/>
              </w:rPr>
              <w:t xml:space="preserve">Tables </w:t>
            </w:r>
            <w:r w:rsidRPr="00D633FF">
              <w:rPr>
                <w:rFonts w:ascii="Calibri" w:eastAsia="Arial" w:hAnsi="Calibri" w:cs="Calibri"/>
                <w:sz w:val="20"/>
                <w:szCs w:val="20"/>
              </w:rPr>
              <w:fldChar w:fldCharType="end"/>
            </w:r>
            <w:r w:rsidR="00D304F8">
              <w:rPr>
                <w:rFonts w:ascii="Calibri" w:eastAsia="Arial" w:hAnsi="Calibri" w:cs="Calibri"/>
                <w:sz w:val="20"/>
                <w:szCs w:val="20"/>
              </w:rPr>
              <w:t>17</w:t>
            </w:r>
            <w:r w:rsidRPr="00D633FF">
              <w:rPr>
                <w:rFonts w:ascii="Calibri" w:eastAsia="Arial" w:hAnsi="Calibri" w:cs="Calibri"/>
                <w:sz w:val="20"/>
                <w:szCs w:val="20"/>
              </w:rPr>
              <w:t xml:space="preserve"> </w:t>
            </w:r>
            <w:r w:rsidRPr="00D633FF">
              <w:rPr>
                <w:rFonts w:ascii="Calibri" w:eastAsia="Arial" w:hAnsi="Calibri" w:cs="Calibri"/>
                <w:sz w:val="20"/>
                <w:szCs w:val="20"/>
              </w:rPr>
              <w:fldChar w:fldCharType="begin" w:fldLock="1"/>
            </w:r>
            <w:r w:rsidRPr="00D633FF">
              <w:rPr>
                <w:rFonts w:ascii="Calibri" w:eastAsia="Arial" w:hAnsi="Calibri" w:cs="Calibri"/>
                <w:sz w:val="20"/>
                <w:szCs w:val="20"/>
              </w:rPr>
              <w:instrText xml:space="preserve"> REF _Ref205215649 \h  \* MERGEFORMAT </w:instrText>
            </w:r>
            <w:r w:rsidRPr="00D633FF">
              <w:rPr>
                <w:rFonts w:ascii="Calibri" w:eastAsia="Arial" w:hAnsi="Calibri" w:cs="Calibri"/>
                <w:sz w:val="20"/>
                <w:szCs w:val="20"/>
              </w:rPr>
            </w:r>
            <w:r w:rsidRPr="00D633FF">
              <w:rPr>
                <w:rFonts w:ascii="Calibri" w:eastAsia="Arial" w:hAnsi="Calibri" w:cs="Calibri"/>
                <w:sz w:val="20"/>
                <w:szCs w:val="20"/>
              </w:rPr>
              <w:fldChar w:fldCharType="separate"/>
            </w:r>
            <w:r w:rsidRPr="00D633FF">
              <w:rPr>
                <w:rFonts w:ascii="Calibri" w:eastAsia="Arial" w:hAnsi="Calibri" w:cs="Calibri"/>
                <w:sz w:val="20"/>
                <w:szCs w:val="20"/>
              </w:rPr>
              <w:t xml:space="preserve">&amp; </w:t>
            </w:r>
            <w:r w:rsidR="00D304F8">
              <w:rPr>
                <w:rFonts w:ascii="Calibri" w:eastAsia="Arial" w:hAnsi="Calibri" w:cs="Calibri"/>
                <w:noProof/>
                <w:sz w:val="20"/>
                <w:szCs w:val="20"/>
              </w:rPr>
              <w:t>18</w:t>
            </w:r>
            <w:r w:rsidRPr="00D633FF">
              <w:rPr>
                <w:rFonts w:ascii="Calibri" w:eastAsia="Arial" w:hAnsi="Calibri" w:cs="Calibri"/>
                <w:sz w:val="20"/>
                <w:szCs w:val="20"/>
              </w:rPr>
              <w:fldChar w:fldCharType="end"/>
            </w:r>
            <w:r w:rsidRPr="00D633FF">
              <w:rPr>
                <w:rFonts w:ascii="Calibri" w:eastAsia="Arial" w:hAnsi="Calibri" w:cs="Calibri"/>
                <w:sz w:val="20"/>
              </w:rPr>
              <w:t xml:space="preserve">), supporting the reliability of the estimates. Overall, both modelled and measured intakes support the feasibility of </w:t>
            </w:r>
            <w:r w:rsidRPr="00D633FF">
              <w:rPr>
                <w:rFonts w:ascii="Calibri" w:eastAsia="Arial" w:hAnsi="Calibri" w:cs="Calibri"/>
                <w:sz w:val="20"/>
              </w:rPr>
              <w:lastRenderedPageBreak/>
              <w:t xml:space="preserve">implementing a lower UL without requiring dietary changes. Supplement intake at levels consistent with unscheduled over the counter products for human consumption (&lt;150 µg/day) is unlikely to be impacted. </w:t>
            </w:r>
          </w:p>
          <w:p w14:paraId="2AF9079F" w14:textId="316CC58B" w:rsidR="005C5475" w:rsidRPr="0023650F" w:rsidRDefault="005C5475" w:rsidP="00AE2CC5">
            <w:pPr>
              <w:keepNext/>
              <w:spacing w:after="120" w:line="276" w:lineRule="auto"/>
              <w:cnfStyle w:val="000000010000" w:firstRow="0" w:lastRow="0" w:firstColumn="0" w:lastColumn="0" w:oddVBand="0" w:evenVBand="0" w:oddHBand="0" w:evenHBand="1" w:firstRowFirstColumn="0" w:firstRowLastColumn="0" w:lastRowFirstColumn="0" w:lastRowLastColumn="0"/>
              <w:rPr>
                <w:rFonts w:ascii="Calibri" w:eastAsia="Arial" w:hAnsi="Calibri" w:cs="Calibri"/>
                <w:b/>
                <w:bCs/>
                <w:iCs/>
                <w:caps/>
                <w:color w:val="auto"/>
              </w:rPr>
            </w:pPr>
            <w:bookmarkStart w:id="109" w:name="_Ref205215599"/>
            <w:r w:rsidRPr="0023650F">
              <w:rPr>
                <w:rFonts w:ascii="Calibri" w:eastAsia="Arial" w:hAnsi="Calibri" w:cs="Calibri"/>
                <w:b/>
                <w:bCs/>
                <w:iCs/>
                <w:caps/>
              </w:rPr>
              <w:t xml:space="preserve">Table </w:t>
            </w:r>
            <w:r w:rsidRPr="0023650F">
              <w:rPr>
                <w:rFonts w:ascii="Calibri" w:eastAsia="Arial" w:hAnsi="Calibri" w:cs="Calibri"/>
                <w:b/>
                <w:bCs/>
                <w:iCs/>
                <w:caps/>
              </w:rPr>
              <w:fldChar w:fldCharType="begin"/>
            </w:r>
            <w:r w:rsidRPr="0023650F">
              <w:rPr>
                <w:rFonts w:ascii="Calibri" w:eastAsia="Arial" w:hAnsi="Calibri" w:cs="Calibri"/>
                <w:b/>
                <w:bCs/>
                <w:iCs/>
                <w:caps/>
              </w:rPr>
              <w:instrText xml:space="preserve"> SEQ Table \* ARABIC </w:instrText>
            </w:r>
            <w:r w:rsidRPr="0023650F">
              <w:rPr>
                <w:rFonts w:ascii="Calibri" w:eastAsia="Arial" w:hAnsi="Calibri" w:cs="Calibri"/>
                <w:b/>
                <w:bCs/>
                <w:iCs/>
                <w:caps/>
              </w:rPr>
              <w:fldChar w:fldCharType="separate"/>
            </w:r>
            <w:r w:rsidR="00CB6915" w:rsidRPr="0023650F">
              <w:rPr>
                <w:rFonts w:ascii="Calibri" w:eastAsia="Arial" w:hAnsi="Calibri" w:cs="Calibri"/>
                <w:b/>
                <w:bCs/>
                <w:iCs/>
                <w:caps/>
                <w:noProof/>
              </w:rPr>
              <w:t>20</w:t>
            </w:r>
            <w:r w:rsidRPr="0023650F">
              <w:rPr>
                <w:rFonts w:ascii="Calibri" w:eastAsia="Arial" w:hAnsi="Calibri" w:cs="Calibri"/>
                <w:b/>
                <w:bCs/>
                <w:iCs/>
                <w:caps/>
              </w:rPr>
              <w:fldChar w:fldCharType="end"/>
            </w:r>
            <w:bookmarkEnd w:id="108"/>
            <w:bookmarkEnd w:id="109"/>
            <w:r w:rsidR="0069638C">
              <w:rPr>
                <w:rFonts w:ascii="Calibri" w:eastAsia="Arial" w:hAnsi="Calibri" w:cs="Calibri"/>
                <w:b/>
                <w:bCs/>
                <w:iCs/>
                <w:caps/>
              </w:rPr>
              <w:t>.</w:t>
            </w:r>
            <w:r w:rsidRPr="0023650F">
              <w:rPr>
                <w:rFonts w:ascii="Calibri" w:eastAsia="Arial" w:hAnsi="Calibri" w:cs="Calibri"/>
                <w:b/>
                <w:bCs/>
                <w:iCs/>
                <w:caps/>
              </w:rPr>
              <w:t xml:space="preserve"> </w:t>
            </w:r>
            <w:r w:rsidR="006C0305">
              <w:rPr>
                <w:rFonts w:ascii="Calibri" w:eastAsia="Arial" w:hAnsi="Calibri" w:cs="Calibri"/>
                <w:b/>
                <w:bCs/>
                <w:iCs/>
                <w:caps/>
              </w:rPr>
              <w:softHyphen/>
            </w:r>
            <w:r w:rsidR="006C0305">
              <w:rPr>
                <w:rFonts w:ascii="Calibri" w:eastAsia="Arial" w:hAnsi="Calibri" w:cs="Calibri"/>
                <w:b/>
                <w:bCs/>
                <w:iCs/>
                <w:caps/>
              </w:rPr>
              <w:softHyphen/>
            </w:r>
            <w:r w:rsidR="00147FF9">
              <w:rPr>
                <w:rFonts w:ascii="Calibri" w:eastAsia="Arial" w:hAnsi="Calibri" w:cs="Calibri"/>
                <w:b/>
                <w:bCs/>
                <w:iCs/>
              </w:rPr>
              <w:t>Food</w:t>
            </w:r>
            <w:r w:rsidR="00147FF9" w:rsidRPr="0023650F">
              <w:rPr>
                <w:rFonts w:ascii="Calibri" w:eastAsia="Arial" w:hAnsi="Calibri" w:cs="Calibri"/>
                <w:b/>
                <w:bCs/>
                <w:iCs/>
              </w:rPr>
              <w:t xml:space="preserve"> modelling data in adults</w:t>
            </w:r>
            <w:r w:rsidR="006C0305">
              <w:rPr>
                <w:rFonts w:ascii="Calibri" w:eastAsia="Arial" w:hAnsi="Calibri" w:cs="Calibri"/>
                <w:b/>
                <w:bCs/>
                <w:iCs/>
              </w:rPr>
              <w:t>,</w:t>
            </w:r>
            <w:r w:rsidRPr="0023650F">
              <w:rPr>
                <w:rFonts w:ascii="Calibri" w:eastAsia="Arial" w:hAnsi="Calibri" w:cs="Calibri"/>
                <w:b/>
                <w:bCs/>
                <w:iCs/>
                <w:caps/>
              </w:rPr>
              <w:t xml:space="preserve"> </w:t>
            </w:r>
            <w:r w:rsidR="00891A0F">
              <w:rPr>
                <w:rFonts w:ascii="Calibri" w:eastAsia="Arial" w:hAnsi="Calibri" w:cs="Calibri"/>
                <w:b/>
                <w:bCs/>
                <w:iCs/>
                <w:caps/>
              </w:rPr>
              <w:t>M</w:t>
            </w:r>
            <w:r w:rsidR="007B063E" w:rsidRPr="0023650F">
              <w:rPr>
                <w:rFonts w:ascii="Calibri" w:eastAsia="Times New Roman" w:hAnsi="Calibri" w:cs="Calibri"/>
                <w:b/>
                <w:bCs/>
                <w:color w:val="auto"/>
              </w:rPr>
              <w:t>odelled Selenium Intake (µg/day)</w:t>
            </w:r>
            <w:r w:rsidR="007B063E" w:rsidRPr="0023650F">
              <w:rPr>
                <w:rFonts w:ascii="Calibri" w:eastAsia="Arial" w:hAnsi="Calibri" w:cs="Calibri"/>
                <w:b/>
                <w:bCs/>
                <w:iCs/>
                <w:caps/>
              </w:rPr>
              <w:t xml:space="preserve"> </w:t>
            </w:r>
          </w:p>
          <w:tbl>
            <w:tblPr>
              <w:tblStyle w:val="GridTable5Dark"/>
              <w:tblW w:w="11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1134"/>
              <w:gridCol w:w="1134"/>
              <w:gridCol w:w="1134"/>
              <w:gridCol w:w="1134"/>
              <w:gridCol w:w="999"/>
              <w:gridCol w:w="1269"/>
              <w:gridCol w:w="995"/>
              <w:gridCol w:w="1414"/>
              <w:gridCol w:w="1134"/>
            </w:tblGrid>
            <w:tr w:rsidR="000D4DBD" w:rsidRPr="00D633FF" w14:paraId="300BF76C" w14:textId="77777777" w:rsidTr="000D4DBD">
              <w:trPr>
                <w:cnfStyle w:val="100000000000" w:firstRow="1" w:lastRow="0" w:firstColumn="0" w:lastColumn="0" w:oddVBand="0" w:evenVBand="0" w:oddHBand="0" w:evenHBand="0" w:firstRowFirstColumn="0" w:firstRowLastColumn="0" w:lastRowFirstColumn="0" w:lastRowLastColumn="0"/>
                <w:cantSplit/>
                <w:trHeight w:val="387"/>
              </w:trPr>
              <w:tc>
                <w:tcPr>
                  <w:cnfStyle w:val="001000000000" w:firstRow="0" w:lastRow="0" w:firstColumn="1" w:lastColumn="0" w:oddVBand="0" w:evenVBand="0" w:oddHBand="0" w:evenHBand="0" w:firstRowFirstColumn="0" w:firstRowLastColumn="0" w:lastRowFirstColumn="0" w:lastRowLastColumn="0"/>
                  <w:tcW w:w="1164" w:type="dxa"/>
                  <w:tcBorders>
                    <w:top w:val="single" w:sz="4" w:space="0" w:color="auto"/>
                    <w:left w:val="single" w:sz="4" w:space="0" w:color="auto"/>
                    <w:bottom w:val="single" w:sz="4" w:space="0" w:color="auto"/>
                    <w:right w:val="single" w:sz="4" w:space="0" w:color="auto"/>
                  </w:tcBorders>
                  <w:vAlign w:val="center"/>
                </w:tcPr>
                <w:p w14:paraId="17A14087" w14:textId="78780662" w:rsidR="005B62E9" w:rsidRPr="00D633FF" w:rsidRDefault="00467CDC" w:rsidP="00FC1DC3">
                  <w:pPr>
                    <w:keepNext/>
                    <w:keepLines/>
                    <w:spacing w:line="276" w:lineRule="auto"/>
                    <w:ind w:right="34"/>
                    <w:jc w:val="right"/>
                    <w:rPr>
                      <w:rFonts w:ascii="Calibri" w:eastAsia="Times New Roman" w:hAnsi="Calibri" w:cs="Calibri"/>
                      <w:color w:val="FFFFFF"/>
                    </w:rPr>
                  </w:pPr>
                  <w:r w:rsidRPr="00D633FF">
                    <w:rPr>
                      <w:rFonts w:ascii="Calibri" w:eastAsia="Times New Roman" w:hAnsi="Calibri" w:cs="Calibri"/>
                      <w:color w:val="FFFFFF"/>
                    </w:rPr>
                    <w:t xml:space="preserve">Age Group </w:t>
                  </w:r>
                  <w:r w:rsidRPr="00D633FF">
                    <w:rPr>
                      <w:rFonts w:ascii="Calibri" w:eastAsia="Times New Roman" w:hAnsi="Calibri" w:cs="Calibri"/>
                      <w:color w:val="FFFFFF"/>
                    </w:rPr>
                    <w:br/>
                    <w:t>(years)</w:t>
                  </w:r>
                </w:p>
              </w:tc>
              <w:tc>
                <w:tcPr>
                  <w:tcW w:w="1134" w:type="dxa"/>
                  <w:tcBorders>
                    <w:top w:val="single" w:sz="4" w:space="0" w:color="auto"/>
                    <w:left w:val="single" w:sz="4" w:space="0" w:color="auto"/>
                    <w:right w:val="single" w:sz="4" w:space="0" w:color="auto"/>
                  </w:tcBorders>
                  <w:shd w:val="clear" w:color="auto" w:fill="CCCCCF"/>
                  <w:vAlign w:val="center"/>
                </w:tcPr>
                <w:p w14:paraId="20353D82" w14:textId="77777777" w:rsidR="005B62E9" w:rsidRPr="001E078E" w:rsidRDefault="005B62E9" w:rsidP="00FC1DC3">
                  <w:pPr>
                    <w:keepNext/>
                    <w:keepLines/>
                    <w:spacing w:line="276" w:lineRule="auto"/>
                    <w:ind w:right="34"/>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rPr>
                  </w:pPr>
                  <w:r w:rsidRPr="001E078E">
                    <w:rPr>
                      <w:rFonts w:ascii="Calibri" w:eastAsia="Times New Roman" w:hAnsi="Calibri" w:cs="Calibri"/>
                      <w:color w:val="auto"/>
                    </w:rPr>
                    <w:t>Core Food Groups</w:t>
                  </w:r>
                </w:p>
              </w:tc>
              <w:tc>
                <w:tcPr>
                  <w:tcW w:w="1134" w:type="dxa"/>
                  <w:tcBorders>
                    <w:top w:val="single" w:sz="4" w:space="0" w:color="auto"/>
                    <w:left w:val="single" w:sz="4" w:space="0" w:color="auto"/>
                  </w:tcBorders>
                  <w:shd w:val="clear" w:color="auto" w:fill="FFFFFF"/>
                  <w:vAlign w:val="center"/>
                </w:tcPr>
                <w:p w14:paraId="10B0BA29" w14:textId="0A524B83" w:rsidR="005B62E9" w:rsidRPr="001E078E" w:rsidRDefault="005B62E9" w:rsidP="00FC1DC3">
                  <w:pPr>
                    <w:keepNext/>
                    <w:keepLines/>
                    <w:spacing w:line="276" w:lineRule="auto"/>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rPr>
                  </w:pPr>
                  <w:r w:rsidRPr="001E078E">
                    <w:rPr>
                      <w:rFonts w:ascii="Calibri" w:eastAsia="Times New Roman" w:hAnsi="Calibri" w:cs="Calibri"/>
                      <w:color w:val="auto"/>
                    </w:rPr>
                    <w:t>Foundation</w:t>
                  </w:r>
                </w:p>
              </w:tc>
              <w:tc>
                <w:tcPr>
                  <w:tcW w:w="1134" w:type="dxa"/>
                  <w:tcBorders>
                    <w:top w:val="single" w:sz="4" w:space="0" w:color="auto"/>
                    <w:right w:val="single" w:sz="4" w:space="0" w:color="auto"/>
                  </w:tcBorders>
                  <w:shd w:val="clear" w:color="auto" w:fill="FFFFFF"/>
                  <w:vAlign w:val="center"/>
                </w:tcPr>
                <w:p w14:paraId="35855C20" w14:textId="33D1951D" w:rsidR="005B62E9" w:rsidRPr="001E078E" w:rsidRDefault="00054EEA" w:rsidP="00FC1DC3">
                  <w:pPr>
                    <w:keepNext/>
                    <w:keepLines/>
                    <w:spacing w:line="276" w:lineRule="auto"/>
                    <w:ind w:left="-109" w:right="34"/>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rPr>
                  </w:pPr>
                  <w:r w:rsidRPr="001E078E">
                    <w:rPr>
                      <w:rFonts w:ascii="Calibri" w:eastAsia="Times New Roman" w:hAnsi="Calibri" w:cs="Calibri"/>
                      <w:color w:val="auto"/>
                    </w:rPr>
                    <w:t>Diet</w:t>
                  </w:r>
                </w:p>
              </w:tc>
              <w:tc>
                <w:tcPr>
                  <w:tcW w:w="1134" w:type="dxa"/>
                  <w:tcBorders>
                    <w:top w:val="single" w:sz="4" w:space="0" w:color="auto"/>
                    <w:left w:val="single" w:sz="4" w:space="0" w:color="auto"/>
                  </w:tcBorders>
                  <w:shd w:val="clear" w:color="auto" w:fill="D1D1D1" w:themeFill="background2" w:themeFillShade="E6"/>
                  <w:vAlign w:val="center"/>
                </w:tcPr>
                <w:p w14:paraId="0278BDB5" w14:textId="77777777" w:rsidR="005B62E9" w:rsidRPr="001E078E" w:rsidRDefault="005B62E9" w:rsidP="00FC1DC3">
                  <w:pPr>
                    <w:keepNext/>
                    <w:keepLines/>
                    <w:spacing w:line="276" w:lineRule="auto"/>
                    <w:ind w:right="34"/>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rPr>
                  </w:pPr>
                  <w:r w:rsidRPr="001E078E">
                    <w:rPr>
                      <w:rFonts w:ascii="Calibri" w:eastAsia="Times New Roman" w:hAnsi="Calibri" w:cs="Calibri"/>
                      <w:color w:val="auto"/>
                    </w:rPr>
                    <w:t>Rice-based</w:t>
                  </w:r>
                </w:p>
              </w:tc>
              <w:tc>
                <w:tcPr>
                  <w:tcW w:w="999" w:type="dxa"/>
                  <w:tcBorders>
                    <w:top w:val="single" w:sz="4" w:space="0" w:color="auto"/>
                    <w:right w:val="single" w:sz="4" w:space="0" w:color="auto"/>
                  </w:tcBorders>
                  <w:shd w:val="clear" w:color="auto" w:fill="D1D1D1" w:themeFill="background2" w:themeFillShade="E6"/>
                  <w:vAlign w:val="center"/>
                </w:tcPr>
                <w:p w14:paraId="582BFE6E" w14:textId="21CAF72A" w:rsidR="005B62E9" w:rsidRPr="001E078E" w:rsidRDefault="005B62E9" w:rsidP="00FC1DC3">
                  <w:pPr>
                    <w:keepNext/>
                    <w:keepLines/>
                    <w:spacing w:line="276" w:lineRule="auto"/>
                    <w:ind w:right="34"/>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rPr>
                  </w:pPr>
                </w:p>
              </w:tc>
              <w:tc>
                <w:tcPr>
                  <w:tcW w:w="1269" w:type="dxa"/>
                  <w:tcBorders>
                    <w:top w:val="single" w:sz="4" w:space="0" w:color="auto"/>
                    <w:left w:val="single" w:sz="4" w:space="0" w:color="auto"/>
                  </w:tcBorders>
                  <w:shd w:val="clear" w:color="auto" w:fill="FFFFFF" w:themeFill="background1"/>
                  <w:vAlign w:val="center"/>
                </w:tcPr>
                <w:p w14:paraId="4A52FB45" w14:textId="77777777" w:rsidR="005B62E9" w:rsidRPr="001E078E" w:rsidRDefault="005B62E9" w:rsidP="00FC1DC3">
                  <w:pPr>
                    <w:keepNext/>
                    <w:keepLines/>
                    <w:spacing w:line="276" w:lineRule="auto"/>
                    <w:ind w:right="34"/>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rPr>
                  </w:pPr>
                  <w:r w:rsidRPr="001E078E">
                    <w:rPr>
                      <w:rFonts w:ascii="Calibri" w:eastAsia="Times New Roman" w:hAnsi="Calibri" w:cs="Calibri"/>
                      <w:color w:val="auto"/>
                    </w:rPr>
                    <w:t>Pasta-based</w:t>
                  </w:r>
                </w:p>
              </w:tc>
              <w:tc>
                <w:tcPr>
                  <w:tcW w:w="995" w:type="dxa"/>
                  <w:tcBorders>
                    <w:top w:val="single" w:sz="4" w:space="0" w:color="auto"/>
                    <w:right w:val="single" w:sz="4" w:space="0" w:color="auto"/>
                  </w:tcBorders>
                  <w:shd w:val="clear" w:color="auto" w:fill="FFFFFF" w:themeFill="background1"/>
                  <w:vAlign w:val="center"/>
                </w:tcPr>
                <w:p w14:paraId="2ACCB4C1" w14:textId="2D26F35D" w:rsidR="005B62E9" w:rsidRPr="001E078E" w:rsidRDefault="005B62E9" w:rsidP="00FC1DC3">
                  <w:pPr>
                    <w:keepNext/>
                    <w:keepLines/>
                    <w:spacing w:line="276" w:lineRule="auto"/>
                    <w:ind w:right="34"/>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rPr>
                  </w:pPr>
                </w:p>
              </w:tc>
              <w:tc>
                <w:tcPr>
                  <w:tcW w:w="1414" w:type="dxa"/>
                  <w:tcBorders>
                    <w:top w:val="single" w:sz="4" w:space="0" w:color="auto"/>
                    <w:left w:val="single" w:sz="4" w:space="0" w:color="auto"/>
                  </w:tcBorders>
                  <w:shd w:val="clear" w:color="auto" w:fill="CCCCCF"/>
                  <w:vAlign w:val="center"/>
                </w:tcPr>
                <w:p w14:paraId="6F6EB575" w14:textId="24F64B76" w:rsidR="005B62E9" w:rsidRPr="001E078E" w:rsidRDefault="005B62E9" w:rsidP="00FC1DC3">
                  <w:pPr>
                    <w:keepNext/>
                    <w:keepLines/>
                    <w:spacing w:line="276" w:lineRule="auto"/>
                    <w:ind w:right="34"/>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rPr>
                  </w:pPr>
                  <w:proofErr w:type="spellStart"/>
                  <w:r w:rsidRPr="001E078E">
                    <w:rPr>
                      <w:rFonts w:ascii="Calibri" w:eastAsia="Times New Roman" w:hAnsi="Calibri" w:cs="Calibri"/>
                      <w:color w:val="auto"/>
                    </w:rPr>
                    <w:t>Lacto</w:t>
                  </w:r>
                  <w:proofErr w:type="spellEnd"/>
                  <w:r w:rsidRPr="001E078E">
                    <w:rPr>
                      <w:rFonts w:ascii="Calibri" w:eastAsia="Times New Roman" w:hAnsi="Calibri" w:cs="Calibri"/>
                      <w:color w:val="auto"/>
                    </w:rPr>
                    <w:t>-ovo-veg</w:t>
                  </w:r>
                </w:p>
              </w:tc>
              <w:tc>
                <w:tcPr>
                  <w:tcW w:w="1134" w:type="dxa"/>
                  <w:tcBorders>
                    <w:top w:val="single" w:sz="4" w:space="0" w:color="auto"/>
                    <w:right w:val="single" w:sz="4" w:space="0" w:color="auto"/>
                  </w:tcBorders>
                  <w:shd w:val="clear" w:color="auto" w:fill="CCCCCF"/>
                  <w:vAlign w:val="center"/>
                </w:tcPr>
                <w:p w14:paraId="0A3F0E15" w14:textId="7FD026D5" w:rsidR="005B62E9" w:rsidRPr="001E078E" w:rsidRDefault="005B62E9" w:rsidP="00FC1DC3">
                  <w:pPr>
                    <w:keepNext/>
                    <w:keepLines/>
                    <w:spacing w:line="276" w:lineRule="auto"/>
                    <w:ind w:right="34"/>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rPr>
                  </w:pPr>
                </w:p>
              </w:tc>
            </w:tr>
            <w:tr w:rsidR="003C226C" w:rsidRPr="00D633FF" w14:paraId="243FF861" w14:textId="77777777" w:rsidTr="000D4DBD">
              <w:trPr>
                <w:cantSplit/>
                <w:trHeight w:val="387"/>
              </w:trPr>
              <w:tc>
                <w:tcPr>
                  <w:cnfStyle w:val="001000000000" w:firstRow="0" w:lastRow="0" w:firstColumn="1" w:lastColumn="0" w:oddVBand="0" w:evenVBand="0" w:oddHBand="0" w:evenHBand="0" w:firstRowFirstColumn="0" w:firstRowLastColumn="0" w:lastRowFirstColumn="0" w:lastRowLastColumn="0"/>
                  <w:tcW w:w="1164" w:type="dxa"/>
                  <w:tcBorders>
                    <w:top w:val="single" w:sz="4" w:space="0" w:color="auto"/>
                    <w:left w:val="single" w:sz="4" w:space="0" w:color="auto"/>
                    <w:bottom w:val="single" w:sz="4" w:space="0" w:color="FFFFFF" w:themeColor="background1"/>
                    <w:right w:val="single" w:sz="4" w:space="0" w:color="auto"/>
                  </w:tcBorders>
                  <w:vAlign w:val="center"/>
                </w:tcPr>
                <w:p w14:paraId="561FC220" w14:textId="2F5FE3DB" w:rsidR="005C5475" w:rsidRPr="00D633FF" w:rsidRDefault="005C5475" w:rsidP="00FC1DC3">
                  <w:pPr>
                    <w:keepNext/>
                    <w:keepLines/>
                    <w:spacing w:line="276" w:lineRule="auto"/>
                    <w:ind w:right="38"/>
                    <w:rPr>
                      <w:rFonts w:ascii="Calibri" w:eastAsia="Times New Roman" w:hAnsi="Calibri" w:cs="Calibri"/>
                    </w:rPr>
                  </w:pPr>
                </w:p>
              </w:tc>
              <w:tc>
                <w:tcPr>
                  <w:tcW w:w="1134" w:type="dxa"/>
                  <w:tcBorders>
                    <w:left w:val="single" w:sz="4" w:space="0" w:color="auto"/>
                    <w:bottom w:val="single" w:sz="4" w:space="0" w:color="auto"/>
                  </w:tcBorders>
                  <w:shd w:val="clear" w:color="auto" w:fill="D1D1D1" w:themeFill="background2" w:themeFillShade="E6"/>
                  <w:vAlign w:val="center"/>
                </w:tcPr>
                <w:p w14:paraId="1B6721F0" w14:textId="77777777" w:rsidR="005C5475" w:rsidRPr="00BB72D9" w:rsidRDefault="005C5475" w:rsidP="00FC1DC3">
                  <w:pPr>
                    <w:keepNext/>
                    <w:keepLines/>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r w:rsidRPr="00BB72D9">
                    <w:rPr>
                      <w:rFonts w:ascii="Calibri" w:eastAsia="Times New Roman" w:hAnsi="Calibri" w:cs="Calibri"/>
                      <w:b/>
                      <w:bCs/>
                    </w:rPr>
                    <w:t>Both sexes</w:t>
                  </w:r>
                </w:p>
              </w:tc>
              <w:tc>
                <w:tcPr>
                  <w:tcW w:w="1134" w:type="dxa"/>
                  <w:shd w:val="clear" w:color="auto" w:fill="FFFFFF"/>
                  <w:vAlign w:val="center"/>
                </w:tcPr>
                <w:p w14:paraId="5E8DC5A2" w14:textId="77777777" w:rsidR="005C5475" w:rsidRPr="00BB72D9" w:rsidRDefault="005C5475" w:rsidP="00FC1DC3">
                  <w:pPr>
                    <w:keepNext/>
                    <w:keepLines/>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r w:rsidRPr="00BB72D9">
                    <w:rPr>
                      <w:rFonts w:ascii="Calibri" w:eastAsia="Times New Roman" w:hAnsi="Calibri" w:cs="Calibri"/>
                      <w:b/>
                      <w:bCs/>
                    </w:rPr>
                    <w:t>Male</w:t>
                  </w:r>
                </w:p>
              </w:tc>
              <w:tc>
                <w:tcPr>
                  <w:tcW w:w="1134" w:type="dxa"/>
                  <w:shd w:val="clear" w:color="auto" w:fill="FFFFFF"/>
                  <w:vAlign w:val="center"/>
                </w:tcPr>
                <w:p w14:paraId="7FE3C2B2" w14:textId="77777777" w:rsidR="005C5475" w:rsidRPr="00BB72D9" w:rsidRDefault="005C5475" w:rsidP="00FC1DC3">
                  <w:pPr>
                    <w:keepNext/>
                    <w:keepLines/>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r w:rsidRPr="00BB72D9">
                    <w:rPr>
                      <w:rFonts w:ascii="Calibri" w:eastAsia="Times New Roman" w:hAnsi="Calibri" w:cs="Calibri"/>
                      <w:b/>
                      <w:bCs/>
                    </w:rPr>
                    <w:t>Female</w:t>
                  </w:r>
                </w:p>
              </w:tc>
              <w:tc>
                <w:tcPr>
                  <w:tcW w:w="1134" w:type="dxa"/>
                  <w:shd w:val="clear" w:color="auto" w:fill="CCCCCF"/>
                  <w:vAlign w:val="center"/>
                </w:tcPr>
                <w:p w14:paraId="5FB1279D" w14:textId="77777777" w:rsidR="005C5475" w:rsidRPr="00BB72D9" w:rsidRDefault="005C5475" w:rsidP="00FC1DC3">
                  <w:pPr>
                    <w:keepNext/>
                    <w:keepLines/>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r w:rsidRPr="00BB72D9">
                    <w:rPr>
                      <w:rFonts w:ascii="Calibri" w:eastAsia="Times New Roman" w:hAnsi="Calibri" w:cs="Calibri"/>
                      <w:b/>
                      <w:bCs/>
                    </w:rPr>
                    <w:t>Male</w:t>
                  </w:r>
                </w:p>
              </w:tc>
              <w:tc>
                <w:tcPr>
                  <w:tcW w:w="999" w:type="dxa"/>
                  <w:shd w:val="clear" w:color="auto" w:fill="CCCCCF"/>
                  <w:vAlign w:val="center"/>
                </w:tcPr>
                <w:p w14:paraId="2A49A31B" w14:textId="77777777" w:rsidR="005C5475" w:rsidRPr="00BB72D9" w:rsidRDefault="005C5475" w:rsidP="00FC1DC3">
                  <w:pPr>
                    <w:keepNext/>
                    <w:keepLines/>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r w:rsidRPr="00BB72D9">
                    <w:rPr>
                      <w:rFonts w:ascii="Calibri" w:eastAsia="Times New Roman" w:hAnsi="Calibri" w:cs="Calibri"/>
                      <w:b/>
                      <w:bCs/>
                    </w:rPr>
                    <w:t>Female</w:t>
                  </w:r>
                </w:p>
              </w:tc>
              <w:tc>
                <w:tcPr>
                  <w:tcW w:w="1269" w:type="dxa"/>
                  <w:shd w:val="clear" w:color="auto" w:fill="FFFFFF"/>
                  <w:vAlign w:val="center"/>
                </w:tcPr>
                <w:p w14:paraId="6602F9F4" w14:textId="77777777" w:rsidR="005C5475" w:rsidRPr="00BB72D9" w:rsidRDefault="005C5475" w:rsidP="00FC1DC3">
                  <w:pPr>
                    <w:keepNext/>
                    <w:keepLines/>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r w:rsidRPr="00BB72D9">
                    <w:rPr>
                      <w:rFonts w:ascii="Calibri" w:eastAsia="Times New Roman" w:hAnsi="Calibri" w:cs="Calibri"/>
                      <w:b/>
                      <w:bCs/>
                    </w:rPr>
                    <w:t>Male</w:t>
                  </w:r>
                </w:p>
              </w:tc>
              <w:tc>
                <w:tcPr>
                  <w:tcW w:w="995" w:type="dxa"/>
                  <w:shd w:val="clear" w:color="auto" w:fill="FFFFFF"/>
                  <w:vAlign w:val="center"/>
                </w:tcPr>
                <w:p w14:paraId="1B3BF9DB" w14:textId="77777777" w:rsidR="005C5475" w:rsidRPr="00BB72D9" w:rsidRDefault="005C5475" w:rsidP="00FC1DC3">
                  <w:pPr>
                    <w:keepNext/>
                    <w:keepLines/>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r w:rsidRPr="00BB72D9">
                    <w:rPr>
                      <w:rFonts w:ascii="Calibri" w:eastAsia="Times New Roman" w:hAnsi="Calibri" w:cs="Calibri"/>
                      <w:b/>
                      <w:bCs/>
                    </w:rPr>
                    <w:t>Female</w:t>
                  </w:r>
                </w:p>
              </w:tc>
              <w:tc>
                <w:tcPr>
                  <w:tcW w:w="1414" w:type="dxa"/>
                  <w:shd w:val="clear" w:color="auto" w:fill="CCCCCF"/>
                  <w:vAlign w:val="center"/>
                </w:tcPr>
                <w:p w14:paraId="66ED15D5" w14:textId="77777777" w:rsidR="005C5475" w:rsidRPr="00BB72D9" w:rsidRDefault="005C5475" w:rsidP="00FC1DC3">
                  <w:pPr>
                    <w:keepNext/>
                    <w:keepLines/>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r w:rsidRPr="00BB72D9">
                    <w:rPr>
                      <w:rFonts w:ascii="Calibri" w:eastAsia="Times New Roman" w:hAnsi="Calibri" w:cs="Calibri"/>
                      <w:b/>
                      <w:bCs/>
                    </w:rPr>
                    <w:t>Male</w:t>
                  </w:r>
                </w:p>
              </w:tc>
              <w:tc>
                <w:tcPr>
                  <w:tcW w:w="1134" w:type="dxa"/>
                  <w:shd w:val="clear" w:color="auto" w:fill="CCCCCF"/>
                  <w:vAlign w:val="center"/>
                </w:tcPr>
                <w:p w14:paraId="306B6CF6" w14:textId="77777777" w:rsidR="005C5475" w:rsidRPr="00BB72D9" w:rsidRDefault="005C5475" w:rsidP="00FC1DC3">
                  <w:pPr>
                    <w:keepNext/>
                    <w:keepLines/>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r w:rsidRPr="00BB72D9">
                    <w:rPr>
                      <w:rFonts w:ascii="Calibri" w:eastAsia="Times New Roman" w:hAnsi="Calibri" w:cs="Calibri"/>
                      <w:b/>
                      <w:bCs/>
                    </w:rPr>
                    <w:t>Female</w:t>
                  </w:r>
                </w:p>
              </w:tc>
            </w:tr>
            <w:tr w:rsidR="005B62E9" w:rsidRPr="00D633FF" w14:paraId="4071141B" w14:textId="77777777" w:rsidTr="000D4DBD">
              <w:trPr>
                <w:cantSplit/>
                <w:trHeight w:val="387"/>
              </w:trPr>
              <w:tc>
                <w:tcPr>
                  <w:cnfStyle w:val="001000000000" w:firstRow="0" w:lastRow="0" w:firstColumn="1" w:lastColumn="0" w:oddVBand="0" w:evenVBand="0" w:oddHBand="0" w:evenHBand="0" w:firstRowFirstColumn="0" w:firstRowLastColumn="0" w:lastRowFirstColumn="0" w:lastRowLastColumn="0"/>
                  <w:tcW w:w="1164" w:type="dxa"/>
                  <w:tcBorders>
                    <w:top w:val="single" w:sz="4" w:space="0" w:color="FFFFFF" w:themeColor="background1"/>
                    <w:bottom w:val="single" w:sz="4" w:space="0" w:color="FFFFFF" w:themeColor="background1"/>
                    <w:right w:val="single" w:sz="4" w:space="0" w:color="FFFFFF" w:themeColor="background1"/>
                  </w:tcBorders>
                  <w:vAlign w:val="center"/>
                </w:tcPr>
                <w:p w14:paraId="45286101" w14:textId="77777777" w:rsidR="005C5475" w:rsidRPr="00D633FF" w:rsidRDefault="005C5475" w:rsidP="00FC1DC3">
                  <w:pPr>
                    <w:keepNext/>
                    <w:keepLines/>
                    <w:spacing w:line="276" w:lineRule="auto"/>
                    <w:jc w:val="right"/>
                    <w:rPr>
                      <w:rFonts w:ascii="Calibri" w:eastAsia="Times New Roman" w:hAnsi="Calibri" w:cs="Calibri"/>
                      <w:color w:val="FFFFFF"/>
                    </w:rPr>
                  </w:pPr>
                  <w:bookmarkStart w:id="110" w:name="_Hlk204074689"/>
                  <w:r w:rsidRPr="00D633FF">
                    <w:rPr>
                      <w:rFonts w:ascii="Calibri" w:eastAsia="Times New Roman" w:hAnsi="Calibri" w:cs="Calibri"/>
                      <w:color w:val="FFFFFF"/>
                    </w:rPr>
                    <w:t>19-30</w:t>
                  </w:r>
                </w:p>
              </w:tc>
              <w:tc>
                <w:tcPr>
                  <w:tcW w:w="1134" w:type="dxa"/>
                  <w:tcBorders>
                    <w:top w:val="single" w:sz="4" w:space="0" w:color="auto"/>
                    <w:left w:val="single" w:sz="4" w:space="0" w:color="FFFFFF" w:themeColor="background1"/>
                    <w:bottom w:val="single" w:sz="4" w:space="0" w:color="auto"/>
                    <w:right w:val="single" w:sz="4" w:space="0" w:color="auto"/>
                  </w:tcBorders>
                  <w:shd w:val="clear" w:color="auto" w:fill="CCCCCF"/>
                  <w:vAlign w:val="center"/>
                </w:tcPr>
                <w:p w14:paraId="391E2CF2" w14:textId="49244922" w:rsidR="005C5475" w:rsidRPr="00D633FF" w:rsidRDefault="005C5475" w:rsidP="00FC1DC3">
                  <w:pPr>
                    <w:keepNext/>
                    <w:keepLines/>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1134" w:type="dxa"/>
                  <w:tcBorders>
                    <w:left w:val="single" w:sz="4" w:space="0" w:color="auto"/>
                  </w:tcBorders>
                  <w:shd w:val="clear" w:color="auto" w:fill="FFFFFF"/>
                  <w:vAlign w:val="center"/>
                </w:tcPr>
                <w:p w14:paraId="55AF01A0" w14:textId="77777777" w:rsidR="005C5475" w:rsidRPr="00D633FF" w:rsidRDefault="005C5475" w:rsidP="00FC1DC3">
                  <w:pPr>
                    <w:keepNext/>
                    <w:keepLines/>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87</w:t>
                  </w:r>
                </w:p>
              </w:tc>
              <w:tc>
                <w:tcPr>
                  <w:tcW w:w="1134" w:type="dxa"/>
                  <w:shd w:val="clear" w:color="auto" w:fill="FFFFFF"/>
                  <w:vAlign w:val="center"/>
                </w:tcPr>
                <w:p w14:paraId="35DE3C6E" w14:textId="77777777" w:rsidR="005C5475" w:rsidRPr="00D633FF" w:rsidRDefault="005C5475" w:rsidP="00FC1DC3">
                  <w:pPr>
                    <w:keepNext/>
                    <w:keepLines/>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75</w:t>
                  </w:r>
                </w:p>
              </w:tc>
              <w:tc>
                <w:tcPr>
                  <w:tcW w:w="1134" w:type="dxa"/>
                  <w:shd w:val="clear" w:color="auto" w:fill="CCCCCF"/>
                  <w:vAlign w:val="center"/>
                </w:tcPr>
                <w:p w14:paraId="29C1119E" w14:textId="77777777" w:rsidR="005C5475" w:rsidRPr="00D633FF" w:rsidRDefault="005C5475" w:rsidP="00FC1DC3">
                  <w:pPr>
                    <w:keepNext/>
                    <w:keepLines/>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72</w:t>
                  </w:r>
                </w:p>
              </w:tc>
              <w:tc>
                <w:tcPr>
                  <w:tcW w:w="999" w:type="dxa"/>
                  <w:shd w:val="clear" w:color="auto" w:fill="CCCCCF"/>
                  <w:vAlign w:val="center"/>
                </w:tcPr>
                <w:p w14:paraId="6ECDA314" w14:textId="77777777" w:rsidR="005C5475" w:rsidRPr="00D633FF" w:rsidRDefault="005C5475" w:rsidP="00FC1DC3">
                  <w:pPr>
                    <w:keepNext/>
                    <w:keepLines/>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80</w:t>
                  </w:r>
                </w:p>
              </w:tc>
              <w:tc>
                <w:tcPr>
                  <w:tcW w:w="1269" w:type="dxa"/>
                  <w:shd w:val="clear" w:color="auto" w:fill="FFFFFF"/>
                  <w:vAlign w:val="center"/>
                </w:tcPr>
                <w:p w14:paraId="61F61772" w14:textId="77777777" w:rsidR="005C5475" w:rsidRPr="00D633FF" w:rsidRDefault="005C5475" w:rsidP="00FC1DC3">
                  <w:pPr>
                    <w:keepNext/>
                    <w:keepLines/>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81</w:t>
                  </w:r>
                </w:p>
              </w:tc>
              <w:tc>
                <w:tcPr>
                  <w:tcW w:w="995" w:type="dxa"/>
                  <w:shd w:val="clear" w:color="auto" w:fill="FFFFFF"/>
                  <w:vAlign w:val="center"/>
                </w:tcPr>
                <w:p w14:paraId="38EE60E2" w14:textId="77777777" w:rsidR="005C5475" w:rsidRPr="00D633FF" w:rsidRDefault="005C5475" w:rsidP="00FC1DC3">
                  <w:pPr>
                    <w:keepNext/>
                    <w:keepLines/>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92</w:t>
                  </w:r>
                </w:p>
              </w:tc>
              <w:tc>
                <w:tcPr>
                  <w:tcW w:w="1414" w:type="dxa"/>
                  <w:shd w:val="clear" w:color="auto" w:fill="CCCCCF"/>
                  <w:vAlign w:val="center"/>
                </w:tcPr>
                <w:p w14:paraId="2C078A3B" w14:textId="77777777" w:rsidR="005C5475" w:rsidRPr="00D633FF" w:rsidRDefault="005C5475" w:rsidP="00FC1DC3">
                  <w:pPr>
                    <w:keepNext/>
                    <w:keepLines/>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73</w:t>
                  </w:r>
                </w:p>
              </w:tc>
              <w:tc>
                <w:tcPr>
                  <w:tcW w:w="1134" w:type="dxa"/>
                  <w:shd w:val="clear" w:color="auto" w:fill="CCCCCF"/>
                  <w:vAlign w:val="center"/>
                </w:tcPr>
                <w:p w14:paraId="384EC1E4" w14:textId="77777777" w:rsidR="005C5475" w:rsidRPr="00D633FF" w:rsidRDefault="005C5475" w:rsidP="00FC1DC3">
                  <w:pPr>
                    <w:keepNext/>
                    <w:keepLines/>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58</w:t>
                  </w:r>
                </w:p>
              </w:tc>
            </w:tr>
            <w:tr w:rsidR="005B62E9" w:rsidRPr="00D633FF" w14:paraId="5087A090" w14:textId="77777777" w:rsidTr="000D4DBD">
              <w:trPr>
                <w:cantSplit/>
                <w:trHeight w:val="387"/>
              </w:trPr>
              <w:tc>
                <w:tcPr>
                  <w:cnfStyle w:val="001000000000" w:firstRow="0" w:lastRow="0" w:firstColumn="1" w:lastColumn="0" w:oddVBand="0" w:evenVBand="0" w:oddHBand="0" w:evenHBand="0" w:firstRowFirstColumn="0" w:firstRowLastColumn="0" w:lastRowFirstColumn="0" w:lastRowLastColumn="0"/>
                  <w:tcW w:w="1164" w:type="dxa"/>
                  <w:tcBorders>
                    <w:top w:val="single" w:sz="4" w:space="0" w:color="FFFFFF" w:themeColor="background1"/>
                    <w:bottom w:val="single" w:sz="4" w:space="0" w:color="FFFFFF" w:themeColor="background1"/>
                    <w:right w:val="single" w:sz="4" w:space="0" w:color="FFFFFF" w:themeColor="background1"/>
                  </w:tcBorders>
                  <w:vAlign w:val="center"/>
                </w:tcPr>
                <w:p w14:paraId="4D1D2633" w14:textId="77777777" w:rsidR="005C5475" w:rsidRPr="00D633FF" w:rsidRDefault="005C5475" w:rsidP="00FC1DC3">
                  <w:pPr>
                    <w:keepNext/>
                    <w:keepLines/>
                    <w:spacing w:line="276" w:lineRule="auto"/>
                    <w:ind w:right="38"/>
                    <w:jc w:val="right"/>
                    <w:rPr>
                      <w:rFonts w:ascii="Calibri" w:eastAsia="Times New Roman" w:hAnsi="Calibri" w:cs="Calibri"/>
                      <w:color w:val="FFFFFF"/>
                    </w:rPr>
                  </w:pPr>
                  <w:r w:rsidRPr="00D633FF">
                    <w:rPr>
                      <w:rFonts w:ascii="Calibri" w:eastAsia="Times New Roman" w:hAnsi="Calibri" w:cs="Calibri"/>
                      <w:color w:val="FFFFFF"/>
                    </w:rPr>
                    <w:t>31-50</w:t>
                  </w:r>
                </w:p>
              </w:tc>
              <w:tc>
                <w:tcPr>
                  <w:tcW w:w="1134" w:type="dxa"/>
                  <w:tcBorders>
                    <w:top w:val="single" w:sz="4" w:space="0" w:color="auto"/>
                    <w:left w:val="single" w:sz="4" w:space="0" w:color="FFFFFF" w:themeColor="background1"/>
                    <w:bottom w:val="single" w:sz="4" w:space="0" w:color="auto"/>
                    <w:right w:val="single" w:sz="4" w:space="0" w:color="auto"/>
                  </w:tcBorders>
                  <w:shd w:val="clear" w:color="auto" w:fill="CCCCCF"/>
                  <w:vAlign w:val="center"/>
                </w:tcPr>
                <w:p w14:paraId="724F5CEC" w14:textId="101675EC" w:rsidR="005C5475" w:rsidRPr="00D633FF" w:rsidRDefault="00C5237E" w:rsidP="00FC1DC3">
                  <w:pPr>
                    <w:keepNext/>
                    <w:keepLines/>
                    <w:spacing w:line="276" w:lineRule="auto"/>
                    <w:ind w:left="-113"/>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39</w:t>
                  </w:r>
                </w:p>
              </w:tc>
              <w:tc>
                <w:tcPr>
                  <w:tcW w:w="1134" w:type="dxa"/>
                  <w:tcBorders>
                    <w:left w:val="single" w:sz="4" w:space="0" w:color="auto"/>
                  </w:tcBorders>
                  <w:shd w:val="clear" w:color="auto" w:fill="FFFFFF"/>
                  <w:vAlign w:val="center"/>
                </w:tcPr>
                <w:p w14:paraId="69ACC73D" w14:textId="77777777" w:rsidR="005C5475" w:rsidRPr="00D633FF" w:rsidRDefault="005C5475" w:rsidP="00FC1DC3">
                  <w:pPr>
                    <w:keepNext/>
                    <w:keepLines/>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91</w:t>
                  </w:r>
                </w:p>
              </w:tc>
              <w:tc>
                <w:tcPr>
                  <w:tcW w:w="1134" w:type="dxa"/>
                  <w:shd w:val="clear" w:color="auto" w:fill="FFFFFF"/>
                  <w:vAlign w:val="center"/>
                </w:tcPr>
                <w:p w14:paraId="24645298" w14:textId="77777777" w:rsidR="005C5475" w:rsidRPr="00D633FF" w:rsidRDefault="005C5475" w:rsidP="00FC1DC3">
                  <w:pPr>
                    <w:keepNext/>
                    <w:keepLines/>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78</w:t>
                  </w:r>
                </w:p>
              </w:tc>
              <w:tc>
                <w:tcPr>
                  <w:tcW w:w="1134" w:type="dxa"/>
                  <w:shd w:val="clear" w:color="auto" w:fill="CCCCCF"/>
                  <w:vAlign w:val="center"/>
                </w:tcPr>
                <w:p w14:paraId="37C1461E" w14:textId="77777777" w:rsidR="005C5475" w:rsidRPr="00D633FF" w:rsidRDefault="005C5475" w:rsidP="00FC1DC3">
                  <w:pPr>
                    <w:keepNext/>
                    <w:keepLines/>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74</w:t>
                  </w:r>
                </w:p>
              </w:tc>
              <w:tc>
                <w:tcPr>
                  <w:tcW w:w="999" w:type="dxa"/>
                  <w:shd w:val="clear" w:color="auto" w:fill="CCCCCF"/>
                  <w:vAlign w:val="center"/>
                </w:tcPr>
                <w:p w14:paraId="0CABCFE2" w14:textId="77777777" w:rsidR="005C5475" w:rsidRPr="00D633FF" w:rsidRDefault="005C5475" w:rsidP="00FC1DC3">
                  <w:pPr>
                    <w:keepNext/>
                    <w:keepLines/>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84</w:t>
                  </w:r>
                </w:p>
              </w:tc>
              <w:tc>
                <w:tcPr>
                  <w:tcW w:w="1269" w:type="dxa"/>
                  <w:shd w:val="clear" w:color="auto" w:fill="FFFFFF"/>
                  <w:vAlign w:val="center"/>
                </w:tcPr>
                <w:p w14:paraId="3652C28E" w14:textId="77777777" w:rsidR="005C5475" w:rsidRPr="00D633FF" w:rsidRDefault="005C5475" w:rsidP="00FC1DC3">
                  <w:pPr>
                    <w:keepNext/>
                    <w:keepLines/>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83</w:t>
                  </w:r>
                </w:p>
              </w:tc>
              <w:tc>
                <w:tcPr>
                  <w:tcW w:w="995" w:type="dxa"/>
                  <w:shd w:val="clear" w:color="auto" w:fill="FFFFFF"/>
                  <w:vAlign w:val="center"/>
                </w:tcPr>
                <w:p w14:paraId="1FFE96EE" w14:textId="77777777" w:rsidR="005C5475" w:rsidRPr="00D633FF" w:rsidRDefault="005C5475" w:rsidP="00FC1DC3">
                  <w:pPr>
                    <w:keepNext/>
                    <w:keepLines/>
                    <w:spacing w:line="276" w:lineRule="auto"/>
                    <w:ind w:right="2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96</w:t>
                  </w:r>
                </w:p>
              </w:tc>
              <w:tc>
                <w:tcPr>
                  <w:tcW w:w="1414" w:type="dxa"/>
                  <w:shd w:val="clear" w:color="auto" w:fill="CCCCCF"/>
                  <w:vAlign w:val="center"/>
                </w:tcPr>
                <w:p w14:paraId="04F0FE08" w14:textId="77777777" w:rsidR="005C5475" w:rsidRPr="00D633FF" w:rsidRDefault="005C5475" w:rsidP="00FC1DC3">
                  <w:pPr>
                    <w:keepNext/>
                    <w:keepLines/>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75</w:t>
                  </w:r>
                </w:p>
              </w:tc>
              <w:tc>
                <w:tcPr>
                  <w:tcW w:w="1134" w:type="dxa"/>
                  <w:shd w:val="clear" w:color="auto" w:fill="CCCCCF"/>
                  <w:vAlign w:val="center"/>
                </w:tcPr>
                <w:p w14:paraId="2C4E3D05" w14:textId="77777777" w:rsidR="005C5475" w:rsidRPr="00D633FF" w:rsidRDefault="005C5475" w:rsidP="00FC1DC3">
                  <w:pPr>
                    <w:keepNext/>
                    <w:keepLines/>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61</w:t>
                  </w:r>
                </w:p>
              </w:tc>
            </w:tr>
            <w:tr w:rsidR="005B62E9" w:rsidRPr="00D633FF" w14:paraId="1C4AD20D" w14:textId="77777777" w:rsidTr="000D4DBD">
              <w:trPr>
                <w:cantSplit/>
                <w:trHeight w:val="387"/>
              </w:trPr>
              <w:tc>
                <w:tcPr>
                  <w:cnfStyle w:val="001000000000" w:firstRow="0" w:lastRow="0" w:firstColumn="1" w:lastColumn="0" w:oddVBand="0" w:evenVBand="0" w:oddHBand="0" w:evenHBand="0" w:firstRowFirstColumn="0" w:firstRowLastColumn="0" w:lastRowFirstColumn="0" w:lastRowLastColumn="0"/>
                  <w:tcW w:w="1164" w:type="dxa"/>
                  <w:tcBorders>
                    <w:top w:val="single" w:sz="4" w:space="0" w:color="FFFFFF" w:themeColor="background1"/>
                    <w:bottom w:val="single" w:sz="4" w:space="0" w:color="FFFFFF" w:themeColor="background1"/>
                    <w:right w:val="single" w:sz="4" w:space="0" w:color="FFFFFF" w:themeColor="background1"/>
                  </w:tcBorders>
                  <w:vAlign w:val="center"/>
                </w:tcPr>
                <w:p w14:paraId="7E27938B" w14:textId="77777777" w:rsidR="005C5475" w:rsidRPr="00D633FF" w:rsidRDefault="005C5475" w:rsidP="00FC1DC3">
                  <w:pPr>
                    <w:keepNext/>
                    <w:keepLines/>
                    <w:spacing w:line="276" w:lineRule="auto"/>
                    <w:ind w:right="38"/>
                    <w:jc w:val="right"/>
                    <w:rPr>
                      <w:rFonts w:ascii="Calibri" w:eastAsia="Times New Roman" w:hAnsi="Calibri" w:cs="Calibri"/>
                      <w:color w:val="FFFFFF"/>
                    </w:rPr>
                  </w:pPr>
                  <w:r w:rsidRPr="00D633FF">
                    <w:rPr>
                      <w:rFonts w:ascii="Calibri" w:eastAsia="Times New Roman" w:hAnsi="Calibri" w:cs="Calibri"/>
                      <w:color w:val="FFFFFF"/>
                    </w:rPr>
                    <w:t>51-70</w:t>
                  </w:r>
                </w:p>
              </w:tc>
              <w:tc>
                <w:tcPr>
                  <w:tcW w:w="1134" w:type="dxa"/>
                  <w:tcBorders>
                    <w:top w:val="single" w:sz="4" w:space="0" w:color="auto"/>
                    <w:left w:val="single" w:sz="4" w:space="0" w:color="FFFFFF" w:themeColor="background1"/>
                    <w:bottom w:val="single" w:sz="4" w:space="0" w:color="auto"/>
                    <w:right w:val="single" w:sz="4" w:space="0" w:color="auto"/>
                  </w:tcBorders>
                  <w:shd w:val="clear" w:color="auto" w:fill="CCCCCF"/>
                </w:tcPr>
                <w:p w14:paraId="4F543687" w14:textId="77777777" w:rsidR="005C5475" w:rsidRPr="00D633FF" w:rsidRDefault="005C5475" w:rsidP="00FC1DC3">
                  <w:pPr>
                    <w:keepNext/>
                    <w:keepLines/>
                    <w:spacing w:line="276" w:lineRule="auto"/>
                    <w:ind w:left="-113" w:right="-115"/>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1134" w:type="dxa"/>
                  <w:tcBorders>
                    <w:left w:val="single" w:sz="4" w:space="0" w:color="auto"/>
                  </w:tcBorders>
                  <w:shd w:val="clear" w:color="auto" w:fill="FFFFFF"/>
                  <w:vAlign w:val="center"/>
                </w:tcPr>
                <w:p w14:paraId="6CBCBCC5" w14:textId="77777777" w:rsidR="005C5475" w:rsidRPr="00D633FF" w:rsidRDefault="005C5475" w:rsidP="00FC1DC3">
                  <w:pPr>
                    <w:keepNext/>
                    <w:keepLines/>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81</w:t>
                  </w:r>
                </w:p>
              </w:tc>
              <w:tc>
                <w:tcPr>
                  <w:tcW w:w="1134" w:type="dxa"/>
                  <w:shd w:val="clear" w:color="auto" w:fill="FFFFFF"/>
                  <w:vAlign w:val="center"/>
                </w:tcPr>
                <w:p w14:paraId="1FA2C8B4" w14:textId="77777777" w:rsidR="005C5475" w:rsidRPr="00D633FF" w:rsidRDefault="005C5475" w:rsidP="00FC1DC3">
                  <w:pPr>
                    <w:keepNext/>
                    <w:keepLines/>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73</w:t>
                  </w:r>
                </w:p>
              </w:tc>
              <w:tc>
                <w:tcPr>
                  <w:tcW w:w="1134" w:type="dxa"/>
                  <w:shd w:val="clear" w:color="auto" w:fill="CCCCCF"/>
                  <w:vAlign w:val="center"/>
                </w:tcPr>
                <w:p w14:paraId="42FA7409" w14:textId="77777777" w:rsidR="005C5475" w:rsidRPr="00D633FF" w:rsidRDefault="005C5475" w:rsidP="00FC1DC3">
                  <w:pPr>
                    <w:keepNext/>
                    <w:keepLines/>
                    <w:spacing w:line="276" w:lineRule="auto"/>
                    <w:ind w:right="36"/>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71</w:t>
                  </w:r>
                </w:p>
              </w:tc>
              <w:tc>
                <w:tcPr>
                  <w:tcW w:w="999" w:type="dxa"/>
                  <w:shd w:val="clear" w:color="auto" w:fill="CCCCCF"/>
                  <w:vAlign w:val="center"/>
                </w:tcPr>
                <w:p w14:paraId="1D426486" w14:textId="77777777" w:rsidR="005C5475" w:rsidRPr="00D633FF" w:rsidRDefault="005C5475" w:rsidP="00FC1DC3">
                  <w:pPr>
                    <w:keepNext/>
                    <w:keepLines/>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58</w:t>
                  </w:r>
                </w:p>
              </w:tc>
              <w:tc>
                <w:tcPr>
                  <w:tcW w:w="1269" w:type="dxa"/>
                  <w:shd w:val="clear" w:color="auto" w:fill="FFFFFF"/>
                  <w:vAlign w:val="center"/>
                </w:tcPr>
                <w:p w14:paraId="171727B2" w14:textId="77777777" w:rsidR="005C5475" w:rsidRPr="00D633FF" w:rsidRDefault="005C5475" w:rsidP="00FC1DC3">
                  <w:pPr>
                    <w:keepNext/>
                    <w:keepLines/>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79</w:t>
                  </w:r>
                </w:p>
              </w:tc>
              <w:tc>
                <w:tcPr>
                  <w:tcW w:w="995" w:type="dxa"/>
                  <w:shd w:val="clear" w:color="auto" w:fill="FFFFFF"/>
                  <w:vAlign w:val="center"/>
                </w:tcPr>
                <w:p w14:paraId="6E5AA849" w14:textId="77777777" w:rsidR="005C5475" w:rsidRPr="00D633FF" w:rsidRDefault="005C5475" w:rsidP="00FC1DC3">
                  <w:pPr>
                    <w:keepNext/>
                    <w:keepLines/>
                    <w:spacing w:line="276" w:lineRule="auto"/>
                    <w:ind w:right="2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62</w:t>
                  </w:r>
                </w:p>
              </w:tc>
              <w:tc>
                <w:tcPr>
                  <w:tcW w:w="1414" w:type="dxa"/>
                  <w:shd w:val="clear" w:color="auto" w:fill="CCCCCF"/>
                  <w:vAlign w:val="center"/>
                </w:tcPr>
                <w:p w14:paraId="26F6E372" w14:textId="77777777" w:rsidR="005C5475" w:rsidRPr="00D633FF" w:rsidRDefault="005C5475" w:rsidP="00FC1DC3">
                  <w:pPr>
                    <w:keepNext/>
                    <w:keepLines/>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66</w:t>
                  </w:r>
                </w:p>
              </w:tc>
              <w:tc>
                <w:tcPr>
                  <w:tcW w:w="1134" w:type="dxa"/>
                  <w:shd w:val="clear" w:color="auto" w:fill="CCCCCF"/>
                  <w:vAlign w:val="center"/>
                </w:tcPr>
                <w:p w14:paraId="688047AE" w14:textId="77777777" w:rsidR="005C5475" w:rsidRPr="00D633FF" w:rsidRDefault="005C5475" w:rsidP="00FC1DC3">
                  <w:pPr>
                    <w:keepNext/>
                    <w:keepLines/>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54</w:t>
                  </w:r>
                </w:p>
              </w:tc>
            </w:tr>
            <w:tr w:rsidR="005B62E9" w:rsidRPr="00D633FF" w14:paraId="0119DD87" w14:textId="77777777" w:rsidTr="000D4DBD">
              <w:trPr>
                <w:cantSplit/>
                <w:trHeight w:val="387"/>
              </w:trPr>
              <w:tc>
                <w:tcPr>
                  <w:cnfStyle w:val="001000000000" w:firstRow="0" w:lastRow="0" w:firstColumn="1" w:lastColumn="0" w:oddVBand="0" w:evenVBand="0" w:oddHBand="0" w:evenHBand="0" w:firstRowFirstColumn="0" w:firstRowLastColumn="0" w:lastRowFirstColumn="0" w:lastRowLastColumn="0"/>
                  <w:tcW w:w="1164" w:type="dxa"/>
                  <w:tcBorders>
                    <w:top w:val="single" w:sz="4" w:space="0" w:color="FFFFFF" w:themeColor="background1"/>
                    <w:right w:val="single" w:sz="4" w:space="0" w:color="FFFFFF" w:themeColor="background1"/>
                  </w:tcBorders>
                  <w:vAlign w:val="center"/>
                </w:tcPr>
                <w:p w14:paraId="7D690F84" w14:textId="77777777" w:rsidR="005C5475" w:rsidRPr="00D633FF" w:rsidRDefault="005C5475" w:rsidP="00FC1DC3">
                  <w:pPr>
                    <w:keepNext/>
                    <w:keepLines/>
                    <w:spacing w:line="276" w:lineRule="auto"/>
                    <w:ind w:right="38"/>
                    <w:jc w:val="right"/>
                    <w:rPr>
                      <w:rFonts w:ascii="Calibri" w:eastAsia="Times New Roman" w:hAnsi="Calibri" w:cs="Calibri"/>
                      <w:color w:val="FFFFFF"/>
                    </w:rPr>
                  </w:pPr>
                  <w:r w:rsidRPr="00D633FF">
                    <w:rPr>
                      <w:rFonts w:ascii="Calibri" w:eastAsia="Times New Roman" w:hAnsi="Calibri" w:cs="Calibri"/>
                      <w:color w:val="FFFFFF"/>
                    </w:rPr>
                    <w:t>70+</w:t>
                  </w:r>
                </w:p>
              </w:tc>
              <w:tc>
                <w:tcPr>
                  <w:tcW w:w="1134" w:type="dxa"/>
                  <w:tcBorders>
                    <w:top w:val="single" w:sz="4" w:space="0" w:color="auto"/>
                    <w:left w:val="single" w:sz="4" w:space="0" w:color="FFFFFF" w:themeColor="background1"/>
                    <w:bottom w:val="single" w:sz="4" w:space="0" w:color="auto"/>
                    <w:right w:val="single" w:sz="4" w:space="0" w:color="auto"/>
                  </w:tcBorders>
                  <w:shd w:val="clear" w:color="auto" w:fill="CCCCCF"/>
                </w:tcPr>
                <w:p w14:paraId="42853024" w14:textId="77777777" w:rsidR="005C5475" w:rsidRPr="00D633FF" w:rsidRDefault="005C5475" w:rsidP="00FC1DC3">
                  <w:pPr>
                    <w:keepNext/>
                    <w:keepLines/>
                    <w:spacing w:line="276" w:lineRule="auto"/>
                    <w:ind w:left="-113" w:right="-115"/>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1134" w:type="dxa"/>
                  <w:tcBorders>
                    <w:left w:val="single" w:sz="4" w:space="0" w:color="auto"/>
                  </w:tcBorders>
                  <w:shd w:val="clear" w:color="auto" w:fill="FFFFFF"/>
                  <w:vAlign w:val="center"/>
                </w:tcPr>
                <w:p w14:paraId="0A94B238" w14:textId="77777777" w:rsidR="005C5475" w:rsidRPr="00D633FF" w:rsidRDefault="005C5475" w:rsidP="00FC1DC3">
                  <w:pPr>
                    <w:keepNext/>
                    <w:keepLines/>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77</w:t>
                  </w:r>
                </w:p>
              </w:tc>
              <w:tc>
                <w:tcPr>
                  <w:tcW w:w="1134" w:type="dxa"/>
                  <w:shd w:val="clear" w:color="auto" w:fill="FFFFFF"/>
                  <w:vAlign w:val="center"/>
                </w:tcPr>
                <w:p w14:paraId="0585B95B" w14:textId="77777777" w:rsidR="005C5475" w:rsidRPr="00D633FF" w:rsidRDefault="005C5475" w:rsidP="00FC1DC3">
                  <w:pPr>
                    <w:keepNext/>
                    <w:keepLines/>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65</w:t>
                  </w:r>
                </w:p>
              </w:tc>
              <w:tc>
                <w:tcPr>
                  <w:tcW w:w="1134" w:type="dxa"/>
                  <w:shd w:val="clear" w:color="auto" w:fill="CCCCCF"/>
                  <w:vAlign w:val="center"/>
                </w:tcPr>
                <w:p w14:paraId="76249592" w14:textId="77777777" w:rsidR="005C5475" w:rsidRPr="00D633FF" w:rsidRDefault="005C5475" w:rsidP="00FC1DC3">
                  <w:pPr>
                    <w:keepNext/>
                    <w:keepLines/>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67</w:t>
                  </w:r>
                </w:p>
              </w:tc>
              <w:tc>
                <w:tcPr>
                  <w:tcW w:w="999" w:type="dxa"/>
                  <w:shd w:val="clear" w:color="auto" w:fill="CCCCCF"/>
                  <w:vAlign w:val="center"/>
                </w:tcPr>
                <w:p w14:paraId="748B071C" w14:textId="77777777" w:rsidR="005C5475" w:rsidRPr="00D633FF" w:rsidRDefault="005C5475" w:rsidP="00FC1DC3">
                  <w:pPr>
                    <w:keepNext/>
                    <w:keepLines/>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54</w:t>
                  </w:r>
                </w:p>
              </w:tc>
              <w:tc>
                <w:tcPr>
                  <w:tcW w:w="1269" w:type="dxa"/>
                  <w:shd w:val="clear" w:color="auto" w:fill="FFFFFF"/>
                  <w:vAlign w:val="center"/>
                </w:tcPr>
                <w:p w14:paraId="149CADCB" w14:textId="77777777" w:rsidR="005C5475" w:rsidRPr="00D633FF" w:rsidRDefault="005C5475" w:rsidP="00FC1DC3">
                  <w:pPr>
                    <w:keepNext/>
                    <w:keepLines/>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74</w:t>
                  </w:r>
                </w:p>
              </w:tc>
              <w:tc>
                <w:tcPr>
                  <w:tcW w:w="995" w:type="dxa"/>
                  <w:shd w:val="clear" w:color="auto" w:fill="FFFFFF"/>
                  <w:vAlign w:val="center"/>
                </w:tcPr>
                <w:p w14:paraId="59C3F885" w14:textId="77777777" w:rsidR="005C5475" w:rsidRPr="00D633FF" w:rsidRDefault="005C5475" w:rsidP="00FC1DC3">
                  <w:pPr>
                    <w:keepNext/>
                    <w:keepLines/>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55</w:t>
                  </w:r>
                </w:p>
              </w:tc>
              <w:tc>
                <w:tcPr>
                  <w:tcW w:w="1414" w:type="dxa"/>
                  <w:shd w:val="clear" w:color="auto" w:fill="CCCCCF"/>
                  <w:vAlign w:val="center"/>
                </w:tcPr>
                <w:p w14:paraId="4E21F3DC" w14:textId="77777777" w:rsidR="005C5475" w:rsidRPr="00D633FF" w:rsidRDefault="005C5475" w:rsidP="00FC1DC3">
                  <w:pPr>
                    <w:keepNext/>
                    <w:keepLines/>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63</w:t>
                  </w:r>
                </w:p>
              </w:tc>
              <w:tc>
                <w:tcPr>
                  <w:tcW w:w="1134" w:type="dxa"/>
                  <w:shd w:val="clear" w:color="auto" w:fill="CCCCCF"/>
                  <w:vAlign w:val="center"/>
                </w:tcPr>
                <w:p w14:paraId="07952E32" w14:textId="77777777" w:rsidR="005C5475" w:rsidRPr="00D633FF" w:rsidRDefault="005C5475" w:rsidP="00FC1DC3">
                  <w:pPr>
                    <w:keepNext/>
                    <w:keepLines/>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48</w:t>
                  </w:r>
                </w:p>
              </w:tc>
            </w:tr>
          </w:tbl>
          <w:p w14:paraId="585441B5" w14:textId="5A30073E" w:rsidR="005C5475" w:rsidRDefault="005C5475" w:rsidP="00B804E8">
            <w:pPr>
              <w:spacing w:before="0" w:after="0" w:line="276" w:lineRule="auto"/>
              <w:cnfStyle w:val="000000010000" w:firstRow="0" w:lastRow="0" w:firstColumn="0" w:lastColumn="0" w:oddVBand="0" w:evenVBand="0" w:oddHBand="0" w:evenHBand="1" w:firstRowFirstColumn="0" w:firstRowLastColumn="0" w:lastRowFirstColumn="0" w:lastRowLastColumn="0"/>
              <w:rPr>
                <w:sz w:val="16"/>
                <w:szCs w:val="16"/>
              </w:rPr>
            </w:pPr>
            <w:bookmarkStart w:id="111" w:name="_Ref205215625"/>
            <w:bookmarkEnd w:id="110"/>
            <w:r w:rsidRPr="00B34BE7">
              <w:rPr>
                <w:rFonts w:ascii="Calibri" w:eastAsia="Arial" w:hAnsi="Calibri" w:cs="Calibri"/>
                <w:b/>
                <w:bCs/>
                <w:sz w:val="16"/>
                <w:szCs w:val="16"/>
              </w:rPr>
              <w:t>Source:</w:t>
            </w:r>
            <w:r w:rsidRPr="00D633FF">
              <w:rPr>
                <w:rFonts w:ascii="Calibri" w:eastAsia="Arial" w:hAnsi="Calibri" w:cs="Calibri"/>
                <w:sz w:val="16"/>
                <w:szCs w:val="16"/>
              </w:rPr>
              <w:t xml:space="preserve"> </w:t>
            </w:r>
            <w:hyperlink r:id="rId42" w:history="1">
              <w:r w:rsidR="00B92537">
                <w:rPr>
                  <w:rFonts w:ascii="Calibri" w:eastAsia="Arial" w:hAnsi="Calibri" w:cs="Calibri"/>
                  <w:color w:val="0062B1"/>
                  <w:sz w:val="16"/>
                  <w:szCs w:val="16"/>
                  <w:u w:val="single"/>
                </w:rPr>
                <w:t>A modelling system to inform the revision of the Australian Guide to Healthy Eating</w:t>
              </w:r>
            </w:hyperlink>
            <w:r w:rsidR="005F5055" w:rsidRPr="00BE2904">
              <w:rPr>
                <w:sz w:val="16"/>
                <w:szCs w:val="16"/>
              </w:rPr>
              <w:t xml:space="preserve"> (</w:t>
            </w:r>
            <w:proofErr w:type="spellStart"/>
            <w:r w:rsidR="005F5055" w:rsidRPr="00BE2904">
              <w:rPr>
                <w:sz w:val="16"/>
                <w:szCs w:val="16"/>
              </w:rPr>
              <w:t>Baghurst</w:t>
            </w:r>
            <w:proofErr w:type="spellEnd"/>
            <w:r w:rsidR="005F5055" w:rsidRPr="00BE2904">
              <w:rPr>
                <w:sz w:val="16"/>
                <w:szCs w:val="16"/>
              </w:rPr>
              <w:t xml:space="preserve"> et al. 2011)</w:t>
            </w:r>
          </w:p>
          <w:p w14:paraId="7DF259EA" w14:textId="2EF02FD0" w:rsidR="00FD547F" w:rsidRPr="00BE2904" w:rsidRDefault="00FD547F" w:rsidP="00BF44B2">
            <w:pPr>
              <w:spacing w:before="0" w:after="160" w:line="276" w:lineRule="auto"/>
              <w:cnfStyle w:val="000000010000" w:firstRow="0" w:lastRow="0" w:firstColumn="0" w:lastColumn="0" w:oddVBand="0" w:evenVBand="0" w:oddHBand="0" w:evenHBand="1" w:firstRowFirstColumn="0" w:firstRowLastColumn="0" w:lastRowFirstColumn="0" w:lastRowLastColumn="0"/>
              <w:rPr>
                <w:rFonts w:ascii="Calibri" w:eastAsia="Arial" w:hAnsi="Calibri" w:cs="Calibri"/>
                <w:sz w:val="14"/>
                <w:szCs w:val="14"/>
              </w:rPr>
            </w:pPr>
            <w:r w:rsidRPr="00B804E8">
              <w:rPr>
                <w:b/>
                <w:bCs/>
                <w:sz w:val="16"/>
                <w:szCs w:val="16"/>
              </w:rPr>
              <w:t>Abbreviation:</w:t>
            </w:r>
            <w:r>
              <w:rPr>
                <w:sz w:val="16"/>
                <w:szCs w:val="16"/>
              </w:rPr>
              <w:t xml:space="preserve"> veg, </w:t>
            </w:r>
            <w:r w:rsidR="00B804E8">
              <w:rPr>
                <w:sz w:val="16"/>
                <w:szCs w:val="16"/>
              </w:rPr>
              <w:t>vegetarian.</w:t>
            </w:r>
          </w:p>
          <w:p w14:paraId="3369A967" w14:textId="0858AD97" w:rsidR="005C5475" w:rsidRPr="00606F84" w:rsidRDefault="005C5475" w:rsidP="00AE2CC5">
            <w:pPr>
              <w:keepNext/>
              <w:spacing w:after="120"/>
              <w:cnfStyle w:val="000000010000" w:firstRow="0" w:lastRow="0" w:firstColumn="0" w:lastColumn="0" w:oddVBand="0" w:evenVBand="0" w:oddHBand="0" w:evenHBand="1" w:firstRowFirstColumn="0" w:firstRowLastColumn="0" w:lastRowFirstColumn="0" w:lastRowLastColumn="0"/>
              <w:rPr>
                <w:rFonts w:ascii="Calibri" w:eastAsia="Arial" w:hAnsi="Calibri" w:cs="Calibri"/>
                <w:b/>
                <w:bCs/>
                <w:iCs/>
                <w:caps/>
              </w:rPr>
            </w:pPr>
            <w:r w:rsidRPr="00606F84">
              <w:rPr>
                <w:rFonts w:ascii="Calibri" w:eastAsia="Arial" w:hAnsi="Calibri" w:cs="Calibri"/>
                <w:b/>
                <w:bCs/>
                <w:iCs/>
                <w:caps/>
              </w:rPr>
              <w:t xml:space="preserve">Table </w:t>
            </w:r>
            <w:r w:rsidRPr="00606F84">
              <w:rPr>
                <w:rFonts w:ascii="Calibri" w:eastAsia="Arial" w:hAnsi="Calibri" w:cs="Calibri"/>
                <w:b/>
                <w:bCs/>
                <w:iCs/>
                <w:caps/>
              </w:rPr>
              <w:fldChar w:fldCharType="begin"/>
            </w:r>
            <w:r w:rsidRPr="00606F84">
              <w:rPr>
                <w:rFonts w:ascii="Calibri" w:eastAsia="Arial" w:hAnsi="Calibri" w:cs="Calibri"/>
                <w:b/>
                <w:bCs/>
                <w:iCs/>
                <w:caps/>
              </w:rPr>
              <w:instrText xml:space="preserve"> SEQ Table \* ARABIC </w:instrText>
            </w:r>
            <w:r w:rsidRPr="00606F84">
              <w:rPr>
                <w:rFonts w:ascii="Calibri" w:eastAsia="Arial" w:hAnsi="Calibri" w:cs="Calibri"/>
                <w:b/>
                <w:bCs/>
                <w:iCs/>
                <w:caps/>
              </w:rPr>
              <w:fldChar w:fldCharType="separate"/>
            </w:r>
            <w:r w:rsidR="00CB6915" w:rsidRPr="00606F84">
              <w:rPr>
                <w:rFonts w:ascii="Calibri" w:eastAsia="Arial" w:hAnsi="Calibri" w:cs="Calibri"/>
                <w:b/>
                <w:bCs/>
                <w:iCs/>
                <w:caps/>
                <w:noProof/>
              </w:rPr>
              <w:t>21</w:t>
            </w:r>
            <w:r w:rsidRPr="00606F84">
              <w:rPr>
                <w:rFonts w:ascii="Calibri" w:eastAsia="Arial" w:hAnsi="Calibri" w:cs="Calibri"/>
                <w:b/>
                <w:bCs/>
                <w:iCs/>
                <w:caps/>
                <w:noProof/>
              </w:rPr>
              <w:fldChar w:fldCharType="end"/>
            </w:r>
            <w:bookmarkEnd w:id="111"/>
            <w:r w:rsidR="0069638C">
              <w:rPr>
                <w:rFonts w:ascii="Calibri" w:eastAsia="Arial" w:hAnsi="Calibri" w:cs="Calibri"/>
                <w:b/>
                <w:bCs/>
                <w:iCs/>
                <w:caps/>
                <w:noProof/>
              </w:rPr>
              <w:t>.</w:t>
            </w:r>
            <w:r w:rsidRPr="00606F84">
              <w:rPr>
                <w:rFonts w:ascii="Calibri" w:eastAsia="Arial" w:hAnsi="Calibri" w:cs="Calibri"/>
                <w:b/>
                <w:bCs/>
                <w:iCs/>
                <w:caps/>
              </w:rPr>
              <w:t xml:space="preserve"> </w:t>
            </w:r>
            <w:r w:rsidR="00147FF9">
              <w:rPr>
                <w:rFonts w:ascii="Calibri" w:eastAsia="Arial" w:hAnsi="Calibri" w:cs="Calibri"/>
                <w:b/>
                <w:bCs/>
                <w:iCs/>
              </w:rPr>
              <w:t>F</w:t>
            </w:r>
            <w:r w:rsidR="00147FF9" w:rsidRPr="00606F84">
              <w:rPr>
                <w:rFonts w:ascii="Calibri" w:eastAsia="Arial" w:hAnsi="Calibri" w:cs="Calibri"/>
                <w:b/>
                <w:bCs/>
                <w:iCs/>
              </w:rPr>
              <w:t>ood modelling data in pregnant and lactating populations</w:t>
            </w:r>
            <w:r w:rsidR="00891A0F">
              <w:rPr>
                <w:rFonts w:ascii="Calibri" w:eastAsia="Arial" w:hAnsi="Calibri" w:cs="Calibri"/>
                <w:b/>
                <w:bCs/>
                <w:iCs/>
              </w:rPr>
              <w:t>,</w:t>
            </w:r>
            <w:r w:rsidR="00147FF9" w:rsidRPr="00606F84">
              <w:rPr>
                <w:rFonts w:ascii="Calibri" w:eastAsia="Arial" w:hAnsi="Calibri" w:cs="Calibri"/>
                <w:b/>
                <w:bCs/>
                <w:iCs/>
              </w:rPr>
              <w:t xml:space="preserve"> </w:t>
            </w:r>
            <w:r w:rsidR="00606F84" w:rsidRPr="00606F84">
              <w:rPr>
                <w:rFonts w:ascii="Calibri" w:eastAsia="Times New Roman" w:hAnsi="Calibri" w:cs="Calibri"/>
                <w:b/>
                <w:bCs/>
                <w:color w:val="auto"/>
              </w:rPr>
              <w:t>Modelled Selenium Intake (µg/day)</w:t>
            </w:r>
          </w:p>
          <w:tbl>
            <w:tblPr>
              <w:tblStyle w:val="GridTable5Dark"/>
              <w:tblW w:w="4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3"/>
              <w:gridCol w:w="1472"/>
              <w:gridCol w:w="1472"/>
            </w:tblGrid>
            <w:tr w:rsidR="00606F84" w:rsidRPr="00D633FF" w14:paraId="4E38F0D2" w14:textId="77777777" w:rsidTr="005C0B6A">
              <w:trPr>
                <w:cnfStyle w:val="100000000000" w:firstRow="1" w:lastRow="0" w:firstColumn="0" w:lastColumn="0" w:oddVBand="0" w:evenVBand="0" w:oddHBand="0"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1473" w:type="dxa"/>
                  <w:tcBorders>
                    <w:top w:val="single" w:sz="4" w:space="0" w:color="auto"/>
                    <w:left w:val="single" w:sz="4" w:space="0" w:color="auto"/>
                    <w:bottom w:val="single" w:sz="4" w:space="0" w:color="auto"/>
                    <w:right w:val="single" w:sz="4" w:space="0" w:color="auto"/>
                  </w:tcBorders>
                  <w:vAlign w:val="center"/>
                </w:tcPr>
                <w:p w14:paraId="6C71614D" w14:textId="5CF0C8D5" w:rsidR="00606F84" w:rsidRPr="00D633FF" w:rsidRDefault="00606F84" w:rsidP="005C0B6A">
                  <w:pPr>
                    <w:spacing w:before="100" w:beforeAutospacing="1"/>
                    <w:ind w:right="170"/>
                    <w:jc w:val="right"/>
                    <w:rPr>
                      <w:rFonts w:ascii="Calibri" w:eastAsia="Times New Roman" w:hAnsi="Calibri" w:cs="Calibri"/>
                    </w:rPr>
                  </w:pPr>
                  <w:r w:rsidRPr="00D633FF">
                    <w:rPr>
                      <w:rFonts w:ascii="Calibri" w:eastAsia="Times New Roman" w:hAnsi="Calibri" w:cs="Calibri"/>
                      <w:color w:val="FFFFFF"/>
                    </w:rPr>
                    <w:t>Age Group (years)</w:t>
                  </w:r>
                </w:p>
              </w:tc>
              <w:tc>
                <w:tcPr>
                  <w:tcW w:w="1472" w:type="dxa"/>
                  <w:tcBorders>
                    <w:top w:val="single" w:sz="4" w:space="0" w:color="auto"/>
                    <w:left w:val="single" w:sz="4" w:space="0" w:color="auto"/>
                    <w:bottom w:val="single" w:sz="4" w:space="0" w:color="auto"/>
                  </w:tcBorders>
                  <w:shd w:val="clear" w:color="auto" w:fill="CCCCCF"/>
                  <w:vAlign w:val="center"/>
                </w:tcPr>
                <w:p w14:paraId="6B556C6B" w14:textId="77777777" w:rsidR="00606F84" w:rsidRPr="00D633FF" w:rsidRDefault="00606F84" w:rsidP="005C547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rPr>
                  </w:pPr>
                  <w:r w:rsidRPr="00606F84">
                    <w:rPr>
                      <w:rFonts w:ascii="Calibri" w:eastAsia="Times New Roman" w:hAnsi="Calibri" w:cs="Calibri"/>
                      <w:color w:val="auto"/>
                    </w:rPr>
                    <w:t>Foundation Diet</w:t>
                  </w:r>
                </w:p>
              </w:tc>
              <w:tc>
                <w:tcPr>
                  <w:tcW w:w="1472" w:type="dxa"/>
                  <w:tcBorders>
                    <w:top w:val="single" w:sz="4" w:space="0" w:color="auto"/>
                    <w:bottom w:val="single" w:sz="4" w:space="0" w:color="auto"/>
                    <w:right w:val="single" w:sz="4" w:space="0" w:color="auto"/>
                  </w:tcBorders>
                  <w:shd w:val="clear" w:color="auto" w:fill="CCCCCF"/>
                  <w:vAlign w:val="center"/>
                </w:tcPr>
                <w:p w14:paraId="54AEBA96" w14:textId="0405BDF7" w:rsidR="00606F84" w:rsidRPr="00D633FF" w:rsidRDefault="00606F84" w:rsidP="005C547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Pr>
                  </w:pPr>
                </w:p>
              </w:tc>
            </w:tr>
            <w:tr w:rsidR="0017087A" w:rsidRPr="00D633FF" w14:paraId="6E8D349F" w14:textId="77777777" w:rsidTr="005C0B6A">
              <w:trPr>
                <w:trHeight w:val="340"/>
              </w:trPr>
              <w:tc>
                <w:tcPr>
                  <w:cnfStyle w:val="001000000000" w:firstRow="0" w:lastRow="0" w:firstColumn="1" w:lastColumn="0" w:oddVBand="0" w:evenVBand="0" w:oddHBand="0" w:evenHBand="0" w:firstRowFirstColumn="0" w:firstRowLastColumn="0" w:lastRowFirstColumn="0" w:lastRowLastColumn="0"/>
                  <w:tcW w:w="1473" w:type="dxa"/>
                  <w:tcBorders>
                    <w:top w:val="single" w:sz="4" w:space="0" w:color="auto"/>
                    <w:left w:val="single" w:sz="4" w:space="0" w:color="auto"/>
                    <w:bottom w:val="single" w:sz="4" w:space="0" w:color="FFFFFF"/>
                    <w:right w:val="single" w:sz="4" w:space="0" w:color="auto"/>
                  </w:tcBorders>
                </w:tcPr>
                <w:p w14:paraId="797B8A71" w14:textId="77777777" w:rsidR="005C5475" w:rsidRPr="00D633FF" w:rsidRDefault="005C5475" w:rsidP="005C5475">
                  <w:pPr>
                    <w:spacing w:before="100" w:beforeAutospacing="1"/>
                    <w:ind w:right="170"/>
                    <w:jc w:val="center"/>
                    <w:rPr>
                      <w:rFonts w:ascii="Calibri" w:eastAsia="Times New Roman" w:hAnsi="Calibri" w:cs="Calibri"/>
                    </w:rPr>
                  </w:pPr>
                </w:p>
              </w:tc>
              <w:tc>
                <w:tcPr>
                  <w:tcW w:w="1472" w:type="dxa"/>
                  <w:tcBorders>
                    <w:top w:val="single" w:sz="4" w:space="0" w:color="auto"/>
                    <w:left w:val="single" w:sz="4" w:space="0" w:color="auto"/>
                  </w:tcBorders>
                  <w:shd w:val="clear" w:color="auto" w:fill="CCCCCF"/>
                  <w:vAlign w:val="center"/>
                </w:tcPr>
                <w:p w14:paraId="137B0F4F" w14:textId="77777777" w:rsidR="005C5475" w:rsidRPr="00BB72D9" w:rsidRDefault="005C5475" w:rsidP="005C0B6A">
                  <w:pPr>
                    <w:spacing w:before="100" w:beforeAutospacing="1"/>
                    <w:ind w:right="17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r w:rsidRPr="00BB72D9">
                    <w:rPr>
                      <w:rFonts w:ascii="Calibri" w:eastAsia="Times New Roman" w:hAnsi="Calibri" w:cs="Calibri"/>
                      <w:b/>
                      <w:bCs/>
                    </w:rPr>
                    <w:t>Pregnancy</w:t>
                  </w:r>
                </w:p>
              </w:tc>
              <w:tc>
                <w:tcPr>
                  <w:tcW w:w="1472" w:type="dxa"/>
                  <w:tcBorders>
                    <w:top w:val="single" w:sz="4" w:space="0" w:color="auto"/>
                  </w:tcBorders>
                  <w:shd w:val="clear" w:color="auto" w:fill="FFFFFF"/>
                  <w:vAlign w:val="center"/>
                </w:tcPr>
                <w:p w14:paraId="7306FFB8" w14:textId="77777777" w:rsidR="005C5475" w:rsidRPr="00BB72D9" w:rsidRDefault="005C5475" w:rsidP="005C0B6A">
                  <w:pPr>
                    <w:spacing w:before="100" w:beforeAutospacing="1"/>
                    <w:ind w:right="17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r w:rsidRPr="00BB72D9">
                    <w:rPr>
                      <w:rFonts w:ascii="Calibri" w:eastAsia="Times New Roman" w:hAnsi="Calibri" w:cs="Calibri"/>
                      <w:b/>
                      <w:bCs/>
                    </w:rPr>
                    <w:t>Lactation</w:t>
                  </w:r>
                </w:p>
              </w:tc>
            </w:tr>
            <w:tr w:rsidR="0017087A" w:rsidRPr="00D633FF" w14:paraId="0A32B061" w14:textId="77777777" w:rsidTr="005C0B6A">
              <w:trPr>
                <w:trHeight w:val="342"/>
              </w:trPr>
              <w:tc>
                <w:tcPr>
                  <w:cnfStyle w:val="001000000000" w:firstRow="0" w:lastRow="0" w:firstColumn="1" w:lastColumn="0" w:oddVBand="0" w:evenVBand="0" w:oddHBand="0" w:evenHBand="0" w:firstRowFirstColumn="0" w:firstRowLastColumn="0" w:lastRowFirstColumn="0" w:lastRowLastColumn="0"/>
                  <w:tcW w:w="1473" w:type="dxa"/>
                  <w:tcBorders>
                    <w:top w:val="single" w:sz="4" w:space="0" w:color="FFFFFF"/>
                    <w:left w:val="single" w:sz="4" w:space="0" w:color="auto"/>
                    <w:bottom w:val="single" w:sz="4" w:space="0" w:color="FFFFFF"/>
                    <w:right w:val="single" w:sz="4" w:space="0" w:color="auto"/>
                  </w:tcBorders>
                  <w:vAlign w:val="center"/>
                </w:tcPr>
                <w:p w14:paraId="3A289E7D" w14:textId="77777777" w:rsidR="005C5475" w:rsidRPr="00D633FF" w:rsidRDefault="005C5475" w:rsidP="005C0B6A">
                  <w:pPr>
                    <w:ind w:right="57"/>
                    <w:jc w:val="right"/>
                    <w:rPr>
                      <w:rFonts w:ascii="Calibri" w:eastAsia="Times New Roman" w:hAnsi="Calibri" w:cs="Calibri"/>
                      <w:color w:val="FFFFFF"/>
                    </w:rPr>
                  </w:pPr>
                  <w:r w:rsidRPr="00D633FF">
                    <w:rPr>
                      <w:rFonts w:ascii="Calibri" w:eastAsia="Times New Roman" w:hAnsi="Calibri" w:cs="Calibri"/>
                      <w:color w:val="FFFFFF"/>
                    </w:rPr>
                    <w:t>14-18</w:t>
                  </w:r>
                </w:p>
              </w:tc>
              <w:tc>
                <w:tcPr>
                  <w:tcW w:w="1472" w:type="dxa"/>
                  <w:tcBorders>
                    <w:left w:val="single" w:sz="4" w:space="0" w:color="auto"/>
                  </w:tcBorders>
                  <w:shd w:val="clear" w:color="auto" w:fill="CCCCCF"/>
                  <w:vAlign w:val="center"/>
                </w:tcPr>
                <w:p w14:paraId="4354FC73" w14:textId="77777777" w:rsidR="005C5475" w:rsidRPr="00D633FF" w:rsidRDefault="005C5475" w:rsidP="005C0B6A">
                  <w:pPr>
                    <w:ind w:right="17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116</w:t>
                  </w:r>
                </w:p>
              </w:tc>
              <w:tc>
                <w:tcPr>
                  <w:tcW w:w="1472" w:type="dxa"/>
                  <w:shd w:val="clear" w:color="auto" w:fill="FFFFFF"/>
                  <w:vAlign w:val="center"/>
                </w:tcPr>
                <w:p w14:paraId="2E6595DB" w14:textId="77777777" w:rsidR="005C5475" w:rsidRPr="00D633FF" w:rsidRDefault="005C5475" w:rsidP="005C0B6A">
                  <w:pPr>
                    <w:ind w:right="17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93</w:t>
                  </w:r>
                </w:p>
              </w:tc>
            </w:tr>
            <w:tr w:rsidR="0017087A" w:rsidRPr="00D633FF" w14:paraId="04CF93F9" w14:textId="77777777" w:rsidTr="005C0B6A">
              <w:trPr>
                <w:trHeight w:val="342"/>
              </w:trPr>
              <w:tc>
                <w:tcPr>
                  <w:cnfStyle w:val="001000000000" w:firstRow="0" w:lastRow="0" w:firstColumn="1" w:lastColumn="0" w:oddVBand="0" w:evenVBand="0" w:oddHBand="0" w:evenHBand="0" w:firstRowFirstColumn="0" w:firstRowLastColumn="0" w:lastRowFirstColumn="0" w:lastRowLastColumn="0"/>
                  <w:tcW w:w="1473" w:type="dxa"/>
                  <w:tcBorders>
                    <w:top w:val="single" w:sz="4" w:space="0" w:color="FFFFFF"/>
                    <w:left w:val="single" w:sz="4" w:space="0" w:color="auto"/>
                    <w:bottom w:val="single" w:sz="4" w:space="0" w:color="FFFFFF"/>
                    <w:right w:val="single" w:sz="4" w:space="0" w:color="auto"/>
                  </w:tcBorders>
                  <w:vAlign w:val="center"/>
                </w:tcPr>
                <w:p w14:paraId="55A52718" w14:textId="77777777" w:rsidR="005C5475" w:rsidRPr="00D633FF" w:rsidRDefault="005C5475" w:rsidP="005C0B6A">
                  <w:pPr>
                    <w:ind w:right="57"/>
                    <w:jc w:val="right"/>
                    <w:rPr>
                      <w:rFonts w:ascii="Calibri" w:eastAsia="Times New Roman" w:hAnsi="Calibri" w:cs="Calibri"/>
                      <w:color w:val="FFFFFF"/>
                    </w:rPr>
                  </w:pPr>
                  <w:r w:rsidRPr="00D633FF">
                    <w:rPr>
                      <w:rFonts w:ascii="Calibri" w:eastAsia="Times New Roman" w:hAnsi="Calibri" w:cs="Calibri"/>
                      <w:color w:val="FFFFFF"/>
                    </w:rPr>
                    <w:t>19-30</w:t>
                  </w:r>
                </w:p>
              </w:tc>
              <w:tc>
                <w:tcPr>
                  <w:tcW w:w="1472" w:type="dxa"/>
                  <w:tcBorders>
                    <w:left w:val="single" w:sz="4" w:space="0" w:color="auto"/>
                  </w:tcBorders>
                  <w:shd w:val="clear" w:color="auto" w:fill="CCCCCF"/>
                  <w:vAlign w:val="center"/>
                </w:tcPr>
                <w:p w14:paraId="3BD9A3DA" w14:textId="77777777" w:rsidR="005C5475" w:rsidRPr="00D633FF" w:rsidRDefault="005C5475" w:rsidP="005C0B6A">
                  <w:pPr>
                    <w:ind w:right="17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111</w:t>
                  </w:r>
                </w:p>
              </w:tc>
              <w:tc>
                <w:tcPr>
                  <w:tcW w:w="1472" w:type="dxa"/>
                  <w:shd w:val="clear" w:color="auto" w:fill="FFFFFF"/>
                  <w:vAlign w:val="center"/>
                </w:tcPr>
                <w:p w14:paraId="276FBDC2" w14:textId="77777777" w:rsidR="005C5475" w:rsidRPr="00D633FF" w:rsidRDefault="005C5475" w:rsidP="005C0B6A">
                  <w:pPr>
                    <w:ind w:right="17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90</w:t>
                  </w:r>
                </w:p>
              </w:tc>
            </w:tr>
            <w:tr w:rsidR="0017087A" w:rsidRPr="00D633FF" w14:paraId="0631A830" w14:textId="77777777" w:rsidTr="005C0B6A">
              <w:trPr>
                <w:trHeight w:val="342"/>
              </w:trPr>
              <w:tc>
                <w:tcPr>
                  <w:cnfStyle w:val="001000000000" w:firstRow="0" w:lastRow="0" w:firstColumn="1" w:lastColumn="0" w:oddVBand="0" w:evenVBand="0" w:oddHBand="0" w:evenHBand="0" w:firstRowFirstColumn="0" w:firstRowLastColumn="0" w:lastRowFirstColumn="0" w:lastRowLastColumn="0"/>
                  <w:tcW w:w="1473" w:type="dxa"/>
                  <w:tcBorders>
                    <w:top w:val="single" w:sz="4" w:space="0" w:color="FFFFFF"/>
                    <w:left w:val="single" w:sz="4" w:space="0" w:color="auto"/>
                    <w:bottom w:val="single" w:sz="4" w:space="0" w:color="auto"/>
                    <w:right w:val="single" w:sz="4" w:space="0" w:color="auto"/>
                  </w:tcBorders>
                  <w:vAlign w:val="center"/>
                </w:tcPr>
                <w:p w14:paraId="2A6C586D" w14:textId="77777777" w:rsidR="005C5475" w:rsidRPr="00D633FF" w:rsidRDefault="005C5475" w:rsidP="005C0B6A">
                  <w:pPr>
                    <w:ind w:right="57"/>
                    <w:jc w:val="right"/>
                    <w:rPr>
                      <w:rFonts w:ascii="Calibri" w:eastAsia="Times New Roman" w:hAnsi="Calibri" w:cs="Calibri"/>
                      <w:color w:val="FFFFFF"/>
                    </w:rPr>
                  </w:pPr>
                  <w:r w:rsidRPr="00D633FF">
                    <w:rPr>
                      <w:rFonts w:ascii="Calibri" w:eastAsia="Times New Roman" w:hAnsi="Calibri" w:cs="Calibri"/>
                      <w:color w:val="FFFFFF"/>
                    </w:rPr>
                    <w:t>31-50</w:t>
                  </w:r>
                </w:p>
              </w:tc>
              <w:tc>
                <w:tcPr>
                  <w:tcW w:w="1472" w:type="dxa"/>
                  <w:tcBorders>
                    <w:left w:val="single" w:sz="4" w:space="0" w:color="auto"/>
                  </w:tcBorders>
                  <w:shd w:val="clear" w:color="auto" w:fill="CCCCCF"/>
                  <w:vAlign w:val="center"/>
                </w:tcPr>
                <w:p w14:paraId="19892471" w14:textId="77777777" w:rsidR="005C5475" w:rsidRPr="00D633FF" w:rsidRDefault="005C5475" w:rsidP="005C0B6A">
                  <w:pPr>
                    <w:ind w:right="17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115</w:t>
                  </w:r>
                </w:p>
              </w:tc>
              <w:tc>
                <w:tcPr>
                  <w:tcW w:w="1472" w:type="dxa"/>
                  <w:shd w:val="clear" w:color="auto" w:fill="FFFFFF"/>
                  <w:vAlign w:val="center"/>
                </w:tcPr>
                <w:p w14:paraId="3D47CA88" w14:textId="77777777" w:rsidR="005C5475" w:rsidRPr="00D633FF" w:rsidRDefault="005C5475" w:rsidP="005C0B6A">
                  <w:pPr>
                    <w:ind w:right="17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94</w:t>
                  </w:r>
                </w:p>
              </w:tc>
            </w:tr>
          </w:tbl>
          <w:p w14:paraId="3A0DF8AD" w14:textId="76D5D0F4" w:rsidR="005C5475" w:rsidRPr="005F5055" w:rsidRDefault="005F5055" w:rsidP="005F5055">
            <w:pPr>
              <w:spacing w:before="0" w:after="160" w:line="276" w:lineRule="auto"/>
              <w:cnfStyle w:val="000000010000" w:firstRow="0" w:lastRow="0" w:firstColumn="0" w:lastColumn="0" w:oddVBand="0" w:evenVBand="0" w:oddHBand="0" w:evenHBand="1" w:firstRowFirstColumn="0" w:firstRowLastColumn="0" w:lastRowFirstColumn="0" w:lastRowLastColumn="0"/>
              <w:rPr>
                <w:rFonts w:ascii="Calibri" w:eastAsia="Arial" w:hAnsi="Calibri" w:cs="Calibri"/>
                <w:sz w:val="16"/>
                <w:szCs w:val="16"/>
              </w:rPr>
            </w:pPr>
            <w:r w:rsidRPr="00B34BE7">
              <w:rPr>
                <w:rFonts w:ascii="Calibri" w:eastAsia="Arial" w:hAnsi="Calibri" w:cs="Calibri"/>
                <w:b/>
                <w:bCs/>
                <w:sz w:val="16"/>
                <w:szCs w:val="16"/>
              </w:rPr>
              <w:t>Source:</w:t>
            </w:r>
            <w:r w:rsidRPr="00D633FF">
              <w:rPr>
                <w:rFonts w:ascii="Calibri" w:eastAsia="Arial" w:hAnsi="Calibri" w:cs="Calibri"/>
                <w:sz w:val="16"/>
                <w:szCs w:val="16"/>
              </w:rPr>
              <w:t xml:space="preserve"> </w:t>
            </w:r>
            <w:hyperlink r:id="rId43" w:history="1">
              <w:r>
                <w:rPr>
                  <w:rFonts w:ascii="Calibri" w:eastAsia="Arial" w:hAnsi="Calibri" w:cs="Calibri"/>
                  <w:color w:val="0062B1"/>
                  <w:sz w:val="16"/>
                  <w:szCs w:val="16"/>
                  <w:u w:val="single"/>
                </w:rPr>
                <w:t>A modelling system to inform the revision of the Australian Guide to Healthy Eating</w:t>
              </w:r>
            </w:hyperlink>
            <w:r w:rsidRPr="00BE2904">
              <w:rPr>
                <w:sz w:val="16"/>
                <w:szCs w:val="16"/>
              </w:rPr>
              <w:t xml:space="preserve"> (</w:t>
            </w:r>
            <w:proofErr w:type="spellStart"/>
            <w:r w:rsidRPr="00BE2904">
              <w:rPr>
                <w:sz w:val="16"/>
                <w:szCs w:val="16"/>
              </w:rPr>
              <w:t>Baghurst</w:t>
            </w:r>
            <w:proofErr w:type="spellEnd"/>
            <w:r w:rsidRPr="00BE2904">
              <w:rPr>
                <w:sz w:val="16"/>
                <w:szCs w:val="16"/>
              </w:rPr>
              <w:t xml:space="preserve"> et al. 2011)</w:t>
            </w:r>
          </w:p>
        </w:tc>
      </w:tr>
      <w:tr w:rsidR="005C5475" w:rsidRPr="00D633FF" w14:paraId="2B42DA5A" w14:textId="77777777" w:rsidTr="0029777B">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127" w:type="dxa"/>
          </w:tcPr>
          <w:p w14:paraId="28714370" w14:textId="77777777" w:rsidR="005C5475" w:rsidRPr="00D633FF" w:rsidRDefault="005C5475" w:rsidP="00BF44B2">
            <w:pPr>
              <w:spacing w:line="276" w:lineRule="auto"/>
              <w:rPr>
                <w:rFonts w:ascii="Calibri" w:eastAsia="Arial" w:hAnsi="Calibri" w:cs="Calibri"/>
                <w:highlight w:val="lightGray"/>
              </w:rPr>
            </w:pPr>
            <w:r w:rsidRPr="00D633FF">
              <w:rPr>
                <w:rFonts w:ascii="Calibri" w:eastAsia="Arial" w:hAnsi="Calibri" w:cs="Calibri"/>
              </w:rPr>
              <w:lastRenderedPageBreak/>
              <w:t xml:space="preserve">Resource impacts </w:t>
            </w:r>
          </w:p>
        </w:tc>
        <w:tc>
          <w:tcPr>
            <w:tcW w:w="4252" w:type="dxa"/>
          </w:tcPr>
          <w:p w14:paraId="1C34DC02" w14:textId="77777777" w:rsidR="005C5475" w:rsidRPr="00D633FF" w:rsidRDefault="005C5475" w:rsidP="00BF44B2">
            <w:pPr>
              <w:spacing w:before="0" w:after="160" w:line="276" w:lineRule="auto"/>
              <w:ind w:right="-113"/>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20"/>
                <w:szCs w:val="20"/>
                <w:highlight w:val="lightGray"/>
              </w:rPr>
            </w:pPr>
            <w:r w:rsidRPr="00D633FF">
              <w:rPr>
                <w:rFonts w:ascii="Calibri" w:eastAsia="Times New Roman" w:hAnsi="Calibri" w:cs="Calibri"/>
                <w:sz w:val="20"/>
                <w:szCs w:val="20"/>
              </w:rPr>
              <w:t>Retaining the current values for adults has no material implications. Adult age groupings are being adjusted to align with new age groups. The adult NRVs are the same for all age groups so there is no material impact of this change. Consequently, this minor change to age groupings should have no implications for regulators, including FSANZ (food and food products) and TGA (supplements).</w:t>
            </w:r>
          </w:p>
        </w:tc>
        <w:tc>
          <w:tcPr>
            <w:tcW w:w="7655" w:type="dxa"/>
            <w:gridSpan w:val="3"/>
          </w:tcPr>
          <w:p w14:paraId="32E8F4AC" w14:textId="77777777" w:rsidR="005C5475" w:rsidRPr="00D633FF" w:rsidRDefault="005C5475" w:rsidP="00BF44B2">
            <w:pPr>
              <w:spacing w:before="0" w:after="160" w:line="276" w:lineRule="auto"/>
              <w:ind w:right="1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 xml:space="preserve">The proposed change to the UL is unlikely to have significant implications for regulators, including FSANZ (food and food products) and TGA (supplements). Views will be sought during targeted/stakeholder consultation and considered when developing final NRVs.  </w:t>
            </w:r>
          </w:p>
          <w:p w14:paraId="2DFF29F3" w14:textId="77777777" w:rsidR="005C5475" w:rsidRPr="00D633FF" w:rsidRDefault="005C5475" w:rsidP="00BF44B2">
            <w:pPr>
              <w:spacing w:before="0" w:after="0" w:line="276" w:lineRule="auto"/>
              <w:ind w:right="1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rPr>
            </w:pPr>
            <w:r w:rsidRPr="00D633FF">
              <w:rPr>
                <w:rFonts w:ascii="Calibri" w:eastAsia="Times New Roman" w:hAnsi="Calibri" w:cs="Calibri"/>
                <w:sz w:val="20"/>
              </w:rPr>
              <w:t>The Australia New Zealand Food Standards Code permits selenium to be added up to a maximum of:</w:t>
            </w:r>
          </w:p>
          <w:p w14:paraId="60CDDF87" w14:textId="1B9AB72F" w:rsidR="005C5475" w:rsidRPr="00D633FF" w:rsidRDefault="005C5475" w:rsidP="008D15E1">
            <w:pPr>
              <w:numPr>
                <w:ilvl w:val="0"/>
                <w:numId w:val="20"/>
              </w:numPr>
              <w:tabs>
                <w:tab w:val="clear" w:pos="284"/>
              </w:tabs>
              <w:spacing w:after="0"/>
              <w:ind w:left="357" w:right="1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rPr>
            </w:pPr>
            <w:r w:rsidRPr="00D633FF">
              <w:rPr>
                <w:rFonts w:ascii="Calibri" w:eastAsia="Times New Roman" w:hAnsi="Calibri" w:cs="Calibri"/>
                <w:sz w:val="20"/>
              </w:rPr>
              <w:t xml:space="preserve">formulated beverages – 17.5 µg/600mL </w:t>
            </w:r>
          </w:p>
          <w:p w14:paraId="40F05993" w14:textId="673A8B6C" w:rsidR="005C5475" w:rsidRPr="00D633FF" w:rsidRDefault="005C5475" w:rsidP="008D15E1">
            <w:pPr>
              <w:numPr>
                <w:ilvl w:val="0"/>
                <w:numId w:val="20"/>
              </w:numPr>
              <w:tabs>
                <w:tab w:val="clear" w:pos="284"/>
              </w:tabs>
              <w:spacing w:after="0"/>
              <w:ind w:left="357" w:right="1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rPr>
            </w:pPr>
            <w:r w:rsidRPr="00D633FF">
              <w:rPr>
                <w:rFonts w:ascii="Calibri" w:eastAsia="Times New Roman" w:hAnsi="Calibri" w:cs="Calibri"/>
                <w:sz w:val="20"/>
              </w:rPr>
              <w:t>formulated meal replacements - 17.5µg/serve inorganic</w:t>
            </w:r>
            <w:r w:rsidR="00BF44B2" w:rsidRPr="00D633FF">
              <w:rPr>
                <w:rFonts w:ascii="Calibri" w:eastAsia="Times New Roman" w:hAnsi="Calibri" w:cs="Calibri"/>
                <w:sz w:val="20"/>
              </w:rPr>
              <w:t xml:space="preserve">, </w:t>
            </w:r>
            <w:r w:rsidRPr="00D633FF">
              <w:rPr>
                <w:rFonts w:ascii="Calibri" w:eastAsia="Times New Roman" w:hAnsi="Calibri" w:cs="Calibri"/>
                <w:sz w:val="20"/>
              </w:rPr>
              <w:t xml:space="preserve">9 µg/serve organic  </w:t>
            </w:r>
          </w:p>
          <w:p w14:paraId="24E8A049" w14:textId="6D73C582" w:rsidR="005C5475" w:rsidRPr="00D633FF" w:rsidRDefault="005C5475" w:rsidP="008D15E1">
            <w:pPr>
              <w:numPr>
                <w:ilvl w:val="0"/>
                <w:numId w:val="20"/>
              </w:numPr>
              <w:tabs>
                <w:tab w:val="clear" w:pos="284"/>
              </w:tabs>
              <w:spacing w:after="0"/>
              <w:ind w:left="357" w:right="1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rPr>
            </w:pPr>
            <w:r w:rsidRPr="00D633FF">
              <w:rPr>
                <w:rFonts w:ascii="Calibri" w:eastAsia="Times New Roman" w:hAnsi="Calibri" w:cs="Calibri"/>
                <w:sz w:val="20"/>
              </w:rPr>
              <w:t>formulated supplementary sports foods -</w:t>
            </w:r>
            <w:r w:rsidR="00BF44B2" w:rsidRPr="00D633FF">
              <w:rPr>
                <w:rFonts w:ascii="Calibri" w:eastAsia="Times New Roman" w:hAnsi="Calibri" w:cs="Calibri"/>
                <w:sz w:val="20"/>
              </w:rPr>
              <w:t xml:space="preserve"> </w:t>
            </w:r>
            <w:r w:rsidRPr="00D633FF">
              <w:rPr>
                <w:rFonts w:ascii="Calibri" w:eastAsia="Times New Roman" w:hAnsi="Calibri" w:cs="Calibri"/>
                <w:sz w:val="20"/>
              </w:rPr>
              <w:t>52 µg/serve inorganic</w:t>
            </w:r>
            <w:r w:rsidR="00BF44B2" w:rsidRPr="00D633FF">
              <w:rPr>
                <w:rFonts w:ascii="Calibri" w:eastAsia="Times New Roman" w:hAnsi="Calibri" w:cs="Calibri"/>
                <w:sz w:val="20"/>
              </w:rPr>
              <w:t xml:space="preserve">, </w:t>
            </w:r>
            <w:r w:rsidRPr="00D633FF">
              <w:rPr>
                <w:rFonts w:ascii="Calibri" w:eastAsia="Times New Roman" w:hAnsi="Calibri" w:cs="Calibri"/>
                <w:sz w:val="20"/>
              </w:rPr>
              <w:t xml:space="preserve">26 µg/serve organic </w:t>
            </w:r>
          </w:p>
          <w:p w14:paraId="0EEBD1DD" w14:textId="78E884A5" w:rsidR="005C5475" w:rsidRPr="00D633FF" w:rsidRDefault="005C5475" w:rsidP="008D15E1">
            <w:pPr>
              <w:numPr>
                <w:ilvl w:val="0"/>
                <w:numId w:val="20"/>
              </w:numPr>
              <w:tabs>
                <w:tab w:val="clear" w:pos="284"/>
              </w:tabs>
              <w:spacing w:after="160"/>
              <w:ind w:left="358" w:right="170" w:hanging="284"/>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rPr>
            </w:pPr>
            <w:r w:rsidRPr="00D633FF">
              <w:rPr>
                <w:rFonts w:ascii="Calibri" w:eastAsia="Times New Roman" w:hAnsi="Calibri" w:cs="Calibri"/>
                <w:sz w:val="20"/>
                <w:szCs w:val="20"/>
              </w:rPr>
              <w:lastRenderedPageBreak/>
              <w:t>food for special medical purposes represented as a sole source of nutrition</w:t>
            </w:r>
            <w:r w:rsidRPr="00D633FF">
              <w:rPr>
                <w:rFonts w:ascii="Calibri" w:eastAsia="Times New Roman" w:hAnsi="Calibri" w:cs="Calibri"/>
                <w:sz w:val="20"/>
              </w:rPr>
              <w:t xml:space="preserve"> -</w:t>
            </w:r>
            <w:r w:rsidR="00BF44B2" w:rsidRPr="00D633FF">
              <w:rPr>
                <w:rFonts w:ascii="Calibri" w:eastAsia="Times New Roman" w:hAnsi="Calibri" w:cs="Calibri"/>
                <w:sz w:val="20"/>
              </w:rPr>
              <w:t xml:space="preserve"> </w:t>
            </w:r>
            <w:r w:rsidRPr="00D633FF">
              <w:rPr>
                <w:rFonts w:ascii="Calibri" w:eastAsia="Times New Roman" w:hAnsi="Calibri" w:cs="Calibri"/>
                <w:sz w:val="20"/>
                <w:szCs w:val="20"/>
              </w:rPr>
              <w:t xml:space="preserve">25 µg/MJ </w:t>
            </w:r>
          </w:p>
          <w:p w14:paraId="07DEB7B9" w14:textId="77777777" w:rsidR="005C5475" w:rsidRPr="00D633FF" w:rsidRDefault="005C5475" w:rsidP="00BF44B2">
            <w:pPr>
              <w:spacing w:before="0" w:after="160" w:line="276" w:lineRule="auto"/>
              <w:ind w:left="74" w:right="1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rPr>
            </w:pPr>
            <w:r w:rsidRPr="00D633FF">
              <w:rPr>
                <w:rFonts w:ascii="Calibri" w:eastAsia="Times New Roman" w:hAnsi="Calibri" w:cs="Calibri"/>
                <w:sz w:val="20"/>
              </w:rPr>
              <w:t xml:space="preserve">At normal levels of consumption these products are unlikely to contribute to </w:t>
            </w:r>
            <w:r w:rsidRPr="00D633FF">
              <w:rPr>
                <w:rFonts w:ascii="Calibri" w:eastAsia="Times New Roman" w:hAnsi="Calibri" w:cs="Calibri"/>
                <w:sz w:val="20"/>
                <w:szCs w:val="20"/>
              </w:rPr>
              <w:t xml:space="preserve">exceeding </w:t>
            </w:r>
            <w:r w:rsidRPr="00D633FF">
              <w:rPr>
                <w:rFonts w:ascii="Calibri" w:eastAsia="Times New Roman" w:hAnsi="Calibri" w:cs="Calibri"/>
                <w:sz w:val="20"/>
              </w:rPr>
              <w:t xml:space="preserve">the </w:t>
            </w:r>
            <w:r w:rsidRPr="00D633FF">
              <w:rPr>
                <w:rFonts w:ascii="Calibri" w:eastAsia="Times New Roman" w:hAnsi="Calibri" w:cs="Calibri"/>
                <w:sz w:val="20"/>
                <w:szCs w:val="20"/>
              </w:rPr>
              <w:t>UL if it is lowered to 330 µg/day.</w:t>
            </w:r>
            <w:r w:rsidRPr="00D633FF">
              <w:rPr>
                <w:rFonts w:ascii="Calibri" w:eastAsia="Times New Roman" w:hAnsi="Calibri" w:cs="Calibri"/>
                <w:sz w:val="20"/>
              </w:rPr>
              <w:t xml:space="preserve"> </w:t>
            </w:r>
          </w:p>
          <w:p w14:paraId="1B306942" w14:textId="5207226D" w:rsidR="005C5475" w:rsidRPr="00D633FF" w:rsidRDefault="005C5475" w:rsidP="00BF44B2">
            <w:pPr>
              <w:spacing w:before="0" w:after="160" w:line="276" w:lineRule="auto"/>
              <w:ind w:left="74" w:right="1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rPr>
            </w:pPr>
            <w:r w:rsidRPr="00D633FF">
              <w:rPr>
                <w:rFonts w:ascii="Calibri" w:eastAsia="Times New Roman" w:hAnsi="Calibri" w:cs="Calibri"/>
                <w:sz w:val="20"/>
                <w:szCs w:val="20"/>
              </w:rPr>
              <w:t xml:space="preserve">At normal levels of intake over-the-counter supplements (&lt;150 µg/day) </w:t>
            </w:r>
            <w:r w:rsidRPr="00D633FF">
              <w:rPr>
                <w:rFonts w:ascii="Calibri" w:eastAsia="Times New Roman" w:hAnsi="Calibri" w:cs="Calibri"/>
                <w:sz w:val="20"/>
              </w:rPr>
              <w:t xml:space="preserve">are unlikely to contribute to </w:t>
            </w:r>
            <w:r w:rsidRPr="00D633FF">
              <w:rPr>
                <w:rFonts w:ascii="Calibri" w:eastAsia="Times New Roman" w:hAnsi="Calibri" w:cs="Calibri"/>
                <w:sz w:val="20"/>
                <w:szCs w:val="20"/>
              </w:rPr>
              <w:t xml:space="preserve">exceeding </w:t>
            </w:r>
            <w:r w:rsidRPr="00D633FF">
              <w:rPr>
                <w:rFonts w:ascii="Calibri" w:eastAsia="Times New Roman" w:hAnsi="Calibri" w:cs="Calibri"/>
                <w:sz w:val="20"/>
              </w:rPr>
              <w:t xml:space="preserve">the </w:t>
            </w:r>
            <w:r w:rsidRPr="00D633FF">
              <w:rPr>
                <w:rFonts w:ascii="Calibri" w:eastAsia="Times New Roman" w:hAnsi="Calibri" w:cs="Calibri"/>
                <w:sz w:val="20"/>
                <w:szCs w:val="20"/>
              </w:rPr>
              <w:t>UL if it is lowered to 330 µg/day.</w:t>
            </w:r>
            <w:r w:rsidRPr="00D633FF">
              <w:rPr>
                <w:rFonts w:ascii="Calibri" w:eastAsia="Times New Roman" w:hAnsi="Calibri" w:cs="Calibri"/>
                <w:sz w:val="20"/>
              </w:rPr>
              <w:t xml:space="preserve"> </w:t>
            </w:r>
            <w:r w:rsidRPr="00D633FF">
              <w:rPr>
                <w:rFonts w:ascii="Calibri" w:eastAsia="Times New Roman" w:hAnsi="Calibri" w:cs="Calibri"/>
                <w:sz w:val="20"/>
                <w:szCs w:val="20"/>
              </w:rPr>
              <w:t>The exception is the higher-level selenium consumers in the New Zealand Pacific males aged 31-50 years</w:t>
            </w:r>
            <w:r w:rsidRPr="00D633FF">
              <w:rPr>
                <w:rFonts w:ascii="Calibri" w:eastAsia="Times New Roman" w:hAnsi="Calibri" w:cs="Calibri"/>
                <w:sz w:val="20"/>
              </w:rPr>
              <w:t>, with a 90</w:t>
            </w:r>
            <w:r w:rsidRPr="00D633FF">
              <w:rPr>
                <w:rFonts w:ascii="Calibri" w:eastAsia="Times New Roman" w:hAnsi="Calibri" w:cs="Calibri"/>
                <w:sz w:val="20"/>
                <w:vertAlign w:val="superscript"/>
              </w:rPr>
              <w:t>th</w:t>
            </w:r>
            <w:r w:rsidRPr="00D633FF">
              <w:rPr>
                <w:rFonts w:ascii="Calibri" w:eastAsia="Times New Roman" w:hAnsi="Calibri" w:cs="Calibri"/>
                <w:sz w:val="20"/>
              </w:rPr>
              <w:t xml:space="preserve"> percentile of 194</w:t>
            </w:r>
            <w:r w:rsidRPr="00D633FF">
              <w:rPr>
                <w:rFonts w:ascii="Calibri" w:eastAsia="Times New Roman" w:hAnsi="Calibri" w:cs="Calibri"/>
                <w:sz w:val="20"/>
                <w:szCs w:val="20"/>
              </w:rPr>
              <w:t xml:space="preserve"> µg/day (from food only), where supplementation of 137 µg/day or above would exceed this UL.</w:t>
            </w:r>
          </w:p>
        </w:tc>
      </w:tr>
      <w:tr w:rsidR="005C5475" w:rsidRPr="00D633FF" w14:paraId="49FFF33D" w14:textId="77777777" w:rsidTr="0029777B">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127" w:type="dxa"/>
          </w:tcPr>
          <w:p w14:paraId="3EBF6C36" w14:textId="77777777" w:rsidR="005C5475" w:rsidRPr="00D633FF" w:rsidRDefault="005C5475" w:rsidP="00BF44B2">
            <w:pPr>
              <w:spacing w:line="276" w:lineRule="auto"/>
              <w:rPr>
                <w:rFonts w:ascii="Calibri" w:eastAsia="Arial" w:hAnsi="Calibri" w:cs="Calibri"/>
                <w:highlight w:val="lightGray"/>
              </w:rPr>
            </w:pPr>
            <w:r w:rsidRPr="00D633FF">
              <w:rPr>
                <w:rFonts w:ascii="Calibri" w:eastAsia="Arial" w:hAnsi="Calibri" w:cs="Calibri"/>
              </w:rPr>
              <w:lastRenderedPageBreak/>
              <w:t>Other factors (health equity impacts, sustainability)</w:t>
            </w:r>
          </w:p>
        </w:tc>
        <w:tc>
          <w:tcPr>
            <w:tcW w:w="4252" w:type="dxa"/>
          </w:tcPr>
          <w:p w14:paraId="50A73253" w14:textId="77777777" w:rsidR="005C5475" w:rsidRPr="00D633FF" w:rsidRDefault="005C5475" w:rsidP="00BF44B2">
            <w:pPr>
              <w:spacing w:before="0" w:after="160" w:line="276" w:lineRule="auto"/>
              <w:ind w:right="-114"/>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 xml:space="preserve">The UL should aim to be protective of almost all individuals within the population. </w:t>
            </w:r>
          </w:p>
          <w:p w14:paraId="39428AC5" w14:textId="77777777" w:rsidR="005C5475" w:rsidRPr="00D633FF" w:rsidRDefault="005C5475" w:rsidP="00BF44B2">
            <w:pPr>
              <w:spacing w:before="0" w:after="160" w:line="276" w:lineRule="auto"/>
              <w:ind w:right="-114"/>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i/>
                <w:sz w:val="20"/>
                <w:szCs w:val="20"/>
                <w:highlight w:val="lightGray"/>
              </w:rPr>
            </w:pPr>
            <w:r w:rsidRPr="00D633FF">
              <w:rPr>
                <w:rFonts w:ascii="Calibri" w:eastAsia="Times New Roman" w:hAnsi="Calibri" w:cs="Calibri"/>
                <w:sz w:val="20"/>
                <w:szCs w:val="20"/>
              </w:rPr>
              <w:t>Maintaining the UL of 400 µg/day should continue to protect most individuals from the health effects of selenium excess.</w:t>
            </w:r>
          </w:p>
        </w:tc>
        <w:tc>
          <w:tcPr>
            <w:tcW w:w="7655" w:type="dxa"/>
            <w:gridSpan w:val="3"/>
          </w:tcPr>
          <w:p w14:paraId="48D281A1" w14:textId="77777777" w:rsidR="005C5475" w:rsidRPr="00D633FF" w:rsidRDefault="005C5475" w:rsidP="00BF44B2">
            <w:pPr>
              <w:spacing w:before="0" w:after="160" w:line="276" w:lineRule="auto"/>
              <w:ind w:right="-114"/>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 xml:space="preserve">The UL should aim to be protective of almost all individuals within the population. </w:t>
            </w:r>
          </w:p>
          <w:p w14:paraId="4C112D34" w14:textId="2FEDB4F8" w:rsidR="005C5475" w:rsidRPr="00D633FF" w:rsidRDefault="005C5475" w:rsidP="00BF44B2">
            <w:pPr>
              <w:spacing w:before="0" w:after="160" w:line="276" w:lineRule="auto"/>
              <w:ind w:right="31"/>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highlight w:val="lightGray"/>
              </w:rPr>
            </w:pPr>
            <w:r w:rsidRPr="00D633FF">
              <w:rPr>
                <w:rFonts w:ascii="Calibri" w:eastAsia="Times New Roman" w:hAnsi="Calibri" w:cs="Calibri"/>
                <w:sz w:val="20"/>
                <w:szCs w:val="20"/>
              </w:rPr>
              <w:t>Reducing the UL to 330 µg/day should continue to protect most individuals from the health effects of selenium excess.</w:t>
            </w:r>
          </w:p>
        </w:tc>
      </w:tr>
      <w:tr w:rsidR="005C5475" w:rsidRPr="00D633FF" w14:paraId="5DCC6BF0" w14:textId="77777777" w:rsidTr="0029777B">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127" w:type="dxa"/>
          </w:tcPr>
          <w:p w14:paraId="7B2352B5" w14:textId="77777777" w:rsidR="005C5475" w:rsidRPr="00D633FF" w:rsidRDefault="005C5475" w:rsidP="00BF44B2">
            <w:pPr>
              <w:spacing w:line="276" w:lineRule="auto"/>
              <w:rPr>
                <w:rFonts w:ascii="Calibri" w:eastAsia="Arial" w:hAnsi="Calibri" w:cs="Calibri"/>
              </w:rPr>
            </w:pPr>
            <w:r w:rsidRPr="00D633FF">
              <w:rPr>
                <w:rFonts w:ascii="Calibri" w:eastAsia="Arial" w:hAnsi="Calibri" w:cs="Calibri"/>
              </w:rPr>
              <w:t>Decision</w:t>
            </w:r>
          </w:p>
        </w:tc>
        <w:tc>
          <w:tcPr>
            <w:tcW w:w="11907" w:type="dxa"/>
            <w:gridSpan w:val="4"/>
          </w:tcPr>
          <w:p w14:paraId="1528EB02" w14:textId="684CC841" w:rsidR="005C5475" w:rsidRPr="00D633FF" w:rsidRDefault="005C5475" w:rsidP="004C35BA">
            <w:pPr>
              <w:spacing w:line="276" w:lineRule="auto"/>
              <w:ind w:right="4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highlight w:val="lightGray"/>
              </w:rPr>
            </w:pPr>
            <w:r w:rsidRPr="00D633FF">
              <w:rPr>
                <w:rFonts w:ascii="Calibri" w:eastAsia="Times New Roman" w:hAnsi="Calibri" w:cs="Calibri"/>
                <w:i/>
                <w:iCs/>
                <w:sz w:val="20"/>
                <w:lang w:val="en-US"/>
              </w:rPr>
              <w:t>Adapt EFSAs 2023 UL to the Australian and New Zealand context</w:t>
            </w:r>
            <w:r w:rsidR="00B97683" w:rsidRPr="00D633FF">
              <w:rPr>
                <w:rFonts w:ascii="Calibri" w:eastAsia="Times New Roman" w:hAnsi="Calibri" w:cs="Calibri"/>
                <w:i/>
                <w:iCs/>
                <w:sz w:val="20"/>
                <w:lang w:val="en-US"/>
              </w:rPr>
              <w:t>, reducing the UL to 330</w:t>
            </w:r>
            <w:r w:rsidR="00B97683" w:rsidRPr="00D633FF">
              <w:rPr>
                <w:rFonts w:ascii="Calibri" w:hAnsi="Calibri" w:cs="Calibri"/>
              </w:rPr>
              <w:t xml:space="preserve"> </w:t>
            </w:r>
            <w:r w:rsidR="00B97683" w:rsidRPr="00D633FF">
              <w:rPr>
                <w:rFonts w:ascii="Calibri" w:eastAsia="Times New Roman" w:hAnsi="Calibri" w:cs="Calibri"/>
                <w:i/>
                <w:iCs/>
                <w:sz w:val="20"/>
                <w:lang w:val="en-US"/>
              </w:rPr>
              <w:t>µg/day for all adults (including during pregnancy and lactation).</w:t>
            </w:r>
          </w:p>
        </w:tc>
      </w:tr>
    </w:tbl>
    <w:p w14:paraId="0655C995" w14:textId="77777777" w:rsidR="005C5475" w:rsidRPr="00D633FF" w:rsidRDefault="005C5475" w:rsidP="005C5475">
      <w:pPr>
        <w:rPr>
          <w:rFonts w:ascii="Calibri" w:eastAsia="Arial" w:hAnsi="Calibri" w:cs="Calibri"/>
          <w:sz w:val="20"/>
          <w:highlight w:val="lightGray"/>
        </w:rPr>
        <w:sectPr w:rsidR="005C5475" w:rsidRPr="00D633FF" w:rsidSect="005C5475">
          <w:headerReference w:type="even" r:id="rId44"/>
          <w:headerReference w:type="default" r:id="rId45"/>
          <w:footerReference w:type="default" r:id="rId46"/>
          <w:headerReference w:type="first" r:id="rId47"/>
          <w:pgSz w:w="16838" w:h="11906" w:orient="landscape" w:code="9"/>
          <w:pgMar w:top="709" w:right="1814" w:bottom="1134" w:left="1565" w:header="510" w:footer="510" w:gutter="0"/>
          <w:cols w:space="708"/>
          <w:titlePg/>
          <w:docGrid w:linePitch="360"/>
        </w:sectPr>
      </w:pPr>
    </w:p>
    <w:p w14:paraId="2423021E" w14:textId="24A33EC9" w:rsidR="005C5475" w:rsidRPr="00D633FF" w:rsidRDefault="00916F23" w:rsidP="005C5475">
      <w:pPr>
        <w:keepNext/>
        <w:keepLines/>
        <w:spacing w:before="240" w:after="120"/>
        <w:outlineLvl w:val="2"/>
        <w:rPr>
          <w:rFonts w:ascii="Calibri" w:eastAsia="SimHei" w:hAnsi="Calibri" w:cs="Calibri"/>
          <w:color w:val="09002E"/>
          <w:sz w:val="28"/>
          <w:szCs w:val="28"/>
        </w:rPr>
      </w:pPr>
      <w:bookmarkStart w:id="112" w:name="_Toc218528001"/>
      <w:r w:rsidRPr="00D633FF">
        <w:rPr>
          <w:rFonts w:ascii="Calibri" w:eastAsia="SimHei" w:hAnsi="Calibri" w:cs="Calibri"/>
          <w:color w:val="09002E"/>
          <w:sz w:val="28"/>
          <w:szCs w:val="28"/>
        </w:rPr>
        <w:lastRenderedPageBreak/>
        <w:t>C</w:t>
      </w:r>
      <w:r w:rsidR="005C5475" w:rsidRPr="00D633FF">
        <w:rPr>
          <w:rFonts w:ascii="Calibri" w:eastAsia="SimHei" w:hAnsi="Calibri" w:cs="Calibri"/>
          <w:color w:val="09002E"/>
          <w:sz w:val="28"/>
          <w:szCs w:val="28"/>
        </w:rPr>
        <w:t>hildren and adolescents</w:t>
      </w:r>
      <w:bookmarkEnd w:id="112"/>
      <w:r w:rsidR="005C5475" w:rsidRPr="00D633FF">
        <w:rPr>
          <w:rFonts w:ascii="Calibri" w:eastAsia="SimHei" w:hAnsi="Calibri" w:cs="Calibri"/>
          <w:color w:val="09002E"/>
          <w:sz w:val="28"/>
          <w:szCs w:val="28"/>
        </w:rPr>
        <w:t xml:space="preserve"> </w:t>
      </w:r>
    </w:p>
    <w:tbl>
      <w:tblPr>
        <w:tblStyle w:val="DefaultTable111"/>
        <w:tblW w:w="532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bottom w:w="0" w:type="dxa"/>
        </w:tblCellMar>
        <w:tblLook w:val="04A0" w:firstRow="1" w:lastRow="0" w:firstColumn="1" w:lastColumn="0" w:noHBand="0" w:noVBand="1"/>
      </w:tblPr>
      <w:tblGrid>
        <w:gridCol w:w="2500"/>
        <w:gridCol w:w="6000"/>
        <w:gridCol w:w="6349"/>
      </w:tblGrid>
      <w:tr w:rsidR="0017087A" w:rsidRPr="00D633FF" w14:paraId="71F76DF5" w14:textId="77777777" w:rsidTr="000477FA">
        <w:trPr>
          <w:cnfStyle w:val="100000000000" w:firstRow="1" w:lastRow="0" w:firstColumn="0" w:lastColumn="0" w:oddVBand="0" w:evenVBand="0" w:oddHBand="0"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500" w:type="dxa"/>
            <w:tcBorders>
              <w:top w:val="single" w:sz="4" w:space="0" w:color="auto"/>
              <w:left w:val="single" w:sz="4" w:space="0" w:color="auto"/>
              <w:bottom w:val="single" w:sz="4" w:space="0" w:color="auto"/>
              <w:right w:val="none" w:sz="0" w:space="0" w:color="auto"/>
            </w:tcBorders>
            <w:shd w:val="clear" w:color="auto" w:fill="83CAEB" w:themeFill="accent1" w:themeFillTint="66"/>
            <w:hideMark/>
          </w:tcPr>
          <w:p w14:paraId="6E14FA15" w14:textId="77777777" w:rsidR="005C5475" w:rsidRPr="00D633FF" w:rsidRDefault="005C5475" w:rsidP="00A41BD1">
            <w:pPr>
              <w:spacing w:before="0" w:after="160" w:line="276" w:lineRule="auto"/>
              <w:rPr>
                <w:rFonts w:ascii="Calibri" w:eastAsia="Times New Roman" w:hAnsi="Calibri" w:cs="Calibri"/>
                <w:color w:val="auto"/>
                <w:sz w:val="20"/>
              </w:rPr>
            </w:pPr>
          </w:p>
        </w:tc>
        <w:tc>
          <w:tcPr>
            <w:tcW w:w="6000" w:type="dxa"/>
            <w:tcBorders>
              <w:top w:val="single" w:sz="4" w:space="0" w:color="auto"/>
              <w:bottom w:val="single" w:sz="4" w:space="0" w:color="auto"/>
              <w:right w:val="none" w:sz="0" w:space="0" w:color="auto"/>
            </w:tcBorders>
            <w:shd w:val="clear" w:color="auto" w:fill="83CAEB" w:themeFill="accent1" w:themeFillTint="66"/>
          </w:tcPr>
          <w:p w14:paraId="35CAF8E2" w14:textId="77777777" w:rsidR="005C5475" w:rsidRPr="00D633FF" w:rsidRDefault="005C5475" w:rsidP="005C547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rPr>
            </w:pPr>
            <w:r w:rsidRPr="00D633FF">
              <w:rPr>
                <w:rFonts w:ascii="Calibri" w:eastAsia="Times New Roman" w:hAnsi="Calibri" w:cs="Calibri"/>
                <w:color w:val="auto"/>
                <w:u w:val="single"/>
              </w:rPr>
              <w:t>OPTION 1</w:t>
            </w:r>
            <w:r w:rsidRPr="00D633FF">
              <w:rPr>
                <w:rFonts w:ascii="Calibri" w:eastAsia="Times New Roman" w:hAnsi="Calibri" w:cs="Calibri"/>
                <w:color w:val="auto"/>
              </w:rPr>
              <w:t>:</w:t>
            </w:r>
          </w:p>
          <w:p w14:paraId="46BAB651" w14:textId="0C3E26AE" w:rsidR="005C5475" w:rsidRPr="00D633FF" w:rsidRDefault="005C5475" w:rsidP="00BF2BE3">
            <w:pPr>
              <w:spacing w:before="120" w:after="0" w:line="240" w:lineRule="atLeast"/>
              <w:ind w:left="351"/>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rPr>
            </w:pPr>
            <w:r w:rsidRPr="00D633FF">
              <w:rPr>
                <w:rFonts w:ascii="Calibri" w:eastAsia="Times New Roman" w:hAnsi="Calibri" w:cs="Calibri"/>
                <w:i/>
                <w:iCs/>
                <w:color w:val="auto"/>
                <w:lang w:val="en-US" w:eastAsia="en-AU"/>
              </w:rPr>
              <w:t xml:space="preserve">Retain </w:t>
            </w:r>
            <w:r w:rsidRPr="00D633FF">
              <w:rPr>
                <w:rFonts w:ascii="Calibri" w:eastAsia="Times New Roman" w:hAnsi="Calibri" w:cs="Calibri"/>
                <w:color w:val="auto"/>
                <w:lang w:val="en-US" w:eastAsia="en-AU"/>
              </w:rPr>
              <w:t xml:space="preserve">the current ULs for adults and children </w:t>
            </w:r>
          </w:p>
        </w:tc>
        <w:tc>
          <w:tcPr>
            <w:tcW w:w="6349" w:type="dxa"/>
            <w:tcBorders>
              <w:top w:val="single" w:sz="4" w:space="0" w:color="auto"/>
              <w:left w:val="none" w:sz="0" w:space="0" w:color="auto"/>
              <w:bottom w:val="single" w:sz="4" w:space="0" w:color="auto"/>
              <w:right w:val="single" w:sz="4" w:space="0" w:color="auto"/>
            </w:tcBorders>
            <w:shd w:val="clear" w:color="auto" w:fill="83CAEB" w:themeFill="accent1" w:themeFillTint="66"/>
          </w:tcPr>
          <w:p w14:paraId="03F10E75" w14:textId="77777777" w:rsidR="005C5475" w:rsidRPr="00D633FF" w:rsidRDefault="005C5475" w:rsidP="005C547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rPr>
            </w:pPr>
            <w:r w:rsidRPr="00D633FF">
              <w:rPr>
                <w:rFonts w:ascii="Calibri" w:eastAsia="Times New Roman" w:hAnsi="Calibri" w:cs="Calibri"/>
                <w:color w:val="auto"/>
                <w:u w:val="single"/>
              </w:rPr>
              <w:t>OPTION 2</w:t>
            </w:r>
            <w:r w:rsidRPr="00D633FF">
              <w:rPr>
                <w:rFonts w:ascii="Calibri" w:eastAsia="Times New Roman" w:hAnsi="Calibri" w:cs="Calibri"/>
                <w:color w:val="auto"/>
              </w:rPr>
              <w:t>:</w:t>
            </w:r>
          </w:p>
          <w:p w14:paraId="51C4477D" w14:textId="77777777" w:rsidR="005C5475" w:rsidRPr="00D633FF" w:rsidRDefault="005C5475" w:rsidP="00BF2BE3">
            <w:pPr>
              <w:spacing w:before="120" w:after="40" w:line="240" w:lineRule="atLeast"/>
              <w:ind w:left="357"/>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u w:val="single"/>
              </w:rPr>
            </w:pPr>
            <w:r w:rsidRPr="00D633FF">
              <w:rPr>
                <w:rFonts w:ascii="Calibri" w:eastAsia="Times New Roman" w:hAnsi="Calibri" w:cs="Calibri"/>
                <w:i/>
                <w:iCs/>
                <w:color w:val="auto"/>
                <w:lang w:val="en-US" w:eastAsia="en-AU"/>
              </w:rPr>
              <w:t xml:space="preserve">Adapt </w:t>
            </w:r>
            <w:r w:rsidRPr="00D633FF">
              <w:rPr>
                <w:rFonts w:ascii="Calibri" w:eastAsia="Times New Roman" w:hAnsi="Calibri" w:cs="Calibri"/>
                <w:color w:val="auto"/>
                <w:lang w:val="en-US" w:eastAsia="en-AU"/>
              </w:rPr>
              <w:t>EFSAs 2023 UL for adults and extrapolate</w:t>
            </w:r>
            <w:r w:rsidRPr="00D633FF">
              <w:rPr>
                <w:rFonts w:ascii="Calibri" w:eastAsia="Times New Roman" w:hAnsi="Calibri" w:cs="Calibri"/>
                <w:color w:val="auto"/>
              </w:rPr>
              <w:t xml:space="preserve"> for children</w:t>
            </w:r>
          </w:p>
        </w:tc>
      </w:tr>
      <w:tr w:rsidR="00FC2992" w:rsidRPr="00D633FF" w14:paraId="79D01FCC" w14:textId="77777777" w:rsidTr="000477FA">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500" w:type="dxa"/>
            <w:tcBorders>
              <w:top w:val="single" w:sz="4" w:space="0" w:color="auto"/>
              <w:left w:val="single" w:sz="4" w:space="0" w:color="auto"/>
              <w:bottom w:val="single" w:sz="4" w:space="0" w:color="auto"/>
              <w:right w:val="single" w:sz="4" w:space="0" w:color="auto"/>
            </w:tcBorders>
            <w:shd w:val="clear" w:color="auto" w:fill="83CAEB" w:themeFill="accent1" w:themeFillTint="66"/>
          </w:tcPr>
          <w:p w14:paraId="3C425141" w14:textId="77777777" w:rsidR="005C5475" w:rsidRPr="00D633FF" w:rsidRDefault="005C5475" w:rsidP="003164F1">
            <w:pPr>
              <w:spacing w:before="120" w:after="160" w:line="276" w:lineRule="auto"/>
              <w:rPr>
                <w:rFonts w:ascii="Calibri" w:eastAsia="Times New Roman" w:hAnsi="Calibri" w:cs="Calibri"/>
                <w:color w:val="auto"/>
                <w:sz w:val="20"/>
              </w:rPr>
            </w:pPr>
            <w:r w:rsidRPr="00D633FF">
              <w:rPr>
                <w:rFonts w:ascii="Calibri" w:eastAsia="Times New Roman" w:hAnsi="Calibri" w:cs="Calibri"/>
                <w:color w:val="auto"/>
                <w:sz w:val="20"/>
              </w:rPr>
              <w:t>Example recommendation</w:t>
            </w:r>
          </w:p>
        </w:tc>
        <w:tc>
          <w:tcPr>
            <w:tcW w:w="600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57341130" w14:textId="77777777" w:rsidR="005C5475" w:rsidRPr="00D633FF" w:rsidRDefault="005C5475" w:rsidP="003164F1">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Arial" w:hAnsi="Calibri" w:cs="Calibri"/>
                <w:b/>
                <w:bCs/>
                <w:sz w:val="20"/>
                <w:szCs w:val="20"/>
              </w:rPr>
            </w:pPr>
            <w:r w:rsidRPr="00D633FF">
              <w:rPr>
                <w:rFonts w:ascii="Calibri" w:eastAsia="Arial" w:hAnsi="Calibri" w:cs="Calibri"/>
                <w:b/>
                <w:bCs/>
                <w:sz w:val="20"/>
                <w:szCs w:val="20"/>
              </w:rPr>
              <w:t>NRV age groups</w:t>
            </w:r>
          </w:p>
          <w:tbl>
            <w:tblPr>
              <w:tblStyle w:val="GridTable5Dark"/>
              <w:tblW w:w="3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1195"/>
            </w:tblGrid>
            <w:tr w:rsidR="0017087A" w:rsidRPr="00D633FF" w14:paraId="79F53455" w14:textId="77777777" w:rsidTr="00147FF9">
              <w:trPr>
                <w:cnfStyle w:val="100000000000" w:firstRow="1" w:lastRow="0" w:firstColumn="0" w:lastColumn="0" w:oddVBand="0" w:evenVBand="0" w:oddHBand="0"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354" w:type="dxa"/>
                  <w:tcBorders>
                    <w:top w:val="single" w:sz="4" w:space="0" w:color="auto"/>
                    <w:left w:val="single" w:sz="4" w:space="0" w:color="auto"/>
                    <w:bottom w:val="single" w:sz="4" w:space="0" w:color="FFFFFF" w:themeColor="background1"/>
                    <w:right w:val="single" w:sz="4" w:space="0" w:color="FFFFFF"/>
                  </w:tcBorders>
                  <w:vAlign w:val="center"/>
                </w:tcPr>
                <w:p w14:paraId="038451D5" w14:textId="77777777" w:rsidR="005C5475" w:rsidRPr="00D633FF" w:rsidRDefault="005C5475" w:rsidP="005D7F7C">
                  <w:pPr>
                    <w:rPr>
                      <w:rFonts w:ascii="Calibri" w:eastAsia="Times New Roman" w:hAnsi="Calibri" w:cs="Calibri"/>
                    </w:rPr>
                  </w:pPr>
                  <w:r w:rsidRPr="00D633FF">
                    <w:rPr>
                      <w:rFonts w:ascii="Calibri" w:eastAsia="Times New Roman" w:hAnsi="Calibri" w:cs="Calibri"/>
                    </w:rPr>
                    <w:t>Age</w:t>
                  </w:r>
                </w:p>
              </w:tc>
              <w:tc>
                <w:tcPr>
                  <w:tcW w:w="1195" w:type="dxa"/>
                  <w:tcBorders>
                    <w:top w:val="single" w:sz="4" w:space="0" w:color="auto"/>
                    <w:left w:val="single" w:sz="4" w:space="0" w:color="FFFFFF"/>
                    <w:right w:val="single" w:sz="4" w:space="0" w:color="auto"/>
                  </w:tcBorders>
                  <w:vAlign w:val="center"/>
                </w:tcPr>
                <w:p w14:paraId="0644015E" w14:textId="77777777" w:rsidR="005C5475" w:rsidRPr="00D633FF" w:rsidRDefault="005C5475" w:rsidP="005D7F7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 xml:space="preserve">UL </w:t>
                  </w:r>
                  <w:r w:rsidRPr="00D633FF">
                    <w:rPr>
                      <w:rFonts w:ascii="Calibri" w:eastAsia="Times New Roman" w:hAnsi="Calibri" w:cs="Calibri"/>
                    </w:rPr>
                    <w:br/>
                    <w:t>(µg/day)</w:t>
                  </w:r>
                </w:p>
              </w:tc>
            </w:tr>
            <w:tr w:rsidR="0017087A" w:rsidRPr="00D633FF" w14:paraId="6F9431B3" w14:textId="77777777" w:rsidTr="00147FF9">
              <w:trPr>
                <w:trHeight w:val="340"/>
                <w:jc w:val="center"/>
              </w:trPr>
              <w:tc>
                <w:tcPr>
                  <w:cnfStyle w:val="001000000000" w:firstRow="0" w:lastRow="0" w:firstColumn="1" w:lastColumn="0" w:oddVBand="0" w:evenVBand="0" w:oddHBand="0" w:evenHBand="0" w:firstRowFirstColumn="0" w:firstRowLastColumn="0" w:lastRowFirstColumn="0" w:lastRowLastColumn="0"/>
                  <w:tcW w:w="2354" w:type="dxa"/>
                  <w:tcBorders>
                    <w:top w:val="single" w:sz="4" w:space="0" w:color="FFFFFF" w:themeColor="background1"/>
                    <w:left w:val="single" w:sz="4" w:space="0" w:color="auto"/>
                    <w:bottom w:val="single" w:sz="4" w:space="0" w:color="FFFFFF" w:themeColor="background1"/>
                    <w:right w:val="single" w:sz="4" w:space="0" w:color="FFFFFF" w:themeColor="background1"/>
                  </w:tcBorders>
                  <w:vAlign w:val="center"/>
                </w:tcPr>
                <w:p w14:paraId="4EE5A221" w14:textId="51553FEA" w:rsidR="005C5475" w:rsidRPr="00D633FF" w:rsidRDefault="005C5475" w:rsidP="005D7F7C">
                  <w:pPr>
                    <w:rPr>
                      <w:rFonts w:ascii="Calibri" w:eastAsia="Times New Roman" w:hAnsi="Calibri" w:cs="Calibri"/>
                      <w:i/>
                      <w:sz w:val="20"/>
                    </w:rPr>
                  </w:pPr>
                  <w:r w:rsidRPr="00D633FF">
                    <w:rPr>
                      <w:rFonts w:ascii="Calibri" w:eastAsia="Times New Roman" w:hAnsi="Calibri" w:cs="Calibri"/>
                    </w:rPr>
                    <w:t>0-6 months</w:t>
                  </w:r>
                </w:p>
              </w:tc>
              <w:tc>
                <w:tcPr>
                  <w:tcW w:w="1195" w:type="dxa"/>
                  <w:tcBorders>
                    <w:left w:val="single" w:sz="4" w:space="0" w:color="FFFFFF" w:themeColor="background1"/>
                  </w:tcBorders>
                  <w:shd w:val="clear" w:color="auto" w:fill="CCCCCF"/>
                  <w:vAlign w:val="center"/>
                </w:tcPr>
                <w:p w14:paraId="5A89B290" w14:textId="7526F041" w:rsidR="005C5475" w:rsidRPr="00D633FF" w:rsidRDefault="00132A88" w:rsidP="005D7F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45</w:t>
                  </w:r>
                </w:p>
              </w:tc>
            </w:tr>
            <w:tr w:rsidR="0017087A" w:rsidRPr="00D633FF" w14:paraId="57BEE160" w14:textId="77777777" w:rsidTr="00147FF9">
              <w:trPr>
                <w:trHeight w:val="340"/>
                <w:jc w:val="center"/>
              </w:trPr>
              <w:tc>
                <w:tcPr>
                  <w:cnfStyle w:val="001000000000" w:firstRow="0" w:lastRow="0" w:firstColumn="1" w:lastColumn="0" w:oddVBand="0" w:evenVBand="0" w:oddHBand="0" w:evenHBand="0" w:firstRowFirstColumn="0" w:firstRowLastColumn="0" w:lastRowFirstColumn="0" w:lastRowLastColumn="0"/>
                  <w:tcW w:w="2354" w:type="dxa"/>
                  <w:tcBorders>
                    <w:top w:val="single" w:sz="4" w:space="0" w:color="FFFFFF" w:themeColor="background1"/>
                    <w:left w:val="single" w:sz="4" w:space="0" w:color="auto"/>
                    <w:bottom w:val="single" w:sz="4" w:space="0" w:color="FFFFFF"/>
                    <w:right w:val="single" w:sz="4" w:space="0" w:color="auto"/>
                  </w:tcBorders>
                  <w:vAlign w:val="center"/>
                </w:tcPr>
                <w:p w14:paraId="234395BE" w14:textId="1100C57C" w:rsidR="005C5475" w:rsidRPr="00D633FF" w:rsidRDefault="005C5475" w:rsidP="005D7F7C">
                  <w:pPr>
                    <w:rPr>
                      <w:rFonts w:ascii="Calibri" w:eastAsia="Times New Roman" w:hAnsi="Calibri" w:cs="Calibri"/>
                      <w:i/>
                      <w:sz w:val="20"/>
                    </w:rPr>
                  </w:pPr>
                  <w:r w:rsidRPr="00D633FF">
                    <w:rPr>
                      <w:rFonts w:ascii="Calibri" w:eastAsia="Times New Roman" w:hAnsi="Calibri" w:cs="Calibri"/>
                    </w:rPr>
                    <w:t>7-12 months</w:t>
                  </w:r>
                </w:p>
              </w:tc>
              <w:tc>
                <w:tcPr>
                  <w:tcW w:w="1195" w:type="dxa"/>
                  <w:tcBorders>
                    <w:left w:val="single" w:sz="4" w:space="0" w:color="auto"/>
                  </w:tcBorders>
                  <w:shd w:val="clear" w:color="auto" w:fill="FFFFFF"/>
                  <w:vAlign w:val="center"/>
                </w:tcPr>
                <w:p w14:paraId="72D45B49" w14:textId="617B0515" w:rsidR="005C5475" w:rsidRPr="00D633FF" w:rsidRDefault="00132A88" w:rsidP="005D7F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60</w:t>
                  </w:r>
                </w:p>
              </w:tc>
            </w:tr>
            <w:tr w:rsidR="0017087A" w:rsidRPr="00D633FF" w14:paraId="0D55D893" w14:textId="77777777" w:rsidTr="00147FF9">
              <w:trPr>
                <w:trHeight w:val="340"/>
                <w:jc w:val="center"/>
              </w:trPr>
              <w:tc>
                <w:tcPr>
                  <w:cnfStyle w:val="001000000000" w:firstRow="0" w:lastRow="0" w:firstColumn="1" w:lastColumn="0" w:oddVBand="0" w:evenVBand="0" w:oddHBand="0" w:evenHBand="0" w:firstRowFirstColumn="0" w:firstRowLastColumn="0" w:lastRowFirstColumn="0" w:lastRowLastColumn="0"/>
                  <w:tcW w:w="2354" w:type="dxa"/>
                  <w:tcBorders>
                    <w:top w:val="single" w:sz="4" w:space="0" w:color="FFFFFF"/>
                    <w:left w:val="single" w:sz="4" w:space="0" w:color="auto"/>
                    <w:bottom w:val="single" w:sz="4" w:space="0" w:color="FFFFFF"/>
                    <w:right w:val="single" w:sz="4" w:space="0" w:color="auto"/>
                  </w:tcBorders>
                  <w:vAlign w:val="center"/>
                </w:tcPr>
                <w:p w14:paraId="51EA6BB2" w14:textId="77777777" w:rsidR="005C5475" w:rsidRPr="00D633FF" w:rsidRDefault="005C5475" w:rsidP="005D7F7C">
                  <w:pPr>
                    <w:rPr>
                      <w:rFonts w:ascii="Calibri" w:eastAsia="Times New Roman" w:hAnsi="Calibri" w:cs="Calibri"/>
                      <w:i/>
                    </w:rPr>
                  </w:pPr>
                  <w:r w:rsidRPr="00D633FF">
                    <w:rPr>
                      <w:rFonts w:ascii="Calibri" w:eastAsia="Times New Roman" w:hAnsi="Calibri" w:cs="Calibri"/>
                    </w:rPr>
                    <w:t>1 to under 4 years</w:t>
                  </w:r>
                </w:p>
              </w:tc>
              <w:tc>
                <w:tcPr>
                  <w:tcW w:w="1195" w:type="dxa"/>
                  <w:tcBorders>
                    <w:left w:val="single" w:sz="4" w:space="0" w:color="auto"/>
                  </w:tcBorders>
                  <w:shd w:val="clear" w:color="auto" w:fill="D1D1D1" w:themeFill="background2" w:themeFillShade="E6"/>
                  <w:vAlign w:val="center"/>
                </w:tcPr>
                <w:p w14:paraId="293264E8" w14:textId="1E7258CA" w:rsidR="005C5475" w:rsidRPr="00D633FF" w:rsidRDefault="005C5475" w:rsidP="005D7F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rPr>
                  </w:pPr>
                  <w:r w:rsidRPr="00D633FF">
                    <w:rPr>
                      <w:rFonts w:ascii="Calibri" w:eastAsia="Times New Roman" w:hAnsi="Calibri" w:cs="Calibri"/>
                      <w:color w:val="auto"/>
                    </w:rPr>
                    <w:t>90</w:t>
                  </w:r>
                </w:p>
              </w:tc>
            </w:tr>
            <w:tr w:rsidR="0017087A" w:rsidRPr="00D633FF" w14:paraId="5CE95910" w14:textId="77777777" w:rsidTr="00147FF9">
              <w:trPr>
                <w:trHeight w:val="340"/>
                <w:jc w:val="center"/>
              </w:trPr>
              <w:tc>
                <w:tcPr>
                  <w:cnfStyle w:val="001000000000" w:firstRow="0" w:lastRow="0" w:firstColumn="1" w:lastColumn="0" w:oddVBand="0" w:evenVBand="0" w:oddHBand="0" w:evenHBand="0" w:firstRowFirstColumn="0" w:firstRowLastColumn="0" w:lastRowFirstColumn="0" w:lastRowLastColumn="0"/>
                  <w:tcW w:w="2354" w:type="dxa"/>
                  <w:tcBorders>
                    <w:top w:val="single" w:sz="4" w:space="0" w:color="FFFFFF"/>
                    <w:left w:val="single" w:sz="4" w:space="0" w:color="auto"/>
                    <w:bottom w:val="single" w:sz="4" w:space="0" w:color="FFFFFF"/>
                    <w:right w:val="single" w:sz="4" w:space="0" w:color="auto"/>
                  </w:tcBorders>
                  <w:vAlign w:val="center"/>
                </w:tcPr>
                <w:p w14:paraId="31622D09" w14:textId="77777777" w:rsidR="005C5475" w:rsidRPr="00D633FF" w:rsidRDefault="005C5475" w:rsidP="005D7F7C">
                  <w:pPr>
                    <w:rPr>
                      <w:rFonts w:ascii="Calibri" w:eastAsia="Times New Roman" w:hAnsi="Calibri" w:cs="Calibri"/>
                      <w:i/>
                    </w:rPr>
                  </w:pPr>
                  <w:r w:rsidRPr="00D633FF">
                    <w:rPr>
                      <w:rFonts w:ascii="Calibri" w:eastAsia="Times New Roman" w:hAnsi="Calibri" w:cs="Calibri"/>
                    </w:rPr>
                    <w:t>4 to under 9 years</w:t>
                  </w:r>
                </w:p>
              </w:tc>
              <w:tc>
                <w:tcPr>
                  <w:tcW w:w="1195" w:type="dxa"/>
                  <w:tcBorders>
                    <w:left w:val="single" w:sz="4" w:space="0" w:color="auto"/>
                  </w:tcBorders>
                  <w:shd w:val="clear" w:color="auto" w:fill="FFFFFF" w:themeFill="background1"/>
                  <w:vAlign w:val="center"/>
                </w:tcPr>
                <w:p w14:paraId="1E667D80" w14:textId="4DB357B3" w:rsidR="005C5475" w:rsidRPr="00D633FF" w:rsidRDefault="005C5475" w:rsidP="005D7F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rPr>
                  </w:pPr>
                  <w:r w:rsidRPr="00D633FF">
                    <w:rPr>
                      <w:rFonts w:ascii="Calibri" w:eastAsia="Times New Roman" w:hAnsi="Calibri" w:cs="Calibri"/>
                      <w:color w:val="auto"/>
                    </w:rPr>
                    <w:t>150</w:t>
                  </w:r>
                </w:p>
              </w:tc>
            </w:tr>
            <w:tr w:rsidR="0017087A" w:rsidRPr="00D633FF" w14:paraId="5967E8AD" w14:textId="77777777" w:rsidTr="00147FF9">
              <w:trPr>
                <w:trHeight w:val="340"/>
                <w:jc w:val="center"/>
              </w:trPr>
              <w:tc>
                <w:tcPr>
                  <w:cnfStyle w:val="001000000000" w:firstRow="0" w:lastRow="0" w:firstColumn="1" w:lastColumn="0" w:oddVBand="0" w:evenVBand="0" w:oddHBand="0" w:evenHBand="0" w:firstRowFirstColumn="0" w:firstRowLastColumn="0" w:lastRowFirstColumn="0" w:lastRowLastColumn="0"/>
                  <w:tcW w:w="2354" w:type="dxa"/>
                  <w:tcBorders>
                    <w:top w:val="single" w:sz="4" w:space="0" w:color="FFFFFF"/>
                    <w:left w:val="single" w:sz="4" w:space="0" w:color="auto"/>
                    <w:bottom w:val="single" w:sz="4" w:space="0" w:color="FFFFFF"/>
                    <w:right w:val="single" w:sz="4" w:space="0" w:color="auto"/>
                  </w:tcBorders>
                  <w:vAlign w:val="center"/>
                </w:tcPr>
                <w:p w14:paraId="7F0A922D" w14:textId="77777777" w:rsidR="005C5475" w:rsidRPr="00D633FF" w:rsidRDefault="005C5475" w:rsidP="005D7F7C">
                  <w:pPr>
                    <w:rPr>
                      <w:rFonts w:ascii="Calibri" w:eastAsia="Times New Roman" w:hAnsi="Calibri" w:cs="Calibri"/>
                      <w:i/>
                    </w:rPr>
                  </w:pPr>
                  <w:r w:rsidRPr="00D633FF">
                    <w:rPr>
                      <w:rFonts w:ascii="Calibri" w:eastAsia="Times New Roman" w:hAnsi="Calibri" w:cs="Calibri"/>
                    </w:rPr>
                    <w:t>9 to under 14 years</w:t>
                  </w:r>
                </w:p>
              </w:tc>
              <w:tc>
                <w:tcPr>
                  <w:tcW w:w="1195" w:type="dxa"/>
                  <w:tcBorders>
                    <w:left w:val="single" w:sz="4" w:space="0" w:color="auto"/>
                  </w:tcBorders>
                  <w:shd w:val="clear" w:color="auto" w:fill="D1D1D1" w:themeFill="background2" w:themeFillShade="E6"/>
                  <w:vAlign w:val="center"/>
                </w:tcPr>
                <w:p w14:paraId="5396C09B" w14:textId="64FC258D" w:rsidR="005C5475" w:rsidRPr="00D633FF" w:rsidRDefault="005C5475" w:rsidP="005D7F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rPr>
                  </w:pPr>
                  <w:r w:rsidRPr="00D633FF">
                    <w:rPr>
                      <w:rFonts w:ascii="Calibri" w:eastAsia="Times New Roman" w:hAnsi="Calibri" w:cs="Calibri"/>
                      <w:color w:val="auto"/>
                    </w:rPr>
                    <w:t>280</w:t>
                  </w:r>
                </w:p>
              </w:tc>
            </w:tr>
            <w:tr w:rsidR="0017087A" w:rsidRPr="00D633FF" w14:paraId="5DF1E7E7" w14:textId="77777777" w:rsidTr="00147FF9">
              <w:trPr>
                <w:trHeight w:val="340"/>
                <w:jc w:val="center"/>
              </w:trPr>
              <w:tc>
                <w:tcPr>
                  <w:cnfStyle w:val="001000000000" w:firstRow="0" w:lastRow="0" w:firstColumn="1" w:lastColumn="0" w:oddVBand="0" w:evenVBand="0" w:oddHBand="0" w:evenHBand="0" w:firstRowFirstColumn="0" w:firstRowLastColumn="0" w:lastRowFirstColumn="0" w:lastRowLastColumn="0"/>
                  <w:tcW w:w="2354" w:type="dxa"/>
                  <w:tcBorders>
                    <w:top w:val="single" w:sz="4" w:space="0" w:color="FFFFFF"/>
                    <w:left w:val="single" w:sz="4" w:space="0" w:color="auto"/>
                    <w:bottom w:val="single" w:sz="4" w:space="0" w:color="auto"/>
                    <w:right w:val="single" w:sz="4" w:space="0" w:color="auto"/>
                  </w:tcBorders>
                  <w:vAlign w:val="center"/>
                </w:tcPr>
                <w:p w14:paraId="0256240C" w14:textId="77777777" w:rsidR="005C5475" w:rsidRPr="00D633FF" w:rsidRDefault="005C5475" w:rsidP="005D7F7C">
                  <w:pPr>
                    <w:rPr>
                      <w:rFonts w:ascii="Calibri" w:eastAsia="Times New Roman" w:hAnsi="Calibri" w:cs="Calibri"/>
                    </w:rPr>
                  </w:pPr>
                  <w:r w:rsidRPr="00D633FF">
                    <w:rPr>
                      <w:rFonts w:ascii="Calibri" w:eastAsia="Times New Roman" w:hAnsi="Calibri" w:cs="Calibri"/>
                    </w:rPr>
                    <w:t>14 to under 18 years</w:t>
                  </w:r>
                </w:p>
              </w:tc>
              <w:tc>
                <w:tcPr>
                  <w:tcW w:w="1195" w:type="dxa"/>
                  <w:tcBorders>
                    <w:left w:val="single" w:sz="4" w:space="0" w:color="auto"/>
                  </w:tcBorders>
                  <w:shd w:val="clear" w:color="auto" w:fill="FFFFFF" w:themeFill="background1"/>
                  <w:vAlign w:val="center"/>
                </w:tcPr>
                <w:p w14:paraId="3DB182C0" w14:textId="546AEC23" w:rsidR="005C5475" w:rsidRPr="00D633FF" w:rsidDel="002E3C26" w:rsidRDefault="005C5475" w:rsidP="005D7F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rPr>
                  </w:pPr>
                  <w:r w:rsidRPr="00D633FF">
                    <w:rPr>
                      <w:rFonts w:ascii="Calibri" w:eastAsia="Times New Roman" w:hAnsi="Calibri" w:cs="Calibri"/>
                      <w:color w:val="auto"/>
                    </w:rPr>
                    <w:t>400</w:t>
                  </w:r>
                </w:p>
              </w:tc>
            </w:tr>
          </w:tbl>
          <w:p w14:paraId="3C07C612" w14:textId="77777777" w:rsidR="004C6719" w:rsidRDefault="004C6719" w:rsidP="004C6719">
            <w:pPr>
              <w:spacing w:before="300" w:after="120"/>
              <w:jc w:val="center"/>
              <w:cnfStyle w:val="000000100000" w:firstRow="0" w:lastRow="0" w:firstColumn="0" w:lastColumn="0" w:oddVBand="0" w:evenVBand="0" w:oddHBand="1" w:evenHBand="0" w:firstRowFirstColumn="0" w:firstRowLastColumn="0" w:lastRowFirstColumn="0" w:lastRowLastColumn="0"/>
              <w:rPr>
                <w:rFonts w:ascii="Calibri" w:eastAsia="Arial" w:hAnsi="Calibri" w:cs="Calibri"/>
                <w:b/>
                <w:bCs/>
                <w:sz w:val="20"/>
                <w:szCs w:val="20"/>
              </w:rPr>
            </w:pPr>
          </w:p>
          <w:p w14:paraId="69EF4981" w14:textId="77777777" w:rsidR="00F72928" w:rsidRDefault="005C5475" w:rsidP="00617836">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Arial" w:hAnsi="Calibri" w:cs="Calibri"/>
                <w:b/>
                <w:bCs/>
                <w:sz w:val="20"/>
                <w:szCs w:val="20"/>
              </w:rPr>
            </w:pPr>
            <w:r w:rsidRPr="00D633FF">
              <w:rPr>
                <w:rFonts w:ascii="Calibri" w:eastAsia="Arial" w:hAnsi="Calibri" w:cs="Calibri"/>
                <w:b/>
                <w:bCs/>
                <w:sz w:val="20"/>
                <w:szCs w:val="20"/>
              </w:rPr>
              <w:t xml:space="preserve">Alternative age groups for preschool, </w:t>
            </w:r>
          </w:p>
          <w:p w14:paraId="245A65D5" w14:textId="182BF8AA" w:rsidR="005C5475" w:rsidRPr="00D633FF" w:rsidRDefault="005C5475" w:rsidP="0054772B">
            <w:pPr>
              <w:spacing w:before="0" w:after="120"/>
              <w:jc w:val="center"/>
              <w:cnfStyle w:val="000000100000" w:firstRow="0" w:lastRow="0" w:firstColumn="0" w:lastColumn="0" w:oddVBand="0" w:evenVBand="0" w:oddHBand="1" w:evenHBand="0" w:firstRowFirstColumn="0" w:firstRowLastColumn="0" w:lastRowFirstColumn="0" w:lastRowLastColumn="0"/>
              <w:rPr>
                <w:rFonts w:ascii="Calibri" w:eastAsia="Arial" w:hAnsi="Calibri" w:cs="Calibri"/>
                <w:b/>
                <w:bCs/>
                <w:sz w:val="20"/>
                <w:szCs w:val="20"/>
              </w:rPr>
            </w:pPr>
            <w:r w:rsidRPr="00D633FF">
              <w:rPr>
                <w:rFonts w:ascii="Calibri" w:eastAsia="Arial" w:hAnsi="Calibri" w:cs="Calibri"/>
                <w:b/>
                <w:bCs/>
                <w:sz w:val="20"/>
                <w:szCs w:val="20"/>
              </w:rPr>
              <w:t>primary school and adolescents</w:t>
            </w:r>
          </w:p>
          <w:tbl>
            <w:tblPr>
              <w:tblStyle w:val="GridTable5Dark"/>
              <w:tblW w:w="3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1"/>
              <w:gridCol w:w="1134"/>
            </w:tblGrid>
            <w:tr w:rsidR="0017087A" w:rsidRPr="00D633FF" w14:paraId="2E3791B4" w14:textId="77777777" w:rsidTr="005D7F7C">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371" w:type="dxa"/>
                  <w:tcBorders>
                    <w:top w:val="single" w:sz="4" w:space="0" w:color="auto"/>
                    <w:left w:val="single" w:sz="4" w:space="0" w:color="auto"/>
                    <w:bottom w:val="single" w:sz="4" w:space="0" w:color="FFFFFF" w:themeColor="background1"/>
                    <w:right w:val="single" w:sz="4" w:space="0" w:color="FFFFFF"/>
                  </w:tcBorders>
                  <w:vAlign w:val="center"/>
                </w:tcPr>
                <w:p w14:paraId="3B0158D9" w14:textId="77777777" w:rsidR="005C5475" w:rsidRPr="00D633FF" w:rsidRDefault="005C5475" w:rsidP="005C5475">
                  <w:pPr>
                    <w:rPr>
                      <w:rFonts w:ascii="Calibri" w:eastAsia="Times New Roman" w:hAnsi="Calibri" w:cs="Calibri"/>
                    </w:rPr>
                  </w:pPr>
                  <w:r w:rsidRPr="00D633FF">
                    <w:rPr>
                      <w:rFonts w:ascii="Calibri" w:eastAsia="Times New Roman" w:hAnsi="Calibri" w:cs="Calibri"/>
                    </w:rPr>
                    <w:t xml:space="preserve">Age </w:t>
                  </w:r>
                </w:p>
              </w:tc>
              <w:tc>
                <w:tcPr>
                  <w:tcW w:w="1134" w:type="dxa"/>
                  <w:tcBorders>
                    <w:top w:val="single" w:sz="4" w:space="0" w:color="auto"/>
                    <w:left w:val="single" w:sz="4" w:space="0" w:color="FFFFFF"/>
                    <w:right w:val="single" w:sz="4" w:space="0" w:color="auto"/>
                  </w:tcBorders>
                  <w:vAlign w:val="center"/>
                </w:tcPr>
                <w:p w14:paraId="3DBA46B6" w14:textId="77777777" w:rsidR="005C5475" w:rsidRPr="00D633FF" w:rsidRDefault="005C5475" w:rsidP="005D7F7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 xml:space="preserve">UL </w:t>
                  </w:r>
                  <w:r w:rsidRPr="00D633FF">
                    <w:rPr>
                      <w:rFonts w:ascii="Calibri" w:eastAsia="Times New Roman" w:hAnsi="Calibri" w:cs="Calibri"/>
                    </w:rPr>
                    <w:br/>
                    <w:t>(µg/day)</w:t>
                  </w:r>
                </w:p>
              </w:tc>
            </w:tr>
            <w:tr w:rsidR="004072AF" w:rsidRPr="00D633FF" w14:paraId="4DCBCDAA" w14:textId="77777777" w:rsidTr="00ED6B17">
              <w:trPr>
                <w:trHeight w:val="340"/>
                <w:jc w:val="center"/>
              </w:trPr>
              <w:tc>
                <w:tcPr>
                  <w:cnfStyle w:val="001000000000" w:firstRow="0" w:lastRow="0" w:firstColumn="1" w:lastColumn="0" w:oddVBand="0" w:evenVBand="0" w:oddHBand="0" w:evenHBand="0" w:firstRowFirstColumn="0" w:firstRowLastColumn="0" w:lastRowFirstColumn="0" w:lastRowLastColumn="0"/>
                  <w:tcW w:w="2371" w:type="dxa"/>
                  <w:tcBorders>
                    <w:top w:val="single" w:sz="4" w:space="0" w:color="FFFFFF" w:themeColor="background1"/>
                    <w:left w:val="single" w:sz="4" w:space="0" w:color="auto"/>
                    <w:bottom w:val="single" w:sz="4" w:space="0" w:color="FFFFFF" w:themeColor="background1"/>
                    <w:right w:val="single" w:sz="4" w:space="0" w:color="FFFFFF" w:themeColor="background1"/>
                  </w:tcBorders>
                  <w:vAlign w:val="center"/>
                </w:tcPr>
                <w:p w14:paraId="0DD48CA7" w14:textId="3221F207" w:rsidR="004072AF" w:rsidRPr="00D633FF" w:rsidRDefault="004072AF" w:rsidP="004072AF">
                  <w:pPr>
                    <w:rPr>
                      <w:rFonts w:ascii="Calibri" w:eastAsia="Times New Roman" w:hAnsi="Calibri" w:cs="Calibri"/>
                    </w:rPr>
                  </w:pPr>
                  <w:r w:rsidRPr="00D633FF">
                    <w:rPr>
                      <w:rFonts w:ascii="Calibri" w:eastAsia="Times New Roman" w:hAnsi="Calibri" w:cs="Calibri"/>
                    </w:rPr>
                    <w:t>12 to under 24 months</w:t>
                  </w:r>
                </w:p>
              </w:tc>
              <w:tc>
                <w:tcPr>
                  <w:tcW w:w="1134" w:type="dxa"/>
                  <w:tcBorders>
                    <w:top w:val="single" w:sz="4" w:space="0" w:color="auto"/>
                    <w:left w:val="single" w:sz="4" w:space="0" w:color="FFFFFF" w:themeColor="background1"/>
                    <w:right w:val="single" w:sz="4" w:space="0" w:color="auto"/>
                  </w:tcBorders>
                  <w:shd w:val="clear" w:color="auto" w:fill="D1D1D1" w:themeFill="background2" w:themeFillShade="E6"/>
                  <w:vAlign w:val="center"/>
                </w:tcPr>
                <w:p w14:paraId="2E249DF0" w14:textId="250A7958" w:rsidR="004072AF" w:rsidRPr="00D633FF" w:rsidRDefault="00B15FB7" w:rsidP="005D7F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90</w:t>
                  </w:r>
                </w:p>
              </w:tc>
            </w:tr>
            <w:tr w:rsidR="004072AF" w:rsidRPr="00D633FF" w14:paraId="46011386" w14:textId="77777777" w:rsidTr="005D7F7C">
              <w:trPr>
                <w:trHeight w:val="340"/>
                <w:jc w:val="center"/>
              </w:trPr>
              <w:tc>
                <w:tcPr>
                  <w:cnfStyle w:val="001000000000" w:firstRow="0" w:lastRow="0" w:firstColumn="1" w:lastColumn="0" w:oddVBand="0" w:evenVBand="0" w:oddHBand="0" w:evenHBand="0" w:firstRowFirstColumn="0" w:firstRowLastColumn="0" w:lastRowFirstColumn="0" w:lastRowLastColumn="0"/>
                  <w:tcW w:w="2371" w:type="dxa"/>
                  <w:tcBorders>
                    <w:top w:val="single" w:sz="4" w:space="0" w:color="FFFFFF" w:themeColor="background1"/>
                    <w:left w:val="single" w:sz="4" w:space="0" w:color="auto"/>
                    <w:bottom w:val="single" w:sz="4" w:space="0" w:color="FFFFFF"/>
                    <w:right w:val="single" w:sz="4" w:space="0" w:color="auto"/>
                  </w:tcBorders>
                  <w:vAlign w:val="center"/>
                </w:tcPr>
                <w:p w14:paraId="24DD7B36" w14:textId="77777777" w:rsidR="004072AF" w:rsidRPr="00D633FF" w:rsidRDefault="004072AF" w:rsidP="004072AF">
                  <w:pPr>
                    <w:rPr>
                      <w:rFonts w:ascii="Calibri" w:eastAsia="Times New Roman" w:hAnsi="Calibri" w:cs="Calibri"/>
                      <w:i/>
                      <w:sz w:val="20"/>
                    </w:rPr>
                  </w:pPr>
                  <w:r w:rsidRPr="00D633FF">
                    <w:rPr>
                      <w:rFonts w:ascii="Calibri" w:eastAsia="Times New Roman" w:hAnsi="Calibri" w:cs="Calibri"/>
                    </w:rPr>
                    <w:t>2 to under 5 years</w:t>
                  </w:r>
                </w:p>
              </w:tc>
              <w:tc>
                <w:tcPr>
                  <w:tcW w:w="1134" w:type="dxa"/>
                  <w:tcBorders>
                    <w:top w:val="single" w:sz="4" w:space="0" w:color="auto"/>
                    <w:left w:val="single" w:sz="4" w:space="0" w:color="auto"/>
                    <w:right w:val="single" w:sz="4" w:space="0" w:color="auto"/>
                  </w:tcBorders>
                  <w:shd w:val="clear" w:color="auto" w:fill="FFFFFF"/>
                  <w:vAlign w:val="center"/>
                </w:tcPr>
                <w:p w14:paraId="5FCC91C5" w14:textId="300C69F2" w:rsidR="004072AF" w:rsidRPr="00D633FF" w:rsidRDefault="001D0B65" w:rsidP="005D7F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20"/>
                    </w:rPr>
                  </w:pPr>
                  <w:r w:rsidRPr="00D633FF">
                    <w:rPr>
                      <w:rFonts w:ascii="Calibri" w:eastAsia="Times New Roman" w:hAnsi="Calibri" w:cs="Calibri"/>
                    </w:rPr>
                    <w:t>110</w:t>
                  </w:r>
                </w:p>
              </w:tc>
            </w:tr>
            <w:tr w:rsidR="004072AF" w:rsidRPr="00D633FF" w14:paraId="58ED7CE5" w14:textId="77777777" w:rsidTr="005D7F7C">
              <w:trPr>
                <w:trHeight w:val="340"/>
                <w:jc w:val="center"/>
              </w:trPr>
              <w:tc>
                <w:tcPr>
                  <w:cnfStyle w:val="001000000000" w:firstRow="0" w:lastRow="0" w:firstColumn="1" w:lastColumn="0" w:oddVBand="0" w:evenVBand="0" w:oddHBand="0" w:evenHBand="0" w:firstRowFirstColumn="0" w:firstRowLastColumn="0" w:lastRowFirstColumn="0" w:lastRowLastColumn="0"/>
                  <w:tcW w:w="2371" w:type="dxa"/>
                  <w:tcBorders>
                    <w:top w:val="single" w:sz="4" w:space="0" w:color="FFFFFF"/>
                    <w:left w:val="single" w:sz="4" w:space="0" w:color="auto"/>
                    <w:bottom w:val="single" w:sz="4" w:space="0" w:color="FFFFFF"/>
                    <w:right w:val="single" w:sz="4" w:space="0" w:color="auto"/>
                  </w:tcBorders>
                  <w:vAlign w:val="center"/>
                </w:tcPr>
                <w:p w14:paraId="3256D72B" w14:textId="77777777" w:rsidR="004072AF" w:rsidRPr="00D633FF" w:rsidRDefault="004072AF" w:rsidP="004072AF">
                  <w:pPr>
                    <w:rPr>
                      <w:rFonts w:ascii="Calibri" w:eastAsia="Times New Roman" w:hAnsi="Calibri" w:cs="Calibri"/>
                      <w:i/>
                      <w:sz w:val="20"/>
                    </w:rPr>
                  </w:pPr>
                  <w:r w:rsidRPr="00D633FF">
                    <w:rPr>
                      <w:rFonts w:ascii="Calibri" w:eastAsia="Times New Roman" w:hAnsi="Calibri" w:cs="Calibri"/>
                    </w:rPr>
                    <w:t>5 to under 12 years</w:t>
                  </w:r>
                </w:p>
              </w:tc>
              <w:tc>
                <w:tcPr>
                  <w:tcW w:w="1134" w:type="dxa"/>
                  <w:tcBorders>
                    <w:left w:val="single" w:sz="4" w:space="0" w:color="auto"/>
                  </w:tcBorders>
                  <w:shd w:val="clear" w:color="auto" w:fill="CCCCCF"/>
                  <w:vAlign w:val="center"/>
                </w:tcPr>
                <w:p w14:paraId="48895E25" w14:textId="38B1E0AF" w:rsidR="004072AF" w:rsidRPr="00D633FF" w:rsidRDefault="003C1931" w:rsidP="005D7F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20"/>
                    </w:rPr>
                  </w:pPr>
                  <w:r w:rsidRPr="00D633FF">
                    <w:rPr>
                      <w:rFonts w:ascii="Calibri" w:eastAsia="Times New Roman" w:hAnsi="Calibri" w:cs="Calibri"/>
                    </w:rPr>
                    <w:t>205</w:t>
                  </w:r>
                </w:p>
              </w:tc>
            </w:tr>
            <w:tr w:rsidR="004072AF" w:rsidRPr="00D633FF" w14:paraId="5ABD0D13" w14:textId="77777777" w:rsidTr="005D7F7C">
              <w:trPr>
                <w:trHeight w:val="340"/>
                <w:jc w:val="center"/>
              </w:trPr>
              <w:tc>
                <w:tcPr>
                  <w:cnfStyle w:val="001000000000" w:firstRow="0" w:lastRow="0" w:firstColumn="1" w:lastColumn="0" w:oddVBand="0" w:evenVBand="0" w:oddHBand="0" w:evenHBand="0" w:firstRowFirstColumn="0" w:firstRowLastColumn="0" w:lastRowFirstColumn="0" w:lastRowLastColumn="0"/>
                  <w:tcW w:w="2371" w:type="dxa"/>
                  <w:tcBorders>
                    <w:top w:val="single" w:sz="4" w:space="0" w:color="FFFFFF"/>
                    <w:left w:val="single" w:sz="4" w:space="0" w:color="auto"/>
                    <w:bottom w:val="single" w:sz="4" w:space="0" w:color="auto"/>
                    <w:right w:val="single" w:sz="4" w:space="0" w:color="auto"/>
                  </w:tcBorders>
                  <w:vAlign w:val="center"/>
                </w:tcPr>
                <w:p w14:paraId="29DD33A9" w14:textId="77777777" w:rsidR="004072AF" w:rsidRPr="00D633FF" w:rsidRDefault="004072AF" w:rsidP="004072AF">
                  <w:pPr>
                    <w:rPr>
                      <w:rFonts w:ascii="Calibri" w:eastAsia="Times New Roman" w:hAnsi="Calibri" w:cs="Calibri"/>
                      <w:i/>
                      <w:sz w:val="20"/>
                    </w:rPr>
                  </w:pPr>
                  <w:r w:rsidRPr="00D633FF">
                    <w:rPr>
                      <w:rFonts w:ascii="Calibri" w:eastAsia="Times New Roman" w:hAnsi="Calibri" w:cs="Calibri"/>
                    </w:rPr>
                    <w:t>12 to under 18 years</w:t>
                  </w:r>
                </w:p>
              </w:tc>
              <w:tc>
                <w:tcPr>
                  <w:tcW w:w="1134" w:type="dxa"/>
                  <w:tcBorders>
                    <w:left w:val="single" w:sz="4" w:space="0" w:color="auto"/>
                  </w:tcBorders>
                  <w:shd w:val="clear" w:color="auto" w:fill="FFFFFF"/>
                  <w:vAlign w:val="center"/>
                </w:tcPr>
                <w:p w14:paraId="2613A566" w14:textId="77777777" w:rsidR="004072AF" w:rsidRPr="00D633FF" w:rsidRDefault="004072AF" w:rsidP="005D7F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20"/>
                    </w:rPr>
                  </w:pPr>
                  <w:r w:rsidRPr="00D633FF">
                    <w:rPr>
                      <w:rFonts w:ascii="Calibri" w:eastAsia="Times New Roman" w:hAnsi="Calibri" w:cs="Calibri"/>
                    </w:rPr>
                    <w:t>360</w:t>
                  </w:r>
                </w:p>
              </w:tc>
            </w:tr>
          </w:tbl>
          <w:p w14:paraId="21AB75A2" w14:textId="77777777" w:rsidR="005C5475" w:rsidRPr="00D633FF" w:rsidRDefault="005C5475" w:rsidP="005C5475">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Cs w:val="20"/>
              </w:rPr>
            </w:pPr>
          </w:p>
          <w:p w14:paraId="49CC98A0" w14:textId="77777777" w:rsidR="005C5475" w:rsidRPr="00D633FF" w:rsidRDefault="005C5475" w:rsidP="0087492B">
            <w:pPr>
              <w:spacing w:before="0" w:after="16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rPr>
            </w:pPr>
            <w:r w:rsidRPr="00D633FF">
              <w:rPr>
                <w:rFonts w:ascii="Calibri" w:eastAsia="Times New Roman" w:hAnsi="Calibri" w:cs="Calibri"/>
                <w:sz w:val="20"/>
              </w:rPr>
              <w:t xml:space="preserve">ULs apply to both sexes, and during pregnancy and lactation. </w:t>
            </w:r>
          </w:p>
          <w:p w14:paraId="4908049F" w14:textId="77777777" w:rsidR="005C5475" w:rsidRPr="00D633FF" w:rsidRDefault="005C5475" w:rsidP="0087492B">
            <w:pPr>
              <w:spacing w:before="0" w:after="16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rPr>
            </w:pPr>
            <w:r w:rsidRPr="00D633FF">
              <w:rPr>
                <w:rFonts w:ascii="Calibri" w:eastAsia="Times New Roman" w:hAnsi="Calibri" w:cs="Calibri"/>
                <w:sz w:val="20"/>
              </w:rPr>
              <w:lastRenderedPageBreak/>
              <w:t>For children the UL values are based on the same evidence as the NHMRC 2006 values.</w:t>
            </w:r>
          </w:p>
          <w:p w14:paraId="53A62113" w14:textId="1C3DC0DF" w:rsidR="005C5475" w:rsidRPr="00D633FF" w:rsidRDefault="005C5475" w:rsidP="0087492B">
            <w:pPr>
              <w:spacing w:before="0" w:after="16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rPr>
            </w:pPr>
            <w:r w:rsidRPr="00D633FF">
              <w:rPr>
                <w:rFonts w:ascii="Calibri" w:eastAsia="Times New Roman" w:hAnsi="Calibri" w:cs="Calibri"/>
                <w:sz w:val="20"/>
              </w:rPr>
              <w:t xml:space="preserve">UL values for </w:t>
            </w:r>
            <w:r w:rsidR="00B15FB7" w:rsidRPr="00D633FF">
              <w:rPr>
                <w:rFonts w:ascii="Calibri" w:eastAsia="Times New Roman" w:hAnsi="Calibri" w:cs="Calibri"/>
                <w:sz w:val="20"/>
              </w:rPr>
              <w:t xml:space="preserve">infants and </w:t>
            </w:r>
            <w:r w:rsidRPr="00D633FF">
              <w:rPr>
                <w:rFonts w:ascii="Calibri" w:eastAsia="Times New Roman" w:hAnsi="Calibri" w:cs="Calibri"/>
                <w:sz w:val="20"/>
              </w:rPr>
              <w:t>children have not been updated.</w:t>
            </w:r>
          </w:p>
          <w:p w14:paraId="274FC386" w14:textId="6494973B" w:rsidR="005C5475" w:rsidRPr="00D633FF" w:rsidRDefault="005C5475" w:rsidP="0087492B">
            <w:pPr>
              <w:spacing w:before="0" w:after="16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rPr>
            </w:pPr>
            <w:r w:rsidRPr="00D633FF">
              <w:rPr>
                <w:rFonts w:ascii="Calibri" w:eastAsia="Times New Roman" w:hAnsi="Calibri" w:cs="Calibri"/>
                <w:sz w:val="20"/>
              </w:rPr>
              <w:t xml:space="preserve">Additional child age groupings have been calculated </w:t>
            </w:r>
            <w:r w:rsidR="00D5084D" w:rsidRPr="00D633FF">
              <w:rPr>
                <w:rFonts w:ascii="Calibri" w:eastAsia="Times New Roman" w:hAnsi="Calibri" w:cs="Calibri"/>
                <w:sz w:val="20"/>
              </w:rPr>
              <w:t xml:space="preserve">based on weighted averages </w:t>
            </w:r>
            <w:r w:rsidRPr="00D633FF">
              <w:rPr>
                <w:rFonts w:ascii="Calibri" w:eastAsia="Times New Roman" w:hAnsi="Calibri" w:cs="Calibri"/>
                <w:sz w:val="20"/>
              </w:rPr>
              <w:t>to include school age groups for reporting against the 2025 ABS National Health survey.</w:t>
            </w:r>
          </w:p>
          <w:p w14:paraId="38C58BD8" w14:textId="52C7E21E" w:rsidR="005C5475" w:rsidRPr="00D633FF" w:rsidRDefault="005C5475" w:rsidP="0087492B">
            <w:pPr>
              <w:spacing w:before="0" w:after="16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rPr>
            </w:pPr>
            <w:r w:rsidRPr="00D633FF">
              <w:rPr>
                <w:rFonts w:ascii="Calibri" w:eastAsia="Times New Roman" w:hAnsi="Calibri" w:cs="Calibri"/>
                <w:sz w:val="20"/>
              </w:rPr>
              <w:t xml:space="preserve">UL values </w:t>
            </w:r>
            <w:r w:rsidR="001E2316" w:rsidRPr="00D633FF">
              <w:rPr>
                <w:rFonts w:ascii="Calibri" w:eastAsia="Times New Roman" w:hAnsi="Calibri" w:cs="Calibri"/>
                <w:sz w:val="20"/>
              </w:rPr>
              <w:t xml:space="preserve">the 12 to under </w:t>
            </w:r>
            <w:r w:rsidR="00A6707F" w:rsidRPr="00D633FF">
              <w:rPr>
                <w:rFonts w:ascii="Calibri" w:eastAsia="Times New Roman" w:hAnsi="Calibri" w:cs="Calibri"/>
                <w:sz w:val="20"/>
              </w:rPr>
              <w:t>24-month</w:t>
            </w:r>
            <w:r w:rsidR="001E2316" w:rsidRPr="00D633FF">
              <w:rPr>
                <w:rFonts w:ascii="Calibri" w:eastAsia="Times New Roman" w:hAnsi="Calibri" w:cs="Calibri"/>
                <w:sz w:val="20"/>
              </w:rPr>
              <w:t xml:space="preserve"> population</w:t>
            </w:r>
            <w:r w:rsidRPr="00D633FF">
              <w:rPr>
                <w:rFonts w:ascii="Calibri" w:eastAsia="Times New Roman" w:hAnsi="Calibri" w:cs="Calibri"/>
                <w:sz w:val="20"/>
              </w:rPr>
              <w:t xml:space="preserve"> have been extrapolated from adult data using WHO growth charts </w:t>
            </w:r>
            <w:r w:rsidR="00F41A14" w:rsidRPr="00D633FF">
              <w:rPr>
                <w:rFonts w:ascii="Calibri" w:eastAsia="Times New Roman" w:hAnsi="Calibri" w:cs="Calibri"/>
                <w:noProof/>
                <w:sz w:val="20"/>
              </w:rPr>
              <w:t>(WHO 2006)</w:t>
            </w:r>
            <w:r w:rsidRPr="00D633FF">
              <w:rPr>
                <w:rFonts w:ascii="Calibri" w:eastAsia="Times New Roman" w:hAnsi="Calibri" w:cs="Calibri"/>
                <w:sz w:val="20"/>
              </w:rPr>
              <w:t>, as ABS does not collect information on these age groups.</w:t>
            </w:r>
          </w:p>
          <w:p w14:paraId="3A0CBB8E" w14:textId="02EA70C7" w:rsidR="005C5475" w:rsidRPr="00D633FF" w:rsidRDefault="005C5475" w:rsidP="0087492B">
            <w:pPr>
              <w:spacing w:before="0" w:after="16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Cs w:val="20"/>
              </w:rPr>
            </w:pPr>
          </w:p>
        </w:tc>
        <w:tc>
          <w:tcPr>
            <w:tcW w:w="634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543EB882" w14:textId="77777777" w:rsidR="00032B50" w:rsidRPr="00D633FF" w:rsidRDefault="00032B50" w:rsidP="00032B50">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Arial" w:hAnsi="Calibri" w:cs="Calibri"/>
                <w:b/>
                <w:bCs/>
                <w:sz w:val="20"/>
                <w:szCs w:val="20"/>
              </w:rPr>
            </w:pPr>
            <w:r w:rsidRPr="00D633FF">
              <w:rPr>
                <w:rFonts w:ascii="Calibri" w:eastAsia="Arial" w:hAnsi="Calibri" w:cs="Calibri"/>
                <w:b/>
                <w:bCs/>
                <w:sz w:val="20"/>
                <w:szCs w:val="20"/>
              </w:rPr>
              <w:lastRenderedPageBreak/>
              <w:t>NRV age groups</w:t>
            </w:r>
          </w:p>
          <w:tbl>
            <w:tblPr>
              <w:tblStyle w:val="GridTable5Dark"/>
              <w:tblW w:w="3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1195"/>
            </w:tblGrid>
            <w:tr w:rsidR="00032B50" w:rsidRPr="00D633FF" w14:paraId="3530DDF3" w14:textId="77777777" w:rsidTr="00AC2C25">
              <w:trPr>
                <w:cnfStyle w:val="100000000000" w:firstRow="1" w:lastRow="0" w:firstColumn="0" w:lastColumn="0" w:oddVBand="0" w:evenVBand="0" w:oddHBand="0"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354" w:type="dxa"/>
                  <w:tcBorders>
                    <w:top w:val="single" w:sz="4" w:space="0" w:color="auto"/>
                    <w:left w:val="single" w:sz="4" w:space="0" w:color="auto"/>
                    <w:bottom w:val="single" w:sz="4" w:space="0" w:color="FFFFFF" w:themeColor="background1"/>
                    <w:right w:val="single" w:sz="4" w:space="0" w:color="FFFFFF"/>
                  </w:tcBorders>
                  <w:vAlign w:val="center"/>
                </w:tcPr>
                <w:p w14:paraId="32DCA261" w14:textId="77777777" w:rsidR="00032B50" w:rsidRPr="00D633FF" w:rsidRDefault="00032B50" w:rsidP="00032B50">
                  <w:pPr>
                    <w:rPr>
                      <w:rFonts w:ascii="Calibri" w:eastAsia="Times New Roman" w:hAnsi="Calibri" w:cs="Calibri"/>
                    </w:rPr>
                  </w:pPr>
                  <w:r w:rsidRPr="00D633FF">
                    <w:rPr>
                      <w:rFonts w:ascii="Calibri" w:eastAsia="Times New Roman" w:hAnsi="Calibri" w:cs="Calibri"/>
                    </w:rPr>
                    <w:t>Age</w:t>
                  </w:r>
                </w:p>
              </w:tc>
              <w:tc>
                <w:tcPr>
                  <w:tcW w:w="1195" w:type="dxa"/>
                  <w:tcBorders>
                    <w:top w:val="single" w:sz="4" w:space="0" w:color="auto"/>
                    <w:left w:val="single" w:sz="4" w:space="0" w:color="FFFFFF"/>
                    <w:right w:val="single" w:sz="4" w:space="0" w:color="auto"/>
                  </w:tcBorders>
                  <w:vAlign w:val="center"/>
                </w:tcPr>
                <w:p w14:paraId="554E3AC1" w14:textId="77777777" w:rsidR="00032B50" w:rsidRPr="00D633FF" w:rsidRDefault="00032B50" w:rsidP="00032B5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 xml:space="preserve">UL </w:t>
                  </w:r>
                  <w:r w:rsidRPr="00D633FF">
                    <w:rPr>
                      <w:rFonts w:ascii="Calibri" w:eastAsia="Times New Roman" w:hAnsi="Calibri" w:cs="Calibri"/>
                    </w:rPr>
                    <w:br/>
                    <w:t>(µg/day)</w:t>
                  </w:r>
                </w:p>
              </w:tc>
            </w:tr>
            <w:tr w:rsidR="002617E0" w:rsidRPr="00D633FF" w14:paraId="7ECD2395" w14:textId="77777777" w:rsidTr="00AC2C25">
              <w:trPr>
                <w:trHeight w:val="340"/>
                <w:jc w:val="center"/>
              </w:trPr>
              <w:tc>
                <w:tcPr>
                  <w:cnfStyle w:val="001000000000" w:firstRow="0" w:lastRow="0" w:firstColumn="1" w:lastColumn="0" w:oddVBand="0" w:evenVBand="0" w:oddHBand="0" w:evenHBand="0" w:firstRowFirstColumn="0" w:firstRowLastColumn="0" w:lastRowFirstColumn="0" w:lastRowLastColumn="0"/>
                  <w:tcW w:w="2354" w:type="dxa"/>
                  <w:tcBorders>
                    <w:top w:val="single" w:sz="4" w:space="0" w:color="FFFFFF" w:themeColor="background1"/>
                    <w:left w:val="single" w:sz="4" w:space="0" w:color="auto"/>
                    <w:bottom w:val="single" w:sz="4" w:space="0" w:color="FFFFFF" w:themeColor="background1"/>
                    <w:right w:val="single" w:sz="4" w:space="0" w:color="FFFFFF" w:themeColor="background1"/>
                  </w:tcBorders>
                  <w:vAlign w:val="center"/>
                </w:tcPr>
                <w:p w14:paraId="2EBF72F8" w14:textId="77777777" w:rsidR="002617E0" w:rsidRPr="00D633FF" w:rsidRDefault="002617E0" w:rsidP="002617E0">
                  <w:pPr>
                    <w:rPr>
                      <w:rFonts w:ascii="Calibri" w:eastAsia="Times New Roman" w:hAnsi="Calibri" w:cs="Calibri"/>
                      <w:i/>
                      <w:sz w:val="20"/>
                    </w:rPr>
                  </w:pPr>
                  <w:r w:rsidRPr="00D633FF">
                    <w:rPr>
                      <w:rFonts w:ascii="Calibri" w:eastAsia="Times New Roman" w:hAnsi="Calibri" w:cs="Calibri"/>
                    </w:rPr>
                    <w:t>0-6 months</w:t>
                  </w:r>
                </w:p>
              </w:tc>
              <w:tc>
                <w:tcPr>
                  <w:tcW w:w="1195" w:type="dxa"/>
                  <w:tcBorders>
                    <w:left w:val="single" w:sz="4" w:space="0" w:color="FFFFFF" w:themeColor="background1"/>
                  </w:tcBorders>
                  <w:shd w:val="clear" w:color="auto" w:fill="CCCCCF"/>
                  <w:vAlign w:val="center"/>
                </w:tcPr>
                <w:p w14:paraId="01AA56B6" w14:textId="60FE4F57" w:rsidR="002617E0" w:rsidRPr="00D633FF" w:rsidRDefault="002617E0" w:rsidP="002617E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45*</w:t>
                  </w:r>
                </w:p>
              </w:tc>
            </w:tr>
            <w:tr w:rsidR="002617E0" w:rsidRPr="00D633FF" w14:paraId="270BF763" w14:textId="77777777" w:rsidTr="00AC2C25">
              <w:trPr>
                <w:trHeight w:val="340"/>
                <w:jc w:val="center"/>
              </w:trPr>
              <w:tc>
                <w:tcPr>
                  <w:cnfStyle w:val="001000000000" w:firstRow="0" w:lastRow="0" w:firstColumn="1" w:lastColumn="0" w:oddVBand="0" w:evenVBand="0" w:oddHBand="0" w:evenHBand="0" w:firstRowFirstColumn="0" w:firstRowLastColumn="0" w:lastRowFirstColumn="0" w:lastRowLastColumn="0"/>
                  <w:tcW w:w="2354" w:type="dxa"/>
                  <w:tcBorders>
                    <w:top w:val="single" w:sz="4" w:space="0" w:color="FFFFFF" w:themeColor="background1"/>
                    <w:left w:val="single" w:sz="4" w:space="0" w:color="auto"/>
                    <w:bottom w:val="single" w:sz="4" w:space="0" w:color="FFFFFF"/>
                    <w:right w:val="single" w:sz="4" w:space="0" w:color="auto"/>
                  </w:tcBorders>
                  <w:vAlign w:val="center"/>
                </w:tcPr>
                <w:p w14:paraId="1EDB166D" w14:textId="77777777" w:rsidR="002617E0" w:rsidRPr="00D633FF" w:rsidRDefault="002617E0" w:rsidP="002617E0">
                  <w:pPr>
                    <w:rPr>
                      <w:rFonts w:ascii="Calibri" w:eastAsia="Times New Roman" w:hAnsi="Calibri" w:cs="Calibri"/>
                      <w:i/>
                      <w:sz w:val="20"/>
                    </w:rPr>
                  </w:pPr>
                  <w:r w:rsidRPr="00D633FF">
                    <w:rPr>
                      <w:rFonts w:ascii="Calibri" w:eastAsia="Times New Roman" w:hAnsi="Calibri" w:cs="Calibri"/>
                    </w:rPr>
                    <w:t>7-12 months</w:t>
                  </w:r>
                </w:p>
              </w:tc>
              <w:tc>
                <w:tcPr>
                  <w:tcW w:w="1195" w:type="dxa"/>
                  <w:tcBorders>
                    <w:left w:val="single" w:sz="4" w:space="0" w:color="auto"/>
                  </w:tcBorders>
                  <w:shd w:val="clear" w:color="auto" w:fill="FFFFFF"/>
                  <w:vAlign w:val="center"/>
                </w:tcPr>
                <w:p w14:paraId="55F80606" w14:textId="296F1697" w:rsidR="002617E0" w:rsidRPr="00D633FF" w:rsidRDefault="002617E0" w:rsidP="002617E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60*</w:t>
                  </w:r>
                </w:p>
              </w:tc>
            </w:tr>
            <w:tr w:rsidR="002617E0" w:rsidRPr="00D633FF" w14:paraId="71BEF30A" w14:textId="77777777" w:rsidTr="00AC2C25">
              <w:trPr>
                <w:trHeight w:val="340"/>
                <w:jc w:val="center"/>
              </w:trPr>
              <w:tc>
                <w:tcPr>
                  <w:cnfStyle w:val="001000000000" w:firstRow="0" w:lastRow="0" w:firstColumn="1" w:lastColumn="0" w:oddVBand="0" w:evenVBand="0" w:oddHBand="0" w:evenHBand="0" w:firstRowFirstColumn="0" w:firstRowLastColumn="0" w:lastRowFirstColumn="0" w:lastRowLastColumn="0"/>
                  <w:tcW w:w="2354" w:type="dxa"/>
                  <w:tcBorders>
                    <w:top w:val="single" w:sz="4" w:space="0" w:color="FFFFFF"/>
                    <w:left w:val="single" w:sz="4" w:space="0" w:color="auto"/>
                    <w:bottom w:val="single" w:sz="4" w:space="0" w:color="FFFFFF"/>
                    <w:right w:val="single" w:sz="4" w:space="0" w:color="auto"/>
                  </w:tcBorders>
                  <w:vAlign w:val="center"/>
                </w:tcPr>
                <w:p w14:paraId="111E5753" w14:textId="77777777" w:rsidR="002617E0" w:rsidRPr="00D633FF" w:rsidRDefault="002617E0" w:rsidP="002617E0">
                  <w:pPr>
                    <w:rPr>
                      <w:rFonts w:ascii="Calibri" w:eastAsia="Times New Roman" w:hAnsi="Calibri" w:cs="Calibri"/>
                      <w:i/>
                    </w:rPr>
                  </w:pPr>
                  <w:r w:rsidRPr="00D633FF">
                    <w:rPr>
                      <w:rFonts w:ascii="Calibri" w:eastAsia="Times New Roman" w:hAnsi="Calibri" w:cs="Calibri"/>
                    </w:rPr>
                    <w:t>1 to under 4 years</w:t>
                  </w:r>
                </w:p>
              </w:tc>
              <w:tc>
                <w:tcPr>
                  <w:tcW w:w="1195" w:type="dxa"/>
                  <w:tcBorders>
                    <w:left w:val="single" w:sz="4" w:space="0" w:color="auto"/>
                  </w:tcBorders>
                  <w:shd w:val="clear" w:color="auto" w:fill="D1D1D1" w:themeFill="background2" w:themeFillShade="E6"/>
                  <w:vAlign w:val="center"/>
                </w:tcPr>
                <w:p w14:paraId="5408D422" w14:textId="2B6A3237" w:rsidR="002617E0" w:rsidRPr="00D633FF" w:rsidRDefault="002617E0" w:rsidP="002617E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rPr>
                  </w:pPr>
                  <w:r w:rsidRPr="00D633FF">
                    <w:rPr>
                      <w:rFonts w:ascii="Calibri" w:eastAsia="Times New Roman" w:hAnsi="Calibri" w:cs="Calibri"/>
                    </w:rPr>
                    <w:t>100</w:t>
                  </w:r>
                </w:p>
              </w:tc>
            </w:tr>
            <w:tr w:rsidR="002617E0" w:rsidRPr="00D633FF" w14:paraId="6B1C2A0A" w14:textId="77777777" w:rsidTr="00AC2C25">
              <w:trPr>
                <w:trHeight w:val="340"/>
                <w:jc w:val="center"/>
              </w:trPr>
              <w:tc>
                <w:tcPr>
                  <w:cnfStyle w:val="001000000000" w:firstRow="0" w:lastRow="0" w:firstColumn="1" w:lastColumn="0" w:oddVBand="0" w:evenVBand="0" w:oddHBand="0" w:evenHBand="0" w:firstRowFirstColumn="0" w:firstRowLastColumn="0" w:lastRowFirstColumn="0" w:lastRowLastColumn="0"/>
                  <w:tcW w:w="2354" w:type="dxa"/>
                  <w:tcBorders>
                    <w:top w:val="single" w:sz="4" w:space="0" w:color="FFFFFF"/>
                    <w:left w:val="single" w:sz="4" w:space="0" w:color="auto"/>
                    <w:bottom w:val="single" w:sz="4" w:space="0" w:color="FFFFFF"/>
                    <w:right w:val="single" w:sz="4" w:space="0" w:color="auto"/>
                  </w:tcBorders>
                  <w:vAlign w:val="center"/>
                </w:tcPr>
                <w:p w14:paraId="457ECCE8" w14:textId="77777777" w:rsidR="002617E0" w:rsidRPr="00D633FF" w:rsidRDefault="002617E0" w:rsidP="002617E0">
                  <w:pPr>
                    <w:rPr>
                      <w:rFonts w:ascii="Calibri" w:eastAsia="Times New Roman" w:hAnsi="Calibri" w:cs="Calibri"/>
                      <w:i/>
                    </w:rPr>
                  </w:pPr>
                  <w:r w:rsidRPr="00D633FF">
                    <w:rPr>
                      <w:rFonts w:ascii="Calibri" w:eastAsia="Times New Roman" w:hAnsi="Calibri" w:cs="Calibri"/>
                    </w:rPr>
                    <w:t>4 to under 9 years</w:t>
                  </w:r>
                </w:p>
              </w:tc>
              <w:tc>
                <w:tcPr>
                  <w:tcW w:w="1195" w:type="dxa"/>
                  <w:tcBorders>
                    <w:left w:val="single" w:sz="4" w:space="0" w:color="auto"/>
                  </w:tcBorders>
                  <w:shd w:val="clear" w:color="auto" w:fill="FFFFFF" w:themeFill="background1"/>
                  <w:vAlign w:val="center"/>
                </w:tcPr>
                <w:p w14:paraId="2C87A6F1" w14:textId="5CF59932" w:rsidR="002617E0" w:rsidRPr="00D633FF" w:rsidRDefault="002617E0" w:rsidP="002617E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rPr>
                  </w:pPr>
                  <w:r w:rsidRPr="00D633FF">
                    <w:rPr>
                      <w:rFonts w:ascii="Calibri" w:eastAsia="Times New Roman" w:hAnsi="Calibri" w:cs="Calibri"/>
                    </w:rPr>
                    <w:t>150</w:t>
                  </w:r>
                </w:p>
              </w:tc>
            </w:tr>
            <w:tr w:rsidR="002617E0" w:rsidRPr="00D633FF" w14:paraId="31913C6A" w14:textId="77777777" w:rsidTr="00AC2C25">
              <w:trPr>
                <w:trHeight w:val="340"/>
                <w:jc w:val="center"/>
              </w:trPr>
              <w:tc>
                <w:tcPr>
                  <w:cnfStyle w:val="001000000000" w:firstRow="0" w:lastRow="0" w:firstColumn="1" w:lastColumn="0" w:oddVBand="0" w:evenVBand="0" w:oddHBand="0" w:evenHBand="0" w:firstRowFirstColumn="0" w:firstRowLastColumn="0" w:lastRowFirstColumn="0" w:lastRowLastColumn="0"/>
                  <w:tcW w:w="2354" w:type="dxa"/>
                  <w:tcBorders>
                    <w:top w:val="single" w:sz="4" w:space="0" w:color="FFFFFF"/>
                    <w:left w:val="single" w:sz="4" w:space="0" w:color="auto"/>
                    <w:bottom w:val="single" w:sz="4" w:space="0" w:color="FFFFFF"/>
                    <w:right w:val="single" w:sz="4" w:space="0" w:color="auto"/>
                  </w:tcBorders>
                  <w:vAlign w:val="center"/>
                </w:tcPr>
                <w:p w14:paraId="3285AE34" w14:textId="77777777" w:rsidR="002617E0" w:rsidRPr="00D633FF" w:rsidRDefault="002617E0" w:rsidP="002617E0">
                  <w:pPr>
                    <w:rPr>
                      <w:rFonts w:ascii="Calibri" w:eastAsia="Times New Roman" w:hAnsi="Calibri" w:cs="Calibri"/>
                      <w:i/>
                    </w:rPr>
                  </w:pPr>
                  <w:r w:rsidRPr="00D633FF">
                    <w:rPr>
                      <w:rFonts w:ascii="Calibri" w:eastAsia="Times New Roman" w:hAnsi="Calibri" w:cs="Calibri"/>
                    </w:rPr>
                    <w:t>9 to under 14 years</w:t>
                  </w:r>
                </w:p>
              </w:tc>
              <w:tc>
                <w:tcPr>
                  <w:tcW w:w="1195" w:type="dxa"/>
                  <w:tcBorders>
                    <w:left w:val="single" w:sz="4" w:space="0" w:color="auto"/>
                  </w:tcBorders>
                  <w:shd w:val="clear" w:color="auto" w:fill="D1D1D1" w:themeFill="background2" w:themeFillShade="E6"/>
                  <w:vAlign w:val="center"/>
                </w:tcPr>
                <w:p w14:paraId="4D78E25F" w14:textId="6D11681C" w:rsidR="002617E0" w:rsidRPr="00D633FF" w:rsidRDefault="002617E0" w:rsidP="002617E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rPr>
                  </w:pPr>
                  <w:r w:rsidRPr="00D633FF">
                    <w:rPr>
                      <w:rFonts w:ascii="Calibri" w:eastAsia="Times New Roman" w:hAnsi="Calibri" w:cs="Calibri"/>
                    </w:rPr>
                    <w:t>235</w:t>
                  </w:r>
                </w:p>
              </w:tc>
            </w:tr>
            <w:tr w:rsidR="002617E0" w:rsidRPr="00D633FF" w:rsidDel="002E3C26" w14:paraId="60F5EE00" w14:textId="77777777" w:rsidTr="00AC2C25">
              <w:trPr>
                <w:trHeight w:val="340"/>
                <w:jc w:val="center"/>
              </w:trPr>
              <w:tc>
                <w:tcPr>
                  <w:cnfStyle w:val="001000000000" w:firstRow="0" w:lastRow="0" w:firstColumn="1" w:lastColumn="0" w:oddVBand="0" w:evenVBand="0" w:oddHBand="0" w:evenHBand="0" w:firstRowFirstColumn="0" w:firstRowLastColumn="0" w:lastRowFirstColumn="0" w:lastRowLastColumn="0"/>
                  <w:tcW w:w="2354" w:type="dxa"/>
                  <w:tcBorders>
                    <w:top w:val="single" w:sz="4" w:space="0" w:color="FFFFFF"/>
                    <w:left w:val="single" w:sz="4" w:space="0" w:color="auto"/>
                    <w:bottom w:val="single" w:sz="4" w:space="0" w:color="auto"/>
                    <w:right w:val="single" w:sz="4" w:space="0" w:color="auto"/>
                  </w:tcBorders>
                  <w:vAlign w:val="center"/>
                </w:tcPr>
                <w:p w14:paraId="2BC7898C" w14:textId="77777777" w:rsidR="002617E0" w:rsidRPr="00D633FF" w:rsidRDefault="002617E0" w:rsidP="002617E0">
                  <w:pPr>
                    <w:rPr>
                      <w:rFonts w:ascii="Calibri" w:eastAsia="Times New Roman" w:hAnsi="Calibri" w:cs="Calibri"/>
                    </w:rPr>
                  </w:pPr>
                  <w:r w:rsidRPr="00D633FF">
                    <w:rPr>
                      <w:rFonts w:ascii="Calibri" w:eastAsia="Times New Roman" w:hAnsi="Calibri" w:cs="Calibri"/>
                    </w:rPr>
                    <w:t>14 to under 18 years</w:t>
                  </w:r>
                </w:p>
              </w:tc>
              <w:tc>
                <w:tcPr>
                  <w:tcW w:w="1195" w:type="dxa"/>
                  <w:tcBorders>
                    <w:left w:val="single" w:sz="4" w:space="0" w:color="auto"/>
                  </w:tcBorders>
                  <w:shd w:val="clear" w:color="auto" w:fill="FFFFFF" w:themeFill="background1"/>
                  <w:vAlign w:val="center"/>
                </w:tcPr>
                <w:p w14:paraId="20F48DF0" w14:textId="0FC942C4" w:rsidR="002617E0" w:rsidRPr="00D633FF" w:rsidDel="002E3C26" w:rsidRDefault="002617E0" w:rsidP="002617E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rPr>
                  </w:pPr>
                  <w:r w:rsidRPr="00D633FF">
                    <w:rPr>
                      <w:rFonts w:ascii="Calibri" w:eastAsia="Times New Roman" w:hAnsi="Calibri" w:cs="Calibri"/>
                    </w:rPr>
                    <w:t>305</w:t>
                  </w:r>
                </w:p>
              </w:tc>
            </w:tr>
          </w:tbl>
          <w:p w14:paraId="56AED9E4" w14:textId="32F79B3E" w:rsidR="00243FE0" w:rsidRPr="0054772B" w:rsidRDefault="00243FE0" w:rsidP="0054772B">
            <w:pPr>
              <w:spacing w:before="0" w:after="120"/>
              <w:jc w:val="center"/>
              <w:cnfStyle w:val="000000100000" w:firstRow="0" w:lastRow="0" w:firstColumn="0" w:lastColumn="0" w:oddVBand="0" w:evenVBand="0" w:oddHBand="1" w:evenHBand="0" w:firstRowFirstColumn="0" w:firstRowLastColumn="0" w:lastRowFirstColumn="0" w:lastRowLastColumn="0"/>
              <w:rPr>
                <w:rFonts w:ascii="Calibri" w:eastAsia="Arial" w:hAnsi="Calibri" w:cs="Calibri"/>
                <w:b/>
                <w:bCs/>
                <w:i/>
                <w:iCs/>
              </w:rPr>
            </w:pPr>
            <w:r w:rsidRPr="0054772B">
              <w:rPr>
                <w:rFonts w:ascii="Calibri" w:eastAsia="Arial" w:hAnsi="Calibri" w:cs="Calibri"/>
                <w:b/>
                <w:bCs/>
                <w:i/>
                <w:iCs/>
              </w:rPr>
              <w:t xml:space="preserve">* </w:t>
            </w:r>
            <w:proofErr w:type="gramStart"/>
            <w:r w:rsidRPr="0054772B">
              <w:rPr>
                <w:rFonts w:ascii="Calibri" w:eastAsia="Arial" w:hAnsi="Calibri" w:cs="Calibri"/>
                <w:i/>
                <w:iCs/>
              </w:rPr>
              <w:t>values</w:t>
            </w:r>
            <w:proofErr w:type="gramEnd"/>
            <w:r w:rsidRPr="0054772B">
              <w:rPr>
                <w:rFonts w:ascii="Calibri" w:eastAsia="Arial" w:hAnsi="Calibri" w:cs="Calibri"/>
                <w:i/>
                <w:iCs/>
              </w:rPr>
              <w:t xml:space="preserve"> for infants retained - not reviewed in this update.</w:t>
            </w:r>
          </w:p>
          <w:p w14:paraId="1159B1AE" w14:textId="77777777" w:rsidR="00617836" w:rsidRDefault="005C5475" w:rsidP="00617836">
            <w:pPr>
              <w:spacing w:before="420" w:after="0"/>
              <w:jc w:val="center"/>
              <w:cnfStyle w:val="000000100000" w:firstRow="0" w:lastRow="0" w:firstColumn="0" w:lastColumn="0" w:oddVBand="0" w:evenVBand="0" w:oddHBand="1" w:evenHBand="0" w:firstRowFirstColumn="0" w:firstRowLastColumn="0" w:lastRowFirstColumn="0" w:lastRowLastColumn="0"/>
              <w:rPr>
                <w:rFonts w:ascii="Calibri" w:eastAsia="Arial" w:hAnsi="Calibri" w:cs="Calibri"/>
                <w:b/>
                <w:bCs/>
                <w:sz w:val="20"/>
                <w:szCs w:val="20"/>
              </w:rPr>
            </w:pPr>
            <w:r w:rsidRPr="00D633FF">
              <w:rPr>
                <w:rFonts w:ascii="Calibri" w:eastAsia="Arial" w:hAnsi="Calibri" w:cs="Calibri"/>
                <w:b/>
                <w:bCs/>
                <w:sz w:val="20"/>
                <w:szCs w:val="20"/>
              </w:rPr>
              <w:t xml:space="preserve">Alternative age groups for preschool, </w:t>
            </w:r>
          </w:p>
          <w:p w14:paraId="3DC62F2B" w14:textId="7BD0B917" w:rsidR="005C5475" w:rsidRPr="00D633FF" w:rsidRDefault="005C5475" w:rsidP="00617836">
            <w:pPr>
              <w:spacing w:before="0" w:after="120"/>
              <w:jc w:val="center"/>
              <w:cnfStyle w:val="000000100000" w:firstRow="0" w:lastRow="0" w:firstColumn="0" w:lastColumn="0" w:oddVBand="0" w:evenVBand="0" w:oddHBand="1" w:evenHBand="0" w:firstRowFirstColumn="0" w:firstRowLastColumn="0" w:lastRowFirstColumn="0" w:lastRowLastColumn="0"/>
              <w:rPr>
                <w:rFonts w:ascii="Calibri" w:eastAsia="Arial" w:hAnsi="Calibri" w:cs="Calibri"/>
                <w:b/>
                <w:bCs/>
                <w:sz w:val="20"/>
                <w:szCs w:val="20"/>
              </w:rPr>
            </w:pPr>
            <w:r w:rsidRPr="00D633FF">
              <w:rPr>
                <w:rFonts w:ascii="Calibri" w:eastAsia="Arial" w:hAnsi="Calibri" w:cs="Calibri"/>
                <w:b/>
                <w:bCs/>
                <w:sz w:val="20"/>
                <w:szCs w:val="20"/>
              </w:rPr>
              <w:t>primary school and adolescents</w:t>
            </w:r>
          </w:p>
          <w:tbl>
            <w:tblPr>
              <w:tblStyle w:val="GridTable5Dark"/>
              <w:tblW w:w="3768" w:type="dxa"/>
              <w:jc w:val="center"/>
              <w:tblLook w:val="04A0" w:firstRow="1" w:lastRow="0" w:firstColumn="1" w:lastColumn="0" w:noHBand="0" w:noVBand="1"/>
            </w:tblPr>
            <w:tblGrid>
              <w:gridCol w:w="2458"/>
              <w:gridCol w:w="1310"/>
            </w:tblGrid>
            <w:tr w:rsidR="00585A3F" w:rsidRPr="00D633FF" w14:paraId="2D079A53" w14:textId="77777777" w:rsidTr="00CA4FCF">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458" w:type="dxa"/>
                  <w:tcBorders>
                    <w:top w:val="single" w:sz="4" w:space="0" w:color="auto"/>
                    <w:left w:val="single" w:sz="4" w:space="0" w:color="auto"/>
                    <w:bottom w:val="single" w:sz="4" w:space="0" w:color="FFFFFF" w:themeColor="background1"/>
                  </w:tcBorders>
                  <w:vAlign w:val="center"/>
                </w:tcPr>
                <w:p w14:paraId="770C4967" w14:textId="77777777" w:rsidR="005C5475" w:rsidRPr="00D633FF" w:rsidRDefault="005C5475" w:rsidP="005C5475">
                  <w:pPr>
                    <w:rPr>
                      <w:rFonts w:ascii="Calibri" w:eastAsia="Times New Roman" w:hAnsi="Calibri" w:cs="Calibri"/>
                    </w:rPr>
                  </w:pPr>
                  <w:r w:rsidRPr="00D633FF">
                    <w:rPr>
                      <w:rFonts w:ascii="Calibri" w:eastAsia="Times New Roman" w:hAnsi="Calibri" w:cs="Calibri"/>
                    </w:rPr>
                    <w:t>Age</w:t>
                  </w:r>
                </w:p>
              </w:tc>
              <w:tc>
                <w:tcPr>
                  <w:tcW w:w="1310" w:type="dxa"/>
                  <w:tcBorders>
                    <w:top w:val="single" w:sz="4" w:space="0" w:color="auto"/>
                    <w:bottom w:val="single" w:sz="4" w:space="0" w:color="auto"/>
                    <w:right w:val="single" w:sz="4" w:space="0" w:color="auto"/>
                  </w:tcBorders>
                  <w:vAlign w:val="center"/>
                </w:tcPr>
                <w:p w14:paraId="2D68EAE2" w14:textId="77777777" w:rsidR="005C5475" w:rsidRPr="00D633FF" w:rsidRDefault="005C5475" w:rsidP="005D7F7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Cs/>
                    </w:rPr>
                  </w:pPr>
                  <w:r w:rsidRPr="00D633FF">
                    <w:rPr>
                      <w:rFonts w:ascii="Calibri" w:eastAsia="Times New Roman" w:hAnsi="Calibri" w:cs="Calibri"/>
                    </w:rPr>
                    <w:t xml:space="preserve">UL </w:t>
                  </w:r>
                  <w:r w:rsidRPr="00D633FF">
                    <w:rPr>
                      <w:rFonts w:ascii="Calibri" w:eastAsia="Times New Roman" w:hAnsi="Calibri" w:cs="Calibri"/>
                    </w:rPr>
                    <w:br/>
                    <w:t>(µg/day)</w:t>
                  </w:r>
                </w:p>
              </w:tc>
            </w:tr>
            <w:tr w:rsidR="00585A3F" w:rsidRPr="00D633FF" w14:paraId="24CFABBB" w14:textId="77777777" w:rsidTr="00CA4FCF">
              <w:trPr>
                <w:trHeight w:val="340"/>
                <w:jc w:val="center"/>
              </w:trPr>
              <w:tc>
                <w:tcPr>
                  <w:cnfStyle w:val="001000000000" w:firstRow="0" w:lastRow="0" w:firstColumn="1" w:lastColumn="0" w:oddVBand="0" w:evenVBand="0" w:oddHBand="0" w:evenHBand="0" w:firstRowFirstColumn="0" w:firstRowLastColumn="0" w:lastRowFirstColumn="0" w:lastRowLastColumn="0"/>
                  <w:tcW w:w="245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78FE95D0" w14:textId="6DB891E9" w:rsidR="004072AF" w:rsidRPr="00D633FF" w:rsidRDefault="004072AF" w:rsidP="004072AF">
                  <w:pPr>
                    <w:rPr>
                      <w:rFonts w:ascii="Calibri" w:eastAsia="Times New Roman" w:hAnsi="Calibri" w:cs="Calibri"/>
                    </w:rPr>
                  </w:pPr>
                  <w:r w:rsidRPr="00D633FF">
                    <w:rPr>
                      <w:rFonts w:ascii="Calibri" w:eastAsia="Times New Roman" w:hAnsi="Calibri" w:cs="Calibri"/>
                    </w:rPr>
                    <w:t>12 to under 24 months</w:t>
                  </w:r>
                </w:p>
              </w:tc>
              <w:tc>
                <w:tcPr>
                  <w:tcW w:w="1310"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59C63AEE" w14:textId="5CC287E3" w:rsidR="004072AF" w:rsidRPr="00D633FF" w:rsidRDefault="004072AF" w:rsidP="005D7F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Cs/>
                    </w:rPr>
                  </w:pPr>
                  <w:r w:rsidRPr="00D633FF">
                    <w:rPr>
                      <w:rFonts w:ascii="Calibri" w:eastAsia="Times New Roman" w:hAnsi="Calibri" w:cs="Calibri"/>
                    </w:rPr>
                    <w:t>85</w:t>
                  </w:r>
                </w:p>
              </w:tc>
            </w:tr>
            <w:tr w:rsidR="001B6395" w:rsidRPr="00D633FF" w14:paraId="5E6EEFBD" w14:textId="77777777" w:rsidTr="00CA4FCF">
              <w:trPr>
                <w:trHeight w:val="340"/>
                <w:jc w:val="center"/>
              </w:trPr>
              <w:tc>
                <w:tcPr>
                  <w:cnfStyle w:val="001000000000" w:firstRow="0" w:lastRow="0" w:firstColumn="1" w:lastColumn="0" w:oddVBand="0" w:evenVBand="0" w:oddHBand="0" w:evenHBand="0" w:firstRowFirstColumn="0" w:firstRowLastColumn="0" w:lastRowFirstColumn="0" w:lastRowLastColumn="0"/>
                  <w:tcW w:w="245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17B81ACD" w14:textId="77777777" w:rsidR="004072AF" w:rsidRPr="00D633FF" w:rsidRDefault="004072AF" w:rsidP="004072AF">
                  <w:pPr>
                    <w:rPr>
                      <w:rFonts w:ascii="Calibri" w:eastAsia="Times New Roman" w:hAnsi="Calibri" w:cs="Calibri"/>
                      <w:i/>
                      <w:sz w:val="20"/>
                    </w:rPr>
                  </w:pPr>
                  <w:r w:rsidRPr="00D633FF">
                    <w:rPr>
                      <w:rFonts w:ascii="Calibri" w:eastAsia="Times New Roman" w:hAnsi="Calibri" w:cs="Calibri"/>
                    </w:rPr>
                    <w:t>2 to under 5 years</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center"/>
                </w:tcPr>
                <w:p w14:paraId="0CE8EA3D" w14:textId="77777777" w:rsidR="004072AF" w:rsidRPr="00ED6B17" w:rsidRDefault="004072AF" w:rsidP="005D7F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Cs/>
                    </w:rPr>
                  </w:pPr>
                  <w:r w:rsidRPr="00ED6B17">
                    <w:rPr>
                      <w:rFonts w:ascii="Calibri" w:eastAsia="Times New Roman" w:hAnsi="Calibri" w:cs="Calibri"/>
                      <w:iCs/>
                    </w:rPr>
                    <w:t>120</w:t>
                  </w:r>
                </w:p>
              </w:tc>
            </w:tr>
            <w:tr w:rsidR="00585A3F" w:rsidRPr="00D633FF" w14:paraId="1AA83F9A" w14:textId="77777777" w:rsidTr="00CA4FCF">
              <w:trPr>
                <w:trHeight w:val="340"/>
                <w:jc w:val="center"/>
              </w:trPr>
              <w:tc>
                <w:tcPr>
                  <w:cnfStyle w:val="001000000000" w:firstRow="0" w:lastRow="0" w:firstColumn="1" w:lastColumn="0" w:oddVBand="0" w:evenVBand="0" w:oddHBand="0" w:evenHBand="0" w:firstRowFirstColumn="0" w:firstRowLastColumn="0" w:lastRowFirstColumn="0" w:lastRowLastColumn="0"/>
                  <w:tcW w:w="245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60F00DBC" w14:textId="77777777" w:rsidR="004072AF" w:rsidRPr="00D633FF" w:rsidRDefault="004072AF" w:rsidP="004072AF">
                  <w:pPr>
                    <w:rPr>
                      <w:rFonts w:ascii="Calibri" w:eastAsia="Times New Roman" w:hAnsi="Calibri" w:cs="Calibri"/>
                      <w:i/>
                      <w:sz w:val="20"/>
                    </w:rPr>
                  </w:pPr>
                  <w:r w:rsidRPr="00D633FF">
                    <w:rPr>
                      <w:rFonts w:ascii="Calibri" w:eastAsia="Times New Roman" w:hAnsi="Calibri" w:cs="Calibri"/>
                    </w:rPr>
                    <w:t>5 to under 12 years</w:t>
                  </w:r>
                </w:p>
              </w:tc>
              <w:tc>
                <w:tcPr>
                  <w:tcW w:w="1310" w:type="dxa"/>
                  <w:tcBorders>
                    <w:top w:val="single" w:sz="4" w:space="0" w:color="auto"/>
                    <w:left w:val="single" w:sz="4" w:space="0" w:color="auto"/>
                    <w:bottom w:val="single" w:sz="4" w:space="0" w:color="auto"/>
                    <w:right w:val="single" w:sz="4" w:space="0" w:color="auto"/>
                  </w:tcBorders>
                  <w:shd w:val="clear" w:color="auto" w:fill="CCCCCF"/>
                  <w:vAlign w:val="center"/>
                </w:tcPr>
                <w:p w14:paraId="744BCA99" w14:textId="77777777" w:rsidR="004072AF" w:rsidRPr="00D633FF" w:rsidRDefault="004072AF" w:rsidP="005D7F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Cs/>
                    </w:rPr>
                  </w:pPr>
                  <w:r w:rsidRPr="00D633FF">
                    <w:rPr>
                      <w:rFonts w:ascii="Calibri" w:eastAsia="Times New Roman" w:hAnsi="Calibri" w:cs="Calibri"/>
                      <w:iCs/>
                    </w:rPr>
                    <w:t>185</w:t>
                  </w:r>
                </w:p>
              </w:tc>
            </w:tr>
            <w:tr w:rsidR="00585A3F" w:rsidRPr="00D633FF" w14:paraId="2E59909F" w14:textId="77777777" w:rsidTr="00CA4FCF">
              <w:trPr>
                <w:trHeight w:val="340"/>
                <w:jc w:val="center"/>
              </w:trPr>
              <w:tc>
                <w:tcPr>
                  <w:cnfStyle w:val="001000000000" w:firstRow="0" w:lastRow="0" w:firstColumn="1" w:lastColumn="0" w:oddVBand="0" w:evenVBand="0" w:oddHBand="0" w:evenHBand="0" w:firstRowFirstColumn="0" w:firstRowLastColumn="0" w:lastRowFirstColumn="0" w:lastRowLastColumn="0"/>
                  <w:tcW w:w="2458" w:type="dxa"/>
                  <w:tcBorders>
                    <w:top w:val="single" w:sz="4" w:space="0" w:color="FFFFFF" w:themeColor="background1"/>
                    <w:left w:val="single" w:sz="4" w:space="0" w:color="auto"/>
                    <w:bottom w:val="single" w:sz="4" w:space="0" w:color="auto"/>
                    <w:right w:val="single" w:sz="4" w:space="0" w:color="auto"/>
                  </w:tcBorders>
                  <w:vAlign w:val="center"/>
                </w:tcPr>
                <w:p w14:paraId="439CBFB3" w14:textId="77777777" w:rsidR="004072AF" w:rsidRPr="00D633FF" w:rsidRDefault="004072AF" w:rsidP="004072AF">
                  <w:pPr>
                    <w:rPr>
                      <w:rFonts w:ascii="Calibri" w:eastAsia="Times New Roman" w:hAnsi="Calibri" w:cs="Calibri"/>
                      <w:i/>
                      <w:sz w:val="20"/>
                    </w:rPr>
                  </w:pPr>
                  <w:r w:rsidRPr="00D633FF">
                    <w:rPr>
                      <w:rFonts w:ascii="Calibri" w:eastAsia="Times New Roman" w:hAnsi="Calibri" w:cs="Calibri"/>
                    </w:rPr>
                    <w:t>12 to under 18 years</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center"/>
                </w:tcPr>
                <w:p w14:paraId="6F731E2D" w14:textId="77777777" w:rsidR="004072AF" w:rsidRPr="00D633FF" w:rsidRDefault="004072AF" w:rsidP="005D7F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Cs/>
                    </w:rPr>
                  </w:pPr>
                  <w:r w:rsidRPr="00D633FF">
                    <w:rPr>
                      <w:rFonts w:ascii="Calibri" w:eastAsia="Times New Roman" w:hAnsi="Calibri" w:cs="Calibri"/>
                      <w:iCs/>
                    </w:rPr>
                    <w:t>295</w:t>
                  </w:r>
                </w:p>
              </w:tc>
            </w:tr>
          </w:tbl>
          <w:p w14:paraId="3D0DE95F" w14:textId="77777777" w:rsidR="005C5475" w:rsidRPr="00D633FF" w:rsidRDefault="005C5475" w:rsidP="005C5475">
            <w:pPr>
              <w:spacing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rPr>
            </w:pPr>
          </w:p>
          <w:p w14:paraId="03ADAE50" w14:textId="6A0C5ADC" w:rsidR="005C5475" w:rsidRPr="00D633FF" w:rsidRDefault="005C5475" w:rsidP="00DB03BC">
            <w:pPr>
              <w:spacing w:before="0" w:after="16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rPr>
            </w:pPr>
            <w:r w:rsidRPr="00D633FF">
              <w:rPr>
                <w:rFonts w:ascii="Calibri" w:eastAsia="Times New Roman" w:hAnsi="Calibri" w:cs="Calibri"/>
                <w:sz w:val="20"/>
              </w:rPr>
              <w:lastRenderedPageBreak/>
              <w:t>ULs apply to both sexes</w:t>
            </w:r>
            <w:r w:rsidR="00DB03BC" w:rsidRPr="00D633FF">
              <w:rPr>
                <w:rFonts w:ascii="Calibri" w:eastAsia="Times New Roman" w:hAnsi="Calibri" w:cs="Calibri"/>
                <w:sz w:val="20"/>
              </w:rPr>
              <w:t xml:space="preserve"> and </w:t>
            </w:r>
            <w:r w:rsidRPr="00D633FF">
              <w:rPr>
                <w:rFonts w:ascii="Calibri" w:eastAsia="Times New Roman" w:hAnsi="Calibri" w:cs="Calibri"/>
                <w:sz w:val="20"/>
              </w:rPr>
              <w:t xml:space="preserve">values for children aged </w:t>
            </w:r>
            <w:r w:rsidR="00144DE1" w:rsidRPr="00D633FF">
              <w:rPr>
                <w:rFonts w:ascii="Calibri" w:eastAsia="Times New Roman" w:hAnsi="Calibri" w:cs="Calibri"/>
                <w:sz w:val="20"/>
              </w:rPr>
              <w:t>1</w:t>
            </w:r>
            <w:r w:rsidRPr="00D633FF">
              <w:rPr>
                <w:rFonts w:ascii="Calibri" w:eastAsia="Times New Roman" w:hAnsi="Calibri" w:cs="Calibri"/>
                <w:sz w:val="20"/>
              </w:rPr>
              <w:t xml:space="preserve"> year and above have been extrapolated from the adult UL using </w:t>
            </w:r>
            <w:r w:rsidR="00AC5899" w:rsidRPr="00D633FF">
              <w:rPr>
                <w:rFonts w:ascii="Calibri" w:eastAsia="Times New Roman" w:hAnsi="Calibri" w:cs="Calibri"/>
                <w:sz w:val="20"/>
              </w:rPr>
              <w:t>updated</w:t>
            </w:r>
            <w:r w:rsidR="00144DE1" w:rsidRPr="00D633FF">
              <w:rPr>
                <w:rFonts w:ascii="Calibri" w:eastAsia="Times New Roman" w:hAnsi="Calibri" w:cs="Calibri"/>
                <w:sz w:val="20"/>
              </w:rPr>
              <w:t xml:space="preserve"> </w:t>
            </w:r>
            <w:r w:rsidRPr="00D633FF">
              <w:rPr>
                <w:rFonts w:ascii="Calibri" w:eastAsia="Times New Roman" w:hAnsi="Calibri" w:cs="Calibri"/>
                <w:sz w:val="20"/>
              </w:rPr>
              <w:t>ABS reference weights for each group</w:t>
            </w:r>
            <w:r w:rsidR="00493C3F" w:rsidRPr="00D633FF">
              <w:rPr>
                <w:rFonts w:ascii="Calibri" w:eastAsia="Times New Roman" w:hAnsi="Calibri" w:cs="Calibri"/>
                <w:sz w:val="20"/>
              </w:rPr>
              <w:t xml:space="preserve"> </w:t>
            </w:r>
            <w:r w:rsidR="00F41A14" w:rsidRPr="00D633FF">
              <w:rPr>
                <w:rFonts w:ascii="Calibri" w:eastAsia="Times New Roman" w:hAnsi="Calibri" w:cs="Calibri"/>
                <w:noProof/>
                <w:sz w:val="20"/>
              </w:rPr>
              <w:t>(</w:t>
            </w:r>
            <w:r w:rsidR="004F6727" w:rsidRPr="00D633FF">
              <w:rPr>
                <w:rFonts w:ascii="Calibri" w:eastAsia="Times New Roman" w:hAnsi="Calibri" w:cs="Calibri"/>
                <w:noProof/>
                <w:sz w:val="20"/>
              </w:rPr>
              <w:t>NHMRC 2025b</w:t>
            </w:r>
            <w:r w:rsidR="00F41A14" w:rsidRPr="00D633FF">
              <w:rPr>
                <w:rFonts w:ascii="Calibri" w:eastAsia="Times New Roman" w:hAnsi="Calibri" w:cs="Calibri"/>
                <w:noProof/>
                <w:sz w:val="20"/>
              </w:rPr>
              <w:t>)</w:t>
            </w:r>
            <w:r w:rsidRPr="00D633FF">
              <w:rPr>
                <w:rFonts w:ascii="Calibri" w:eastAsia="Times New Roman" w:hAnsi="Calibri" w:cs="Calibri"/>
                <w:sz w:val="20"/>
              </w:rPr>
              <w:t>.</w:t>
            </w:r>
          </w:p>
          <w:p w14:paraId="4516046B" w14:textId="3947AB26" w:rsidR="00E56FA7" w:rsidRPr="00D633FF" w:rsidRDefault="005C5475" w:rsidP="009E2F47">
            <w:pPr>
              <w:spacing w:before="0" w:after="16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rPr>
            </w:pPr>
            <w:r w:rsidRPr="00D633FF">
              <w:rPr>
                <w:rFonts w:ascii="Calibri" w:eastAsia="Times New Roman" w:hAnsi="Calibri" w:cs="Calibri"/>
                <w:sz w:val="20"/>
              </w:rPr>
              <w:t>Additional child age groupings have been calculated to include school age groups for reporting against the 2025 ABS National Health survey.</w:t>
            </w:r>
          </w:p>
          <w:p w14:paraId="3092B449" w14:textId="4AF94F0E" w:rsidR="00046101" w:rsidRPr="00D633FF" w:rsidRDefault="00046101" w:rsidP="009E2F47">
            <w:pPr>
              <w:spacing w:before="0" w:after="16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rPr>
            </w:pPr>
            <w:r w:rsidRPr="00D633FF">
              <w:rPr>
                <w:rFonts w:ascii="Calibri" w:eastAsia="Times New Roman" w:hAnsi="Calibri" w:cs="Calibri"/>
                <w:sz w:val="20"/>
              </w:rPr>
              <w:t>UL values for infants were not</w:t>
            </w:r>
            <w:r w:rsidR="00FC2992" w:rsidRPr="00D633FF">
              <w:rPr>
                <w:rFonts w:ascii="Calibri" w:eastAsia="Times New Roman" w:hAnsi="Calibri" w:cs="Calibri"/>
                <w:sz w:val="20"/>
              </w:rPr>
              <w:t xml:space="preserve"> </w:t>
            </w:r>
            <w:r w:rsidR="009D6672" w:rsidRPr="00D633FF">
              <w:rPr>
                <w:rFonts w:ascii="Calibri" w:eastAsia="Times New Roman" w:hAnsi="Calibri" w:cs="Calibri"/>
                <w:sz w:val="20"/>
              </w:rPr>
              <w:t xml:space="preserve">within the scope of </w:t>
            </w:r>
            <w:r w:rsidR="00FC2992" w:rsidRPr="00D633FF">
              <w:rPr>
                <w:rFonts w:ascii="Calibri" w:eastAsia="Times New Roman" w:hAnsi="Calibri" w:cs="Calibri"/>
                <w:sz w:val="20"/>
              </w:rPr>
              <w:t>this review</w:t>
            </w:r>
            <w:r w:rsidR="000D5B3E" w:rsidRPr="00D633FF">
              <w:rPr>
                <w:rFonts w:ascii="Calibri" w:eastAsia="Times New Roman" w:hAnsi="Calibri" w:cs="Calibri"/>
                <w:sz w:val="20"/>
              </w:rPr>
              <w:t xml:space="preserve"> and remain </w:t>
            </w:r>
            <w:r w:rsidR="009D6672" w:rsidRPr="00D633FF">
              <w:rPr>
                <w:rFonts w:ascii="Calibri" w:eastAsia="Times New Roman" w:hAnsi="Calibri" w:cs="Calibri"/>
                <w:sz w:val="20"/>
              </w:rPr>
              <w:t xml:space="preserve">as established in </w:t>
            </w:r>
            <w:r w:rsidR="001E2316" w:rsidRPr="00D633FF">
              <w:rPr>
                <w:rFonts w:ascii="Calibri" w:eastAsia="Times New Roman" w:hAnsi="Calibri" w:cs="Calibri"/>
                <w:sz w:val="20"/>
              </w:rPr>
              <w:t>2006</w:t>
            </w:r>
            <w:r w:rsidR="009D6672" w:rsidRPr="00D633FF">
              <w:rPr>
                <w:rFonts w:ascii="Calibri" w:eastAsia="Times New Roman" w:hAnsi="Calibri" w:cs="Calibri"/>
                <w:sz w:val="20"/>
              </w:rPr>
              <w:t xml:space="preserve">. </w:t>
            </w:r>
            <w:r w:rsidR="007038B4" w:rsidRPr="00D633FF">
              <w:rPr>
                <w:rFonts w:ascii="Calibri" w:eastAsia="Times New Roman" w:hAnsi="Calibri" w:cs="Calibri"/>
                <w:sz w:val="20"/>
              </w:rPr>
              <w:t xml:space="preserve">These values </w:t>
            </w:r>
            <w:r w:rsidR="005C46A9" w:rsidRPr="00D633FF">
              <w:rPr>
                <w:rFonts w:ascii="Calibri" w:eastAsia="Times New Roman" w:hAnsi="Calibri" w:cs="Calibri"/>
                <w:sz w:val="20"/>
              </w:rPr>
              <w:t xml:space="preserve">are based on a study showing no adverse effects at </w:t>
            </w:r>
            <w:r w:rsidR="0045080B" w:rsidRPr="00D633FF">
              <w:rPr>
                <w:rFonts w:ascii="Calibri" w:eastAsia="Times New Roman" w:hAnsi="Calibri" w:cs="Calibri"/>
                <w:sz w:val="20"/>
              </w:rPr>
              <w:t xml:space="preserve">breast milk selenium concentrations of 60 µg/L (Shearer &amp; Hadjimarkos 1975). </w:t>
            </w:r>
          </w:p>
          <w:p w14:paraId="465E43D6" w14:textId="77777777" w:rsidR="005C5475" w:rsidRPr="00D633FF" w:rsidRDefault="005C5475" w:rsidP="009E2F47">
            <w:pPr>
              <w:spacing w:before="0" w:after="16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20"/>
              </w:rPr>
            </w:pPr>
            <w:r w:rsidRPr="00D633FF">
              <w:rPr>
                <w:rFonts w:ascii="Calibri" w:eastAsia="Times New Roman" w:hAnsi="Calibri" w:cs="Calibri"/>
                <w:sz w:val="20"/>
              </w:rPr>
              <w:t xml:space="preserve">Based on the most current intake data for the Australian and New Zealand populations, excess intake is unlikely </w:t>
            </w:r>
            <w:r w:rsidRPr="00D633FF">
              <w:rPr>
                <w:rFonts w:ascii="Calibri" w:eastAsia="Times New Roman" w:hAnsi="Calibri" w:cs="Calibri"/>
                <w:i/>
                <w:iCs/>
                <w:sz w:val="20"/>
              </w:rPr>
              <w:t xml:space="preserve">(see section below: Selenium exposure in Australia and New Zealand). </w:t>
            </w:r>
          </w:p>
          <w:p w14:paraId="295D4295" w14:textId="45CFA577" w:rsidR="005C5475" w:rsidRPr="00D633FF" w:rsidRDefault="005C5475" w:rsidP="009E2F47">
            <w:pPr>
              <w:spacing w:before="0" w:after="16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rPr>
            </w:pPr>
            <w:r w:rsidRPr="00D633FF">
              <w:rPr>
                <w:rFonts w:ascii="Calibri" w:eastAsia="Times New Roman" w:hAnsi="Calibri" w:cs="Calibri"/>
                <w:sz w:val="20"/>
              </w:rPr>
              <w:t xml:space="preserve">Most at risk of exceeding the UL of intake are regular consumers of </w:t>
            </w:r>
            <w:r w:rsidR="00D22832" w:rsidRPr="00D633FF">
              <w:rPr>
                <w:rFonts w:ascii="Calibri" w:eastAsia="Times New Roman" w:hAnsi="Calibri" w:cs="Calibri"/>
                <w:sz w:val="20"/>
              </w:rPr>
              <w:t>Brazil</w:t>
            </w:r>
            <w:r w:rsidRPr="00D633FF">
              <w:rPr>
                <w:rFonts w:ascii="Calibri" w:eastAsia="Times New Roman" w:hAnsi="Calibri" w:cs="Calibri"/>
                <w:sz w:val="20"/>
              </w:rPr>
              <w:t xml:space="preserve"> nuts (due to their high selenium content), and high consumers of selenium supplements (especially those sourced from overseas which may have selenium levels higher than those permitted by the TGA)</w:t>
            </w:r>
            <w:r w:rsidRPr="00D633FF">
              <w:rPr>
                <w:rFonts w:ascii="Calibri" w:eastAsia="Times New Roman" w:hAnsi="Calibri" w:cs="Calibri"/>
                <w:sz w:val="20"/>
                <w:szCs w:val="20"/>
              </w:rPr>
              <w:t>.</w:t>
            </w:r>
            <w:r w:rsidRPr="00D633FF">
              <w:rPr>
                <w:rFonts w:ascii="Calibri" w:eastAsia="Times New Roman" w:hAnsi="Calibri" w:cs="Calibri"/>
                <w:sz w:val="20"/>
              </w:rPr>
              <w:t xml:space="preserve">  </w:t>
            </w:r>
          </w:p>
        </w:tc>
      </w:tr>
      <w:tr w:rsidR="00FC2992" w:rsidRPr="00D633FF" w14:paraId="29DADCCE" w14:textId="77777777" w:rsidTr="000477FA">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500" w:type="dxa"/>
            <w:tcBorders>
              <w:top w:val="single" w:sz="4" w:space="0" w:color="auto"/>
              <w:left w:val="single" w:sz="4" w:space="0" w:color="auto"/>
              <w:bottom w:val="single" w:sz="4" w:space="0" w:color="auto"/>
              <w:right w:val="single" w:sz="4" w:space="0" w:color="auto"/>
            </w:tcBorders>
            <w:shd w:val="clear" w:color="auto" w:fill="83CAEB" w:themeFill="accent1" w:themeFillTint="66"/>
          </w:tcPr>
          <w:p w14:paraId="4060D4DD" w14:textId="77777777" w:rsidR="005C5475" w:rsidRPr="00D633FF" w:rsidRDefault="005C5475" w:rsidP="003164F1">
            <w:pPr>
              <w:spacing w:before="120" w:after="160" w:line="276" w:lineRule="auto"/>
              <w:rPr>
                <w:rFonts w:ascii="Calibri" w:eastAsia="Times New Roman" w:hAnsi="Calibri" w:cs="Calibri"/>
                <w:color w:val="auto"/>
                <w:sz w:val="20"/>
              </w:rPr>
            </w:pPr>
            <w:r w:rsidRPr="00D633FF">
              <w:rPr>
                <w:rFonts w:ascii="Calibri" w:eastAsia="Times New Roman" w:hAnsi="Calibri" w:cs="Calibri"/>
                <w:color w:val="auto"/>
                <w:sz w:val="20"/>
              </w:rPr>
              <w:lastRenderedPageBreak/>
              <w:t>Health evidence profile and supporting information</w:t>
            </w:r>
          </w:p>
        </w:tc>
        <w:tc>
          <w:tcPr>
            <w:tcW w:w="6000" w:type="dxa"/>
            <w:tcBorders>
              <w:top w:val="single" w:sz="4" w:space="0" w:color="auto"/>
              <w:left w:val="single" w:sz="4" w:space="0" w:color="auto"/>
              <w:bottom w:val="single" w:sz="4" w:space="0" w:color="auto"/>
              <w:right w:val="single" w:sz="4" w:space="0" w:color="auto"/>
            </w:tcBorders>
          </w:tcPr>
          <w:p w14:paraId="5DD2F095" w14:textId="72D6CA92" w:rsidR="005C5475" w:rsidRPr="00D633FF" w:rsidRDefault="005C5475" w:rsidP="003164F1">
            <w:pPr>
              <w:shd w:val="clear" w:color="auto" w:fill="C8E4EF"/>
              <w:spacing w:before="120" w:after="160" w:line="276" w:lineRule="auto"/>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lang w:eastAsia="en-AU"/>
              </w:rPr>
              <w:t xml:space="preserve">The 2006 NHMRC selenium ULs were adopted from the 2000 US Institute of Medicine (IOM) ULs </w:t>
            </w:r>
            <w:r w:rsidR="00F41A14" w:rsidRPr="00D633FF">
              <w:rPr>
                <w:rFonts w:ascii="Calibri" w:eastAsia="Times New Roman" w:hAnsi="Calibri" w:cs="Calibri"/>
                <w:noProof/>
                <w:sz w:val="20"/>
                <w:szCs w:val="20"/>
                <w:lang w:eastAsia="en-AU"/>
              </w:rPr>
              <w:t>(Institute of Medicine Panel on Dietary &amp; Related 2000)</w:t>
            </w:r>
            <w:r w:rsidRPr="00D633FF">
              <w:rPr>
                <w:rFonts w:ascii="Calibri" w:eastAsia="Times New Roman" w:hAnsi="Calibri" w:cs="Calibri"/>
                <w:sz w:val="20"/>
                <w:szCs w:val="20"/>
                <w:lang w:eastAsia="en-AU"/>
              </w:rPr>
              <w:t xml:space="preserve">. </w:t>
            </w:r>
          </w:p>
          <w:p w14:paraId="00647D38" w14:textId="6DDE8C8E" w:rsidR="005C5475" w:rsidRPr="00D633FF" w:rsidRDefault="005C5475" w:rsidP="008D15E1">
            <w:pPr>
              <w:numPr>
                <w:ilvl w:val="0"/>
                <w:numId w:val="35"/>
              </w:numPr>
              <w:spacing w:before="0" w:after="160" w:line="276" w:lineRule="auto"/>
              <w:ind w:left="0" w:hanging="357"/>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 xml:space="preserve">The UL for young infants was based on the studies of Shearer &amp; Hadjimarkos </w:t>
            </w:r>
            <w:r w:rsidR="00F41A14" w:rsidRPr="00D633FF">
              <w:rPr>
                <w:rFonts w:ascii="Calibri" w:eastAsia="Times New Roman" w:hAnsi="Calibri" w:cs="Calibri"/>
                <w:noProof/>
                <w:sz w:val="20"/>
                <w:szCs w:val="20"/>
              </w:rPr>
              <w:t>(1975)</w:t>
            </w:r>
            <w:r w:rsidRPr="00D633FF">
              <w:rPr>
                <w:rFonts w:ascii="Calibri" w:eastAsia="Times New Roman" w:hAnsi="Calibri" w:cs="Calibri"/>
                <w:sz w:val="20"/>
                <w:szCs w:val="20"/>
              </w:rPr>
              <w:t xml:space="preserve">. Data on selenium breast milk concentration was collected from 241 participants across the United States. Results suggested that a breast milk concentration of 60 μg/L was not associated with adverse effects. This gives a NOAEL of 47 μg/day (7 μg/kg body weight). </w:t>
            </w:r>
          </w:p>
          <w:p w14:paraId="2A246ED7" w14:textId="3150D12F" w:rsidR="005C5475" w:rsidRPr="00D633FF" w:rsidRDefault="005C5475" w:rsidP="008D15E1">
            <w:pPr>
              <w:numPr>
                <w:ilvl w:val="0"/>
                <w:numId w:val="35"/>
              </w:numPr>
              <w:spacing w:before="0" w:after="160" w:line="276" w:lineRule="auto"/>
              <w:ind w:left="0" w:hanging="357"/>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lastRenderedPageBreak/>
              <w:t xml:space="preserve">A UF of 1 was applied, as there is no evidence that maternal intakes associated with breast milk in this range cause toxicity for mothers or infants </w:t>
            </w:r>
            <w:r w:rsidR="00F41A14" w:rsidRPr="00D633FF">
              <w:rPr>
                <w:rFonts w:ascii="Calibri" w:eastAsia="Times New Roman" w:hAnsi="Calibri" w:cs="Calibri"/>
                <w:noProof/>
                <w:sz w:val="20"/>
                <w:szCs w:val="20"/>
              </w:rPr>
              <w:t>(Shearer &amp; Hadjimarkos 1975)</w:t>
            </w:r>
            <w:r w:rsidRPr="00D633FF">
              <w:rPr>
                <w:rFonts w:ascii="Calibri" w:eastAsia="Times New Roman" w:hAnsi="Calibri" w:cs="Calibri"/>
                <w:sz w:val="20"/>
                <w:szCs w:val="20"/>
              </w:rPr>
              <w:t xml:space="preserve">. </w:t>
            </w:r>
          </w:p>
          <w:p w14:paraId="52BCE900" w14:textId="38C66324" w:rsidR="005C5475" w:rsidRPr="00D633FF" w:rsidRDefault="005C5475" w:rsidP="008D15E1">
            <w:pPr>
              <w:numPr>
                <w:ilvl w:val="0"/>
                <w:numId w:val="35"/>
              </w:numPr>
              <w:spacing w:before="0" w:after="160" w:line="276" w:lineRule="auto"/>
              <w:ind w:left="0" w:hanging="357"/>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 xml:space="preserve">As there was no evidence of increased toxicity in older children and adolescents, the ULs for these groups were scaled </w:t>
            </w:r>
            <w:r w:rsidR="00F026FD" w:rsidRPr="00D633FF">
              <w:rPr>
                <w:rFonts w:ascii="Calibri" w:eastAsia="Times New Roman" w:hAnsi="Calibri" w:cs="Calibri"/>
                <w:sz w:val="20"/>
                <w:szCs w:val="20"/>
              </w:rPr>
              <w:t xml:space="preserve">up </w:t>
            </w:r>
            <w:r w:rsidRPr="00D633FF">
              <w:rPr>
                <w:rFonts w:ascii="Calibri" w:eastAsia="Times New Roman" w:hAnsi="Calibri" w:cs="Calibri"/>
                <w:sz w:val="20"/>
                <w:szCs w:val="20"/>
              </w:rPr>
              <w:t>from the younger infant data using the level of 7 µg/kg body weight. Values were rounded down to the nearest 5µg.</w:t>
            </w:r>
          </w:p>
        </w:tc>
        <w:tc>
          <w:tcPr>
            <w:tcW w:w="6349" w:type="dxa"/>
            <w:tcBorders>
              <w:top w:val="single" w:sz="4" w:space="0" w:color="auto"/>
              <w:left w:val="single" w:sz="4" w:space="0" w:color="auto"/>
              <w:bottom w:val="single" w:sz="4" w:space="0" w:color="auto"/>
              <w:right w:val="single" w:sz="4" w:space="0" w:color="auto"/>
            </w:tcBorders>
          </w:tcPr>
          <w:p w14:paraId="34438462" w14:textId="61661B49" w:rsidR="005C5475" w:rsidRPr="00D633FF" w:rsidRDefault="005C5475" w:rsidP="003164F1">
            <w:pPr>
              <w:spacing w:before="120" w:after="160" w:line="276" w:lineRule="auto"/>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lastRenderedPageBreak/>
              <w:t xml:space="preserve">As there was no data to support the derivation ULs for children, and there is no evidence to indicate that children may be more susceptible to selenium toxicity than adults, the adapted EFSA selenium ULs for adults were extrapolated to children. Allometric scaling with reference bodyweights was used to derive a UL for each age group. </w:t>
            </w:r>
          </w:p>
          <w:p w14:paraId="1D3A8636" w14:textId="77777777" w:rsidR="005C5475" w:rsidRPr="00D633FF" w:rsidRDefault="005C5475" w:rsidP="003A45E7">
            <w:pPr>
              <w:spacing w:before="0" w:after="160" w:line="276" w:lineRule="auto"/>
              <w:cnfStyle w:val="000000010000" w:firstRow="0" w:lastRow="0" w:firstColumn="0" w:lastColumn="0" w:oddVBand="0" w:evenVBand="0" w:oddHBand="0" w:evenHBand="1" w:firstRowFirstColumn="0" w:firstRowLastColumn="0" w:lastRowFirstColumn="0" w:lastRowLastColumn="0"/>
              <w:rPr>
                <w:rFonts w:ascii="Calibri" w:eastAsia="Arial" w:hAnsi="Calibri" w:cs="Calibri"/>
                <w:i/>
                <w:iCs/>
                <w:sz w:val="20"/>
                <w:szCs w:val="20"/>
                <w:highlight w:val="lightGray"/>
              </w:rPr>
            </w:pPr>
            <w:r w:rsidRPr="00D633FF">
              <w:rPr>
                <w:rFonts w:ascii="Calibri" w:eastAsia="Times New Roman" w:hAnsi="Calibri" w:cs="Calibri"/>
                <w:i/>
                <w:iCs/>
                <w:sz w:val="20"/>
                <w:szCs w:val="20"/>
              </w:rPr>
              <w:t xml:space="preserve">For further information on the evidence supporting the Adult UL, see the Adult Evidence-to-Decision table </w:t>
            </w:r>
          </w:p>
          <w:p w14:paraId="693B7A97" w14:textId="77777777" w:rsidR="005C5475" w:rsidRPr="00D633FF" w:rsidRDefault="005C5475" w:rsidP="003A45E7">
            <w:pPr>
              <w:spacing w:before="0" w:after="160" w:line="276" w:lineRule="auto"/>
              <w:cnfStyle w:val="000000010000" w:firstRow="0" w:lastRow="0" w:firstColumn="0" w:lastColumn="0" w:oddVBand="0" w:evenVBand="0" w:oddHBand="0" w:evenHBand="1" w:firstRowFirstColumn="0" w:firstRowLastColumn="0" w:lastRowFirstColumn="0" w:lastRowLastColumn="0"/>
              <w:rPr>
                <w:rFonts w:ascii="Calibri" w:eastAsia="Arial" w:hAnsi="Calibri" w:cs="Calibri"/>
                <w:sz w:val="20"/>
                <w:szCs w:val="20"/>
                <w:highlight w:val="lightGray"/>
              </w:rPr>
            </w:pPr>
            <w:r w:rsidRPr="00D633FF">
              <w:rPr>
                <w:rFonts w:ascii="Calibri" w:eastAsia="Times New Roman" w:hAnsi="Calibri" w:cs="Calibri"/>
                <w:sz w:val="20"/>
                <w:szCs w:val="20"/>
              </w:rPr>
              <w:t xml:space="preserve"> </w:t>
            </w:r>
          </w:p>
        </w:tc>
      </w:tr>
      <w:tr w:rsidR="005C5475" w:rsidRPr="00D633FF" w14:paraId="77411B6E" w14:textId="77777777" w:rsidTr="000477FA">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500" w:type="dxa"/>
            <w:tcBorders>
              <w:top w:val="single" w:sz="4" w:space="0" w:color="auto"/>
              <w:left w:val="single" w:sz="4" w:space="0" w:color="auto"/>
              <w:bottom w:val="single" w:sz="4" w:space="0" w:color="auto"/>
              <w:right w:val="single" w:sz="4" w:space="0" w:color="auto"/>
            </w:tcBorders>
            <w:shd w:val="clear" w:color="auto" w:fill="83CAEB" w:themeFill="accent1" w:themeFillTint="66"/>
          </w:tcPr>
          <w:p w14:paraId="4C559E88" w14:textId="77777777" w:rsidR="005C5475" w:rsidRPr="00D633FF" w:rsidRDefault="005C5475" w:rsidP="003164F1">
            <w:pPr>
              <w:spacing w:before="120" w:after="160" w:line="276" w:lineRule="auto"/>
              <w:rPr>
                <w:rFonts w:ascii="Calibri" w:eastAsia="Times New Roman" w:hAnsi="Calibri" w:cs="Calibri"/>
                <w:color w:val="auto"/>
                <w:sz w:val="20"/>
              </w:rPr>
            </w:pPr>
            <w:r w:rsidRPr="00D633FF">
              <w:rPr>
                <w:rFonts w:ascii="Calibri" w:eastAsia="Times New Roman" w:hAnsi="Calibri" w:cs="Calibri"/>
                <w:color w:val="auto"/>
                <w:sz w:val="20"/>
              </w:rPr>
              <w:t xml:space="preserve">Selenium exposure in Australia and New Zealand </w:t>
            </w:r>
          </w:p>
          <w:p w14:paraId="0BAF9D21" w14:textId="77777777" w:rsidR="005C5475" w:rsidRPr="00D633FF" w:rsidRDefault="005C5475" w:rsidP="00A41BD1">
            <w:pPr>
              <w:spacing w:before="0" w:after="160" w:line="276" w:lineRule="auto"/>
              <w:rPr>
                <w:rFonts w:ascii="Calibri" w:eastAsia="Times New Roman" w:hAnsi="Calibri" w:cs="Calibri"/>
                <w:color w:val="auto"/>
                <w:sz w:val="20"/>
              </w:rPr>
            </w:pPr>
            <w:r w:rsidRPr="00D633FF">
              <w:rPr>
                <w:rFonts w:ascii="Calibri" w:eastAsia="Times New Roman" w:hAnsi="Calibri" w:cs="Calibri"/>
                <w:color w:val="auto"/>
                <w:sz w:val="20"/>
              </w:rPr>
              <w:t xml:space="preserve">General population </w:t>
            </w:r>
          </w:p>
        </w:tc>
        <w:tc>
          <w:tcPr>
            <w:tcW w:w="12349"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tcPr>
          <w:p w14:paraId="6B2BA6AB" w14:textId="77777777" w:rsidR="005C5475" w:rsidRPr="00D633FF" w:rsidRDefault="005C5475" w:rsidP="003164F1">
            <w:pPr>
              <w:spacing w:before="120" w:after="160" w:line="276" w:lineRule="auto"/>
              <w:cnfStyle w:val="000000100000" w:firstRow="0" w:lastRow="0" w:firstColumn="0" w:lastColumn="0" w:oddVBand="0" w:evenVBand="0" w:oddHBand="1" w:evenHBand="0" w:firstRowFirstColumn="0" w:firstRowLastColumn="0" w:lastRowFirstColumn="0" w:lastRowLastColumn="0"/>
              <w:rPr>
                <w:rFonts w:ascii="Calibri" w:eastAsia="Arial" w:hAnsi="Calibri" w:cs="Calibri"/>
                <w:b/>
                <w:bCs/>
                <w:sz w:val="20"/>
              </w:rPr>
            </w:pPr>
            <w:r w:rsidRPr="00D633FF">
              <w:rPr>
                <w:rFonts w:ascii="Calibri" w:eastAsia="Arial" w:hAnsi="Calibri" w:cs="Calibri"/>
                <w:b/>
                <w:bCs/>
                <w:sz w:val="20"/>
              </w:rPr>
              <w:t>Children</w:t>
            </w:r>
          </w:p>
          <w:p w14:paraId="04A5EA5B" w14:textId="35AE0E1F" w:rsidR="005C5475" w:rsidRPr="00D633FF" w:rsidRDefault="005C5475" w:rsidP="00A41BD1">
            <w:pPr>
              <w:spacing w:before="0" w:after="16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 xml:space="preserve">The most current intake data for Australian and New Zealand Children are presented in </w:t>
            </w:r>
            <w:r w:rsidRPr="00D633FF">
              <w:rPr>
                <w:rFonts w:ascii="Calibri" w:eastAsia="Times New Roman" w:hAnsi="Calibri" w:cs="Calibri"/>
                <w:sz w:val="20"/>
                <w:szCs w:val="20"/>
              </w:rPr>
              <w:fldChar w:fldCharType="begin" w:fldLock="1"/>
            </w:r>
            <w:r w:rsidRPr="00D633FF">
              <w:rPr>
                <w:rFonts w:ascii="Calibri" w:eastAsia="Times New Roman" w:hAnsi="Calibri" w:cs="Calibri"/>
                <w:sz w:val="20"/>
                <w:szCs w:val="20"/>
              </w:rPr>
              <w:instrText xml:space="preserve"> REF _Ref207027872 \h </w:instrText>
            </w:r>
            <w:r w:rsidR="004E115F" w:rsidRPr="00D633FF">
              <w:rPr>
                <w:rFonts w:ascii="Calibri" w:eastAsia="Times New Roman" w:hAnsi="Calibri" w:cs="Calibri"/>
                <w:sz w:val="20"/>
                <w:szCs w:val="20"/>
              </w:rPr>
              <w:instrText xml:space="preserve"> \* MERGEFORMAT </w:instrText>
            </w:r>
            <w:r w:rsidRPr="00D633FF">
              <w:rPr>
                <w:rFonts w:ascii="Calibri" w:eastAsia="Times New Roman" w:hAnsi="Calibri" w:cs="Calibri"/>
                <w:sz w:val="20"/>
                <w:szCs w:val="20"/>
              </w:rPr>
            </w:r>
            <w:r w:rsidRPr="00D633FF">
              <w:rPr>
                <w:rFonts w:ascii="Calibri" w:eastAsia="Times New Roman" w:hAnsi="Calibri" w:cs="Calibri"/>
                <w:sz w:val="20"/>
                <w:szCs w:val="20"/>
              </w:rPr>
              <w:fldChar w:fldCharType="separate"/>
            </w:r>
            <w:r w:rsidRPr="00D633FF">
              <w:rPr>
                <w:rFonts w:ascii="Calibri" w:eastAsia="Arial" w:hAnsi="Calibri" w:cs="Calibri"/>
                <w:b/>
                <w:bCs/>
                <w:sz w:val="20"/>
              </w:rPr>
              <w:t xml:space="preserve">Table </w:t>
            </w:r>
            <w:r w:rsidR="00006DA7">
              <w:rPr>
                <w:rFonts w:ascii="Calibri" w:eastAsia="Arial" w:hAnsi="Calibri" w:cs="Calibri"/>
                <w:b/>
                <w:bCs/>
                <w:noProof/>
                <w:sz w:val="20"/>
              </w:rPr>
              <w:t>22</w:t>
            </w:r>
            <w:r w:rsidRPr="00D633FF">
              <w:rPr>
                <w:rFonts w:ascii="Calibri" w:eastAsia="Times New Roman" w:hAnsi="Calibri" w:cs="Calibri"/>
                <w:sz w:val="20"/>
                <w:szCs w:val="20"/>
              </w:rPr>
              <w:fldChar w:fldCharType="end"/>
            </w:r>
            <w:r w:rsidRPr="00D633FF">
              <w:rPr>
                <w:rFonts w:ascii="Calibri" w:eastAsia="Times New Roman" w:hAnsi="Calibri" w:cs="Calibri"/>
                <w:sz w:val="20"/>
                <w:szCs w:val="20"/>
              </w:rPr>
              <w:t xml:space="preserve"> and </w:t>
            </w:r>
            <w:r w:rsidRPr="00D633FF">
              <w:rPr>
                <w:rFonts w:ascii="Calibri" w:eastAsia="Times New Roman" w:hAnsi="Calibri" w:cs="Calibri"/>
                <w:sz w:val="20"/>
                <w:szCs w:val="20"/>
              </w:rPr>
              <w:fldChar w:fldCharType="begin" w:fldLock="1"/>
            </w:r>
            <w:r w:rsidRPr="00D633FF">
              <w:rPr>
                <w:rFonts w:ascii="Calibri" w:eastAsia="Times New Roman" w:hAnsi="Calibri" w:cs="Calibri"/>
                <w:sz w:val="20"/>
                <w:szCs w:val="20"/>
              </w:rPr>
              <w:instrText xml:space="preserve"> REF _Ref207028001 \h </w:instrText>
            </w:r>
            <w:r w:rsidR="004E115F" w:rsidRPr="00D633FF">
              <w:rPr>
                <w:rFonts w:ascii="Calibri" w:eastAsia="Times New Roman" w:hAnsi="Calibri" w:cs="Calibri"/>
                <w:sz w:val="20"/>
                <w:szCs w:val="20"/>
              </w:rPr>
              <w:instrText xml:space="preserve"> \* MERGEFORMAT </w:instrText>
            </w:r>
            <w:r w:rsidRPr="00D633FF">
              <w:rPr>
                <w:rFonts w:ascii="Calibri" w:eastAsia="Times New Roman" w:hAnsi="Calibri" w:cs="Calibri"/>
                <w:sz w:val="20"/>
                <w:szCs w:val="20"/>
              </w:rPr>
            </w:r>
            <w:r w:rsidRPr="00D633FF">
              <w:rPr>
                <w:rFonts w:ascii="Calibri" w:eastAsia="Times New Roman" w:hAnsi="Calibri" w:cs="Calibri"/>
                <w:sz w:val="20"/>
                <w:szCs w:val="20"/>
              </w:rPr>
              <w:fldChar w:fldCharType="separate"/>
            </w:r>
            <w:r w:rsidRPr="00D633FF">
              <w:rPr>
                <w:rFonts w:ascii="Calibri" w:eastAsia="Arial" w:hAnsi="Calibri" w:cs="Calibri"/>
                <w:b/>
                <w:sz w:val="20"/>
              </w:rPr>
              <w:t xml:space="preserve">Table </w:t>
            </w:r>
            <w:r w:rsidRPr="00D633FF">
              <w:rPr>
                <w:rFonts w:ascii="Calibri" w:eastAsia="Times New Roman" w:hAnsi="Calibri" w:cs="Calibri"/>
                <w:sz w:val="20"/>
                <w:szCs w:val="20"/>
              </w:rPr>
              <w:fldChar w:fldCharType="end"/>
            </w:r>
            <w:r w:rsidR="00006DA7">
              <w:rPr>
                <w:rFonts w:ascii="Calibri" w:eastAsia="Times New Roman" w:hAnsi="Calibri" w:cs="Calibri"/>
                <w:sz w:val="20"/>
                <w:szCs w:val="20"/>
              </w:rPr>
              <w:t>23</w:t>
            </w:r>
            <w:r w:rsidRPr="00D633FF">
              <w:rPr>
                <w:rFonts w:ascii="Calibri" w:eastAsia="Times New Roman" w:hAnsi="Calibri" w:cs="Calibri"/>
                <w:sz w:val="20"/>
                <w:szCs w:val="20"/>
              </w:rPr>
              <w:t xml:space="preserve">. </w:t>
            </w:r>
          </w:p>
          <w:p w14:paraId="6C1C5ED3" w14:textId="77777777" w:rsidR="005C5475" w:rsidRPr="00D633FF" w:rsidRDefault="005C5475" w:rsidP="00A41BD1">
            <w:pPr>
              <w:spacing w:before="0" w:after="16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highlight w:val="lightGray"/>
              </w:rPr>
            </w:pPr>
            <w:r w:rsidRPr="00D633FF">
              <w:rPr>
                <w:rFonts w:ascii="Calibri" w:eastAsia="Times New Roman" w:hAnsi="Calibri" w:cs="Calibri"/>
                <w:sz w:val="20"/>
                <w:szCs w:val="20"/>
              </w:rPr>
              <w:t xml:space="preserve">These data show that selenium intakes are well below the proposed retained or adapted ULs for at least 95% of children across all age groups (see </w:t>
            </w:r>
            <w:r w:rsidRPr="00D633FF">
              <w:rPr>
                <w:rFonts w:ascii="Calibri" w:eastAsia="Times New Roman" w:hAnsi="Calibri" w:cs="Calibri"/>
                <w:i/>
                <w:iCs/>
                <w:sz w:val="20"/>
                <w:szCs w:val="20"/>
              </w:rPr>
              <w:t>Example Recommendations</w:t>
            </w:r>
            <w:r w:rsidRPr="00D633FF">
              <w:rPr>
                <w:rFonts w:ascii="Calibri" w:eastAsia="Times New Roman" w:hAnsi="Calibri" w:cs="Calibri"/>
                <w:sz w:val="20"/>
                <w:szCs w:val="20"/>
              </w:rPr>
              <w:t xml:space="preserve"> above). </w:t>
            </w:r>
          </w:p>
          <w:p w14:paraId="176EC695" w14:textId="350A506B" w:rsidR="005C5475" w:rsidRPr="00BB4BBB" w:rsidRDefault="005C5475" w:rsidP="00AE2CC5">
            <w:pPr>
              <w:keepNext/>
              <w:spacing w:after="120"/>
              <w:cnfStyle w:val="000000100000" w:firstRow="0" w:lastRow="0" w:firstColumn="0" w:lastColumn="0" w:oddVBand="0" w:evenVBand="0" w:oddHBand="1" w:evenHBand="0" w:firstRowFirstColumn="0" w:firstRowLastColumn="0" w:lastRowFirstColumn="0" w:lastRowLastColumn="0"/>
              <w:rPr>
                <w:rFonts w:ascii="Calibri" w:eastAsia="Arial" w:hAnsi="Calibri" w:cs="Calibri"/>
                <w:b/>
                <w:bCs/>
                <w:iCs/>
                <w:caps/>
                <w:szCs w:val="24"/>
              </w:rPr>
            </w:pPr>
            <w:bookmarkStart w:id="113" w:name="_Ref207027872"/>
            <w:r w:rsidRPr="00D633FF">
              <w:rPr>
                <w:rFonts w:ascii="Calibri" w:eastAsia="Arial" w:hAnsi="Calibri" w:cs="Calibri"/>
                <w:b/>
                <w:bCs/>
                <w:iCs/>
                <w:caps/>
              </w:rPr>
              <w:t xml:space="preserve">Table </w:t>
            </w:r>
            <w:r w:rsidRPr="00D633FF">
              <w:rPr>
                <w:rFonts w:ascii="Calibri" w:eastAsia="Arial" w:hAnsi="Calibri" w:cs="Calibri"/>
                <w:b/>
                <w:bCs/>
                <w:iCs/>
                <w:caps/>
              </w:rPr>
              <w:fldChar w:fldCharType="begin"/>
            </w:r>
            <w:r w:rsidRPr="00D633FF">
              <w:rPr>
                <w:rFonts w:ascii="Calibri" w:eastAsia="Arial" w:hAnsi="Calibri" w:cs="Calibri"/>
                <w:b/>
                <w:bCs/>
                <w:iCs/>
                <w:caps/>
              </w:rPr>
              <w:instrText xml:space="preserve"> SEQ Table \* ARABIC </w:instrText>
            </w:r>
            <w:r w:rsidRPr="00D633FF">
              <w:rPr>
                <w:rFonts w:ascii="Calibri" w:eastAsia="Arial" w:hAnsi="Calibri" w:cs="Calibri"/>
                <w:b/>
                <w:bCs/>
                <w:iCs/>
                <w:caps/>
              </w:rPr>
              <w:fldChar w:fldCharType="separate"/>
            </w:r>
            <w:r w:rsidR="00CB6915">
              <w:rPr>
                <w:rFonts w:ascii="Calibri" w:eastAsia="Arial" w:hAnsi="Calibri" w:cs="Calibri"/>
                <w:b/>
                <w:bCs/>
                <w:iCs/>
                <w:caps/>
                <w:noProof/>
              </w:rPr>
              <w:t>22</w:t>
            </w:r>
            <w:r w:rsidRPr="00D633FF">
              <w:rPr>
                <w:rFonts w:ascii="Calibri" w:eastAsia="Arial" w:hAnsi="Calibri" w:cs="Calibri"/>
                <w:b/>
                <w:bCs/>
                <w:iCs/>
                <w:caps/>
              </w:rPr>
              <w:fldChar w:fldCharType="end"/>
            </w:r>
            <w:bookmarkEnd w:id="113"/>
            <w:r w:rsidR="00586E84">
              <w:rPr>
                <w:rFonts w:ascii="Calibri" w:eastAsia="Arial" w:hAnsi="Calibri" w:cs="Calibri"/>
                <w:b/>
                <w:bCs/>
                <w:iCs/>
                <w:caps/>
              </w:rPr>
              <w:t>.</w:t>
            </w:r>
            <w:r w:rsidRPr="00D633FF">
              <w:rPr>
                <w:rFonts w:ascii="Calibri" w:eastAsia="Arial" w:hAnsi="Calibri" w:cs="Calibri"/>
                <w:iCs/>
                <w:caps/>
              </w:rPr>
              <w:t xml:space="preserve"> </w:t>
            </w:r>
            <w:r w:rsidR="000E14B5">
              <w:rPr>
                <w:rFonts w:ascii="Calibri" w:eastAsia="Arial" w:hAnsi="Calibri" w:cs="Calibri"/>
                <w:b/>
                <w:bCs/>
                <w:iCs/>
                <w:szCs w:val="24"/>
              </w:rPr>
              <w:t>S</w:t>
            </w:r>
            <w:r w:rsidR="000E14B5" w:rsidRPr="00BB4BBB">
              <w:rPr>
                <w:rFonts w:ascii="Calibri" w:eastAsia="Arial" w:hAnsi="Calibri" w:cs="Calibri"/>
                <w:b/>
                <w:bCs/>
                <w:iCs/>
                <w:szCs w:val="24"/>
              </w:rPr>
              <w:t xml:space="preserve">elenium intake in </w:t>
            </w:r>
            <w:r w:rsidR="000E14B5">
              <w:rPr>
                <w:rFonts w:ascii="Calibri" w:eastAsia="Arial" w:hAnsi="Calibri" w:cs="Calibri"/>
                <w:b/>
                <w:bCs/>
                <w:iCs/>
                <w:szCs w:val="24"/>
              </w:rPr>
              <w:t>A</w:t>
            </w:r>
            <w:r w:rsidR="000E14B5" w:rsidRPr="00BB4BBB">
              <w:rPr>
                <w:rFonts w:ascii="Calibri" w:eastAsia="Arial" w:hAnsi="Calibri" w:cs="Calibri"/>
                <w:b/>
                <w:bCs/>
                <w:iCs/>
                <w:szCs w:val="24"/>
              </w:rPr>
              <w:t xml:space="preserve">ustralian children, 2011-12 </w:t>
            </w:r>
            <w:r w:rsidR="000E14B5">
              <w:rPr>
                <w:rFonts w:ascii="Calibri" w:eastAsia="Arial" w:hAnsi="Calibri" w:cs="Calibri"/>
                <w:b/>
                <w:bCs/>
                <w:iCs/>
                <w:szCs w:val="24"/>
              </w:rPr>
              <w:t>A</w:t>
            </w:r>
            <w:r w:rsidR="000E14B5" w:rsidRPr="00BB4BBB">
              <w:rPr>
                <w:rFonts w:ascii="Calibri" w:eastAsia="Arial" w:hAnsi="Calibri" w:cs="Calibri"/>
                <w:b/>
                <w:bCs/>
                <w:iCs/>
                <w:szCs w:val="24"/>
              </w:rPr>
              <w:t xml:space="preserve">ustralian </w:t>
            </w:r>
            <w:r w:rsidR="000E14B5">
              <w:rPr>
                <w:rFonts w:ascii="Calibri" w:eastAsia="Arial" w:hAnsi="Calibri" w:cs="Calibri"/>
                <w:b/>
                <w:bCs/>
                <w:iCs/>
                <w:szCs w:val="24"/>
              </w:rPr>
              <w:t>H</w:t>
            </w:r>
            <w:r w:rsidR="000E14B5" w:rsidRPr="00BB4BBB">
              <w:rPr>
                <w:rFonts w:ascii="Calibri" w:eastAsia="Arial" w:hAnsi="Calibri" w:cs="Calibri"/>
                <w:b/>
                <w:bCs/>
                <w:iCs/>
                <w:szCs w:val="24"/>
              </w:rPr>
              <w:t xml:space="preserve">ealth </w:t>
            </w:r>
            <w:r w:rsidR="000E14B5">
              <w:rPr>
                <w:rFonts w:ascii="Calibri" w:eastAsia="Arial" w:hAnsi="Calibri" w:cs="Calibri"/>
                <w:b/>
                <w:bCs/>
                <w:iCs/>
                <w:szCs w:val="24"/>
              </w:rPr>
              <w:t>S</w:t>
            </w:r>
            <w:r w:rsidR="000E14B5" w:rsidRPr="00BB4BBB">
              <w:rPr>
                <w:rFonts w:ascii="Calibri" w:eastAsia="Arial" w:hAnsi="Calibri" w:cs="Calibri"/>
                <w:b/>
                <w:bCs/>
                <w:iCs/>
                <w:szCs w:val="24"/>
              </w:rPr>
              <w:t>urvey</w:t>
            </w:r>
          </w:p>
          <w:tbl>
            <w:tblPr>
              <w:tblStyle w:val="GridTable4"/>
              <w:tblW w:w="8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1560"/>
              <w:gridCol w:w="1842"/>
              <w:gridCol w:w="1418"/>
              <w:gridCol w:w="1901"/>
            </w:tblGrid>
            <w:tr w:rsidR="005C5475" w:rsidRPr="00D633FF" w14:paraId="2D4A3C34" w14:textId="77777777" w:rsidTr="00CA2A0F">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44" w:type="dxa"/>
                  <w:vMerge w:val="restart"/>
                  <w:shd w:val="clear" w:color="auto" w:fill="000000" w:themeFill="text1"/>
                  <w:noWrap/>
                  <w:vAlign w:val="center"/>
                </w:tcPr>
                <w:p w14:paraId="0FC4F469" w14:textId="77777777" w:rsidR="005C5475" w:rsidRPr="00D633FF" w:rsidRDefault="005C5475" w:rsidP="00CA2A0F">
                  <w:pPr>
                    <w:keepNext/>
                    <w:jc w:val="right"/>
                    <w:rPr>
                      <w:rFonts w:ascii="Calibri" w:eastAsia="Times New Roman" w:hAnsi="Calibri" w:cs="Calibri"/>
                      <w:color w:val="auto"/>
                    </w:rPr>
                  </w:pPr>
                  <w:r w:rsidRPr="00D633FF">
                    <w:rPr>
                      <w:rFonts w:ascii="Calibri" w:eastAsia="Times New Roman" w:hAnsi="Calibri" w:cs="Calibri"/>
                      <w:color w:val="auto"/>
                    </w:rPr>
                    <w:t>Age groups (years)</w:t>
                  </w:r>
                </w:p>
              </w:tc>
              <w:tc>
                <w:tcPr>
                  <w:tcW w:w="1560" w:type="dxa"/>
                  <w:vMerge w:val="restart"/>
                  <w:shd w:val="clear" w:color="auto" w:fill="000000" w:themeFill="text1"/>
                  <w:vAlign w:val="center"/>
                </w:tcPr>
                <w:p w14:paraId="11E10F0E" w14:textId="77777777" w:rsidR="005C5475" w:rsidRPr="00D633FF" w:rsidRDefault="005C5475" w:rsidP="003164F1">
                  <w:pPr>
                    <w:keepNext/>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rPr>
                  </w:pPr>
                  <w:r w:rsidRPr="00D633FF">
                    <w:rPr>
                      <w:rFonts w:ascii="Calibri" w:eastAsia="Times New Roman" w:hAnsi="Calibri" w:cs="Calibri"/>
                      <w:color w:val="auto"/>
                    </w:rPr>
                    <w:t>Sex</w:t>
                  </w:r>
                </w:p>
              </w:tc>
              <w:tc>
                <w:tcPr>
                  <w:tcW w:w="1842" w:type="dxa"/>
                  <w:vMerge w:val="restart"/>
                  <w:shd w:val="clear" w:color="auto" w:fill="000000" w:themeFill="text1"/>
                  <w:vAlign w:val="center"/>
                </w:tcPr>
                <w:p w14:paraId="020B3454" w14:textId="31DF83B2" w:rsidR="005C5475" w:rsidRPr="00D633FF" w:rsidRDefault="005C5475" w:rsidP="003164F1">
                  <w:pPr>
                    <w:keepNext/>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rPr>
                  </w:pPr>
                  <w:r w:rsidRPr="00D633FF">
                    <w:rPr>
                      <w:rFonts w:ascii="Calibri" w:eastAsia="Times New Roman" w:hAnsi="Calibri" w:cs="Calibri"/>
                      <w:color w:val="auto"/>
                    </w:rPr>
                    <w:t xml:space="preserve">Mean </w:t>
                  </w:r>
                  <w:r w:rsidR="00F21E7D">
                    <w:rPr>
                      <w:rFonts w:ascii="Calibri" w:eastAsia="Times New Roman" w:hAnsi="Calibri" w:cs="Calibri"/>
                      <w:color w:val="auto"/>
                    </w:rPr>
                    <w:t>i</w:t>
                  </w:r>
                  <w:r w:rsidRPr="00D633FF">
                    <w:rPr>
                      <w:rFonts w:ascii="Calibri" w:eastAsia="Times New Roman" w:hAnsi="Calibri" w:cs="Calibri"/>
                      <w:color w:val="auto"/>
                    </w:rPr>
                    <w:t>ntake (µg/day)</w:t>
                  </w:r>
                </w:p>
              </w:tc>
              <w:tc>
                <w:tcPr>
                  <w:tcW w:w="1418" w:type="dxa"/>
                  <w:vMerge w:val="restart"/>
                  <w:shd w:val="clear" w:color="auto" w:fill="000000" w:themeFill="text1"/>
                  <w:vAlign w:val="center"/>
                </w:tcPr>
                <w:p w14:paraId="02E31C63" w14:textId="77777777" w:rsidR="005C5475" w:rsidRPr="00D633FF" w:rsidRDefault="005C5475" w:rsidP="003164F1">
                  <w:pPr>
                    <w:keepNext/>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rPr>
                  </w:pPr>
                  <w:r w:rsidRPr="00D633FF">
                    <w:rPr>
                      <w:rFonts w:ascii="Calibri" w:eastAsia="Times New Roman" w:hAnsi="Calibri" w:cs="Calibri"/>
                      <w:color w:val="auto"/>
                    </w:rPr>
                    <w:t>% less than EAR</w:t>
                  </w:r>
                </w:p>
              </w:tc>
              <w:tc>
                <w:tcPr>
                  <w:tcW w:w="1901" w:type="dxa"/>
                  <w:vMerge w:val="restart"/>
                  <w:shd w:val="clear" w:color="auto" w:fill="000000" w:themeFill="text1"/>
                  <w:vAlign w:val="center"/>
                </w:tcPr>
                <w:p w14:paraId="5DC4B956" w14:textId="66A45427" w:rsidR="005C5475" w:rsidRPr="00D633FF" w:rsidRDefault="005C5475" w:rsidP="003164F1">
                  <w:pPr>
                    <w:keepNext/>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rPr>
                  </w:pPr>
                  <w:r w:rsidRPr="00D633FF">
                    <w:rPr>
                      <w:rFonts w:ascii="Calibri" w:eastAsia="Times New Roman" w:hAnsi="Calibri" w:cs="Calibri"/>
                      <w:color w:val="auto"/>
                    </w:rPr>
                    <w:t>95</w:t>
                  </w:r>
                  <w:r w:rsidRPr="00D633FF">
                    <w:rPr>
                      <w:rFonts w:ascii="Calibri" w:eastAsia="Times New Roman" w:hAnsi="Calibri" w:cs="Calibri"/>
                      <w:color w:val="auto"/>
                      <w:vertAlign w:val="superscript"/>
                    </w:rPr>
                    <w:t>th</w:t>
                  </w:r>
                  <w:r w:rsidRPr="00D633FF">
                    <w:rPr>
                      <w:rFonts w:ascii="Calibri" w:eastAsia="Times New Roman" w:hAnsi="Calibri" w:cs="Calibri"/>
                      <w:color w:val="auto"/>
                    </w:rPr>
                    <w:t xml:space="preserve"> percentile intake</w:t>
                  </w:r>
                </w:p>
                <w:p w14:paraId="5F0711FF" w14:textId="77777777" w:rsidR="005C5475" w:rsidRPr="00D633FF" w:rsidRDefault="005C5475" w:rsidP="00310A44">
                  <w:pPr>
                    <w:keepNext/>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rPr>
                  </w:pPr>
                  <w:r w:rsidRPr="00D633FF">
                    <w:rPr>
                      <w:rFonts w:ascii="Calibri" w:eastAsia="Times New Roman" w:hAnsi="Calibri" w:cs="Calibri"/>
                      <w:color w:val="auto"/>
                    </w:rPr>
                    <w:t>(µg/day)</w:t>
                  </w:r>
                </w:p>
              </w:tc>
            </w:tr>
            <w:tr w:rsidR="005C5475" w:rsidRPr="00D633FF" w14:paraId="66076688" w14:textId="77777777" w:rsidTr="003164F1">
              <w:trPr>
                <w:trHeight w:val="360"/>
              </w:trPr>
              <w:tc>
                <w:tcPr>
                  <w:cnfStyle w:val="001000000000" w:firstRow="0" w:lastRow="0" w:firstColumn="1" w:lastColumn="0" w:oddVBand="0" w:evenVBand="0" w:oddHBand="0" w:evenHBand="0" w:firstRowFirstColumn="0" w:firstRowLastColumn="0" w:lastRowFirstColumn="0" w:lastRowLastColumn="0"/>
                  <w:tcW w:w="1444" w:type="dxa"/>
                  <w:vMerge/>
                  <w:tcBorders>
                    <w:bottom w:val="single" w:sz="4" w:space="0" w:color="auto"/>
                  </w:tcBorders>
                  <w:shd w:val="clear" w:color="auto" w:fill="000000" w:themeFill="text1"/>
                  <w:noWrap/>
                </w:tcPr>
                <w:p w14:paraId="13F46532" w14:textId="77777777" w:rsidR="005C5475" w:rsidRPr="00D633FF" w:rsidRDefault="005C5475" w:rsidP="005C5475">
                  <w:pPr>
                    <w:keepNext/>
                    <w:rPr>
                      <w:rFonts w:ascii="Calibri" w:eastAsia="Times New Roman" w:hAnsi="Calibri" w:cs="Calibri"/>
                      <w:color w:val="FFFFFF"/>
                    </w:rPr>
                  </w:pPr>
                </w:p>
              </w:tc>
              <w:tc>
                <w:tcPr>
                  <w:tcW w:w="1560" w:type="dxa"/>
                  <w:vMerge/>
                  <w:shd w:val="clear" w:color="auto" w:fill="000000" w:themeFill="text1"/>
                  <w:vAlign w:val="center"/>
                </w:tcPr>
                <w:p w14:paraId="21DADB86"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FFFFFF"/>
                    </w:rPr>
                  </w:pPr>
                </w:p>
              </w:tc>
              <w:tc>
                <w:tcPr>
                  <w:tcW w:w="1842" w:type="dxa"/>
                  <w:vMerge/>
                  <w:shd w:val="clear" w:color="auto" w:fill="000000" w:themeFill="text1"/>
                  <w:vAlign w:val="center"/>
                </w:tcPr>
                <w:p w14:paraId="64246B89"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FFFFFF"/>
                    </w:rPr>
                  </w:pPr>
                </w:p>
              </w:tc>
              <w:tc>
                <w:tcPr>
                  <w:tcW w:w="1418" w:type="dxa"/>
                  <w:vMerge/>
                  <w:shd w:val="clear" w:color="auto" w:fill="000000" w:themeFill="text1"/>
                  <w:vAlign w:val="center"/>
                </w:tcPr>
                <w:p w14:paraId="643E4806"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FFFFFF"/>
                    </w:rPr>
                  </w:pPr>
                </w:p>
              </w:tc>
              <w:tc>
                <w:tcPr>
                  <w:tcW w:w="1901" w:type="dxa"/>
                  <w:vMerge/>
                  <w:shd w:val="clear" w:color="auto" w:fill="000000" w:themeFill="text1"/>
                  <w:vAlign w:val="center"/>
                </w:tcPr>
                <w:p w14:paraId="445E058A"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FFFFFF"/>
                    </w:rPr>
                  </w:pPr>
                </w:p>
              </w:tc>
            </w:tr>
            <w:tr w:rsidR="0017087A" w:rsidRPr="00D633FF" w14:paraId="45DDE485" w14:textId="77777777" w:rsidTr="00CA2A0F">
              <w:trPr>
                <w:trHeight w:val="340"/>
              </w:trPr>
              <w:tc>
                <w:tcPr>
                  <w:cnfStyle w:val="001000000000" w:firstRow="0" w:lastRow="0" w:firstColumn="1" w:lastColumn="0" w:oddVBand="0" w:evenVBand="0" w:oddHBand="0" w:evenHBand="0" w:firstRowFirstColumn="0" w:firstRowLastColumn="0" w:lastRowFirstColumn="0" w:lastRowLastColumn="0"/>
                  <w:tcW w:w="1444" w:type="dxa"/>
                  <w:tcBorders>
                    <w:top w:val="single" w:sz="4" w:space="0" w:color="auto"/>
                    <w:left w:val="single" w:sz="4" w:space="0" w:color="auto"/>
                    <w:bottom w:val="nil"/>
                    <w:right w:val="single" w:sz="4" w:space="0" w:color="auto"/>
                  </w:tcBorders>
                  <w:shd w:val="clear" w:color="auto" w:fill="CCCCCF"/>
                  <w:noWrap/>
                  <w:vAlign w:val="center"/>
                </w:tcPr>
                <w:p w14:paraId="44F562B9" w14:textId="77777777" w:rsidR="005C5475" w:rsidRPr="00D633FF" w:rsidRDefault="005C5475" w:rsidP="00CA2A0F">
                  <w:pPr>
                    <w:keepNext/>
                    <w:jc w:val="right"/>
                    <w:rPr>
                      <w:rFonts w:ascii="Calibri" w:eastAsia="Times New Roman" w:hAnsi="Calibri" w:cs="Calibri"/>
                    </w:rPr>
                  </w:pPr>
                  <w:r w:rsidRPr="00D633FF">
                    <w:rPr>
                      <w:rFonts w:ascii="Calibri" w:eastAsia="Times New Roman" w:hAnsi="Calibri" w:cs="Calibri"/>
                    </w:rPr>
                    <w:t xml:space="preserve">2-3 </w:t>
                  </w:r>
                </w:p>
              </w:tc>
              <w:tc>
                <w:tcPr>
                  <w:tcW w:w="1560" w:type="dxa"/>
                  <w:tcBorders>
                    <w:left w:val="single" w:sz="4" w:space="0" w:color="auto"/>
                  </w:tcBorders>
                  <w:shd w:val="clear" w:color="auto" w:fill="CCCCCF"/>
                  <w:vAlign w:val="center"/>
                </w:tcPr>
                <w:p w14:paraId="14D91B97"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Males</w:t>
                  </w:r>
                </w:p>
              </w:tc>
              <w:tc>
                <w:tcPr>
                  <w:tcW w:w="1842" w:type="dxa"/>
                  <w:shd w:val="clear" w:color="auto" w:fill="CCCCCF"/>
                  <w:vAlign w:val="center"/>
                </w:tcPr>
                <w:p w14:paraId="68043529"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highlight w:val="lightGray"/>
                    </w:rPr>
                  </w:pPr>
                  <w:r w:rsidRPr="00D633FF">
                    <w:rPr>
                      <w:rFonts w:ascii="Calibri" w:eastAsia="Times New Roman" w:hAnsi="Calibri" w:cs="Calibri"/>
                      <w:color w:val="000000"/>
                    </w:rPr>
                    <w:t>49</w:t>
                  </w:r>
                </w:p>
              </w:tc>
              <w:tc>
                <w:tcPr>
                  <w:tcW w:w="1418" w:type="dxa"/>
                  <w:shd w:val="clear" w:color="auto" w:fill="CCCCCF"/>
                  <w:vAlign w:val="center"/>
                </w:tcPr>
                <w:p w14:paraId="047866C6"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highlight w:val="lightGray"/>
                    </w:rPr>
                  </w:pPr>
                  <w:r w:rsidRPr="00D633FF">
                    <w:rPr>
                      <w:rFonts w:ascii="Calibri" w:eastAsia="Times New Roman" w:hAnsi="Calibri" w:cs="Calibri"/>
                      <w:color w:val="000000"/>
                    </w:rPr>
                    <w:t>0%</w:t>
                  </w:r>
                </w:p>
              </w:tc>
              <w:tc>
                <w:tcPr>
                  <w:tcW w:w="1901" w:type="dxa"/>
                  <w:shd w:val="clear" w:color="auto" w:fill="CCCCCF"/>
                  <w:vAlign w:val="center"/>
                </w:tcPr>
                <w:p w14:paraId="1A0B7D98"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65</w:t>
                  </w:r>
                </w:p>
              </w:tc>
            </w:tr>
            <w:tr w:rsidR="0017087A" w:rsidRPr="00D633FF" w14:paraId="34DD2654" w14:textId="77777777" w:rsidTr="00CA2A0F">
              <w:trPr>
                <w:trHeight w:val="340"/>
              </w:trPr>
              <w:tc>
                <w:tcPr>
                  <w:cnfStyle w:val="001000000000" w:firstRow="0" w:lastRow="0" w:firstColumn="1" w:lastColumn="0" w:oddVBand="0" w:evenVBand="0" w:oddHBand="0" w:evenHBand="0" w:firstRowFirstColumn="0" w:firstRowLastColumn="0" w:lastRowFirstColumn="0" w:lastRowLastColumn="0"/>
                  <w:tcW w:w="1444" w:type="dxa"/>
                  <w:tcBorders>
                    <w:top w:val="nil"/>
                    <w:left w:val="single" w:sz="4" w:space="0" w:color="auto"/>
                    <w:bottom w:val="single" w:sz="4" w:space="0" w:color="auto"/>
                    <w:right w:val="single" w:sz="4" w:space="0" w:color="auto"/>
                  </w:tcBorders>
                  <w:shd w:val="clear" w:color="auto" w:fill="CCCCCF"/>
                  <w:noWrap/>
                  <w:vAlign w:val="center"/>
                </w:tcPr>
                <w:p w14:paraId="6C9493E9" w14:textId="77777777" w:rsidR="005C5475" w:rsidRPr="00D633FF" w:rsidRDefault="005C5475" w:rsidP="00CA2A0F">
                  <w:pPr>
                    <w:keepNext/>
                    <w:jc w:val="right"/>
                    <w:rPr>
                      <w:rFonts w:ascii="Calibri" w:eastAsia="Times New Roman" w:hAnsi="Calibri" w:cs="Calibri"/>
                    </w:rPr>
                  </w:pPr>
                </w:p>
              </w:tc>
              <w:tc>
                <w:tcPr>
                  <w:tcW w:w="1560" w:type="dxa"/>
                  <w:tcBorders>
                    <w:left w:val="single" w:sz="4" w:space="0" w:color="auto"/>
                  </w:tcBorders>
                  <w:shd w:val="clear" w:color="auto" w:fill="FFFFFF"/>
                  <w:vAlign w:val="center"/>
                </w:tcPr>
                <w:p w14:paraId="1AFB4A6E"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Females</w:t>
                  </w:r>
                </w:p>
              </w:tc>
              <w:tc>
                <w:tcPr>
                  <w:tcW w:w="1842" w:type="dxa"/>
                  <w:shd w:val="clear" w:color="auto" w:fill="FFFFFF"/>
                  <w:vAlign w:val="center"/>
                </w:tcPr>
                <w:p w14:paraId="3563304F"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45</w:t>
                  </w:r>
                </w:p>
              </w:tc>
              <w:tc>
                <w:tcPr>
                  <w:tcW w:w="1418" w:type="dxa"/>
                  <w:shd w:val="clear" w:color="auto" w:fill="FFFFFF"/>
                  <w:vAlign w:val="center"/>
                </w:tcPr>
                <w:p w14:paraId="39411214"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0%</w:t>
                  </w:r>
                </w:p>
              </w:tc>
              <w:tc>
                <w:tcPr>
                  <w:tcW w:w="1901" w:type="dxa"/>
                  <w:shd w:val="clear" w:color="auto" w:fill="FFFFFF"/>
                  <w:vAlign w:val="center"/>
                </w:tcPr>
                <w:p w14:paraId="105F58C5"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59</w:t>
                  </w:r>
                </w:p>
              </w:tc>
            </w:tr>
            <w:tr w:rsidR="0017087A" w:rsidRPr="00D633FF" w14:paraId="0B656C3C" w14:textId="77777777" w:rsidTr="00CA2A0F">
              <w:trPr>
                <w:trHeight w:val="340"/>
              </w:trPr>
              <w:tc>
                <w:tcPr>
                  <w:cnfStyle w:val="001000000000" w:firstRow="0" w:lastRow="0" w:firstColumn="1" w:lastColumn="0" w:oddVBand="0" w:evenVBand="0" w:oddHBand="0" w:evenHBand="0" w:firstRowFirstColumn="0" w:firstRowLastColumn="0" w:lastRowFirstColumn="0" w:lastRowLastColumn="0"/>
                  <w:tcW w:w="1444" w:type="dxa"/>
                  <w:tcBorders>
                    <w:top w:val="single" w:sz="4" w:space="0" w:color="auto"/>
                    <w:left w:val="single" w:sz="4" w:space="0" w:color="auto"/>
                    <w:bottom w:val="nil"/>
                    <w:right w:val="single" w:sz="4" w:space="0" w:color="auto"/>
                  </w:tcBorders>
                  <w:shd w:val="clear" w:color="auto" w:fill="CCCCCF"/>
                  <w:noWrap/>
                  <w:vAlign w:val="center"/>
                  <w:hideMark/>
                </w:tcPr>
                <w:p w14:paraId="2314372A" w14:textId="77777777" w:rsidR="005C5475" w:rsidRPr="00D633FF" w:rsidRDefault="005C5475" w:rsidP="00CA2A0F">
                  <w:pPr>
                    <w:keepNext/>
                    <w:jc w:val="right"/>
                    <w:rPr>
                      <w:rFonts w:ascii="Calibri" w:eastAsia="Times New Roman" w:hAnsi="Calibri" w:cs="Calibri"/>
                    </w:rPr>
                  </w:pPr>
                  <w:r w:rsidRPr="00D633FF">
                    <w:rPr>
                      <w:rFonts w:ascii="Calibri" w:eastAsia="Times New Roman" w:hAnsi="Calibri" w:cs="Calibri"/>
                    </w:rPr>
                    <w:t>4-8</w:t>
                  </w:r>
                </w:p>
              </w:tc>
              <w:tc>
                <w:tcPr>
                  <w:tcW w:w="1560" w:type="dxa"/>
                  <w:tcBorders>
                    <w:left w:val="single" w:sz="4" w:space="0" w:color="auto"/>
                  </w:tcBorders>
                  <w:shd w:val="clear" w:color="auto" w:fill="CCCCCF"/>
                  <w:vAlign w:val="center"/>
                </w:tcPr>
                <w:p w14:paraId="59950725"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Males</w:t>
                  </w:r>
                </w:p>
              </w:tc>
              <w:tc>
                <w:tcPr>
                  <w:tcW w:w="1842" w:type="dxa"/>
                  <w:shd w:val="clear" w:color="auto" w:fill="CCCCCF"/>
                  <w:vAlign w:val="center"/>
                </w:tcPr>
                <w:p w14:paraId="453FFBD2"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61</w:t>
                  </w:r>
                </w:p>
              </w:tc>
              <w:tc>
                <w:tcPr>
                  <w:tcW w:w="1418" w:type="dxa"/>
                  <w:shd w:val="clear" w:color="auto" w:fill="CCCCCF"/>
                  <w:vAlign w:val="center"/>
                </w:tcPr>
                <w:p w14:paraId="42AC77E9"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0%</w:t>
                  </w:r>
                </w:p>
              </w:tc>
              <w:tc>
                <w:tcPr>
                  <w:tcW w:w="1901" w:type="dxa"/>
                  <w:shd w:val="clear" w:color="auto" w:fill="CCCCCF"/>
                  <w:vAlign w:val="center"/>
                </w:tcPr>
                <w:p w14:paraId="6D811091"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80</w:t>
                  </w:r>
                </w:p>
              </w:tc>
            </w:tr>
            <w:tr w:rsidR="0017087A" w:rsidRPr="00D633FF" w14:paraId="291EEEDC" w14:textId="77777777" w:rsidTr="00CA2A0F">
              <w:trPr>
                <w:trHeight w:val="340"/>
              </w:trPr>
              <w:tc>
                <w:tcPr>
                  <w:cnfStyle w:val="001000000000" w:firstRow="0" w:lastRow="0" w:firstColumn="1" w:lastColumn="0" w:oddVBand="0" w:evenVBand="0" w:oddHBand="0" w:evenHBand="0" w:firstRowFirstColumn="0" w:firstRowLastColumn="0" w:lastRowFirstColumn="0" w:lastRowLastColumn="0"/>
                  <w:tcW w:w="1444" w:type="dxa"/>
                  <w:tcBorders>
                    <w:top w:val="nil"/>
                    <w:left w:val="single" w:sz="4" w:space="0" w:color="auto"/>
                    <w:bottom w:val="single" w:sz="4" w:space="0" w:color="auto"/>
                    <w:right w:val="single" w:sz="4" w:space="0" w:color="auto"/>
                  </w:tcBorders>
                  <w:shd w:val="clear" w:color="auto" w:fill="CCCCCF"/>
                  <w:noWrap/>
                  <w:vAlign w:val="center"/>
                </w:tcPr>
                <w:p w14:paraId="4CF60074" w14:textId="77777777" w:rsidR="005C5475" w:rsidRPr="00D633FF" w:rsidRDefault="005C5475" w:rsidP="00CA2A0F">
                  <w:pPr>
                    <w:keepNext/>
                    <w:jc w:val="right"/>
                    <w:rPr>
                      <w:rFonts w:ascii="Calibri" w:eastAsia="Times New Roman" w:hAnsi="Calibri" w:cs="Calibri"/>
                    </w:rPr>
                  </w:pPr>
                </w:p>
              </w:tc>
              <w:tc>
                <w:tcPr>
                  <w:tcW w:w="1560" w:type="dxa"/>
                  <w:tcBorders>
                    <w:left w:val="single" w:sz="4" w:space="0" w:color="auto"/>
                  </w:tcBorders>
                  <w:shd w:val="clear" w:color="auto" w:fill="FFFFFF"/>
                  <w:vAlign w:val="center"/>
                </w:tcPr>
                <w:p w14:paraId="147C46FF"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Females</w:t>
                  </w:r>
                </w:p>
              </w:tc>
              <w:tc>
                <w:tcPr>
                  <w:tcW w:w="1842" w:type="dxa"/>
                  <w:shd w:val="clear" w:color="auto" w:fill="FFFFFF"/>
                  <w:vAlign w:val="center"/>
                </w:tcPr>
                <w:p w14:paraId="7EBC6AD7"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55</w:t>
                  </w:r>
                </w:p>
              </w:tc>
              <w:tc>
                <w:tcPr>
                  <w:tcW w:w="1418" w:type="dxa"/>
                  <w:shd w:val="clear" w:color="auto" w:fill="FFFFFF"/>
                  <w:vAlign w:val="center"/>
                </w:tcPr>
                <w:p w14:paraId="1D5BC1E1"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0%</w:t>
                  </w:r>
                </w:p>
              </w:tc>
              <w:tc>
                <w:tcPr>
                  <w:tcW w:w="1901" w:type="dxa"/>
                  <w:shd w:val="clear" w:color="auto" w:fill="FFFFFF"/>
                  <w:vAlign w:val="center"/>
                </w:tcPr>
                <w:p w14:paraId="64298D4F"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72</w:t>
                  </w:r>
                </w:p>
              </w:tc>
            </w:tr>
            <w:tr w:rsidR="0017087A" w:rsidRPr="00D633FF" w14:paraId="2B51AB95" w14:textId="77777777" w:rsidTr="00CA2A0F">
              <w:trPr>
                <w:trHeight w:val="340"/>
              </w:trPr>
              <w:tc>
                <w:tcPr>
                  <w:cnfStyle w:val="001000000000" w:firstRow="0" w:lastRow="0" w:firstColumn="1" w:lastColumn="0" w:oddVBand="0" w:evenVBand="0" w:oddHBand="0" w:evenHBand="0" w:firstRowFirstColumn="0" w:firstRowLastColumn="0" w:lastRowFirstColumn="0" w:lastRowLastColumn="0"/>
                  <w:tcW w:w="1444" w:type="dxa"/>
                  <w:tcBorders>
                    <w:top w:val="single" w:sz="4" w:space="0" w:color="auto"/>
                    <w:left w:val="single" w:sz="4" w:space="0" w:color="auto"/>
                    <w:bottom w:val="nil"/>
                    <w:right w:val="single" w:sz="4" w:space="0" w:color="auto"/>
                  </w:tcBorders>
                  <w:shd w:val="clear" w:color="auto" w:fill="CCCCCF"/>
                  <w:noWrap/>
                  <w:vAlign w:val="center"/>
                  <w:hideMark/>
                </w:tcPr>
                <w:p w14:paraId="22BE3BA0" w14:textId="77777777" w:rsidR="005C5475" w:rsidRPr="00D633FF" w:rsidRDefault="005C5475" w:rsidP="00CA2A0F">
                  <w:pPr>
                    <w:keepNext/>
                    <w:jc w:val="right"/>
                    <w:rPr>
                      <w:rFonts w:ascii="Calibri" w:eastAsia="Times New Roman" w:hAnsi="Calibri" w:cs="Calibri"/>
                    </w:rPr>
                  </w:pPr>
                  <w:r w:rsidRPr="00D633FF">
                    <w:rPr>
                      <w:rFonts w:ascii="Calibri" w:eastAsia="Times New Roman" w:hAnsi="Calibri" w:cs="Calibri"/>
                    </w:rPr>
                    <w:t>9-13</w:t>
                  </w:r>
                </w:p>
              </w:tc>
              <w:tc>
                <w:tcPr>
                  <w:tcW w:w="1560" w:type="dxa"/>
                  <w:tcBorders>
                    <w:left w:val="single" w:sz="4" w:space="0" w:color="auto"/>
                  </w:tcBorders>
                  <w:shd w:val="clear" w:color="auto" w:fill="CCCCCF"/>
                  <w:vAlign w:val="center"/>
                </w:tcPr>
                <w:p w14:paraId="77022A76"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Males</w:t>
                  </w:r>
                </w:p>
              </w:tc>
              <w:tc>
                <w:tcPr>
                  <w:tcW w:w="1842" w:type="dxa"/>
                  <w:shd w:val="clear" w:color="auto" w:fill="CCCCCF"/>
                  <w:vAlign w:val="center"/>
                </w:tcPr>
                <w:p w14:paraId="2923D9B2"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80</w:t>
                  </w:r>
                </w:p>
              </w:tc>
              <w:tc>
                <w:tcPr>
                  <w:tcW w:w="1418" w:type="dxa"/>
                  <w:shd w:val="clear" w:color="auto" w:fill="CCCCCF"/>
                  <w:vAlign w:val="center"/>
                </w:tcPr>
                <w:p w14:paraId="5F6339A2"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0.9%</w:t>
                  </w:r>
                </w:p>
              </w:tc>
              <w:tc>
                <w:tcPr>
                  <w:tcW w:w="1901" w:type="dxa"/>
                  <w:shd w:val="clear" w:color="auto" w:fill="CCCCCF"/>
                  <w:vAlign w:val="center"/>
                </w:tcPr>
                <w:p w14:paraId="7CA6EFFD"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118</w:t>
                  </w:r>
                </w:p>
              </w:tc>
            </w:tr>
            <w:tr w:rsidR="0017087A" w:rsidRPr="00D633FF" w14:paraId="73F5AED7" w14:textId="77777777" w:rsidTr="00CA2A0F">
              <w:trPr>
                <w:trHeight w:val="340"/>
              </w:trPr>
              <w:tc>
                <w:tcPr>
                  <w:cnfStyle w:val="001000000000" w:firstRow="0" w:lastRow="0" w:firstColumn="1" w:lastColumn="0" w:oddVBand="0" w:evenVBand="0" w:oddHBand="0" w:evenHBand="0" w:firstRowFirstColumn="0" w:firstRowLastColumn="0" w:lastRowFirstColumn="0" w:lastRowLastColumn="0"/>
                  <w:tcW w:w="1444" w:type="dxa"/>
                  <w:tcBorders>
                    <w:top w:val="nil"/>
                    <w:left w:val="single" w:sz="4" w:space="0" w:color="auto"/>
                    <w:bottom w:val="single" w:sz="4" w:space="0" w:color="auto"/>
                    <w:right w:val="single" w:sz="4" w:space="0" w:color="auto"/>
                  </w:tcBorders>
                  <w:shd w:val="clear" w:color="auto" w:fill="CCCCCF"/>
                  <w:noWrap/>
                  <w:vAlign w:val="center"/>
                </w:tcPr>
                <w:p w14:paraId="7730318B" w14:textId="77777777" w:rsidR="005C5475" w:rsidRPr="00D633FF" w:rsidRDefault="005C5475" w:rsidP="00CA2A0F">
                  <w:pPr>
                    <w:keepNext/>
                    <w:jc w:val="right"/>
                    <w:rPr>
                      <w:rFonts w:ascii="Calibri" w:eastAsia="Times New Roman" w:hAnsi="Calibri" w:cs="Calibri"/>
                    </w:rPr>
                  </w:pPr>
                </w:p>
              </w:tc>
              <w:tc>
                <w:tcPr>
                  <w:tcW w:w="1560" w:type="dxa"/>
                  <w:tcBorders>
                    <w:left w:val="single" w:sz="4" w:space="0" w:color="auto"/>
                  </w:tcBorders>
                  <w:shd w:val="clear" w:color="auto" w:fill="FFFFFF"/>
                  <w:vAlign w:val="center"/>
                </w:tcPr>
                <w:p w14:paraId="0EE9871A"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Females</w:t>
                  </w:r>
                </w:p>
              </w:tc>
              <w:tc>
                <w:tcPr>
                  <w:tcW w:w="1842" w:type="dxa"/>
                  <w:shd w:val="clear" w:color="auto" w:fill="FFFFFF"/>
                  <w:vAlign w:val="center"/>
                </w:tcPr>
                <w:p w14:paraId="2FF0AF9C"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69</w:t>
                  </w:r>
                </w:p>
              </w:tc>
              <w:tc>
                <w:tcPr>
                  <w:tcW w:w="1418" w:type="dxa"/>
                  <w:shd w:val="clear" w:color="auto" w:fill="FFFFFF"/>
                  <w:vAlign w:val="center"/>
                </w:tcPr>
                <w:p w14:paraId="3F8DD23B"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3.0%</w:t>
                  </w:r>
                </w:p>
              </w:tc>
              <w:tc>
                <w:tcPr>
                  <w:tcW w:w="1901" w:type="dxa"/>
                  <w:shd w:val="clear" w:color="auto" w:fill="FFFFFF"/>
                  <w:vAlign w:val="center"/>
                </w:tcPr>
                <w:p w14:paraId="3EC7041D"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103</w:t>
                  </w:r>
                </w:p>
              </w:tc>
            </w:tr>
            <w:tr w:rsidR="0017087A" w:rsidRPr="00D633FF" w14:paraId="3D34C460" w14:textId="77777777" w:rsidTr="00CA2A0F">
              <w:trPr>
                <w:trHeight w:val="340"/>
              </w:trPr>
              <w:tc>
                <w:tcPr>
                  <w:cnfStyle w:val="001000000000" w:firstRow="0" w:lastRow="0" w:firstColumn="1" w:lastColumn="0" w:oddVBand="0" w:evenVBand="0" w:oddHBand="0" w:evenHBand="0" w:firstRowFirstColumn="0" w:firstRowLastColumn="0" w:lastRowFirstColumn="0" w:lastRowLastColumn="0"/>
                  <w:tcW w:w="1444" w:type="dxa"/>
                  <w:tcBorders>
                    <w:top w:val="single" w:sz="4" w:space="0" w:color="auto"/>
                    <w:left w:val="single" w:sz="4" w:space="0" w:color="auto"/>
                    <w:bottom w:val="nil"/>
                    <w:right w:val="single" w:sz="4" w:space="0" w:color="auto"/>
                  </w:tcBorders>
                  <w:shd w:val="clear" w:color="auto" w:fill="CCCCCF"/>
                  <w:noWrap/>
                  <w:vAlign w:val="center"/>
                  <w:hideMark/>
                </w:tcPr>
                <w:p w14:paraId="334153EF" w14:textId="77777777" w:rsidR="005C5475" w:rsidRPr="00D633FF" w:rsidRDefault="005C5475" w:rsidP="00CA2A0F">
                  <w:pPr>
                    <w:keepNext/>
                    <w:jc w:val="right"/>
                    <w:rPr>
                      <w:rFonts w:ascii="Calibri" w:eastAsia="Times New Roman" w:hAnsi="Calibri" w:cs="Calibri"/>
                    </w:rPr>
                  </w:pPr>
                  <w:r w:rsidRPr="00D633FF">
                    <w:rPr>
                      <w:rFonts w:ascii="Calibri" w:eastAsia="Times New Roman" w:hAnsi="Calibri" w:cs="Calibri"/>
                    </w:rPr>
                    <w:t>14-18</w:t>
                  </w:r>
                </w:p>
              </w:tc>
              <w:tc>
                <w:tcPr>
                  <w:tcW w:w="1560" w:type="dxa"/>
                  <w:tcBorders>
                    <w:left w:val="single" w:sz="4" w:space="0" w:color="auto"/>
                  </w:tcBorders>
                  <w:shd w:val="clear" w:color="auto" w:fill="CCCCCF"/>
                  <w:vAlign w:val="center"/>
                </w:tcPr>
                <w:p w14:paraId="6C3DCBF7"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Males</w:t>
                  </w:r>
                </w:p>
              </w:tc>
              <w:tc>
                <w:tcPr>
                  <w:tcW w:w="1842" w:type="dxa"/>
                  <w:shd w:val="clear" w:color="auto" w:fill="CCCCCF"/>
                  <w:vAlign w:val="center"/>
                </w:tcPr>
                <w:p w14:paraId="19C6C243" w14:textId="493D45AB"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96</w:t>
                  </w:r>
                </w:p>
              </w:tc>
              <w:tc>
                <w:tcPr>
                  <w:tcW w:w="1418" w:type="dxa"/>
                  <w:shd w:val="clear" w:color="auto" w:fill="CCCCCF"/>
                  <w:vAlign w:val="center"/>
                </w:tcPr>
                <w:p w14:paraId="79173DCF"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5.0%</w:t>
                  </w:r>
                </w:p>
              </w:tc>
              <w:tc>
                <w:tcPr>
                  <w:tcW w:w="1901" w:type="dxa"/>
                  <w:shd w:val="clear" w:color="auto" w:fill="CCCCCF"/>
                  <w:vAlign w:val="center"/>
                </w:tcPr>
                <w:p w14:paraId="0BAB1441"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140</w:t>
                  </w:r>
                </w:p>
              </w:tc>
            </w:tr>
            <w:tr w:rsidR="0017087A" w:rsidRPr="00D633FF" w14:paraId="76978726" w14:textId="77777777" w:rsidTr="00CA2A0F">
              <w:trPr>
                <w:trHeight w:val="340"/>
              </w:trPr>
              <w:tc>
                <w:tcPr>
                  <w:cnfStyle w:val="001000000000" w:firstRow="0" w:lastRow="0" w:firstColumn="1" w:lastColumn="0" w:oddVBand="0" w:evenVBand="0" w:oddHBand="0" w:evenHBand="0" w:firstRowFirstColumn="0" w:firstRowLastColumn="0" w:lastRowFirstColumn="0" w:lastRowLastColumn="0"/>
                  <w:tcW w:w="1444" w:type="dxa"/>
                  <w:tcBorders>
                    <w:top w:val="nil"/>
                    <w:left w:val="single" w:sz="4" w:space="0" w:color="auto"/>
                    <w:bottom w:val="single" w:sz="4" w:space="0" w:color="auto"/>
                    <w:right w:val="single" w:sz="4" w:space="0" w:color="auto"/>
                  </w:tcBorders>
                  <w:shd w:val="clear" w:color="auto" w:fill="CCCCCF"/>
                  <w:noWrap/>
                  <w:vAlign w:val="center"/>
                </w:tcPr>
                <w:p w14:paraId="2C5E6AA5" w14:textId="77777777" w:rsidR="005C5475" w:rsidRPr="00D633FF" w:rsidRDefault="005C5475" w:rsidP="00CA2A0F">
                  <w:pPr>
                    <w:keepNext/>
                    <w:jc w:val="right"/>
                    <w:rPr>
                      <w:rFonts w:ascii="Calibri" w:eastAsia="Times New Roman" w:hAnsi="Calibri" w:cs="Calibri"/>
                      <w:highlight w:val="lightGray"/>
                    </w:rPr>
                  </w:pPr>
                </w:p>
              </w:tc>
              <w:tc>
                <w:tcPr>
                  <w:tcW w:w="1560" w:type="dxa"/>
                  <w:tcBorders>
                    <w:left w:val="single" w:sz="4" w:space="0" w:color="auto"/>
                  </w:tcBorders>
                  <w:shd w:val="clear" w:color="auto" w:fill="FFFFFF"/>
                  <w:vAlign w:val="center"/>
                </w:tcPr>
                <w:p w14:paraId="3D2E18A1"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Females</w:t>
                  </w:r>
                </w:p>
              </w:tc>
              <w:tc>
                <w:tcPr>
                  <w:tcW w:w="1842" w:type="dxa"/>
                  <w:shd w:val="clear" w:color="auto" w:fill="FFFFFF"/>
                  <w:vAlign w:val="center"/>
                </w:tcPr>
                <w:p w14:paraId="2C73A66A"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73</w:t>
                  </w:r>
                </w:p>
              </w:tc>
              <w:tc>
                <w:tcPr>
                  <w:tcW w:w="1418" w:type="dxa"/>
                  <w:shd w:val="clear" w:color="auto" w:fill="FFFFFF"/>
                  <w:vAlign w:val="center"/>
                </w:tcPr>
                <w:p w14:paraId="6BC406BF"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9.7%</w:t>
                  </w:r>
                </w:p>
              </w:tc>
              <w:tc>
                <w:tcPr>
                  <w:tcW w:w="1901" w:type="dxa"/>
                  <w:shd w:val="clear" w:color="auto" w:fill="FFFFFF"/>
                  <w:vAlign w:val="center"/>
                </w:tcPr>
                <w:p w14:paraId="5A43D036"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109</w:t>
                  </w:r>
                </w:p>
              </w:tc>
            </w:tr>
          </w:tbl>
          <w:p w14:paraId="2E28AD59" w14:textId="77777777" w:rsidR="005C5475" w:rsidRPr="00D633FF" w:rsidRDefault="005C5475" w:rsidP="005C5475">
            <w:pPr>
              <w:spacing w:line="276" w:lineRule="auto"/>
              <w:ind w:left="33"/>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16"/>
              </w:rPr>
            </w:pPr>
            <w:r w:rsidRPr="00D633FF">
              <w:rPr>
                <w:rFonts w:ascii="Calibri" w:eastAsia="Arial" w:hAnsi="Calibri" w:cs="Calibri"/>
                <w:b/>
                <w:bCs/>
                <w:sz w:val="16"/>
                <w:szCs w:val="16"/>
              </w:rPr>
              <w:t>Source:</w:t>
            </w:r>
            <w:r w:rsidRPr="00D633FF">
              <w:rPr>
                <w:rFonts w:ascii="Calibri" w:eastAsia="Arial" w:hAnsi="Calibri" w:cs="Calibri"/>
                <w:sz w:val="16"/>
                <w:szCs w:val="16"/>
              </w:rPr>
              <w:t xml:space="preserve"> </w:t>
            </w:r>
            <w:hyperlink r:id="rId48" w:history="1">
              <w:r w:rsidRPr="007B3142">
                <w:rPr>
                  <w:rFonts w:ascii="Calibri" w:eastAsia="Arial" w:hAnsi="Calibri" w:cs="Calibri"/>
                  <w:color w:val="0062B1"/>
                  <w:sz w:val="16"/>
                  <w:szCs w:val="16"/>
                  <w:u w:val="single"/>
                </w:rPr>
                <w:t>https://www.abs.gov.au/statistics/health/health-conditions-and-risks/usual-nutrient-intakes/latest-release</w:t>
              </w:r>
            </w:hyperlink>
            <w:bookmarkStart w:id="114" w:name="_Ref204266175"/>
            <w:r w:rsidRPr="00D633FF">
              <w:rPr>
                <w:rFonts w:ascii="Calibri" w:eastAsia="Arial" w:hAnsi="Calibri" w:cs="Calibri"/>
                <w:sz w:val="20"/>
              </w:rPr>
              <w:br/>
            </w:r>
            <w:r w:rsidRPr="00586E84">
              <w:rPr>
                <w:rFonts w:ascii="Calibri" w:eastAsia="Arial" w:hAnsi="Calibri" w:cs="Calibri"/>
                <w:b/>
                <w:bCs/>
                <w:sz w:val="16"/>
              </w:rPr>
              <w:t>Abbreviations:</w:t>
            </w:r>
            <w:r w:rsidRPr="00D633FF">
              <w:rPr>
                <w:rFonts w:ascii="Calibri" w:eastAsia="Arial" w:hAnsi="Calibri" w:cs="Calibri"/>
                <w:sz w:val="16"/>
              </w:rPr>
              <w:t xml:space="preserve"> CI, confidence interval; EAR, estimated average requirement; UL, upper level.</w:t>
            </w:r>
          </w:p>
          <w:p w14:paraId="698F0293" w14:textId="2DEB3DDB" w:rsidR="005C5475" w:rsidRPr="00D633FF" w:rsidRDefault="005C5475" w:rsidP="00AE2CC5">
            <w:pPr>
              <w:keepNext/>
              <w:spacing w:before="120" w:after="120"/>
              <w:cnfStyle w:val="000000100000" w:firstRow="0" w:lastRow="0" w:firstColumn="0" w:lastColumn="0" w:oddVBand="0" w:evenVBand="0" w:oddHBand="1" w:evenHBand="0" w:firstRowFirstColumn="0" w:firstRowLastColumn="0" w:lastRowFirstColumn="0" w:lastRowLastColumn="0"/>
              <w:rPr>
                <w:rFonts w:ascii="Calibri" w:eastAsia="Arial" w:hAnsi="Calibri" w:cs="Calibri"/>
                <w:iCs/>
                <w:caps/>
              </w:rPr>
            </w:pPr>
            <w:bookmarkStart w:id="115" w:name="_Ref207028001"/>
            <w:r w:rsidRPr="00D633FF">
              <w:rPr>
                <w:rFonts w:ascii="Calibri" w:eastAsia="Arial" w:hAnsi="Calibri" w:cs="Calibri"/>
                <w:b/>
                <w:iCs/>
                <w:caps/>
              </w:rPr>
              <w:lastRenderedPageBreak/>
              <w:t xml:space="preserve">Table </w:t>
            </w:r>
            <w:r w:rsidRPr="00D633FF">
              <w:rPr>
                <w:rFonts w:ascii="Calibri" w:eastAsia="Arial" w:hAnsi="Calibri" w:cs="Calibri"/>
                <w:b/>
                <w:iCs/>
                <w:caps/>
              </w:rPr>
              <w:fldChar w:fldCharType="begin"/>
            </w:r>
            <w:r w:rsidRPr="00D633FF">
              <w:rPr>
                <w:rFonts w:ascii="Calibri" w:eastAsia="Arial" w:hAnsi="Calibri" w:cs="Calibri"/>
                <w:b/>
                <w:bCs/>
                <w:iCs/>
                <w:caps/>
              </w:rPr>
              <w:instrText xml:space="preserve"> SEQ Table \* ARABIC </w:instrText>
            </w:r>
            <w:r w:rsidRPr="00D633FF">
              <w:rPr>
                <w:rFonts w:ascii="Calibri" w:eastAsia="Arial" w:hAnsi="Calibri" w:cs="Calibri"/>
                <w:b/>
                <w:iCs/>
                <w:caps/>
              </w:rPr>
              <w:fldChar w:fldCharType="separate"/>
            </w:r>
            <w:r w:rsidR="00CB6915">
              <w:rPr>
                <w:rFonts w:ascii="Calibri" w:eastAsia="Arial" w:hAnsi="Calibri" w:cs="Calibri"/>
                <w:b/>
                <w:bCs/>
                <w:iCs/>
                <w:caps/>
                <w:noProof/>
              </w:rPr>
              <w:t>23</w:t>
            </w:r>
            <w:r w:rsidRPr="00D633FF">
              <w:rPr>
                <w:rFonts w:ascii="Calibri" w:eastAsia="Arial" w:hAnsi="Calibri" w:cs="Calibri"/>
                <w:b/>
                <w:iCs/>
                <w:caps/>
              </w:rPr>
              <w:fldChar w:fldCharType="end"/>
            </w:r>
            <w:bookmarkEnd w:id="114"/>
            <w:bookmarkEnd w:id="115"/>
            <w:r w:rsidR="00586E84">
              <w:rPr>
                <w:rFonts w:ascii="Calibri" w:eastAsia="Arial" w:hAnsi="Calibri" w:cs="Calibri"/>
                <w:b/>
                <w:iCs/>
                <w:caps/>
              </w:rPr>
              <w:t>.</w:t>
            </w:r>
            <w:r w:rsidRPr="00D633FF">
              <w:rPr>
                <w:rFonts w:ascii="Calibri" w:eastAsia="Arial" w:hAnsi="Calibri" w:cs="Calibri"/>
                <w:iCs/>
                <w:caps/>
              </w:rPr>
              <w:t xml:space="preserve"> </w:t>
            </w:r>
            <w:r w:rsidR="000E14B5">
              <w:rPr>
                <w:rFonts w:ascii="Calibri" w:eastAsia="Arial" w:hAnsi="Calibri" w:cs="Calibri"/>
                <w:b/>
                <w:bCs/>
                <w:iCs/>
              </w:rPr>
              <w:t>S</w:t>
            </w:r>
            <w:r w:rsidR="000E14B5" w:rsidRPr="00BB4BBB">
              <w:rPr>
                <w:rFonts w:ascii="Calibri" w:eastAsia="Arial" w:hAnsi="Calibri" w:cs="Calibri"/>
                <w:b/>
                <w:bCs/>
                <w:iCs/>
              </w:rPr>
              <w:t xml:space="preserve">elenium intake in </w:t>
            </w:r>
            <w:r w:rsidR="000E14B5">
              <w:rPr>
                <w:rFonts w:ascii="Calibri" w:eastAsia="Arial" w:hAnsi="Calibri" w:cs="Calibri"/>
                <w:b/>
                <w:bCs/>
                <w:iCs/>
              </w:rPr>
              <w:t>N</w:t>
            </w:r>
            <w:r w:rsidR="000E14B5" w:rsidRPr="00BB4BBB">
              <w:rPr>
                <w:rFonts w:ascii="Calibri" w:eastAsia="Arial" w:hAnsi="Calibri" w:cs="Calibri"/>
                <w:b/>
                <w:bCs/>
                <w:iCs/>
              </w:rPr>
              <w:t xml:space="preserve">ew </w:t>
            </w:r>
            <w:r w:rsidR="000E14B5">
              <w:rPr>
                <w:rFonts w:ascii="Calibri" w:eastAsia="Arial" w:hAnsi="Calibri" w:cs="Calibri"/>
                <w:b/>
                <w:bCs/>
                <w:iCs/>
              </w:rPr>
              <w:t>Z</w:t>
            </w:r>
            <w:r w:rsidR="000E14B5" w:rsidRPr="00BB4BBB">
              <w:rPr>
                <w:rFonts w:ascii="Calibri" w:eastAsia="Arial" w:hAnsi="Calibri" w:cs="Calibri"/>
                <w:b/>
                <w:bCs/>
                <w:iCs/>
              </w:rPr>
              <w:t xml:space="preserve">ealand children, 2002 </w:t>
            </w:r>
            <w:r w:rsidR="000E14B5">
              <w:rPr>
                <w:rFonts w:ascii="Calibri" w:eastAsia="Arial" w:hAnsi="Calibri" w:cs="Calibri"/>
                <w:b/>
                <w:bCs/>
                <w:iCs/>
              </w:rPr>
              <w:t>N</w:t>
            </w:r>
            <w:r w:rsidR="000E14B5" w:rsidRPr="00BB4BBB">
              <w:rPr>
                <w:rFonts w:ascii="Calibri" w:eastAsia="Arial" w:hAnsi="Calibri" w:cs="Calibri"/>
                <w:b/>
                <w:bCs/>
                <w:iCs/>
              </w:rPr>
              <w:t xml:space="preserve">ew </w:t>
            </w:r>
            <w:r w:rsidR="000E14B5">
              <w:rPr>
                <w:rFonts w:ascii="Calibri" w:eastAsia="Arial" w:hAnsi="Calibri" w:cs="Calibri"/>
                <w:b/>
                <w:bCs/>
                <w:iCs/>
              </w:rPr>
              <w:t>Z</w:t>
            </w:r>
            <w:r w:rsidR="000E14B5" w:rsidRPr="00BB4BBB">
              <w:rPr>
                <w:rFonts w:ascii="Calibri" w:eastAsia="Arial" w:hAnsi="Calibri" w:cs="Calibri"/>
                <w:b/>
                <w:bCs/>
                <w:iCs/>
              </w:rPr>
              <w:t xml:space="preserve">ealand </w:t>
            </w:r>
            <w:r w:rsidR="000E14B5">
              <w:rPr>
                <w:rFonts w:ascii="Calibri" w:eastAsia="Arial" w:hAnsi="Calibri" w:cs="Calibri"/>
                <w:b/>
                <w:bCs/>
                <w:iCs/>
              </w:rPr>
              <w:t>C</w:t>
            </w:r>
            <w:r w:rsidR="000E14B5" w:rsidRPr="00BB4BBB">
              <w:rPr>
                <w:rFonts w:ascii="Calibri" w:eastAsia="Arial" w:hAnsi="Calibri" w:cs="Calibri"/>
                <w:b/>
                <w:bCs/>
                <w:iCs/>
              </w:rPr>
              <w:t xml:space="preserve">hildren’s </w:t>
            </w:r>
            <w:r w:rsidR="000E14B5">
              <w:rPr>
                <w:rFonts w:ascii="Calibri" w:eastAsia="Arial" w:hAnsi="Calibri" w:cs="Calibri"/>
                <w:b/>
                <w:bCs/>
                <w:iCs/>
              </w:rPr>
              <w:t>N</w:t>
            </w:r>
            <w:r w:rsidR="000E14B5" w:rsidRPr="00BB4BBB">
              <w:rPr>
                <w:rFonts w:ascii="Calibri" w:eastAsia="Arial" w:hAnsi="Calibri" w:cs="Calibri"/>
                <w:b/>
                <w:bCs/>
                <w:iCs/>
              </w:rPr>
              <w:t xml:space="preserve">utrition </w:t>
            </w:r>
            <w:r w:rsidR="000E14B5">
              <w:rPr>
                <w:rFonts w:ascii="Calibri" w:eastAsia="Arial" w:hAnsi="Calibri" w:cs="Calibri"/>
                <w:b/>
                <w:bCs/>
                <w:iCs/>
              </w:rPr>
              <w:t>S</w:t>
            </w:r>
            <w:r w:rsidR="000E14B5" w:rsidRPr="00BB4BBB">
              <w:rPr>
                <w:rFonts w:ascii="Calibri" w:eastAsia="Arial" w:hAnsi="Calibri" w:cs="Calibri"/>
                <w:b/>
                <w:bCs/>
                <w:iCs/>
              </w:rPr>
              <w:t>urvey</w:t>
            </w:r>
          </w:p>
          <w:tbl>
            <w:tblPr>
              <w:tblStyle w:val="GridTable4"/>
              <w:tblW w:w="8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1560"/>
              <w:gridCol w:w="1842"/>
              <w:gridCol w:w="1418"/>
              <w:gridCol w:w="1901"/>
            </w:tblGrid>
            <w:tr w:rsidR="005C5475" w:rsidRPr="00D633FF" w14:paraId="01A67EAC" w14:textId="77777777" w:rsidTr="00CA2A0F">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44" w:type="dxa"/>
                  <w:vMerge w:val="restart"/>
                  <w:shd w:val="clear" w:color="auto" w:fill="000000" w:themeFill="text1"/>
                  <w:noWrap/>
                  <w:vAlign w:val="center"/>
                </w:tcPr>
                <w:p w14:paraId="2E62BA0A" w14:textId="77777777" w:rsidR="005C5475" w:rsidRPr="00D633FF" w:rsidRDefault="005C5475" w:rsidP="00CA2A0F">
                  <w:pPr>
                    <w:keepNext/>
                    <w:jc w:val="right"/>
                    <w:rPr>
                      <w:rFonts w:ascii="Calibri" w:eastAsia="Times New Roman" w:hAnsi="Calibri" w:cs="Calibri"/>
                      <w:color w:val="auto"/>
                    </w:rPr>
                  </w:pPr>
                  <w:r w:rsidRPr="00D633FF">
                    <w:rPr>
                      <w:rFonts w:ascii="Calibri" w:eastAsia="Times New Roman" w:hAnsi="Calibri" w:cs="Calibri"/>
                      <w:color w:val="auto"/>
                    </w:rPr>
                    <w:t>Age groups (years)</w:t>
                  </w:r>
                </w:p>
              </w:tc>
              <w:tc>
                <w:tcPr>
                  <w:tcW w:w="1560" w:type="dxa"/>
                  <w:vMerge w:val="restart"/>
                  <w:shd w:val="clear" w:color="auto" w:fill="000000" w:themeFill="text1"/>
                  <w:vAlign w:val="center"/>
                </w:tcPr>
                <w:p w14:paraId="1C87D60B" w14:textId="77777777" w:rsidR="005C5475" w:rsidRPr="00D633FF" w:rsidRDefault="005C5475" w:rsidP="003164F1">
                  <w:pPr>
                    <w:keepNext/>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rPr>
                  </w:pPr>
                  <w:r w:rsidRPr="00D633FF">
                    <w:rPr>
                      <w:rFonts w:ascii="Calibri" w:eastAsia="Times New Roman" w:hAnsi="Calibri" w:cs="Calibri"/>
                      <w:color w:val="auto"/>
                    </w:rPr>
                    <w:t>Sex</w:t>
                  </w:r>
                </w:p>
              </w:tc>
              <w:tc>
                <w:tcPr>
                  <w:tcW w:w="1842" w:type="dxa"/>
                  <w:vMerge w:val="restart"/>
                  <w:shd w:val="clear" w:color="auto" w:fill="000000" w:themeFill="text1"/>
                  <w:vAlign w:val="center"/>
                </w:tcPr>
                <w:p w14:paraId="6F017725" w14:textId="3747D771" w:rsidR="005C5475" w:rsidRPr="00D633FF" w:rsidRDefault="005C5475" w:rsidP="00310A44">
                  <w:pPr>
                    <w:keepNext/>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rPr>
                  </w:pPr>
                  <w:r w:rsidRPr="00D633FF">
                    <w:rPr>
                      <w:rFonts w:ascii="Calibri" w:eastAsia="Times New Roman" w:hAnsi="Calibri" w:cs="Calibri"/>
                      <w:color w:val="auto"/>
                    </w:rPr>
                    <w:t>Mean intake (µg/day)</w:t>
                  </w:r>
                </w:p>
              </w:tc>
              <w:tc>
                <w:tcPr>
                  <w:tcW w:w="1418" w:type="dxa"/>
                  <w:vMerge w:val="restart"/>
                  <w:shd w:val="clear" w:color="auto" w:fill="000000" w:themeFill="text1"/>
                  <w:vAlign w:val="center"/>
                </w:tcPr>
                <w:p w14:paraId="2644C2F9" w14:textId="77777777" w:rsidR="005C5475" w:rsidRPr="00D633FF" w:rsidRDefault="005C5475" w:rsidP="003164F1">
                  <w:pPr>
                    <w:keepNext/>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rPr>
                  </w:pPr>
                  <w:r w:rsidRPr="00D633FF">
                    <w:rPr>
                      <w:rFonts w:ascii="Calibri" w:eastAsia="Times New Roman" w:hAnsi="Calibri" w:cs="Calibri"/>
                      <w:color w:val="auto"/>
                    </w:rPr>
                    <w:t>% less than RNI</w:t>
                  </w:r>
                  <w:r w:rsidRPr="00D633FF">
                    <w:rPr>
                      <w:rFonts w:ascii="Calibri" w:eastAsia="Times New Roman" w:hAnsi="Calibri" w:cs="Calibri"/>
                      <w:color w:val="auto"/>
                      <w:vertAlign w:val="superscript"/>
                    </w:rPr>
                    <w:t>#</w:t>
                  </w:r>
                </w:p>
              </w:tc>
              <w:tc>
                <w:tcPr>
                  <w:tcW w:w="1901" w:type="dxa"/>
                  <w:vMerge w:val="restart"/>
                  <w:shd w:val="clear" w:color="auto" w:fill="000000" w:themeFill="text1"/>
                  <w:vAlign w:val="center"/>
                </w:tcPr>
                <w:p w14:paraId="36F8A01A" w14:textId="5DACF952" w:rsidR="005C5475" w:rsidRPr="00D633FF" w:rsidRDefault="005C5475" w:rsidP="003164F1">
                  <w:pPr>
                    <w:keepNext/>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rPr>
                  </w:pPr>
                  <w:r w:rsidRPr="00D633FF">
                    <w:rPr>
                      <w:rFonts w:ascii="Calibri" w:eastAsia="Times New Roman" w:hAnsi="Calibri" w:cs="Calibri"/>
                      <w:color w:val="auto"/>
                    </w:rPr>
                    <w:t>90</w:t>
                  </w:r>
                  <w:r w:rsidRPr="00D633FF">
                    <w:rPr>
                      <w:rFonts w:ascii="Calibri" w:eastAsia="Times New Roman" w:hAnsi="Calibri" w:cs="Calibri"/>
                      <w:color w:val="auto"/>
                      <w:vertAlign w:val="superscript"/>
                    </w:rPr>
                    <w:t>th</w:t>
                  </w:r>
                  <w:r w:rsidRPr="00D633FF">
                    <w:rPr>
                      <w:rFonts w:ascii="Calibri" w:eastAsia="Times New Roman" w:hAnsi="Calibri" w:cs="Calibri"/>
                      <w:color w:val="auto"/>
                    </w:rPr>
                    <w:t xml:space="preserve"> Percentile intake</w:t>
                  </w:r>
                </w:p>
                <w:p w14:paraId="7B22D085" w14:textId="77777777" w:rsidR="005C5475" w:rsidRPr="00D633FF" w:rsidRDefault="005C5475" w:rsidP="00310A44">
                  <w:pPr>
                    <w:keepNext/>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rPr>
                  </w:pPr>
                  <w:r w:rsidRPr="00D633FF">
                    <w:rPr>
                      <w:rFonts w:ascii="Calibri" w:eastAsia="Times New Roman" w:hAnsi="Calibri" w:cs="Calibri"/>
                      <w:color w:val="auto"/>
                    </w:rPr>
                    <w:t>(ug / day)</w:t>
                  </w:r>
                </w:p>
              </w:tc>
            </w:tr>
            <w:tr w:rsidR="005C5475" w:rsidRPr="00D633FF" w14:paraId="0D7275AE" w14:textId="77777777" w:rsidTr="00CA2A0F">
              <w:trPr>
                <w:trHeight w:val="340"/>
              </w:trPr>
              <w:tc>
                <w:tcPr>
                  <w:cnfStyle w:val="001000000000" w:firstRow="0" w:lastRow="0" w:firstColumn="1" w:lastColumn="0" w:oddVBand="0" w:evenVBand="0" w:oddHBand="0" w:evenHBand="0" w:firstRowFirstColumn="0" w:firstRowLastColumn="0" w:lastRowFirstColumn="0" w:lastRowLastColumn="0"/>
                  <w:tcW w:w="1444" w:type="dxa"/>
                  <w:vMerge/>
                  <w:tcBorders>
                    <w:bottom w:val="single" w:sz="4" w:space="0" w:color="auto"/>
                  </w:tcBorders>
                  <w:shd w:val="clear" w:color="auto" w:fill="000000" w:themeFill="text1"/>
                  <w:noWrap/>
                  <w:vAlign w:val="center"/>
                </w:tcPr>
                <w:p w14:paraId="6B5645CD" w14:textId="77777777" w:rsidR="005C5475" w:rsidRPr="00D633FF" w:rsidRDefault="005C5475" w:rsidP="00CA2A0F">
                  <w:pPr>
                    <w:keepNext/>
                    <w:jc w:val="right"/>
                    <w:rPr>
                      <w:rFonts w:ascii="Calibri" w:eastAsia="Times New Roman" w:hAnsi="Calibri" w:cs="Calibri"/>
                      <w:color w:val="FFFFFF"/>
                    </w:rPr>
                  </w:pPr>
                </w:p>
              </w:tc>
              <w:tc>
                <w:tcPr>
                  <w:tcW w:w="1560" w:type="dxa"/>
                  <w:vMerge/>
                  <w:shd w:val="clear" w:color="auto" w:fill="000000" w:themeFill="text1"/>
                  <w:vAlign w:val="center"/>
                </w:tcPr>
                <w:p w14:paraId="67C0C7F3"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FFFFFF"/>
                    </w:rPr>
                  </w:pPr>
                </w:p>
              </w:tc>
              <w:tc>
                <w:tcPr>
                  <w:tcW w:w="1842" w:type="dxa"/>
                  <w:vMerge/>
                  <w:shd w:val="clear" w:color="auto" w:fill="000000" w:themeFill="text1"/>
                  <w:vAlign w:val="center"/>
                </w:tcPr>
                <w:p w14:paraId="69C3B208"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FFFFFF"/>
                    </w:rPr>
                  </w:pPr>
                </w:p>
              </w:tc>
              <w:tc>
                <w:tcPr>
                  <w:tcW w:w="1418" w:type="dxa"/>
                  <w:vMerge/>
                  <w:shd w:val="clear" w:color="auto" w:fill="000000" w:themeFill="text1"/>
                  <w:vAlign w:val="center"/>
                </w:tcPr>
                <w:p w14:paraId="1391C74F"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FFFFFF"/>
                    </w:rPr>
                  </w:pPr>
                </w:p>
              </w:tc>
              <w:tc>
                <w:tcPr>
                  <w:tcW w:w="1901" w:type="dxa"/>
                  <w:vMerge/>
                  <w:shd w:val="clear" w:color="auto" w:fill="000000" w:themeFill="text1"/>
                  <w:vAlign w:val="center"/>
                </w:tcPr>
                <w:p w14:paraId="5A97D27A"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FFFFFF"/>
                    </w:rPr>
                  </w:pPr>
                </w:p>
              </w:tc>
            </w:tr>
            <w:tr w:rsidR="0017087A" w:rsidRPr="00D633FF" w14:paraId="60793BDD" w14:textId="77777777" w:rsidTr="00CA2A0F">
              <w:trPr>
                <w:trHeight w:val="340"/>
              </w:trPr>
              <w:tc>
                <w:tcPr>
                  <w:cnfStyle w:val="001000000000" w:firstRow="0" w:lastRow="0" w:firstColumn="1" w:lastColumn="0" w:oddVBand="0" w:evenVBand="0" w:oddHBand="0" w:evenHBand="0" w:firstRowFirstColumn="0" w:firstRowLastColumn="0" w:lastRowFirstColumn="0" w:lastRowLastColumn="0"/>
                  <w:tcW w:w="1444" w:type="dxa"/>
                  <w:tcBorders>
                    <w:top w:val="single" w:sz="4" w:space="0" w:color="auto"/>
                    <w:left w:val="single" w:sz="4" w:space="0" w:color="auto"/>
                    <w:bottom w:val="nil"/>
                    <w:right w:val="single" w:sz="4" w:space="0" w:color="auto"/>
                  </w:tcBorders>
                  <w:shd w:val="clear" w:color="auto" w:fill="CCCCCF"/>
                  <w:noWrap/>
                  <w:vAlign w:val="center"/>
                </w:tcPr>
                <w:p w14:paraId="7B194224" w14:textId="77777777" w:rsidR="005C5475" w:rsidRPr="00D633FF" w:rsidRDefault="005C5475" w:rsidP="00CA2A0F">
                  <w:pPr>
                    <w:keepNext/>
                    <w:jc w:val="right"/>
                    <w:rPr>
                      <w:rFonts w:ascii="Calibri" w:eastAsia="Times New Roman" w:hAnsi="Calibri" w:cs="Calibri"/>
                    </w:rPr>
                  </w:pPr>
                  <w:r w:rsidRPr="00D633FF">
                    <w:rPr>
                      <w:rFonts w:ascii="Calibri" w:eastAsia="Times New Roman" w:hAnsi="Calibri" w:cs="Calibri"/>
                    </w:rPr>
                    <w:t xml:space="preserve">5-6 </w:t>
                  </w:r>
                </w:p>
              </w:tc>
              <w:tc>
                <w:tcPr>
                  <w:tcW w:w="1560" w:type="dxa"/>
                  <w:tcBorders>
                    <w:left w:val="single" w:sz="4" w:space="0" w:color="auto"/>
                  </w:tcBorders>
                  <w:shd w:val="clear" w:color="auto" w:fill="CCCCCF"/>
                  <w:vAlign w:val="center"/>
                </w:tcPr>
                <w:p w14:paraId="130B462F"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Males</w:t>
                  </w:r>
                </w:p>
              </w:tc>
              <w:tc>
                <w:tcPr>
                  <w:tcW w:w="1842" w:type="dxa"/>
                  <w:shd w:val="clear" w:color="auto" w:fill="CCCCCF"/>
                  <w:vAlign w:val="center"/>
                </w:tcPr>
                <w:p w14:paraId="32902A27"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31.0</w:t>
                  </w:r>
                </w:p>
              </w:tc>
              <w:tc>
                <w:tcPr>
                  <w:tcW w:w="1418" w:type="dxa"/>
                  <w:shd w:val="clear" w:color="auto" w:fill="CCCCCF"/>
                  <w:vAlign w:val="center"/>
                </w:tcPr>
                <w:p w14:paraId="5FADF308"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color w:val="000000"/>
                    </w:rPr>
                  </w:pPr>
                  <w:r w:rsidRPr="00D633FF">
                    <w:rPr>
                      <w:rFonts w:ascii="Calibri" w:eastAsia="Times New Roman" w:hAnsi="Calibri" w:cs="Calibri"/>
                      <w:i/>
                      <w:color w:val="000000"/>
                    </w:rPr>
                    <w:t>nr</w:t>
                  </w:r>
                </w:p>
              </w:tc>
              <w:tc>
                <w:tcPr>
                  <w:tcW w:w="1901" w:type="dxa"/>
                  <w:shd w:val="clear" w:color="auto" w:fill="CCCCCF"/>
                  <w:vAlign w:val="center"/>
                </w:tcPr>
                <w:p w14:paraId="2F516415"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Cs/>
                      <w:color w:val="000000"/>
                    </w:rPr>
                  </w:pPr>
                  <w:r w:rsidRPr="00D633FF">
                    <w:rPr>
                      <w:rFonts w:ascii="Calibri" w:eastAsia="Times New Roman" w:hAnsi="Calibri" w:cs="Calibri"/>
                      <w:iCs/>
                      <w:color w:val="000000"/>
                    </w:rPr>
                    <w:t>42.5</w:t>
                  </w:r>
                </w:p>
              </w:tc>
            </w:tr>
            <w:tr w:rsidR="0017087A" w:rsidRPr="00D633FF" w14:paraId="364D3E63" w14:textId="77777777" w:rsidTr="00CA2A0F">
              <w:trPr>
                <w:trHeight w:val="340"/>
              </w:trPr>
              <w:tc>
                <w:tcPr>
                  <w:cnfStyle w:val="001000000000" w:firstRow="0" w:lastRow="0" w:firstColumn="1" w:lastColumn="0" w:oddVBand="0" w:evenVBand="0" w:oddHBand="0" w:evenHBand="0" w:firstRowFirstColumn="0" w:firstRowLastColumn="0" w:lastRowFirstColumn="0" w:lastRowLastColumn="0"/>
                  <w:tcW w:w="1444" w:type="dxa"/>
                  <w:tcBorders>
                    <w:top w:val="nil"/>
                    <w:left w:val="single" w:sz="4" w:space="0" w:color="auto"/>
                    <w:bottom w:val="single" w:sz="4" w:space="0" w:color="auto"/>
                    <w:right w:val="single" w:sz="4" w:space="0" w:color="auto"/>
                  </w:tcBorders>
                  <w:shd w:val="clear" w:color="auto" w:fill="CCCCCF"/>
                  <w:noWrap/>
                  <w:vAlign w:val="center"/>
                </w:tcPr>
                <w:p w14:paraId="25FA7D01" w14:textId="77777777" w:rsidR="005C5475" w:rsidRPr="00D633FF" w:rsidRDefault="005C5475" w:rsidP="00CA2A0F">
                  <w:pPr>
                    <w:keepNext/>
                    <w:jc w:val="right"/>
                    <w:rPr>
                      <w:rFonts w:ascii="Calibri" w:eastAsia="Times New Roman" w:hAnsi="Calibri" w:cs="Calibri"/>
                    </w:rPr>
                  </w:pPr>
                </w:p>
              </w:tc>
              <w:tc>
                <w:tcPr>
                  <w:tcW w:w="1560" w:type="dxa"/>
                  <w:tcBorders>
                    <w:left w:val="single" w:sz="4" w:space="0" w:color="auto"/>
                  </w:tcBorders>
                  <w:shd w:val="clear" w:color="auto" w:fill="FFFFFF"/>
                  <w:vAlign w:val="center"/>
                </w:tcPr>
                <w:p w14:paraId="159A6289"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Females</w:t>
                  </w:r>
                </w:p>
              </w:tc>
              <w:tc>
                <w:tcPr>
                  <w:tcW w:w="1842" w:type="dxa"/>
                  <w:shd w:val="clear" w:color="auto" w:fill="FFFFFF"/>
                  <w:vAlign w:val="center"/>
                </w:tcPr>
                <w:p w14:paraId="5EC2ED12"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25.5</w:t>
                  </w:r>
                </w:p>
              </w:tc>
              <w:tc>
                <w:tcPr>
                  <w:tcW w:w="1418" w:type="dxa"/>
                  <w:shd w:val="clear" w:color="auto" w:fill="FFFFFF"/>
                  <w:vAlign w:val="center"/>
                </w:tcPr>
                <w:p w14:paraId="770DBA6E"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color w:val="000000"/>
                    </w:rPr>
                  </w:pPr>
                  <w:r w:rsidRPr="00D633FF">
                    <w:rPr>
                      <w:rFonts w:ascii="Calibri" w:eastAsia="Times New Roman" w:hAnsi="Calibri" w:cs="Calibri"/>
                      <w:i/>
                      <w:color w:val="000000"/>
                    </w:rPr>
                    <w:t>nr</w:t>
                  </w:r>
                </w:p>
              </w:tc>
              <w:tc>
                <w:tcPr>
                  <w:tcW w:w="1901" w:type="dxa"/>
                  <w:shd w:val="clear" w:color="auto" w:fill="FFFFFF"/>
                  <w:vAlign w:val="center"/>
                </w:tcPr>
                <w:p w14:paraId="64B60791"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Cs/>
                      <w:color w:val="000000"/>
                    </w:rPr>
                  </w:pPr>
                  <w:r w:rsidRPr="00D633FF">
                    <w:rPr>
                      <w:rFonts w:ascii="Calibri" w:eastAsia="Times New Roman" w:hAnsi="Calibri" w:cs="Calibri"/>
                      <w:iCs/>
                      <w:color w:val="000000"/>
                    </w:rPr>
                    <w:t>33.9</w:t>
                  </w:r>
                </w:p>
              </w:tc>
            </w:tr>
            <w:tr w:rsidR="0017087A" w:rsidRPr="00D633FF" w14:paraId="47EF9BC6" w14:textId="77777777" w:rsidTr="00CA2A0F">
              <w:trPr>
                <w:trHeight w:val="340"/>
              </w:trPr>
              <w:tc>
                <w:tcPr>
                  <w:cnfStyle w:val="001000000000" w:firstRow="0" w:lastRow="0" w:firstColumn="1" w:lastColumn="0" w:oddVBand="0" w:evenVBand="0" w:oddHBand="0" w:evenHBand="0" w:firstRowFirstColumn="0" w:firstRowLastColumn="0" w:lastRowFirstColumn="0" w:lastRowLastColumn="0"/>
                  <w:tcW w:w="1444" w:type="dxa"/>
                  <w:tcBorders>
                    <w:top w:val="single" w:sz="4" w:space="0" w:color="auto"/>
                    <w:left w:val="single" w:sz="4" w:space="0" w:color="auto"/>
                    <w:bottom w:val="nil"/>
                    <w:right w:val="single" w:sz="4" w:space="0" w:color="auto"/>
                  </w:tcBorders>
                  <w:shd w:val="clear" w:color="auto" w:fill="CCCCCF"/>
                  <w:noWrap/>
                  <w:vAlign w:val="center"/>
                  <w:hideMark/>
                </w:tcPr>
                <w:p w14:paraId="4C5F2758" w14:textId="77777777" w:rsidR="005C5475" w:rsidRPr="00D633FF" w:rsidRDefault="005C5475" w:rsidP="00CA2A0F">
                  <w:pPr>
                    <w:keepNext/>
                    <w:jc w:val="right"/>
                    <w:rPr>
                      <w:rFonts w:ascii="Calibri" w:eastAsia="Times New Roman" w:hAnsi="Calibri" w:cs="Calibri"/>
                    </w:rPr>
                  </w:pPr>
                  <w:r w:rsidRPr="00D633FF">
                    <w:rPr>
                      <w:rFonts w:ascii="Calibri" w:eastAsia="Times New Roman" w:hAnsi="Calibri" w:cs="Calibri"/>
                    </w:rPr>
                    <w:t>7-10</w:t>
                  </w:r>
                </w:p>
              </w:tc>
              <w:tc>
                <w:tcPr>
                  <w:tcW w:w="1560" w:type="dxa"/>
                  <w:tcBorders>
                    <w:left w:val="single" w:sz="4" w:space="0" w:color="auto"/>
                  </w:tcBorders>
                  <w:shd w:val="clear" w:color="auto" w:fill="CCCCCF"/>
                  <w:vAlign w:val="center"/>
                </w:tcPr>
                <w:p w14:paraId="79752A77"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Males</w:t>
                  </w:r>
                </w:p>
              </w:tc>
              <w:tc>
                <w:tcPr>
                  <w:tcW w:w="1842" w:type="dxa"/>
                  <w:shd w:val="clear" w:color="auto" w:fill="CCCCCF"/>
                  <w:vAlign w:val="center"/>
                </w:tcPr>
                <w:p w14:paraId="1EEB0CB8"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37.4</w:t>
                  </w:r>
                </w:p>
              </w:tc>
              <w:tc>
                <w:tcPr>
                  <w:tcW w:w="1418" w:type="dxa"/>
                  <w:shd w:val="clear" w:color="auto" w:fill="CCCCCF"/>
                  <w:vAlign w:val="center"/>
                </w:tcPr>
                <w:p w14:paraId="3A53C17E"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color w:val="000000"/>
                    </w:rPr>
                  </w:pPr>
                  <w:r w:rsidRPr="00D633FF">
                    <w:rPr>
                      <w:rFonts w:ascii="Calibri" w:eastAsia="Times New Roman" w:hAnsi="Calibri" w:cs="Calibri"/>
                      <w:i/>
                      <w:color w:val="000000"/>
                    </w:rPr>
                    <w:t>nr</w:t>
                  </w:r>
                </w:p>
              </w:tc>
              <w:tc>
                <w:tcPr>
                  <w:tcW w:w="1901" w:type="dxa"/>
                  <w:shd w:val="clear" w:color="auto" w:fill="CCCCCF"/>
                  <w:vAlign w:val="center"/>
                </w:tcPr>
                <w:p w14:paraId="3A32BFA9"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Cs/>
                      <w:color w:val="000000"/>
                    </w:rPr>
                  </w:pPr>
                  <w:r w:rsidRPr="00D633FF">
                    <w:rPr>
                      <w:rFonts w:ascii="Calibri" w:eastAsia="Times New Roman" w:hAnsi="Calibri" w:cs="Calibri"/>
                      <w:iCs/>
                      <w:color w:val="000000"/>
                    </w:rPr>
                    <w:t>54.3</w:t>
                  </w:r>
                </w:p>
              </w:tc>
            </w:tr>
            <w:tr w:rsidR="0017087A" w:rsidRPr="00D633FF" w14:paraId="211075E5" w14:textId="77777777" w:rsidTr="00CA2A0F">
              <w:trPr>
                <w:trHeight w:val="340"/>
              </w:trPr>
              <w:tc>
                <w:tcPr>
                  <w:cnfStyle w:val="001000000000" w:firstRow="0" w:lastRow="0" w:firstColumn="1" w:lastColumn="0" w:oddVBand="0" w:evenVBand="0" w:oddHBand="0" w:evenHBand="0" w:firstRowFirstColumn="0" w:firstRowLastColumn="0" w:lastRowFirstColumn="0" w:lastRowLastColumn="0"/>
                  <w:tcW w:w="1444" w:type="dxa"/>
                  <w:tcBorders>
                    <w:top w:val="nil"/>
                    <w:left w:val="single" w:sz="4" w:space="0" w:color="auto"/>
                    <w:bottom w:val="single" w:sz="4" w:space="0" w:color="auto"/>
                    <w:right w:val="single" w:sz="4" w:space="0" w:color="auto"/>
                  </w:tcBorders>
                  <w:shd w:val="clear" w:color="auto" w:fill="CCCCCF"/>
                  <w:noWrap/>
                  <w:vAlign w:val="center"/>
                </w:tcPr>
                <w:p w14:paraId="4E37CB8D" w14:textId="77777777" w:rsidR="005C5475" w:rsidRPr="00D633FF" w:rsidRDefault="005C5475" w:rsidP="00CA2A0F">
                  <w:pPr>
                    <w:keepNext/>
                    <w:jc w:val="right"/>
                    <w:rPr>
                      <w:rFonts w:ascii="Calibri" w:eastAsia="Times New Roman" w:hAnsi="Calibri" w:cs="Calibri"/>
                    </w:rPr>
                  </w:pPr>
                </w:p>
              </w:tc>
              <w:tc>
                <w:tcPr>
                  <w:tcW w:w="1560" w:type="dxa"/>
                  <w:tcBorders>
                    <w:left w:val="single" w:sz="4" w:space="0" w:color="auto"/>
                  </w:tcBorders>
                  <w:shd w:val="clear" w:color="auto" w:fill="FFFFFF"/>
                  <w:vAlign w:val="center"/>
                </w:tcPr>
                <w:p w14:paraId="4D88CB25"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Females</w:t>
                  </w:r>
                </w:p>
              </w:tc>
              <w:tc>
                <w:tcPr>
                  <w:tcW w:w="1842" w:type="dxa"/>
                  <w:shd w:val="clear" w:color="auto" w:fill="FFFFFF"/>
                  <w:vAlign w:val="center"/>
                </w:tcPr>
                <w:p w14:paraId="13E62C00"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33.1</w:t>
                  </w:r>
                </w:p>
              </w:tc>
              <w:tc>
                <w:tcPr>
                  <w:tcW w:w="1418" w:type="dxa"/>
                  <w:shd w:val="clear" w:color="auto" w:fill="FFFFFF"/>
                  <w:vAlign w:val="center"/>
                </w:tcPr>
                <w:p w14:paraId="0032C283"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color w:val="000000"/>
                    </w:rPr>
                  </w:pPr>
                  <w:r w:rsidRPr="00D633FF">
                    <w:rPr>
                      <w:rFonts w:ascii="Calibri" w:eastAsia="Times New Roman" w:hAnsi="Calibri" w:cs="Calibri"/>
                      <w:i/>
                      <w:color w:val="000000"/>
                    </w:rPr>
                    <w:t>nr</w:t>
                  </w:r>
                </w:p>
              </w:tc>
              <w:tc>
                <w:tcPr>
                  <w:tcW w:w="1901" w:type="dxa"/>
                  <w:shd w:val="clear" w:color="auto" w:fill="FFFFFF"/>
                  <w:vAlign w:val="center"/>
                </w:tcPr>
                <w:p w14:paraId="365CCC25"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Cs/>
                      <w:color w:val="000000"/>
                    </w:rPr>
                  </w:pPr>
                  <w:r w:rsidRPr="00D633FF">
                    <w:rPr>
                      <w:rFonts w:ascii="Calibri" w:eastAsia="Times New Roman" w:hAnsi="Calibri" w:cs="Calibri"/>
                      <w:iCs/>
                      <w:color w:val="000000"/>
                    </w:rPr>
                    <w:t>50.9</w:t>
                  </w:r>
                </w:p>
              </w:tc>
            </w:tr>
            <w:tr w:rsidR="0017087A" w:rsidRPr="00D633FF" w14:paraId="12423ED7" w14:textId="77777777" w:rsidTr="00CA2A0F">
              <w:trPr>
                <w:trHeight w:val="340"/>
              </w:trPr>
              <w:tc>
                <w:tcPr>
                  <w:cnfStyle w:val="001000000000" w:firstRow="0" w:lastRow="0" w:firstColumn="1" w:lastColumn="0" w:oddVBand="0" w:evenVBand="0" w:oddHBand="0" w:evenHBand="0" w:firstRowFirstColumn="0" w:firstRowLastColumn="0" w:lastRowFirstColumn="0" w:lastRowLastColumn="0"/>
                  <w:tcW w:w="1444" w:type="dxa"/>
                  <w:tcBorders>
                    <w:top w:val="single" w:sz="4" w:space="0" w:color="auto"/>
                    <w:left w:val="single" w:sz="4" w:space="0" w:color="auto"/>
                    <w:bottom w:val="nil"/>
                    <w:right w:val="single" w:sz="4" w:space="0" w:color="auto"/>
                  </w:tcBorders>
                  <w:shd w:val="clear" w:color="auto" w:fill="CCCCCF"/>
                  <w:noWrap/>
                  <w:vAlign w:val="center"/>
                  <w:hideMark/>
                </w:tcPr>
                <w:p w14:paraId="0F879AE0" w14:textId="77777777" w:rsidR="005C5475" w:rsidRPr="00D633FF" w:rsidRDefault="005C5475" w:rsidP="00CA2A0F">
                  <w:pPr>
                    <w:keepNext/>
                    <w:jc w:val="right"/>
                    <w:rPr>
                      <w:rFonts w:ascii="Calibri" w:eastAsia="Times New Roman" w:hAnsi="Calibri" w:cs="Calibri"/>
                    </w:rPr>
                  </w:pPr>
                  <w:r w:rsidRPr="00D633FF">
                    <w:rPr>
                      <w:rFonts w:ascii="Calibri" w:eastAsia="Times New Roman" w:hAnsi="Calibri" w:cs="Calibri"/>
                    </w:rPr>
                    <w:t>11-14</w:t>
                  </w:r>
                </w:p>
              </w:tc>
              <w:tc>
                <w:tcPr>
                  <w:tcW w:w="1560" w:type="dxa"/>
                  <w:tcBorders>
                    <w:left w:val="single" w:sz="4" w:space="0" w:color="auto"/>
                  </w:tcBorders>
                  <w:shd w:val="clear" w:color="auto" w:fill="CCCCCF"/>
                  <w:vAlign w:val="center"/>
                </w:tcPr>
                <w:p w14:paraId="604D3E31"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Males</w:t>
                  </w:r>
                </w:p>
              </w:tc>
              <w:tc>
                <w:tcPr>
                  <w:tcW w:w="1842" w:type="dxa"/>
                  <w:shd w:val="clear" w:color="auto" w:fill="CCCCCF"/>
                  <w:vAlign w:val="center"/>
                </w:tcPr>
                <w:p w14:paraId="0E57CE32"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49.3</w:t>
                  </w:r>
                </w:p>
              </w:tc>
              <w:tc>
                <w:tcPr>
                  <w:tcW w:w="1418" w:type="dxa"/>
                  <w:shd w:val="clear" w:color="auto" w:fill="CCCCCF"/>
                  <w:vAlign w:val="center"/>
                </w:tcPr>
                <w:p w14:paraId="598E1952"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color w:val="000000"/>
                    </w:rPr>
                  </w:pPr>
                  <w:r w:rsidRPr="00D633FF">
                    <w:rPr>
                      <w:rFonts w:ascii="Calibri" w:eastAsia="Times New Roman" w:hAnsi="Calibri" w:cs="Calibri"/>
                      <w:i/>
                      <w:color w:val="000000"/>
                    </w:rPr>
                    <w:t>nr</w:t>
                  </w:r>
                </w:p>
              </w:tc>
              <w:tc>
                <w:tcPr>
                  <w:tcW w:w="1901" w:type="dxa"/>
                  <w:shd w:val="clear" w:color="auto" w:fill="CCCCCF"/>
                  <w:vAlign w:val="center"/>
                </w:tcPr>
                <w:p w14:paraId="3B6E51BB"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Cs/>
                      <w:color w:val="000000"/>
                    </w:rPr>
                  </w:pPr>
                  <w:r w:rsidRPr="00D633FF">
                    <w:rPr>
                      <w:rFonts w:ascii="Calibri" w:eastAsia="Times New Roman" w:hAnsi="Calibri" w:cs="Calibri"/>
                      <w:iCs/>
                      <w:color w:val="000000"/>
                    </w:rPr>
                    <w:t>81.0</w:t>
                  </w:r>
                </w:p>
              </w:tc>
            </w:tr>
            <w:tr w:rsidR="0017087A" w:rsidRPr="00D633FF" w14:paraId="1077CADB" w14:textId="77777777" w:rsidTr="003164F1">
              <w:trPr>
                <w:trHeight w:val="340"/>
              </w:trPr>
              <w:tc>
                <w:tcPr>
                  <w:cnfStyle w:val="001000000000" w:firstRow="0" w:lastRow="0" w:firstColumn="1" w:lastColumn="0" w:oddVBand="0" w:evenVBand="0" w:oddHBand="0" w:evenHBand="0" w:firstRowFirstColumn="0" w:firstRowLastColumn="0" w:lastRowFirstColumn="0" w:lastRowLastColumn="0"/>
                  <w:tcW w:w="1444" w:type="dxa"/>
                  <w:tcBorders>
                    <w:top w:val="nil"/>
                    <w:left w:val="single" w:sz="4" w:space="0" w:color="auto"/>
                    <w:bottom w:val="single" w:sz="4" w:space="0" w:color="auto"/>
                    <w:right w:val="single" w:sz="4" w:space="0" w:color="auto"/>
                  </w:tcBorders>
                  <w:shd w:val="clear" w:color="auto" w:fill="CCCCCF"/>
                  <w:noWrap/>
                </w:tcPr>
                <w:p w14:paraId="127171A9" w14:textId="77777777" w:rsidR="005C5475" w:rsidRPr="00D633FF" w:rsidRDefault="005C5475" w:rsidP="005C5475">
                  <w:pPr>
                    <w:keepNext/>
                    <w:rPr>
                      <w:rFonts w:ascii="Calibri" w:eastAsia="Times New Roman" w:hAnsi="Calibri" w:cs="Calibri"/>
                    </w:rPr>
                  </w:pPr>
                </w:p>
              </w:tc>
              <w:tc>
                <w:tcPr>
                  <w:tcW w:w="1560" w:type="dxa"/>
                  <w:tcBorders>
                    <w:left w:val="single" w:sz="4" w:space="0" w:color="auto"/>
                  </w:tcBorders>
                  <w:shd w:val="clear" w:color="auto" w:fill="FFFFFF"/>
                  <w:vAlign w:val="center"/>
                </w:tcPr>
                <w:p w14:paraId="252212AC"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Females</w:t>
                  </w:r>
                </w:p>
              </w:tc>
              <w:tc>
                <w:tcPr>
                  <w:tcW w:w="1842" w:type="dxa"/>
                  <w:shd w:val="clear" w:color="auto" w:fill="FFFFFF"/>
                  <w:vAlign w:val="center"/>
                </w:tcPr>
                <w:p w14:paraId="273325C1"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633FF">
                    <w:rPr>
                      <w:rFonts w:ascii="Calibri" w:eastAsia="Times New Roman" w:hAnsi="Calibri" w:cs="Calibri"/>
                      <w:color w:val="000000"/>
                    </w:rPr>
                    <w:t>35.8</w:t>
                  </w:r>
                </w:p>
              </w:tc>
              <w:tc>
                <w:tcPr>
                  <w:tcW w:w="1418" w:type="dxa"/>
                  <w:shd w:val="clear" w:color="auto" w:fill="FFFFFF"/>
                  <w:vAlign w:val="center"/>
                </w:tcPr>
                <w:p w14:paraId="703C2BB6" w14:textId="77777777" w:rsidR="005C5475" w:rsidRPr="00D633FF" w:rsidRDefault="005C5475" w:rsidP="003164F1">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color w:val="000000"/>
                    </w:rPr>
                  </w:pPr>
                  <w:r w:rsidRPr="00D633FF">
                    <w:rPr>
                      <w:rFonts w:ascii="Calibri" w:eastAsia="Times New Roman" w:hAnsi="Calibri" w:cs="Calibri"/>
                      <w:i/>
                      <w:color w:val="000000"/>
                    </w:rPr>
                    <w:t>nr</w:t>
                  </w:r>
                </w:p>
              </w:tc>
              <w:tc>
                <w:tcPr>
                  <w:tcW w:w="1901" w:type="dxa"/>
                  <w:shd w:val="clear" w:color="auto" w:fill="FFFFFF"/>
                  <w:vAlign w:val="center"/>
                </w:tcPr>
                <w:p w14:paraId="4F65D3B6" w14:textId="77777777" w:rsidR="005C5475" w:rsidRPr="00D633FF" w:rsidRDefault="005C5475" w:rsidP="005F12E4">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Cs/>
                      <w:color w:val="000000"/>
                    </w:rPr>
                  </w:pPr>
                  <w:r w:rsidRPr="00D633FF">
                    <w:rPr>
                      <w:rFonts w:ascii="Calibri" w:eastAsia="Times New Roman" w:hAnsi="Calibri" w:cs="Calibri"/>
                      <w:iCs/>
                      <w:color w:val="000000"/>
                    </w:rPr>
                    <w:t>45.8</w:t>
                  </w:r>
                </w:p>
              </w:tc>
            </w:tr>
          </w:tbl>
          <w:p w14:paraId="5EADEFF3" w14:textId="77777777" w:rsidR="005C5475" w:rsidRPr="00D633FF" w:rsidRDefault="005C5475" w:rsidP="005F12E4">
            <w:pPr>
              <w:keepNext/>
              <w:keepLines/>
              <w:spacing w:after="0"/>
              <w:contextualSpacing/>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16"/>
              </w:rPr>
            </w:pPr>
            <w:r w:rsidRPr="00D633FF">
              <w:rPr>
                <w:rFonts w:ascii="Calibri" w:eastAsia="Arial" w:hAnsi="Calibri" w:cs="Calibri"/>
                <w:b/>
                <w:bCs/>
                <w:sz w:val="16"/>
                <w:szCs w:val="16"/>
              </w:rPr>
              <w:t>Source:</w:t>
            </w:r>
            <w:r w:rsidRPr="00D633FF">
              <w:rPr>
                <w:rFonts w:ascii="Calibri" w:eastAsia="Arial" w:hAnsi="Calibri" w:cs="Calibri"/>
                <w:sz w:val="16"/>
                <w:szCs w:val="16"/>
              </w:rPr>
              <w:t xml:space="preserve"> </w:t>
            </w:r>
            <w:hyperlink r:id="rId49" w:history="1">
              <w:r w:rsidRPr="007B3142">
                <w:rPr>
                  <w:rFonts w:ascii="Calibri" w:eastAsia="Arial" w:hAnsi="Calibri" w:cs="Calibri"/>
                  <w:color w:val="0062B1"/>
                  <w:sz w:val="16"/>
                  <w:szCs w:val="16"/>
                  <w:u w:val="single"/>
                </w:rPr>
                <w:t>https://www.health.govt.nz/system/files/2011-11/nzfoodnzchildren.pdf</w:t>
              </w:r>
            </w:hyperlink>
            <w:r w:rsidRPr="00D633FF">
              <w:rPr>
                <w:rFonts w:ascii="Calibri" w:eastAsia="Arial" w:hAnsi="Calibri" w:cs="Calibri"/>
                <w:sz w:val="16"/>
                <w:szCs w:val="16"/>
              </w:rPr>
              <w:t xml:space="preserve"> </w:t>
            </w:r>
          </w:p>
          <w:p w14:paraId="51DB268D" w14:textId="77777777" w:rsidR="005C5475" w:rsidRPr="00D633FF" w:rsidRDefault="005C5475" w:rsidP="005F12E4">
            <w:pPr>
              <w:keepNext/>
              <w:keepLines/>
              <w:spacing w:after="0"/>
              <w:contextualSpacing/>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16"/>
              </w:rPr>
            </w:pPr>
            <w:r w:rsidRPr="00D633FF">
              <w:rPr>
                <w:rFonts w:ascii="Calibri" w:eastAsia="Arial" w:hAnsi="Calibri" w:cs="Calibri"/>
                <w:b/>
                <w:bCs/>
                <w:sz w:val="16"/>
              </w:rPr>
              <w:t>Abbreviations:</w:t>
            </w:r>
            <w:r w:rsidRPr="00D633FF">
              <w:rPr>
                <w:rFonts w:ascii="Calibri" w:eastAsia="Arial" w:hAnsi="Calibri" w:cs="Calibri"/>
                <w:sz w:val="16"/>
              </w:rPr>
              <w:t xml:space="preserve"> </w:t>
            </w:r>
            <w:r w:rsidRPr="00D633FF">
              <w:rPr>
                <w:rFonts w:ascii="Calibri" w:eastAsia="Arial" w:hAnsi="Calibri" w:cs="Calibri"/>
                <w:sz w:val="16"/>
                <w:szCs w:val="16"/>
              </w:rPr>
              <w:t xml:space="preserve">CI, confidence interval; EAR, estimated average requirement; </w:t>
            </w:r>
            <w:r w:rsidRPr="00D633FF">
              <w:rPr>
                <w:rFonts w:ascii="Calibri" w:eastAsia="Arial" w:hAnsi="Calibri" w:cs="Calibri"/>
                <w:sz w:val="16"/>
              </w:rPr>
              <w:t xml:space="preserve">nr, not reported; </w:t>
            </w:r>
            <w:r w:rsidRPr="00D633FF">
              <w:rPr>
                <w:rFonts w:ascii="Calibri" w:eastAsia="Arial" w:hAnsi="Calibri" w:cs="Calibri"/>
                <w:sz w:val="16"/>
                <w:szCs w:val="16"/>
              </w:rPr>
              <w:t>UL, upper level.</w:t>
            </w:r>
          </w:p>
          <w:p w14:paraId="5F62D0ED" w14:textId="45158B2E" w:rsidR="005C5475" w:rsidRPr="00D633FF" w:rsidRDefault="005C5475" w:rsidP="005F12E4">
            <w:pPr>
              <w:keepNext/>
              <w:keepLines/>
              <w:pageBreakBefore/>
              <w:contextualSpacing/>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16"/>
              </w:rPr>
            </w:pPr>
            <w:r w:rsidRPr="00D633FF">
              <w:rPr>
                <w:rFonts w:ascii="Calibri" w:eastAsia="Arial" w:hAnsi="Calibri" w:cs="Calibri"/>
                <w:b/>
                <w:bCs/>
                <w:sz w:val="16"/>
              </w:rPr>
              <w:t>#</w:t>
            </w:r>
            <w:r w:rsidRPr="00D633FF">
              <w:rPr>
                <w:rFonts w:ascii="Calibri" w:eastAsia="Arial" w:hAnsi="Calibri" w:cs="Calibri"/>
                <w:sz w:val="16"/>
              </w:rPr>
              <w:t xml:space="preserve"> For this survey, comparisons of New Zealand children’s usual daily median intakes of selenium with recommendations are difficult as the age grouping in this survey differs from that used for the 2001 selenium RNI for the New Zealand population </w:t>
            </w:r>
            <w:r w:rsidR="00F41A14" w:rsidRPr="00D633FF">
              <w:rPr>
                <w:rFonts w:ascii="Calibri" w:eastAsia="Arial" w:hAnsi="Calibri" w:cs="Calibri"/>
                <w:noProof/>
                <w:sz w:val="16"/>
              </w:rPr>
              <w:t>(Thomson and Paterson 2001, as cited by Ministry of Health, 2003)</w:t>
            </w:r>
            <w:r w:rsidRPr="00D633FF">
              <w:rPr>
                <w:rFonts w:ascii="Calibri" w:eastAsia="Arial" w:hAnsi="Calibri" w:cs="Calibri"/>
                <w:sz w:val="16"/>
              </w:rPr>
              <w:t xml:space="preserve"> Overall, the reported results suggested New Zealand children, especially older children, were at risk of having inadequate selenium intakes</w:t>
            </w:r>
          </w:p>
          <w:p w14:paraId="6CF60EE7" w14:textId="77777777" w:rsidR="005C5475" w:rsidRPr="00D633FF" w:rsidRDefault="005C5475" w:rsidP="005C5475">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14"/>
                <w:szCs w:val="16"/>
              </w:rPr>
            </w:pPr>
          </w:p>
          <w:p w14:paraId="36A6A8F5" w14:textId="77777777" w:rsidR="005C5475" w:rsidRPr="00D633FF" w:rsidRDefault="005C5475" w:rsidP="005C5475">
            <w:pPr>
              <w:spacing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rPr>
            </w:pPr>
            <w:r w:rsidRPr="00D633FF">
              <w:rPr>
                <w:rFonts w:ascii="Calibri" w:eastAsia="Times New Roman" w:hAnsi="Calibri" w:cs="Calibri"/>
                <w:b/>
                <w:bCs/>
                <w:sz w:val="20"/>
                <w:szCs w:val="20"/>
              </w:rPr>
              <w:t>Supplement use</w:t>
            </w:r>
          </w:p>
          <w:p w14:paraId="32AC8E5B" w14:textId="77777777" w:rsidR="005C5475" w:rsidRPr="00D633FF" w:rsidRDefault="005C5475" w:rsidP="00F1381E">
            <w:pPr>
              <w:numPr>
                <w:ilvl w:val="0"/>
                <w:numId w:val="10"/>
              </w:numPr>
              <w:spacing w:before="0" w:after="16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There is no information on selenium supplement use in children in Australia or New Zealand</w:t>
            </w:r>
          </w:p>
          <w:p w14:paraId="20DDFA40" w14:textId="77777777" w:rsidR="005C5475" w:rsidRPr="00D633FF" w:rsidRDefault="005C5475" w:rsidP="00D81743">
            <w:pPr>
              <w:keepNext/>
              <w:spacing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rPr>
            </w:pPr>
            <w:r w:rsidRPr="00D633FF">
              <w:rPr>
                <w:rFonts w:ascii="Calibri" w:eastAsia="Times New Roman" w:hAnsi="Calibri" w:cs="Calibri"/>
                <w:b/>
                <w:bCs/>
                <w:sz w:val="20"/>
                <w:szCs w:val="20"/>
              </w:rPr>
              <w:t>Food supply</w:t>
            </w:r>
          </w:p>
          <w:p w14:paraId="7ED61DC5" w14:textId="26DE6B98" w:rsidR="005C5475" w:rsidRPr="00D633FF" w:rsidRDefault="005C5475" w:rsidP="00F1381E">
            <w:pPr>
              <w:numPr>
                <w:ilvl w:val="0"/>
                <w:numId w:val="10"/>
              </w:numPr>
              <w:spacing w:before="0" w:after="16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 xml:space="preserve">Selenium is permitted to be added to </w:t>
            </w:r>
            <w:r w:rsidRPr="00D633FF">
              <w:rPr>
                <w:rFonts w:ascii="Calibri" w:eastAsia="Arial" w:hAnsi="Calibri" w:cs="Calibri"/>
                <w:sz w:val="20"/>
              </w:rPr>
              <w:t>formulated beverages,</w:t>
            </w:r>
            <w:r w:rsidRPr="00D633FF">
              <w:rPr>
                <w:rFonts w:ascii="Calibri" w:eastAsia="Arial" w:hAnsi="Calibri" w:cs="Calibri"/>
              </w:rPr>
              <w:t xml:space="preserve"> </w:t>
            </w:r>
            <w:r w:rsidRPr="00D633FF">
              <w:rPr>
                <w:rFonts w:ascii="Calibri" w:eastAsia="Arial" w:hAnsi="Calibri" w:cs="Calibri"/>
                <w:sz w:val="20"/>
              </w:rPr>
              <w:t xml:space="preserve">meal replacements, supplementary sports foods, and foods for special medical purposes </w:t>
            </w:r>
            <w:r w:rsidR="00F41A14" w:rsidRPr="00D633FF">
              <w:rPr>
                <w:rFonts w:ascii="Calibri" w:eastAsia="Arial" w:hAnsi="Calibri" w:cs="Calibri"/>
                <w:noProof/>
                <w:sz w:val="20"/>
              </w:rPr>
              <w:t>(Australian Government 2021, 2025c)</w:t>
            </w:r>
            <w:r w:rsidRPr="00D633FF">
              <w:rPr>
                <w:rFonts w:ascii="Calibri" w:eastAsia="Arial" w:hAnsi="Calibri" w:cs="Calibri"/>
                <w:sz w:val="20"/>
              </w:rPr>
              <w:t>.</w:t>
            </w:r>
            <w:r w:rsidRPr="00D633FF">
              <w:rPr>
                <w:rFonts w:ascii="Calibri" w:eastAsia="Times New Roman" w:hAnsi="Calibri" w:cs="Calibri"/>
                <w:sz w:val="20"/>
                <w:szCs w:val="20"/>
              </w:rPr>
              <w:t xml:space="preserve"> There are no regulatory requirements to add selenium to food in Australia or New Zealand (except infant formula).</w:t>
            </w:r>
          </w:p>
        </w:tc>
      </w:tr>
      <w:tr w:rsidR="00FC2992" w:rsidRPr="00D633FF" w14:paraId="14082C36" w14:textId="77777777" w:rsidTr="000477FA">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500" w:type="dxa"/>
            <w:tcBorders>
              <w:top w:val="single" w:sz="4" w:space="0" w:color="auto"/>
              <w:left w:val="single" w:sz="4" w:space="0" w:color="auto"/>
              <w:bottom w:val="single" w:sz="4" w:space="0" w:color="auto"/>
              <w:right w:val="single" w:sz="4" w:space="0" w:color="auto"/>
            </w:tcBorders>
            <w:shd w:val="clear" w:color="auto" w:fill="83CAEB" w:themeFill="accent1" w:themeFillTint="66"/>
          </w:tcPr>
          <w:p w14:paraId="17C63763" w14:textId="77777777" w:rsidR="005C5475" w:rsidRPr="00D633FF" w:rsidRDefault="005C5475" w:rsidP="003164F1">
            <w:pPr>
              <w:spacing w:before="120" w:after="160" w:line="276" w:lineRule="auto"/>
              <w:rPr>
                <w:rFonts w:ascii="Calibri" w:eastAsia="Times New Roman" w:hAnsi="Calibri" w:cs="Calibri"/>
                <w:color w:val="auto"/>
                <w:sz w:val="20"/>
              </w:rPr>
            </w:pPr>
            <w:r w:rsidRPr="00D633FF">
              <w:rPr>
                <w:rFonts w:ascii="Calibri" w:eastAsia="Times New Roman" w:hAnsi="Calibri" w:cs="Calibri"/>
                <w:color w:val="auto"/>
                <w:sz w:val="20"/>
              </w:rPr>
              <w:lastRenderedPageBreak/>
              <w:t xml:space="preserve">Selenium exposure in Australia and New Zealand </w:t>
            </w:r>
          </w:p>
          <w:p w14:paraId="2A477E26" w14:textId="77777777" w:rsidR="005C5475" w:rsidRPr="00D633FF" w:rsidRDefault="005C5475" w:rsidP="00A41BD1">
            <w:pPr>
              <w:spacing w:before="0" w:after="160" w:line="276" w:lineRule="auto"/>
              <w:rPr>
                <w:rFonts w:ascii="Calibri" w:eastAsia="Times New Roman" w:hAnsi="Calibri" w:cs="Calibri"/>
                <w:color w:val="auto"/>
                <w:sz w:val="20"/>
              </w:rPr>
            </w:pPr>
            <w:r w:rsidRPr="00D633FF">
              <w:rPr>
                <w:rFonts w:ascii="Calibri" w:eastAsia="Times New Roman" w:hAnsi="Calibri" w:cs="Calibri"/>
                <w:color w:val="auto"/>
                <w:sz w:val="20"/>
              </w:rPr>
              <w:t>Special populations</w:t>
            </w:r>
          </w:p>
        </w:tc>
        <w:tc>
          <w:tcPr>
            <w:tcW w:w="12349" w:type="dxa"/>
            <w:gridSpan w:val="2"/>
            <w:tcBorders>
              <w:top w:val="single" w:sz="4" w:space="0" w:color="auto"/>
              <w:left w:val="single" w:sz="4" w:space="0" w:color="auto"/>
              <w:bottom w:val="single" w:sz="4" w:space="0" w:color="auto"/>
              <w:right w:val="single" w:sz="4" w:space="0" w:color="auto"/>
            </w:tcBorders>
          </w:tcPr>
          <w:p w14:paraId="13BF3F97" w14:textId="77777777" w:rsidR="005C5475" w:rsidRPr="00D633FF" w:rsidRDefault="005C5475" w:rsidP="003164F1">
            <w:pPr>
              <w:spacing w:before="120" w:after="160" w:line="276" w:lineRule="auto"/>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sz w:val="20"/>
                <w:szCs w:val="20"/>
              </w:rPr>
            </w:pPr>
            <w:r w:rsidRPr="00D633FF">
              <w:rPr>
                <w:rFonts w:ascii="Calibri" w:eastAsia="Times New Roman" w:hAnsi="Calibri" w:cs="Calibri"/>
                <w:b/>
                <w:bCs/>
                <w:sz w:val="20"/>
                <w:szCs w:val="20"/>
              </w:rPr>
              <w:t>Sex considerations</w:t>
            </w:r>
          </w:p>
          <w:p w14:paraId="2AF737C8" w14:textId="77777777" w:rsidR="005C5475" w:rsidRPr="00D633FF" w:rsidRDefault="005C5475" w:rsidP="008D15E1">
            <w:pPr>
              <w:numPr>
                <w:ilvl w:val="0"/>
                <w:numId w:val="41"/>
              </w:numPr>
              <w:spacing w:before="0" w:after="160" w:line="276" w:lineRule="auto"/>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There is no evidence that special considerations are needed in relation to sex.</w:t>
            </w:r>
          </w:p>
          <w:p w14:paraId="6050BA4E" w14:textId="50A288F4" w:rsidR="005C5475" w:rsidRPr="00D633FF" w:rsidRDefault="005C5475" w:rsidP="008D15E1">
            <w:pPr>
              <w:numPr>
                <w:ilvl w:val="0"/>
                <w:numId w:val="42"/>
              </w:numPr>
              <w:spacing w:before="0" w:after="160" w:line="276" w:lineRule="auto"/>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EFSA’s ULs apply to entire age groups for children, they are not differentiated by sex. This is consistent with NHMRCs 2006 ULs.</w:t>
            </w:r>
          </w:p>
        </w:tc>
      </w:tr>
      <w:tr w:rsidR="005C5475" w:rsidRPr="00D633FF" w14:paraId="1CDD7367" w14:textId="77777777" w:rsidTr="000477FA">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500" w:type="dxa"/>
            <w:tcBorders>
              <w:top w:val="single" w:sz="4" w:space="0" w:color="auto"/>
              <w:left w:val="single" w:sz="4" w:space="0" w:color="auto"/>
              <w:bottom w:val="single" w:sz="4" w:space="0" w:color="auto"/>
              <w:right w:val="single" w:sz="4" w:space="0" w:color="auto"/>
            </w:tcBorders>
            <w:shd w:val="clear" w:color="auto" w:fill="83CAEB" w:themeFill="accent1" w:themeFillTint="66"/>
          </w:tcPr>
          <w:p w14:paraId="1894E059" w14:textId="77777777" w:rsidR="005C5475" w:rsidRPr="00D633FF" w:rsidRDefault="005C5475" w:rsidP="003164F1">
            <w:pPr>
              <w:spacing w:before="120" w:after="160" w:line="276" w:lineRule="auto"/>
              <w:rPr>
                <w:rFonts w:ascii="Calibri" w:eastAsia="Times New Roman" w:hAnsi="Calibri" w:cs="Calibri"/>
                <w:color w:val="auto"/>
                <w:sz w:val="20"/>
                <w:highlight w:val="lightGray"/>
              </w:rPr>
            </w:pPr>
            <w:r w:rsidRPr="00D633FF">
              <w:rPr>
                <w:rFonts w:ascii="Calibri" w:eastAsia="Times New Roman" w:hAnsi="Calibri" w:cs="Calibri"/>
                <w:color w:val="auto"/>
                <w:sz w:val="20"/>
              </w:rPr>
              <w:lastRenderedPageBreak/>
              <w:t>Benchmarking against comparable international jurisdictions</w:t>
            </w:r>
          </w:p>
        </w:tc>
        <w:tc>
          <w:tcPr>
            <w:tcW w:w="12349"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73AFBDF" w14:textId="05303ED3" w:rsidR="005C5475" w:rsidRPr="00D633FF" w:rsidRDefault="005C5475" w:rsidP="003164F1">
            <w:pPr>
              <w:spacing w:before="120" w:after="160" w:line="276" w:lineRule="auto"/>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0"/>
              </w:rPr>
            </w:pPr>
            <w:r w:rsidRPr="00D633FF">
              <w:rPr>
                <w:rFonts w:ascii="Calibri" w:eastAsia="Times New Roman" w:hAnsi="Calibri" w:cs="Calibri"/>
                <w:sz w:val="20"/>
              </w:rPr>
              <w:t xml:space="preserve">Meaningful benchmarking against comparable international jurisdictions is not possible for children and adolescents, as </w:t>
            </w:r>
            <w:r w:rsidRPr="00D633FF">
              <w:rPr>
                <w:rFonts w:ascii="Calibri" w:eastAsia="Times New Roman" w:hAnsi="Calibri" w:cs="Calibri"/>
                <w:sz w:val="20"/>
                <w:szCs w:val="20"/>
              </w:rPr>
              <w:t xml:space="preserve">no children’s ULs are available from the </w:t>
            </w:r>
            <w:r w:rsidRPr="00D633FF">
              <w:rPr>
                <w:rFonts w:ascii="Calibri" w:eastAsia="Arial" w:hAnsi="Calibri" w:cs="Calibri"/>
                <w:sz w:val="20"/>
                <w:szCs w:val="20"/>
              </w:rPr>
              <w:t>UK Expert Group on Vitamins and Minerals (EVM) or the World Health Organization/Food and Agriculture Organization of the United Nations (WHO/FAO). The only remaining international data for comparison are the USA IOM values (which the 2006 NHMRC values were adopted from) and the 2000 SCF European values, that are superseded by the EFSA 2023 values</w:t>
            </w:r>
            <w:r w:rsidR="00FF177C" w:rsidRPr="00D633FF">
              <w:rPr>
                <w:rFonts w:ascii="Calibri" w:eastAsia="Arial" w:hAnsi="Calibri" w:cs="Calibri"/>
                <w:sz w:val="20"/>
                <w:szCs w:val="20"/>
              </w:rPr>
              <w:t xml:space="preserve"> (upon which the proposed updated UL values are based)</w:t>
            </w:r>
            <w:r w:rsidRPr="00D633FF">
              <w:rPr>
                <w:rFonts w:ascii="Calibri" w:eastAsia="Arial" w:hAnsi="Calibri" w:cs="Calibri"/>
                <w:sz w:val="20"/>
                <w:szCs w:val="20"/>
              </w:rPr>
              <w:t>.</w:t>
            </w:r>
          </w:p>
        </w:tc>
      </w:tr>
      <w:tr w:rsidR="00FC2992" w:rsidRPr="00D633FF" w14:paraId="7DBA7EB7" w14:textId="77777777" w:rsidTr="000477FA">
        <w:trPr>
          <w:cnfStyle w:val="000000010000" w:firstRow="0" w:lastRow="0" w:firstColumn="0" w:lastColumn="0" w:oddVBand="0" w:evenVBand="0" w:oddHBand="0" w:evenHBand="1" w:firstRowFirstColumn="0" w:firstRowLastColumn="0" w:lastRowFirstColumn="0" w:lastRowLastColumn="0"/>
          <w:cantSplit w:val="0"/>
          <w:trHeight w:val="1497"/>
        </w:trPr>
        <w:tc>
          <w:tcPr>
            <w:cnfStyle w:val="001000000000" w:firstRow="0" w:lastRow="0" w:firstColumn="1" w:lastColumn="0" w:oddVBand="0" w:evenVBand="0" w:oddHBand="0" w:evenHBand="0" w:firstRowFirstColumn="0" w:firstRowLastColumn="0" w:lastRowFirstColumn="0" w:lastRowLastColumn="0"/>
            <w:tcW w:w="2500" w:type="dxa"/>
            <w:tcBorders>
              <w:top w:val="single" w:sz="4" w:space="0" w:color="auto"/>
              <w:left w:val="single" w:sz="4" w:space="0" w:color="auto"/>
              <w:bottom w:val="single" w:sz="4" w:space="0" w:color="auto"/>
              <w:right w:val="single" w:sz="4" w:space="0" w:color="auto"/>
            </w:tcBorders>
            <w:shd w:val="clear" w:color="auto" w:fill="83CAEB" w:themeFill="accent1" w:themeFillTint="66"/>
            <w:hideMark/>
          </w:tcPr>
          <w:p w14:paraId="76A104A4" w14:textId="77777777" w:rsidR="005C5475" w:rsidRPr="00D633FF" w:rsidRDefault="005C5475" w:rsidP="003164F1">
            <w:pPr>
              <w:spacing w:before="120" w:after="160" w:line="276" w:lineRule="auto"/>
              <w:rPr>
                <w:rFonts w:ascii="Calibri" w:eastAsia="Arial" w:hAnsi="Calibri" w:cs="Calibri"/>
                <w:color w:val="auto"/>
                <w:sz w:val="20"/>
              </w:rPr>
            </w:pPr>
            <w:r w:rsidRPr="00D633FF">
              <w:rPr>
                <w:rFonts w:ascii="Calibri" w:eastAsia="Arial" w:hAnsi="Calibri" w:cs="Calibri"/>
                <w:color w:val="auto"/>
                <w:sz w:val="20"/>
              </w:rPr>
              <w:t>Balance of effects (benefits and harms)</w:t>
            </w:r>
          </w:p>
          <w:p w14:paraId="1A3BF9B2" w14:textId="77777777" w:rsidR="005C5475" w:rsidRPr="00D633FF" w:rsidRDefault="005C5475" w:rsidP="00A41BD1">
            <w:pPr>
              <w:spacing w:before="0" w:after="160" w:line="276" w:lineRule="auto"/>
              <w:ind w:right="-1346"/>
              <w:rPr>
                <w:rFonts w:ascii="Calibri" w:eastAsia="Times New Roman" w:hAnsi="Calibri" w:cs="Calibri"/>
                <w:color w:val="auto"/>
                <w:sz w:val="20"/>
                <w:highlight w:val="lightGray"/>
              </w:rPr>
            </w:pPr>
          </w:p>
        </w:tc>
        <w:tc>
          <w:tcPr>
            <w:tcW w:w="6000" w:type="dxa"/>
            <w:tcBorders>
              <w:top w:val="single" w:sz="4" w:space="0" w:color="auto"/>
              <w:left w:val="single" w:sz="4" w:space="0" w:color="auto"/>
              <w:bottom w:val="single" w:sz="4" w:space="0" w:color="auto"/>
              <w:right w:val="single" w:sz="4" w:space="0" w:color="auto"/>
            </w:tcBorders>
          </w:tcPr>
          <w:p w14:paraId="09E6EDB8" w14:textId="77777777" w:rsidR="005C5475" w:rsidRPr="00D633FF" w:rsidRDefault="005C5475" w:rsidP="003164F1">
            <w:pPr>
              <w:spacing w:before="120" w:after="160" w:line="276" w:lineRule="auto"/>
              <w:ind w:right="34"/>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rPr>
            </w:pPr>
            <w:r w:rsidRPr="00D633FF">
              <w:rPr>
                <w:rFonts w:ascii="Calibri" w:eastAsia="Times New Roman" w:hAnsi="Calibri" w:cs="Calibri"/>
                <w:sz w:val="20"/>
              </w:rPr>
              <w:t>There is no evidence to suggest that the current ULs for children are not protective of most individuals in the general population of Australia and New Zealand.</w:t>
            </w:r>
          </w:p>
          <w:p w14:paraId="7B3A6D54" w14:textId="77777777" w:rsidR="005C5475" w:rsidRPr="00D633FF" w:rsidRDefault="005C5475" w:rsidP="00614F6C">
            <w:pPr>
              <w:spacing w:before="0" w:after="160" w:line="276" w:lineRule="auto"/>
              <w:ind w:right="34"/>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rPr>
            </w:pPr>
            <w:r w:rsidRPr="00D633FF">
              <w:rPr>
                <w:rFonts w:ascii="Calibri" w:eastAsia="Times New Roman" w:hAnsi="Calibri" w:cs="Calibri"/>
                <w:sz w:val="20"/>
              </w:rPr>
              <w:t>There is no evidence to suggest that acute or chronic selenosis are a public health concern in Australia or New Zealand.</w:t>
            </w:r>
          </w:p>
        </w:tc>
        <w:tc>
          <w:tcPr>
            <w:tcW w:w="6349" w:type="dxa"/>
            <w:tcBorders>
              <w:top w:val="single" w:sz="4" w:space="0" w:color="auto"/>
              <w:left w:val="single" w:sz="4" w:space="0" w:color="auto"/>
              <w:bottom w:val="single" w:sz="4" w:space="0" w:color="auto"/>
              <w:right w:val="single" w:sz="4" w:space="0" w:color="auto"/>
            </w:tcBorders>
          </w:tcPr>
          <w:p w14:paraId="0B812648" w14:textId="77777777" w:rsidR="005C5475" w:rsidRPr="00D633FF" w:rsidRDefault="005C5475" w:rsidP="003164F1">
            <w:pPr>
              <w:spacing w:before="120" w:after="160" w:line="276" w:lineRule="auto"/>
              <w:cnfStyle w:val="000000010000" w:firstRow="0" w:lastRow="0" w:firstColumn="0" w:lastColumn="0" w:oddVBand="0" w:evenVBand="0" w:oddHBand="0" w:evenHBand="1" w:firstRowFirstColumn="0" w:firstRowLastColumn="0" w:lastRowFirstColumn="0" w:lastRowLastColumn="0"/>
              <w:rPr>
                <w:rFonts w:ascii="Calibri" w:eastAsia="Arial" w:hAnsi="Calibri" w:cs="Calibri"/>
                <w:sz w:val="20"/>
              </w:rPr>
            </w:pPr>
            <w:r w:rsidRPr="00D633FF">
              <w:rPr>
                <w:rFonts w:ascii="Calibri" w:eastAsia="Times New Roman" w:hAnsi="Calibri" w:cs="Calibri"/>
                <w:sz w:val="20"/>
              </w:rPr>
              <w:t>The adapted ULs for children are expected to be protective of most individuals in the general population of Australia and New Zealand.</w:t>
            </w:r>
          </w:p>
          <w:p w14:paraId="1C9CB8AA" w14:textId="535C7090" w:rsidR="00A30BA5" w:rsidRPr="00D633FF" w:rsidRDefault="005C5475" w:rsidP="00614F6C">
            <w:pPr>
              <w:spacing w:before="0" w:after="160" w:line="276" w:lineRule="auto"/>
              <w:ind w:right="34"/>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rPr>
            </w:pPr>
            <w:r w:rsidRPr="00D633FF">
              <w:rPr>
                <w:rFonts w:ascii="Calibri" w:eastAsia="Times New Roman" w:hAnsi="Calibri" w:cs="Calibri"/>
                <w:sz w:val="20"/>
              </w:rPr>
              <w:t>While there is no evidence that harm from excess consumption of selenium is occurring in Australia or New Zealand with current UL</w:t>
            </w:r>
            <w:r w:rsidR="00FF177C" w:rsidRPr="00D633FF">
              <w:rPr>
                <w:rFonts w:ascii="Calibri" w:eastAsia="Times New Roman" w:hAnsi="Calibri" w:cs="Calibri"/>
                <w:sz w:val="20"/>
              </w:rPr>
              <w:t>s</w:t>
            </w:r>
            <w:r w:rsidRPr="00D633FF">
              <w:rPr>
                <w:rFonts w:ascii="Calibri" w:eastAsia="Times New Roman" w:hAnsi="Calibri" w:cs="Calibri"/>
                <w:sz w:val="20"/>
              </w:rPr>
              <w:t xml:space="preserve">, </w:t>
            </w:r>
            <w:r w:rsidR="00A30BA5" w:rsidRPr="00D633FF">
              <w:rPr>
                <w:rFonts w:ascii="Calibri" w:eastAsia="Times New Roman" w:hAnsi="Calibri" w:cs="Calibri"/>
                <w:sz w:val="20"/>
              </w:rPr>
              <w:t xml:space="preserve">there is significant uncertainty around current estimates, which are scaled up from infant data based on breast milk concentration. </w:t>
            </w:r>
          </w:p>
          <w:p w14:paraId="74A647E2" w14:textId="77238F6E" w:rsidR="005C5475" w:rsidRPr="00D633FF" w:rsidRDefault="00A30BA5" w:rsidP="00614F6C">
            <w:pPr>
              <w:spacing w:before="0" w:after="160" w:line="276" w:lineRule="auto"/>
              <w:ind w:right="34"/>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rPr>
            </w:pPr>
            <w:r w:rsidRPr="00D633FF">
              <w:rPr>
                <w:rFonts w:ascii="Calibri" w:eastAsia="Times New Roman" w:hAnsi="Calibri" w:cs="Calibri"/>
                <w:sz w:val="20"/>
              </w:rPr>
              <w:t>Although it too requires extrapolation down to children and adolescents, t</w:t>
            </w:r>
            <w:r w:rsidR="005C5475" w:rsidRPr="00D633FF">
              <w:rPr>
                <w:rFonts w:ascii="Calibri" w:eastAsia="Times New Roman" w:hAnsi="Calibri" w:cs="Calibri"/>
                <w:sz w:val="20"/>
              </w:rPr>
              <w:t xml:space="preserve">he large RCT identified by EFSA </w:t>
            </w:r>
            <w:r w:rsidR="00F41A14" w:rsidRPr="00D633FF">
              <w:rPr>
                <w:rFonts w:ascii="Calibri" w:eastAsia="Times New Roman" w:hAnsi="Calibri" w:cs="Calibri"/>
                <w:sz w:val="20"/>
              </w:rPr>
              <w:t>(Lippman et al. 2009)</w:t>
            </w:r>
            <w:r w:rsidR="005C5475" w:rsidRPr="00D633FF">
              <w:rPr>
                <w:rFonts w:ascii="Calibri" w:eastAsia="Times New Roman" w:hAnsi="Calibri" w:cs="Calibri"/>
                <w:sz w:val="20"/>
              </w:rPr>
              <w:t xml:space="preserve"> </w:t>
            </w:r>
            <w:r w:rsidRPr="00D633FF">
              <w:rPr>
                <w:rFonts w:ascii="Calibri" w:eastAsia="Times New Roman" w:hAnsi="Calibri" w:cs="Calibri"/>
                <w:sz w:val="20"/>
              </w:rPr>
              <w:t xml:space="preserve">is likely to provide </w:t>
            </w:r>
            <w:r w:rsidR="005C5475" w:rsidRPr="00D633FF">
              <w:rPr>
                <w:rFonts w:ascii="Calibri" w:eastAsia="Times New Roman" w:hAnsi="Calibri" w:cs="Calibri"/>
                <w:sz w:val="20"/>
              </w:rPr>
              <w:t>a more reliable estimate of the level at which harm has the potential to occur</w:t>
            </w:r>
            <w:r w:rsidRPr="00D633FF">
              <w:rPr>
                <w:rFonts w:ascii="Calibri" w:eastAsia="Times New Roman" w:hAnsi="Calibri" w:cs="Calibri"/>
                <w:sz w:val="20"/>
              </w:rPr>
              <w:t xml:space="preserve">. </w:t>
            </w:r>
            <w:r w:rsidR="005C5475" w:rsidRPr="00D633FF">
              <w:rPr>
                <w:rFonts w:ascii="Calibri" w:eastAsia="Times New Roman" w:hAnsi="Calibri" w:cs="Calibri"/>
                <w:sz w:val="20"/>
              </w:rPr>
              <w:t xml:space="preserve">The </w:t>
            </w:r>
            <w:r w:rsidRPr="00D633FF">
              <w:rPr>
                <w:rFonts w:ascii="Calibri" w:eastAsia="Times New Roman" w:hAnsi="Calibri" w:cs="Calibri"/>
                <w:sz w:val="20"/>
              </w:rPr>
              <w:t xml:space="preserve">proposed </w:t>
            </w:r>
            <w:r w:rsidR="005C5475" w:rsidRPr="00D633FF">
              <w:rPr>
                <w:rFonts w:ascii="Calibri" w:eastAsia="Times New Roman" w:hAnsi="Calibri" w:cs="Calibri"/>
                <w:sz w:val="20"/>
              </w:rPr>
              <w:t xml:space="preserve">adult UL </w:t>
            </w:r>
            <w:r w:rsidRPr="00D633FF">
              <w:rPr>
                <w:rFonts w:ascii="Calibri" w:eastAsia="Times New Roman" w:hAnsi="Calibri" w:cs="Calibri"/>
                <w:sz w:val="20"/>
              </w:rPr>
              <w:t xml:space="preserve">(330 µg/day). </w:t>
            </w:r>
            <w:r w:rsidR="005C5475" w:rsidRPr="00D633FF">
              <w:rPr>
                <w:rFonts w:ascii="Calibri" w:eastAsia="Times New Roman" w:hAnsi="Calibri" w:cs="Calibri"/>
                <w:sz w:val="20"/>
              </w:rPr>
              <w:t xml:space="preserve">is based on a larger, more recent, higher-quality study (2009 RCT n=8,700 per arm vs 1989 cross-sectional study n=349) that was conducted in a </w:t>
            </w:r>
            <w:r w:rsidR="00EA5AAB" w:rsidRPr="00D633FF">
              <w:rPr>
                <w:rFonts w:ascii="Calibri" w:eastAsia="Times New Roman" w:hAnsi="Calibri" w:cs="Calibri"/>
                <w:sz w:val="20"/>
              </w:rPr>
              <w:t xml:space="preserve">setting </w:t>
            </w:r>
            <w:r w:rsidR="005C5475" w:rsidRPr="00D633FF">
              <w:rPr>
                <w:rFonts w:ascii="Calibri" w:eastAsia="Times New Roman" w:hAnsi="Calibri" w:cs="Calibri"/>
                <w:sz w:val="20"/>
              </w:rPr>
              <w:t xml:space="preserve">more </w:t>
            </w:r>
            <w:r w:rsidR="00EA5AAB" w:rsidRPr="00D633FF">
              <w:rPr>
                <w:rFonts w:ascii="Calibri" w:eastAsia="Times New Roman" w:hAnsi="Calibri" w:cs="Calibri"/>
                <w:sz w:val="20"/>
              </w:rPr>
              <w:t xml:space="preserve">generalisable </w:t>
            </w:r>
            <w:r w:rsidR="005C5475" w:rsidRPr="00D633FF">
              <w:rPr>
                <w:rFonts w:ascii="Calibri" w:eastAsia="Times New Roman" w:hAnsi="Calibri" w:cs="Calibri"/>
                <w:sz w:val="20"/>
              </w:rPr>
              <w:t xml:space="preserve">to </w:t>
            </w:r>
            <w:r w:rsidR="00EA5AAB" w:rsidRPr="00D633FF">
              <w:rPr>
                <w:rFonts w:ascii="Calibri" w:eastAsia="Times New Roman" w:hAnsi="Calibri" w:cs="Calibri"/>
                <w:sz w:val="20"/>
              </w:rPr>
              <w:t xml:space="preserve">the </w:t>
            </w:r>
            <w:r w:rsidR="005C5475" w:rsidRPr="00D633FF">
              <w:rPr>
                <w:rFonts w:ascii="Calibri" w:eastAsia="Times New Roman" w:hAnsi="Calibri" w:cs="Calibri"/>
                <w:sz w:val="20"/>
              </w:rPr>
              <w:t>Australia</w:t>
            </w:r>
            <w:r w:rsidR="00EA5AAB" w:rsidRPr="00D633FF">
              <w:rPr>
                <w:rFonts w:ascii="Calibri" w:eastAsia="Times New Roman" w:hAnsi="Calibri" w:cs="Calibri"/>
                <w:sz w:val="20"/>
              </w:rPr>
              <w:t>n</w:t>
            </w:r>
            <w:r w:rsidR="005C5475" w:rsidRPr="00D633FF">
              <w:rPr>
                <w:rFonts w:ascii="Calibri" w:eastAsia="Times New Roman" w:hAnsi="Calibri" w:cs="Calibri"/>
                <w:sz w:val="20"/>
              </w:rPr>
              <w:t xml:space="preserve"> </w:t>
            </w:r>
            <w:r w:rsidR="00EA5AAB" w:rsidRPr="00D633FF">
              <w:rPr>
                <w:rFonts w:ascii="Calibri" w:eastAsia="Times New Roman" w:hAnsi="Calibri" w:cs="Calibri"/>
                <w:sz w:val="20"/>
              </w:rPr>
              <w:t xml:space="preserve">and </w:t>
            </w:r>
            <w:r w:rsidR="005C5475" w:rsidRPr="00D633FF">
              <w:rPr>
                <w:rFonts w:ascii="Calibri" w:eastAsia="Times New Roman" w:hAnsi="Calibri" w:cs="Calibri"/>
                <w:sz w:val="20"/>
              </w:rPr>
              <w:t xml:space="preserve">New Zealand </w:t>
            </w:r>
            <w:r w:rsidR="00EA5AAB" w:rsidRPr="00D633FF">
              <w:rPr>
                <w:rFonts w:ascii="Calibri" w:eastAsia="Times New Roman" w:hAnsi="Calibri" w:cs="Calibri"/>
                <w:sz w:val="20"/>
              </w:rPr>
              <w:t xml:space="preserve">context </w:t>
            </w:r>
            <w:r w:rsidR="005C5475" w:rsidRPr="00D633FF">
              <w:rPr>
                <w:rFonts w:ascii="Calibri" w:eastAsia="Times New Roman" w:hAnsi="Calibri" w:cs="Calibri"/>
                <w:sz w:val="20"/>
              </w:rPr>
              <w:t xml:space="preserve">(USA vs China). </w:t>
            </w:r>
          </w:p>
          <w:p w14:paraId="2A209DFE" w14:textId="77777777" w:rsidR="005C5475" w:rsidRPr="00D633FF" w:rsidRDefault="005C5475" w:rsidP="00614F6C">
            <w:pPr>
              <w:spacing w:before="0" w:after="160" w:line="276" w:lineRule="auto"/>
              <w:ind w:right="34"/>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rPr>
            </w:pPr>
            <w:r w:rsidRPr="00D633FF">
              <w:rPr>
                <w:rFonts w:ascii="Calibri" w:eastAsia="Times New Roman" w:hAnsi="Calibri" w:cs="Calibri"/>
                <w:sz w:val="20"/>
              </w:rPr>
              <w:t>The UL for children (extrapolated from adults) will provide additional margin of safety based on more recent higher quality data.</w:t>
            </w:r>
          </w:p>
          <w:p w14:paraId="4059DA89" w14:textId="77777777" w:rsidR="005C5475" w:rsidRPr="00D633FF" w:rsidRDefault="005C5475" w:rsidP="00DC1FB9">
            <w:pPr>
              <w:spacing w:before="0" w:after="0" w:line="276" w:lineRule="auto"/>
              <w:cnfStyle w:val="000000010000" w:firstRow="0" w:lastRow="0" w:firstColumn="0" w:lastColumn="0" w:oddVBand="0" w:evenVBand="0" w:oddHBand="0" w:evenHBand="1" w:firstRowFirstColumn="0" w:firstRowLastColumn="0" w:lastRowFirstColumn="0" w:lastRowLastColumn="0"/>
              <w:rPr>
                <w:rFonts w:ascii="Calibri" w:eastAsia="Arial" w:hAnsi="Calibri" w:cs="Calibri"/>
                <w:sz w:val="20"/>
              </w:rPr>
            </w:pPr>
            <w:r w:rsidRPr="00D633FF">
              <w:rPr>
                <w:rFonts w:ascii="Calibri" w:eastAsia="Times New Roman" w:hAnsi="Calibri" w:cs="Calibri"/>
                <w:sz w:val="20"/>
              </w:rPr>
              <w:t xml:space="preserve">Benefits of Adapting EFSA UL </w:t>
            </w:r>
          </w:p>
          <w:p w14:paraId="52219BA0" w14:textId="77777777" w:rsidR="005C5475" w:rsidRPr="00D633FF" w:rsidRDefault="005C5475" w:rsidP="008D15E1">
            <w:pPr>
              <w:numPr>
                <w:ilvl w:val="0"/>
                <w:numId w:val="45"/>
              </w:numPr>
              <w:spacing w:before="0" w:after="0" w:line="276" w:lineRule="auto"/>
              <w:ind w:right="34"/>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rPr>
            </w:pPr>
            <w:r w:rsidRPr="00D633FF">
              <w:rPr>
                <w:rFonts w:ascii="Calibri" w:eastAsia="Times New Roman" w:hAnsi="Calibri" w:cs="Calibri"/>
                <w:sz w:val="20"/>
              </w:rPr>
              <w:t>Offers an additional margin of safety through precautionary approach</w:t>
            </w:r>
          </w:p>
          <w:p w14:paraId="6E5C2B81" w14:textId="77777777" w:rsidR="005C5475" w:rsidRPr="00D633FF" w:rsidRDefault="005C5475" w:rsidP="008D15E1">
            <w:pPr>
              <w:numPr>
                <w:ilvl w:val="0"/>
                <w:numId w:val="45"/>
              </w:numPr>
              <w:spacing w:before="0" w:after="160" w:line="276" w:lineRule="auto"/>
              <w:ind w:left="714" w:right="34" w:hanging="357"/>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rPr>
            </w:pPr>
            <w:r w:rsidRPr="00D633FF">
              <w:rPr>
                <w:rFonts w:ascii="Calibri" w:eastAsia="Times New Roman" w:hAnsi="Calibri" w:cs="Calibri"/>
                <w:sz w:val="20"/>
              </w:rPr>
              <w:t>Provides additional evidence to strengthen supplement regulation and consumer guidance for high-risk consumption patterns</w:t>
            </w:r>
          </w:p>
          <w:p w14:paraId="60FDE0A8" w14:textId="77777777" w:rsidR="005C5475" w:rsidRPr="00D633FF" w:rsidRDefault="005C5475" w:rsidP="00614F6C">
            <w:pPr>
              <w:spacing w:before="0" w:after="160" w:line="276" w:lineRule="auto"/>
              <w:ind w:right="34"/>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sz w:val="20"/>
              </w:rPr>
            </w:pPr>
            <w:r w:rsidRPr="00D633FF">
              <w:rPr>
                <w:rFonts w:ascii="Calibri" w:eastAsia="Times New Roman" w:hAnsi="Calibri" w:cs="Calibri"/>
                <w:b/>
                <w:bCs/>
                <w:sz w:val="20"/>
              </w:rPr>
              <w:t>Potential harms/considerations:</w:t>
            </w:r>
          </w:p>
          <w:p w14:paraId="06A08359" w14:textId="77777777" w:rsidR="005C5475" w:rsidRPr="00D633FF" w:rsidRDefault="005C5475" w:rsidP="008D15E1">
            <w:pPr>
              <w:numPr>
                <w:ilvl w:val="0"/>
                <w:numId w:val="46"/>
              </w:numPr>
              <w:spacing w:before="0" w:after="0" w:line="276" w:lineRule="auto"/>
              <w:ind w:left="714" w:right="34" w:hanging="357"/>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rPr>
            </w:pPr>
            <w:r w:rsidRPr="00D633FF">
              <w:rPr>
                <w:rFonts w:ascii="Calibri" w:eastAsia="Times New Roman" w:hAnsi="Calibri" w:cs="Calibri"/>
                <w:sz w:val="20"/>
              </w:rPr>
              <w:lastRenderedPageBreak/>
              <w:t>May represent a more restrictive approach than currently warranted by the Australian and New Zealand context, where selenium toxicity risk is relatively low due to moderate selenium levels in soil and food supply</w:t>
            </w:r>
          </w:p>
          <w:p w14:paraId="56DB998A" w14:textId="77777777" w:rsidR="005C5475" w:rsidRPr="00D633FF" w:rsidRDefault="005C5475" w:rsidP="008D15E1">
            <w:pPr>
              <w:numPr>
                <w:ilvl w:val="0"/>
                <w:numId w:val="46"/>
              </w:numPr>
              <w:spacing w:before="0" w:after="160" w:line="276" w:lineRule="auto"/>
              <w:ind w:right="34"/>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rPr>
            </w:pPr>
            <w:r w:rsidRPr="00D633FF">
              <w:rPr>
                <w:rFonts w:ascii="Calibri" w:eastAsia="Times New Roman" w:hAnsi="Calibri" w:cs="Calibri"/>
                <w:sz w:val="20"/>
              </w:rPr>
              <w:t>May result in more individuals exceeding the UL without signs of harm from excess selenium</w:t>
            </w:r>
          </w:p>
          <w:p w14:paraId="419E236A" w14:textId="77777777" w:rsidR="005C5475" w:rsidRPr="00D633FF" w:rsidRDefault="005C5475" w:rsidP="00614F6C">
            <w:pPr>
              <w:spacing w:before="0" w:after="160" w:line="276" w:lineRule="auto"/>
              <w:ind w:right="34"/>
              <w:cnfStyle w:val="000000010000" w:firstRow="0" w:lastRow="0" w:firstColumn="0" w:lastColumn="0" w:oddVBand="0" w:evenVBand="0" w:oddHBand="0" w:evenHBand="1" w:firstRowFirstColumn="0" w:firstRowLastColumn="0" w:lastRowFirstColumn="0" w:lastRowLastColumn="0"/>
              <w:rPr>
                <w:rFonts w:ascii="Calibri" w:eastAsia="Arial" w:hAnsi="Calibri" w:cs="Calibri"/>
                <w:sz w:val="20"/>
              </w:rPr>
            </w:pPr>
            <w:r w:rsidRPr="00D633FF">
              <w:rPr>
                <w:rFonts w:ascii="Calibri" w:eastAsia="Times New Roman" w:hAnsi="Calibri" w:cs="Calibri"/>
                <w:sz w:val="20"/>
              </w:rPr>
              <w:t xml:space="preserve">In Australia there is a </w:t>
            </w:r>
            <w:r w:rsidRPr="00D633FF">
              <w:rPr>
                <w:rFonts w:ascii="Calibri" w:eastAsia="Arial" w:hAnsi="Calibri" w:cs="Calibri"/>
                <w:sz w:val="20"/>
              </w:rPr>
              <w:t>relatively low risk of selenium toxicity due to moderate selenium levels in soil and food supply. Certain regions (i.e. central Queensland) have selenium-rich soils. Overall dietary selenium intake remains within safe limits for most of the population</w:t>
            </w:r>
          </w:p>
          <w:p w14:paraId="6AC18301" w14:textId="77777777" w:rsidR="005C5475" w:rsidRPr="00D633FF" w:rsidRDefault="005C5475" w:rsidP="00614F6C">
            <w:pPr>
              <w:spacing w:before="0" w:after="160" w:line="276" w:lineRule="auto"/>
              <w:ind w:right="34"/>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rPr>
            </w:pPr>
            <w:r w:rsidRPr="00D633FF">
              <w:rPr>
                <w:rFonts w:ascii="Calibri" w:eastAsia="Times New Roman" w:hAnsi="Calibri" w:cs="Calibri"/>
                <w:sz w:val="20"/>
              </w:rPr>
              <w:t>There is no evidence to suggest that acute selenosis, chronic selenosis, or alopecia as an early marker of selenosis are a public health concern in Australia or New Zealand.</w:t>
            </w:r>
          </w:p>
          <w:p w14:paraId="1CCBB3FA" w14:textId="77777777" w:rsidR="005C5475" w:rsidRPr="00D633FF" w:rsidRDefault="005C5475" w:rsidP="00614F6C">
            <w:pPr>
              <w:spacing w:before="0" w:after="160" w:line="276" w:lineRule="auto"/>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rPr>
            </w:pPr>
            <w:r w:rsidRPr="00D633FF">
              <w:rPr>
                <w:rFonts w:ascii="Calibri" w:eastAsia="Times New Roman" w:hAnsi="Calibri" w:cs="Calibri"/>
                <w:sz w:val="20"/>
              </w:rPr>
              <w:t>There is no evidence of specific populations that are more sensitive to selenium, at greater risk of excess or more susceptible to the health effects associated with excess consumption.</w:t>
            </w:r>
          </w:p>
          <w:p w14:paraId="4DC445E7" w14:textId="77777777" w:rsidR="005C5475" w:rsidRPr="00D633FF" w:rsidRDefault="005C5475" w:rsidP="00614F6C">
            <w:pPr>
              <w:spacing w:before="0" w:after="160" w:line="276" w:lineRule="auto"/>
              <w:ind w:right="34"/>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highlight w:val="lightGray"/>
              </w:rPr>
            </w:pPr>
            <w:r w:rsidRPr="00D633FF">
              <w:rPr>
                <w:rFonts w:ascii="Calibri" w:eastAsia="Arial" w:hAnsi="Calibri" w:cs="Calibri"/>
                <w:sz w:val="20"/>
              </w:rPr>
              <w:t>People most likely to develop selenosis are those who consume Brazil nuts or take supplements at levels significantly higher than the UL.</w:t>
            </w:r>
          </w:p>
        </w:tc>
      </w:tr>
      <w:tr w:rsidR="0017087A" w:rsidRPr="00D633FF" w14:paraId="25549E95" w14:textId="77777777" w:rsidTr="000477FA">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500" w:type="dxa"/>
            <w:tcBorders>
              <w:top w:val="single" w:sz="4" w:space="0" w:color="auto"/>
              <w:left w:val="single" w:sz="4" w:space="0" w:color="auto"/>
              <w:bottom w:val="single" w:sz="4" w:space="0" w:color="auto"/>
              <w:right w:val="single" w:sz="4" w:space="0" w:color="auto"/>
            </w:tcBorders>
            <w:shd w:val="clear" w:color="auto" w:fill="83CAEB" w:themeFill="accent1" w:themeFillTint="66"/>
          </w:tcPr>
          <w:p w14:paraId="769C1D7A" w14:textId="77777777" w:rsidR="005C5475" w:rsidRPr="00D633FF" w:rsidRDefault="005C5475" w:rsidP="00CA2A0F">
            <w:pPr>
              <w:spacing w:before="120" w:after="160" w:line="276" w:lineRule="auto"/>
              <w:rPr>
                <w:rFonts w:ascii="Calibri" w:eastAsia="Arial" w:hAnsi="Calibri" w:cs="Calibri"/>
                <w:color w:val="auto"/>
                <w:sz w:val="20"/>
                <w:highlight w:val="lightGray"/>
              </w:rPr>
            </w:pPr>
            <w:r w:rsidRPr="00D633FF">
              <w:rPr>
                <w:rFonts w:ascii="Calibri" w:eastAsia="Arial" w:hAnsi="Calibri" w:cs="Calibri"/>
                <w:color w:val="auto"/>
                <w:sz w:val="20"/>
              </w:rPr>
              <w:lastRenderedPageBreak/>
              <w:t>Certainty of the evidence</w:t>
            </w:r>
          </w:p>
        </w:tc>
        <w:tc>
          <w:tcPr>
            <w:tcW w:w="600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5E23B9D8" w14:textId="77777777" w:rsidR="005C5475" w:rsidRPr="00D633FF" w:rsidRDefault="005C5475" w:rsidP="00CA2A0F">
            <w:pPr>
              <w:spacing w:before="120" w:after="160" w:line="276" w:lineRule="auto"/>
              <w:ind w:right="34"/>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The evidence underpinning current ULs for children study of selenium breast milk concentration collected from 241 subjects who resided in or near cities located in 17 states across the United States.</w:t>
            </w:r>
          </w:p>
          <w:p w14:paraId="1B9D7C4C" w14:textId="77777777" w:rsidR="005C5475" w:rsidRPr="00D633FF" w:rsidRDefault="005C5475" w:rsidP="00614F6C">
            <w:pPr>
              <w:spacing w:before="0" w:after="160" w:line="276" w:lineRule="auto"/>
              <w:ind w:right="34"/>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Although no appraisal of study quality or evidence certainty is available, this evidence is limited by:</w:t>
            </w:r>
          </w:p>
          <w:p w14:paraId="03B62783" w14:textId="77777777" w:rsidR="005C5475" w:rsidRPr="00D633FF" w:rsidRDefault="005C5475" w:rsidP="008D15E1">
            <w:pPr>
              <w:numPr>
                <w:ilvl w:val="0"/>
                <w:numId w:val="40"/>
              </w:numPr>
              <w:spacing w:before="0" w:after="160" w:line="276" w:lineRule="auto"/>
              <w:ind w:left="458" w:right="34"/>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The age of the study (conducted in 1975, data is 50 years old)</w:t>
            </w:r>
          </w:p>
          <w:p w14:paraId="7E166D08" w14:textId="77777777" w:rsidR="005C5475" w:rsidRPr="00D633FF" w:rsidRDefault="005C5475" w:rsidP="008D15E1">
            <w:pPr>
              <w:numPr>
                <w:ilvl w:val="0"/>
                <w:numId w:val="40"/>
              </w:numPr>
              <w:spacing w:before="0" w:after="160" w:line="276" w:lineRule="auto"/>
              <w:ind w:left="458" w:right="34"/>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The small sample size (n=241)</w:t>
            </w:r>
          </w:p>
        </w:tc>
        <w:tc>
          <w:tcPr>
            <w:tcW w:w="634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3D61BEB2" w14:textId="77777777" w:rsidR="005C5475" w:rsidRPr="00D633FF" w:rsidRDefault="005C5475" w:rsidP="00CA2A0F">
            <w:pPr>
              <w:spacing w:before="120" w:after="16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 xml:space="preserve">The ULs for children are based on the same evidence as the adult UL. The adult value was extrapolated for children using allometric scaling. </w:t>
            </w:r>
          </w:p>
          <w:p w14:paraId="69DD96FE" w14:textId="4B26DD38" w:rsidR="005C5475" w:rsidRPr="00D633FF" w:rsidRDefault="005C5475" w:rsidP="00614F6C">
            <w:pPr>
              <w:spacing w:before="0" w:after="16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 xml:space="preserve">Overall, EFSA considered the SELECT trial </w:t>
            </w:r>
            <w:r w:rsidR="00F41A14" w:rsidRPr="00D633FF">
              <w:rPr>
                <w:rFonts w:ascii="Calibri" w:eastAsia="Times New Roman" w:hAnsi="Calibri" w:cs="Calibri"/>
                <w:sz w:val="20"/>
              </w:rPr>
              <w:t>(Lippman et al. 2009)</w:t>
            </w:r>
            <w:r w:rsidRPr="00D633FF">
              <w:rPr>
                <w:rFonts w:ascii="Calibri" w:eastAsia="Times New Roman" w:hAnsi="Calibri" w:cs="Calibri"/>
                <w:sz w:val="20"/>
              </w:rPr>
              <w:t xml:space="preserve"> </w:t>
            </w:r>
            <w:r w:rsidRPr="00D633FF">
              <w:rPr>
                <w:rFonts w:ascii="Calibri" w:eastAsia="Times New Roman" w:hAnsi="Calibri" w:cs="Calibri"/>
                <w:sz w:val="20"/>
                <w:szCs w:val="20"/>
              </w:rPr>
              <w:t>to be the best available evidence upon which to base their updated UL.</w:t>
            </w:r>
            <w:r w:rsidRPr="00D633FF">
              <w:rPr>
                <w:rFonts w:ascii="Calibri" w:eastAsia="Arial" w:hAnsi="Calibri" w:cs="Calibri"/>
                <w:sz w:val="20"/>
                <w:szCs w:val="20"/>
              </w:rPr>
              <w:t xml:space="preserve"> </w:t>
            </w:r>
          </w:p>
          <w:p w14:paraId="74F6706D" w14:textId="77777777" w:rsidR="005C5475" w:rsidRPr="00D633FF" w:rsidRDefault="005C5475" w:rsidP="00614F6C">
            <w:pPr>
              <w:spacing w:before="0" w:after="16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20"/>
                <w:szCs w:val="20"/>
              </w:rPr>
            </w:pPr>
            <w:r w:rsidRPr="00D633FF">
              <w:rPr>
                <w:rFonts w:ascii="Calibri" w:eastAsia="Times New Roman" w:hAnsi="Calibri" w:cs="Calibri"/>
                <w:i/>
                <w:iCs/>
                <w:sz w:val="20"/>
                <w:szCs w:val="20"/>
              </w:rPr>
              <w:t>For further information on the certainty of the evidence associated with the SELECT trial, see the Adult Evidence-to-Decision table above.</w:t>
            </w:r>
          </w:p>
          <w:p w14:paraId="2D4403DA" w14:textId="77777777" w:rsidR="005C5475" w:rsidRPr="00D633FF" w:rsidRDefault="005C5475" w:rsidP="00614F6C">
            <w:pPr>
              <w:spacing w:before="0" w:after="16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p>
        </w:tc>
      </w:tr>
      <w:tr w:rsidR="00FC2992" w:rsidRPr="00D633FF" w14:paraId="3A34B55A" w14:textId="77777777" w:rsidTr="000477FA">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500"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tcPr>
          <w:p w14:paraId="3A54928C" w14:textId="77777777" w:rsidR="005C5475" w:rsidRPr="00D633FF" w:rsidRDefault="005C5475" w:rsidP="00CA2A0F">
            <w:pPr>
              <w:spacing w:before="120" w:after="160" w:line="276" w:lineRule="auto"/>
              <w:rPr>
                <w:rFonts w:ascii="Calibri" w:eastAsia="Arial" w:hAnsi="Calibri" w:cs="Calibri"/>
                <w:color w:val="auto"/>
                <w:sz w:val="20"/>
              </w:rPr>
            </w:pPr>
            <w:r w:rsidRPr="00D633FF">
              <w:rPr>
                <w:rFonts w:ascii="Calibri" w:eastAsia="Arial" w:hAnsi="Calibri" w:cs="Calibri"/>
                <w:color w:val="auto"/>
                <w:sz w:val="20"/>
              </w:rPr>
              <w:lastRenderedPageBreak/>
              <w:t>Values, preferences and feasibility (consumers, communities)</w:t>
            </w:r>
          </w:p>
          <w:p w14:paraId="5986C539" w14:textId="77777777" w:rsidR="005C5475" w:rsidRPr="00D633FF" w:rsidRDefault="005C5475" w:rsidP="00A41BD1">
            <w:pPr>
              <w:spacing w:before="0" w:after="160" w:line="276" w:lineRule="auto"/>
              <w:rPr>
                <w:rFonts w:ascii="Calibri" w:eastAsia="Arial" w:hAnsi="Calibri" w:cs="Calibri"/>
                <w:color w:val="auto"/>
                <w:sz w:val="20"/>
                <w:highlight w:val="lightGray"/>
              </w:rPr>
            </w:pPr>
          </w:p>
          <w:p w14:paraId="2248F6AC" w14:textId="77777777" w:rsidR="005C5475" w:rsidRPr="00D633FF" w:rsidRDefault="005C5475" w:rsidP="00A41BD1">
            <w:pPr>
              <w:spacing w:before="0" w:after="160" w:line="276" w:lineRule="auto"/>
              <w:rPr>
                <w:rFonts w:ascii="Calibri" w:eastAsia="Arial" w:hAnsi="Calibri" w:cs="Calibri"/>
                <w:color w:val="auto"/>
                <w:sz w:val="20"/>
                <w:highlight w:val="lightGray"/>
              </w:rPr>
            </w:pPr>
          </w:p>
        </w:tc>
        <w:tc>
          <w:tcPr>
            <w:tcW w:w="12349" w:type="dxa"/>
            <w:gridSpan w:val="2"/>
            <w:tcBorders>
              <w:top w:val="single" w:sz="4" w:space="0" w:color="auto"/>
              <w:left w:val="single" w:sz="4" w:space="0" w:color="auto"/>
              <w:bottom w:val="single" w:sz="4" w:space="0" w:color="auto"/>
              <w:right w:val="single" w:sz="4" w:space="0" w:color="auto"/>
            </w:tcBorders>
            <w:vAlign w:val="center"/>
          </w:tcPr>
          <w:p w14:paraId="642BEB97" w14:textId="19986570" w:rsidR="005C5475" w:rsidRPr="00D633FF" w:rsidRDefault="005C5475" w:rsidP="00CA2A0F">
            <w:pPr>
              <w:spacing w:before="120" w:after="0" w:line="276" w:lineRule="auto"/>
              <w:ind w:right="204"/>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iCs/>
                <w:sz w:val="20"/>
              </w:rPr>
            </w:pPr>
            <w:r w:rsidRPr="00D633FF">
              <w:rPr>
                <w:rFonts w:ascii="Calibri" w:eastAsia="Times New Roman" w:hAnsi="Calibri" w:cs="Calibri"/>
                <w:iCs/>
                <w:sz w:val="20"/>
              </w:rPr>
              <w:t xml:space="preserve">Modelled selenium intake data demonstrate that average intakes </w:t>
            </w:r>
            <w:r w:rsidR="0069447E" w:rsidRPr="00D633FF">
              <w:rPr>
                <w:rFonts w:ascii="Calibri" w:eastAsia="Times New Roman" w:hAnsi="Calibri" w:cs="Calibri"/>
                <w:iCs/>
                <w:sz w:val="20"/>
              </w:rPr>
              <w:t xml:space="preserve">among </w:t>
            </w:r>
            <w:r w:rsidRPr="00D633FF">
              <w:rPr>
                <w:rFonts w:ascii="Calibri" w:eastAsia="Times New Roman" w:hAnsi="Calibri" w:cs="Calibri"/>
                <w:iCs/>
                <w:sz w:val="20"/>
              </w:rPr>
              <w:t>child</w:t>
            </w:r>
            <w:r w:rsidR="0069447E" w:rsidRPr="00D633FF">
              <w:rPr>
                <w:rFonts w:ascii="Calibri" w:eastAsia="Times New Roman" w:hAnsi="Calibri" w:cs="Calibri"/>
                <w:iCs/>
                <w:sz w:val="20"/>
              </w:rPr>
              <w:t>ren</w:t>
            </w:r>
            <w:r w:rsidRPr="00D633FF">
              <w:rPr>
                <w:rFonts w:ascii="Calibri" w:eastAsia="Times New Roman" w:hAnsi="Calibri" w:cs="Calibri"/>
                <w:iCs/>
                <w:sz w:val="20"/>
              </w:rPr>
              <w:t xml:space="preserve"> and adolescent</w:t>
            </w:r>
            <w:r w:rsidR="0069447E" w:rsidRPr="00D633FF">
              <w:rPr>
                <w:rFonts w:ascii="Calibri" w:eastAsia="Times New Roman" w:hAnsi="Calibri" w:cs="Calibri"/>
                <w:iCs/>
                <w:sz w:val="20"/>
              </w:rPr>
              <w:t>s</w:t>
            </w:r>
            <w:r w:rsidRPr="00D633FF">
              <w:rPr>
                <w:rFonts w:ascii="Calibri" w:eastAsia="Times New Roman" w:hAnsi="Calibri" w:cs="Calibri"/>
                <w:iCs/>
                <w:sz w:val="20"/>
              </w:rPr>
              <w:t xml:space="preserve"> meet nutritional requirements while remaining well below</w:t>
            </w:r>
            <w:r w:rsidR="001A0CF1" w:rsidRPr="00D633FF">
              <w:rPr>
                <w:rFonts w:ascii="Calibri" w:eastAsia="Times New Roman" w:hAnsi="Calibri" w:cs="Calibri"/>
                <w:iCs/>
                <w:sz w:val="20"/>
              </w:rPr>
              <w:t xml:space="preserve"> both</w:t>
            </w:r>
            <w:r w:rsidRPr="00D633FF">
              <w:rPr>
                <w:rFonts w:ascii="Calibri" w:eastAsia="Times New Roman" w:hAnsi="Calibri" w:cs="Calibri"/>
                <w:iCs/>
                <w:sz w:val="20"/>
              </w:rPr>
              <w:t xml:space="preserve"> current and proposed UL values. As shown in </w:t>
            </w:r>
            <w:r w:rsidR="00D26DD0" w:rsidRPr="00D633FF">
              <w:rPr>
                <w:rFonts w:ascii="Calibri" w:eastAsia="Times New Roman" w:hAnsi="Calibri" w:cs="Calibri"/>
                <w:iCs/>
                <w:sz w:val="20"/>
              </w:rPr>
              <w:fldChar w:fldCharType="begin" w:fldLock="1"/>
            </w:r>
            <w:r w:rsidR="00D26DD0" w:rsidRPr="00D633FF">
              <w:rPr>
                <w:rFonts w:ascii="Calibri" w:eastAsia="Times New Roman" w:hAnsi="Calibri" w:cs="Calibri"/>
                <w:iCs/>
                <w:sz w:val="20"/>
              </w:rPr>
              <w:instrText xml:space="preserve"> REF _Ref205218992 \h  \* MERGEFORMAT </w:instrText>
            </w:r>
            <w:r w:rsidR="00D26DD0" w:rsidRPr="00D633FF">
              <w:rPr>
                <w:rFonts w:ascii="Calibri" w:eastAsia="Times New Roman" w:hAnsi="Calibri" w:cs="Calibri"/>
                <w:iCs/>
                <w:sz w:val="20"/>
              </w:rPr>
            </w:r>
            <w:r w:rsidR="00D26DD0" w:rsidRPr="00D633FF">
              <w:rPr>
                <w:rFonts w:ascii="Calibri" w:eastAsia="Times New Roman" w:hAnsi="Calibri" w:cs="Calibri"/>
                <w:iCs/>
                <w:sz w:val="20"/>
              </w:rPr>
              <w:fldChar w:fldCharType="separate"/>
            </w:r>
            <w:r w:rsidR="00D26DD0" w:rsidRPr="00D633FF">
              <w:rPr>
                <w:rFonts w:ascii="Calibri" w:eastAsia="Times New Roman" w:hAnsi="Calibri" w:cs="Calibri"/>
                <w:iCs/>
                <w:sz w:val="20"/>
              </w:rPr>
              <w:t xml:space="preserve">Table </w:t>
            </w:r>
            <w:r w:rsidR="003F3816">
              <w:rPr>
                <w:rFonts w:ascii="Calibri" w:eastAsia="Times New Roman" w:hAnsi="Calibri" w:cs="Calibri"/>
                <w:iCs/>
                <w:sz w:val="20"/>
              </w:rPr>
              <w:t>24</w:t>
            </w:r>
            <w:r w:rsidR="00D26DD0" w:rsidRPr="00D633FF">
              <w:rPr>
                <w:rFonts w:ascii="Calibri" w:eastAsia="Times New Roman" w:hAnsi="Calibri" w:cs="Calibri"/>
                <w:iCs/>
                <w:sz w:val="20"/>
              </w:rPr>
              <w:fldChar w:fldCharType="end"/>
            </w:r>
            <w:r w:rsidRPr="00D633FF">
              <w:rPr>
                <w:rFonts w:ascii="Calibri" w:eastAsia="Times New Roman" w:hAnsi="Calibri" w:cs="Calibri"/>
                <w:iCs/>
                <w:sz w:val="20"/>
              </w:rPr>
              <w:t xml:space="preserve">, most modelled values </w:t>
            </w:r>
            <w:r w:rsidR="0080041D" w:rsidRPr="00D633FF">
              <w:rPr>
                <w:rFonts w:ascii="Calibri" w:eastAsia="Times New Roman" w:hAnsi="Calibri" w:cs="Calibri"/>
                <w:iCs/>
                <w:sz w:val="20"/>
              </w:rPr>
              <w:t xml:space="preserve">– based on Foundation Diet modelling - </w:t>
            </w:r>
            <w:r w:rsidRPr="00D633FF">
              <w:rPr>
                <w:rFonts w:ascii="Calibri" w:eastAsia="Times New Roman" w:hAnsi="Calibri" w:cs="Calibri"/>
                <w:iCs/>
                <w:sz w:val="20"/>
              </w:rPr>
              <w:t>are at or below half of the lowest proposed adapted UL. Despite potential underestimation due to selenium being modelled as an output rather than an input, and incomplete food composition data, the modelled intake patterns are consistent with empirical health data from both Australia and New Zealand (</w:t>
            </w:r>
            <w:r w:rsidRPr="00D633FF">
              <w:rPr>
                <w:rFonts w:ascii="Calibri" w:eastAsia="Times New Roman" w:hAnsi="Calibri" w:cs="Calibri"/>
                <w:iCs/>
                <w:sz w:val="20"/>
                <w:szCs w:val="20"/>
              </w:rPr>
              <w:fldChar w:fldCharType="begin" w:fldLock="1"/>
            </w:r>
            <w:r w:rsidRPr="00D633FF">
              <w:rPr>
                <w:rFonts w:ascii="Calibri" w:eastAsia="Times New Roman" w:hAnsi="Calibri" w:cs="Calibri"/>
                <w:iCs/>
                <w:sz w:val="20"/>
                <w:szCs w:val="20"/>
              </w:rPr>
              <w:instrText xml:space="preserve"> REF _Ref204265663 \h  \* MERGEFORMAT </w:instrText>
            </w:r>
            <w:r w:rsidRPr="00D633FF">
              <w:rPr>
                <w:rFonts w:ascii="Calibri" w:eastAsia="Times New Roman" w:hAnsi="Calibri" w:cs="Calibri"/>
                <w:iCs/>
                <w:sz w:val="20"/>
                <w:szCs w:val="20"/>
              </w:rPr>
            </w:r>
            <w:r w:rsidRPr="00D633FF">
              <w:rPr>
                <w:rFonts w:ascii="Calibri" w:eastAsia="Times New Roman" w:hAnsi="Calibri" w:cs="Calibri"/>
                <w:iCs/>
                <w:sz w:val="20"/>
                <w:szCs w:val="20"/>
              </w:rPr>
              <w:fldChar w:fldCharType="separate"/>
            </w:r>
            <w:r w:rsidRPr="00D633FF">
              <w:rPr>
                <w:rFonts w:ascii="Calibri" w:eastAsia="Arial" w:hAnsi="Calibri" w:cs="Calibri"/>
                <w:sz w:val="20"/>
                <w:szCs w:val="20"/>
              </w:rPr>
              <w:t xml:space="preserve">Tables </w:t>
            </w:r>
            <w:r w:rsidRPr="00D633FF">
              <w:rPr>
                <w:rFonts w:ascii="Calibri" w:eastAsia="Times New Roman" w:hAnsi="Calibri" w:cs="Calibri"/>
                <w:iCs/>
                <w:sz w:val="20"/>
                <w:szCs w:val="20"/>
              </w:rPr>
              <w:fldChar w:fldCharType="end"/>
            </w:r>
            <w:r w:rsidR="0032587C">
              <w:rPr>
                <w:rFonts w:ascii="Calibri" w:eastAsia="Times New Roman" w:hAnsi="Calibri" w:cs="Calibri"/>
                <w:iCs/>
                <w:sz w:val="20"/>
                <w:szCs w:val="20"/>
              </w:rPr>
              <w:t>22</w:t>
            </w:r>
            <w:r w:rsidRPr="00D633FF">
              <w:rPr>
                <w:rFonts w:ascii="Calibri" w:eastAsia="Times New Roman" w:hAnsi="Calibri" w:cs="Calibri"/>
                <w:iCs/>
                <w:sz w:val="20"/>
                <w:szCs w:val="20"/>
              </w:rPr>
              <w:t xml:space="preserve"> &amp; </w:t>
            </w:r>
            <w:r w:rsidR="0032587C">
              <w:rPr>
                <w:rFonts w:ascii="Calibri" w:eastAsia="Times New Roman" w:hAnsi="Calibri" w:cs="Calibri"/>
                <w:iCs/>
                <w:sz w:val="20"/>
                <w:szCs w:val="20"/>
              </w:rPr>
              <w:t>23</w:t>
            </w:r>
            <w:r w:rsidRPr="00D633FF">
              <w:rPr>
                <w:rFonts w:ascii="Calibri" w:eastAsia="Times New Roman" w:hAnsi="Calibri" w:cs="Calibri"/>
                <w:iCs/>
                <w:sz w:val="20"/>
              </w:rPr>
              <w:t>). These findings support the feasibility of implementing a lower UL for children and adolescents without requiring changes to current dietary patterns.</w:t>
            </w:r>
          </w:p>
          <w:p w14:paraId="4F90D109" w14:textId="77777777" w:rsidR="005C5475" w:rsidRPr="00D633FF" w:rsidRDefault="005C5475" w:rsidP="005C5475">
            <w:pPr>
              <w:spacing w:after="0" w:line="276" w:lineRule="auto"/>
              <w:jc w:val="right"/>
              <w:cnfStyle w:val="000000010000" w:firstRow="0" w:lastRow="0" w:firstColumn="0" w:lastColumn="0" w:oddVBand="0" w:evenVBand="0" w:oddHBand="0" w:evenHBand="1" w:firstRowFirstColumn="0" w:firstRowLastColumn="0" w:lastRowFirstColumn="0" w:lastRowLastColumn="0"/>
              <w:rPr>
                <w:rFonts w:ascii="Calibri" w:eastAsia="Arial" w:hAnsi="Calibri" w:cs="Calibri"/>
                <w:sz w:val="16"/>
              </w:rPr>
            </w:pPr>
          </w:p>
          <w:p w14:paraId="01B0285B" w14:textId="7AC92D27" w:rsidR="005C5475" w:rsidRPr="00BB4BBB" w:rsidRDefault="005C5475" w:rsidP="005F12E4">
            <w:pPr>
              <w:keepNext/>
              <w:spacing w:after="120"/>
              <w:cnfStyle w:val="000000010000" w:firstRow="0" w:lastRow="0" w:firstColumn="0" w:lastColumn="0" w:oddVBand="0" w:evenVBand="0" w:oddHBand="0" w:evenHBand="1" w:firstRowFirstColumn="0" w:firstRowLastColumn="0" w:lastRowFirstColumn="0" w:lastRowLastColumn="0"/>
              <w:rPr>
                <w:rFonts w:ascii="Calibri" w:eastAsia="Arial" w:hAnsi="Calibri" w:cs="Calibri"/>
                <w:b/>
                <w:bCs/>
                <w:iCs/>
                <w:caps/>
              </w:rPr>
            </w:pPr>
            <w:bookmarkStart w:id="116" w:name="_Ref205218992"/>
            <w:r w:rsidRPr="00BB4BBB">
              <w:rPr>
                <w:rFonts w:ascii="Calibri" w:eastAsia="Arial" w:hAnsi="Calibri" w:cs="Calibri"/>
                <w:b/>
                <w:bCs/>
                <w:iCs/>
                <w:caps/>
              </w:rPr>
              <w:t xml:space="preserve">Table </w:t>
            </w:r>
            <w:r w:rsidRPr="00BB4BBB">
              <w:rPr>
                <w:rFonts w:ascii="Calibri" w:eastAsia="Arial" w:hAnsi="Calibri" w:cs="Calibri"/>
                <w:b/>
                <w:bCs/>
                <w:iCs/>
                <w:caps/>
              </w:rPr>
              <w:fldChar w:fldCharType="begin"/>
            </w:r>
            <w:r w:rsidRPr="00BB4BBB">
              <w:rPr>
                <w:rFonts w:ascii="Calibri" w:eastAsia="Arial" w:hAnsi="Calibri" w:cs="Calibri"/>
                <w:b/>
                <w:bCs/>
                <w:iCs/>
                <w:caps/>
              </w:rPr>
              <w:instrText xml:space="preserve"> SEQ Table \* ARABIC </w:instrText>
            </w:r>
            <w:r w:rsidRPr="00BB4BBB">
              <w:rPr>
                <w:rFonts w:ascii="Calibri" w:eastAsia="Arial" w:hAnsi="Calibri" w:cs="Calibri"/>
                <w:b/>
                <w:bCs/>
                <w:iCs/>
                <w:caps/>
              </w:rPr>
              <w:fldChar w:fldCharType="separate"/>
            </w:r>
            <w:r w:rsidR="00CB6915" w:rsidRPr="00BB4BBB">
              <w:rPr>
                <w:rFonts w:ascii="Calibri" w:eastAsia="Arial" w:hAnsi="Calibri" w:cs="Calibri"/>
                <w:b/>
                <w:bCs/>
                <w:iCs/>
                <w:caps/>
                <w:noProof/>
              </w:rPr>
              <w:t>24</w:t>
            </w:r>
            <w:r w:rsidRPr="00BB4BBB">
              <w:rPr>
                <w:rFonts w:ascii="Calibri" w:eastAsia="Arial" w:hAnsi="Calibri" w:cs="Calibri"/>
                <w:b/>
                <w:bCs/>
                <w:iCs/>
                <w:caps/>
                <w:noProof/>
              </w:rPr>
              <w:fldChar w:fldCharType="end"/>
            </w:r>
            <w:bookmarkEnd w:id="116"/>
            <w:r w:rsidR="00586E84">
              <w:rPr>
                <w:rFonts w:ascii="Calibri" w:eastAsia="Arial" w:hAnsi="Calibri" w:cs="Calibri"/>
                <w:b/>
                <w:bCs/>
                <w:iCs/>
                <w:caps/>
                <w:noProof/>
              </w:rPr>
              <w:t>.</w:t>
            </w:r>
            <w:r w:rsidRPr="00BB4BBB">
              <w:rPr>
                <w:rFonts w:ascii="Calibri" w:eastAsia="Arial" w:hAnsi="Calibri" w:cs="Calibri"/>
                <w:b/>
                <w:bCs/>
                <w:iCs/>
                <w:caps/>
              </w:rPr>
              <w:t xml:space="preserve"> </w:t>
            </w:r>
            <w:r w:rsidR="00B368DB">
              <w:rPr>
                <w:rFonts w:ascii="Calibri" w:eastAsia="Arial" w:hAnsi="Calibri" w:cs="Calibri"/>
                <w:b/>
                <w:bCs/>
                <w:iCs/>
              </w:rPr>
              <w:t>C</w:t>
            </w:r>
            <w:r w:rsidR="00B368DB" w:rsidRPr="00BB4BBB">
              <w:rPr>
                <w:rFonts w:ascii="Calibri" w:eastAsia="Arial" w:hAnsi="Calibri" w:cs="Calibri"/>
                <w:b/>
                <w:bCs/>
                <w:iCs/>
              </w:rPr>
              <w:t xml:space="preserve">omparison of modelled child and adolescent selenium intakes with proposed </w:t>
            </w:r>
            <w:r w:rsidR="00B368DB">
              <w:rPr>
                <w:rFonts w:ascii="Calibri" w:eastAsia="Arial" w:hAnsi="Calibri" w:cs="Calibri"/>
                <w:b/>
                <w:bCs/>
                <w:iCs/>
              </w:rPr>
              <w:t>UL</w:t>
            </w:r>
            <w:r w:rsidR="00B368DB" w:rsidRPr="00BB4BBB">
              <w:rPr>
                <w:rFonts w:ascii="Calibri" w:eastAsia="Arial" w:hAnsi="Calibri" w:cs="Calibri"/>
                <w:b/>
                <w:bCs/>
                <w:iCs/>
              </w:rPr>
              <w:t>s</w:t>
            </w:r>
          </w:p>
          <w:tbl>
            <w:tblPr>
              <w:tblStyle w:val="GridTable5Dark"/>
              <w:tblW w:w="11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5"/>
              <w:gridCol w:w="1276"/>
              <w:gridCol w:w="1275"/>
              <w:gridCol w:w="1878"/>
              <w:gridCol w:w="390"/>
              <w:gridCol w:w="1276"/>
              <w:gridCol w:w="1418"/>
              <w:gridCol w:w="1703"/>
            </w:tblGrid>
            <w:tr w:rsidR="0095163F" w:rsidRPr="00D633FF" w14:paraId="29924975" w14:textId="77777777" w:rsidTr="005E3DC1">
              <w:trPr>
                <w:cnfStyle w:val="100000000000" w:firstRow="1" w:lastRow="0" w:firstColumn="0" w:lastColumn="0" w:oddVBand="0" w:evenVBand="0" w:oddHBand="0"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2205" w:type="dxa"/>
                  <w:tcBorders>
                    <w:top w:val="single" w:sz="4" w:space="0" w:color="auto"/>
                    <w:left w:val="single" w:sz="4" w:space="0" w:color="auto"/>
                    <w:right w:val="single" w:sz="4" w:space="0" w:color="auto"/>
                  </w:tcBorders>
                </w:tcPr>
                <w:p w14:paraId="2D819509" w14:textId="563A5311" w:rsidR="009040B6" w:rsidRPr="00D633FF" w:rsidRDefault="009040B6" w:rsidP="005E3DC1">
                  <w:pPr>
                    <w:rPr>
                      <w:rFonts w:ascii="Calibri" w:eastAsia="Times New Roman" w:hAnsi="Calibri" w:cs="Calibri"/>
                      <w:b w:val="0"/>
                      <w:bCs w:val="0"/>
                      <w:color w:val="FFFFFF"/>
                    </w:rPr>
                  </w:pPr>
                  <w:r w:rsidRPr="00D633FF">
                    <w:rPr>
                      <w:rFonts w:ascii="Calibri" w:eastAsia="Times New Roman" w:hAnsi="Calibri" w:cs="Calibri"/>
                      <w:color w:val="FFFFFF"/>
                    </w:rPr>
                    <w:t>Modelled Selenium Intake (Foundation Diet, ug/day)</w:t>
                  </w:r>
                </w:p>
              </w:tc>
              <w:tc>
                <w:tcPr>
                  <w:tcW w:w="1276" w:type="dxa"/>
                  <w:tcBorders>
                    <w:top w:val="single" w:sz="4" w:space="0" w:color="auto"/>
                    <w:left w:val="single" w:sz="4" w:space="0" w:color="auto"/>
                    <w:right w:val="single" w:sz="4" w:space="0" w:color="auto"/>
                  </w:tcBorders>
                  <w:vAlign w:val="center"/>
                </w:tcPr>
                <w:p w14:paraId="5F3F43EC" w14:textId="77777777" w:rsidR="009040B6" w:rsidRPr="00D633FF" w:rsidRDefault="009040B6" w:rsidP="009040B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rPr>
                  </w:pPr>
                </w:p>
              </w:tc>
              <w:tc>
                <w:tcPr>
                  <w:tcW w:w="1275" w:type="dxa"/>
                  <w:tcBorders>
                    <w:top w:val="single" w:sz="4" w:space="0" w:color="auto"/>
                    <w:left w:val="single" w:sz="4" w:space="0" w:color="auto"/>
                    <w:right w:val="single" w:sz="4" w:space="0" w:color="FFFFFF"/>
                  </w:tcBorders>
                  <w:vAlign w:val="center"/>
                </w:tcPr>
                <w:p w14:paraId="5E08D59E" w14:textId="79BB9CF6" w:rsidR="009040B6" w:rsidRPr="00D633FF" w:rsidRDefault="009040B6" w:rsidP="009040B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rPr>
                  </w:pPr>
                </w:p>
              </w:tc>
              <w:tc>
                <w:tcPr>
                  <w:tcW w:w="1878" w:type="dxa"/>
                  <w:tcBorders>
                    <w:top w:val="single" w:sz="4" w:space="0" w:color="auto"/>
                    <w:left w:val="single" w:sz="4" w:space="0" w:color="FFFFFF"/>
                    <w:right w:val="single" w:sz="4" w:space="0" w:color="auto"/>
                  </w:tcBorders>
                </w:tcPr>
                <w:p w14:paraId="4CBE2CA3" w14:textId="77777777" w:rsidR="009040B6" w:rsidRPr="00D633FF" w:rsidRDefault="009040B6" w:rsidP="005E3DC1">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rPr>
                  </w:pPr>
                  <w:r w:rsidRPr="00D633FF">
                    <w:rPr>
                      <w:rFonts w:ascii="Calibri" w:eastAsia="Times New Roman" w:hAnsi="Calibri" w:cs="Calibri"/>
                      <w:color w:val="FFFFFF"/>
                    </w:rPr>
                    <w:t>Comparison with Proposed ULs</w:t>
                  </w:r>
                </w:p>
              </w:tc>
              <w:tc>
                <w:tcPr>
                  <w:tcW w:w="390" w:type="dxa"/>
                  <w:tcBorders>
                    <w:top w:val="single" w:sz="4" w:space="0" w:color="auto"/>
                    <w:left w:val="single" w:sz="4" w:space="0" w:color="FFFFFF"/>
                    <w:right w:val="single" w:sz="4" w:space="0" w:color="auto"/>
                  </w:tcBorders>
                  <w:vAlign w:val="center"/>
                </w:tcPr>
                <w:p w14:paraId="36C351F7" w14:textId="77777777" w:rsidR="009040B6" w:rsidRPr="00D633FF" w:rsidRDefault="009040B6" w:rsidP="005C547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rPr>
                  </w:pPr>
                </w:p>
              </w:tc>
              <w:tc>
                <w:tcPr>
                  <w:tcW w:w="1276" w:type="dxa"/>
                  <w:tcBorders>
                    <w:top w:val="single" w:sz="4" w:space="0" w:color="auto"/>
                    <w:left w:val="single" w:sz="4" w:space="0" w:color="FFFFFF"/>
                    <w:right w:val="single" w:sz="4" w:space="0" w:color="auto"/>
                  </w:tcBorders>
                  <w:vAlign w:val="center"/>
                </w:tcPr>
                <w:p w14:paraId="09CD7F72" w14:textId="77777777" w:rsidR="009040B6" w:rsidRPr="00D633FF" w:rsidRDefault="009040B6" w:rsidP="009040B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rPr>
                  </w:pPr>
                </w:p>
              </w:tc>
              <w:tc>
                <w:tcPr>
                  <w:tcW w:w="1418" w:type="dxa"/>
                  <w:tcBorders>
                    <w:top w:val="single" w:sz="4" w:space="0" w:color="auto"/>
                    <w:left w:val="single" w:sz="4" w:space="0" w:color="FFFFFF"/>
                    <w:right w:val="single" w:sz="4" w:space="0" w:color="auto"/>
                  </w:tcBorders>
                  <w:vAlign w:val="center"/>
                </w:tcPr>
                <w:p w14:paraId="7E2C4805" w14:textId="586730F1" w:rsidR="009040B6" w:rsidRPr="00D633FF" w:rsidRDefault="009040B6" w:rsidP="009040B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rPr>
                  </w:pPr>
                </w:p>
              </w:tc>
              <w:tc>
                <w:tcPr>
                  <w:tcW w:w="1703" w:type="dxa"/>
                  <w:tcBorders>
                    <w:top w:val="single" w:sz="4" w:space="0" w:color="auto"/>
                    <w:left w:val="single" w:sz="4" w:space="0" w:color="FFFFFF"/>
                    <w:right w:val="single" w:sz="4" w:space="0" w:color="auto"/>
                  </w:tcBorders>
                  <w:vAlign w:val="center"/>
                </w:tcPr>
                <w:p w14:paraId="13F7EED6" w14:textId="5AF038C1" w:rsidR="009040B6" w:rsidRPr="00D633FF" w:rsidRDefault="009040B6" w:rsidP="009040B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rPr>
                  </w:pPr>
                </w:p>
              </w:tc>
            </w:tr>
            <w:tr w:rsidR="0095163F" w:rsidRPr="00D633FF" w14:paraId="33787FC2" w14:textId="77777777" w:rsidTr="005E3DC1">
              <w:trPr>
                <w:trHeight w:val="351"/>
              </w:trPr>
              <w:tc>
                <w:tcPr>
                  <w:cnfStyle w:val="001000000000" w:firstRow="0" w:lastRow="0" w:firstColumn="1" w:lastColumn="0" w:oddVBand="0" w:evenVBand="0" w:oddHBand="0" w:evenHBand="0" w:firstRowFirstColumn="0" w:firstRowLastColumn="0" w:lastRowFirstColumn="0" w:lastRowLastColumn="0"/>
                  <w:tcW w:w="2205" w:type="dxa"/>
                  <w:tcBorders>
                    <w:left w:val="single" w:sz="4" w:space="0" w:color="auto"/>
                    <w:right w:val="single" w:sz="4" w:space="0" w:color="auto"/>
                  </w:tcBorders>
                  <w:vAlign w:val="center"/>
                </w:tcPr>
                <w:p w14:paraId="6C18CC71" w14:textId="1359DE13" w:rsidR="003A2FA9" w:rsidRPr="00D633FF" w:rsidRDefault="003A2FA9" w:rsidP="00C90A49">
                  <w:pPr>
                    <w:jc w:val="right"/>
                    <w:rPr>
                      <w:rFonts w:ascii="Calibri" w:eastAsia="Times New Roman" w:hAnsi="Calibri" w:cs="Calibri"/>
                      <w:color w:val="FFFFFF"/>
                    </w:rPr>
                  </w:pPr>
                </w:p>
              </w:tc>
              <w:tc>
                <w:tcPr>
                  <w:tcW w:w="1276" w:type="dxa"/>
                  <w:tcBorders>
                    <w:top w:val="single" w:sz="4" w:space="0" w:color="auto"/>
                    <w:left w:val="single" w:sz="4" w:space="0" w:color="auto"/>
                    <w:bottom w:val="nil"/>
                    <w:right w:val="single" w:sz="4" w:space="0" w:color="auto"/>
                  </w:tcBorders>
                  <w:shd w:val="clear" w:color="auto" w:fill="FFFFFF"/>
                  <w:vAlign w:val="center"/>
                </w:tcPr>
                <w:p w14:paraId="0E67FB12" w14:textId="1F9CC0C2" w:rsidR="003A2FA9" w:rsidRPr="003A2FA9" w:rsidRDefault="003A2FA9" w:rsidP="00F62E8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275" w:type="dxa"/>
                  <w:tcBorders>
                    <w:top w:val="single" w:sz="4" w:space="0" w:color="auto"/>
                    <w:left w:val="single" w:sz="4" w:space="0" w:color="auto"/>
                    <w:bottom w:val="nil"/>
                    <w:right w:val="single" w:sz="4" w:space="0" w:color="auto"/>
                  </w:tcBorders>
                  <w:shd w:val="clear" w:color="auto" w:fill="FFFFFF"/>
                  <w:vAlign w:val="center"/>
                </w:tcPr>
                <w:p w14:paraId="4617AA4B" w14:textId="5E46988F" w:rsidR="003A2FA9" w:rsidRPr="003A2FA9" w:rsidRDefault="003A2FA9" w:rsidP="00F62E8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2268" w:type="dxa"/>
                  <w:gridSpan w:val="2"/>
                  <w:tcBorders>
                    <w:top w:val="single" w:sz="4" w:space="0" w:color="auto"/>
                    <w:left w:val="single" w:sz="4" w:space="0" w:color="auto"/>
                    <w:bottom w:val="nil"/>
                    <w:right w:val="single" w:sz="4" w:space="0" w:color="auto"/>
                  </w:tcBorders>
                  <w:shd w:val="clear" w:color="auto" w:fill="FFFFFF"/>
                  <w:vAlign w:val="center"/>
                </w:tcPr>
                <w:p w14:paraId="14ECE766" w14:textId="74E499B8" w:rsidR="003A2FA9" w:rsidRPr="003A2FA9" w:rsidRDefault="003A2FA9" w:rsidP="00DF287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276" w:type="dxa"/>
                  <w:tcBorders>
                    <w:top w:val="single" w:sz="4" w:space="0" w:color="auto"/>
                    <w:left w:val="single" w:sz="4" w:space="0" w:color="auto"/>
                    <w:bottom w:val="single" w:sz="4" w:space="0" w:color="auto"/>
                    <w:right w:val="nil"/>
                  </w:tcBorders>
                  <w:shd w:val="clear" w:color="auto" w:fill="A6A6A6" w:themeFill="background1" w:themeFillShade="A6"/>
                  <w:vAlign w:val="center"/>
                </w:tcPr>
                <w:p w14:paraId="43E2576F" w14:textId="5CFE854F" w:rsidR="003A2FA9" w:rsidRPr="00DF287F" w:rsidRDefault="003A2FA9" w:rsidP="003A2FA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r w:rsidRPr="00DF287F">
                    <w:rPr>
                      <w:rFonts w:ascii="Calibri" w:eastAsia="Times New Roman" w:hAnsi="Calibri" w:cs="Calibri"/>
                      <w:b/>
                      <w:bCs/>
                    </w:rPr>
                    <w:t xml:space="preserve">Proposed ULs </w:t>
                  </w:r>
                </w:p>
              </w:tc>
              <w:tc>
                <w:tcPr>
                  <w:tcW w:w="1418"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5F75F9F6" w14:textId="2B4D09EF" w:rsidR="003A2FA9" w:rsidRPr="00DF287F" w:rsidRDefault="003A2FA9" w:rsidP="003A2FA9">
                  <w:pPr>
                    <w:ind w:left="-124"/>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r w:rsidRPr="00DF287F">
                    <w:rPr>
                      <w:rFonts w:ascii="Calibri" w:eastAsia="Times New Roman" w:hAnsi="Calibri" w:cs="Calibri"/>
                      <w:b/>
                      <w:bCs/>
                    </w:rPr>
                    <w:t>(µg/day)</w:t>
                  </w:r>
                </w:p>
              </w:tc>
              <w:tc>
                <w:tcPr>
                  <w:tcW w:w="1703" w:type="dxa"/>
                  <w:tcBorders>
                    <w:top w:val="single" w:sz="4" w:space="0" w:color="auto"/>
                    <w:left w:val="single" w:sz="4" w:space="0" w:color="auto"/>
                    <w:bottom w:val="nil"/>
                    <w:right w:val="single" w:sz="4" w:space="0" w:color="auto"/>
                  </w:tcBorders>
                  <w:shd w:val="clear" w:color="auto" w:fill="FFFFFF"/>
                  <w:vAlign w:val="center"/>
                </w:tcPr>
                <w:p w14:paraId="4C033E43" w14:textId="770AC005" w:rsidR="003A2FA9" w:rsidRPr="00DF287F" w:rsidRDefault="003A2FA9" w:rsidP="009040B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r>
            <w:tr w:rsidR="0095163F" w:rsidRPr="00D633FF" w14:paraId="4ADCE121" w14:textId="77777777" w:rsidTr="005E3DC1">
              <w:trPr>
                <w:trHeight w:val="317"/>
              </w:trPr>
              <w:tc>
                <w:tcPr>
                  <w:cnfStyle w:val="001000000000" w:firstRow="0" w:lastRow="0" w:firstColumn="1" w:lastColumn="0" w:oddVBand="0" w:evenVBand="0" w:oddHBand="0" w:evenHBand="0" w:firstRowFirstColumn="0" w:firstRowLastColumn="0" w:lastRowFirstColumn="0" w:lastRowLastColumn="0"/>
                  <w:tcW w:w="2205" w:type="dxa"/>
                  <w:tcBorders>
                    <w:top w:val="single" w:sz="4" w:space="0" w:color="auto"/>
                    <w:left w:val="single" w:sz="4" w:space="0" w:color="auto"/>
                    <w:bottom w:val="single" w:sz="4" w:space="0" w:color="FFFFFF"/>
                    <w:right w:val="single" w:sz="4" w:space="0" w:color="auto"/>
                  </w:tcBorders>
                  <w:vAlign w:val="center"/>
                </w:tcPr>
                <w:p w14:paraId="30CA1323" w14:textId="79A93F56" w:rsidR="005C5475" w:rsidRPr="00D633FF" w:rsidRDefault="0062648B" w:rsidP="00912AC9">
                  <w:pPr>
                    <w:jc w:val="right"/>
                    <w:rPr>
                      <w:rFonts w:ascii="Calibri" w:eastAsia="Times New Roman" w:hAnsi="Calibri" w:cs="Calibri"/>
                      <w:color w:val="FFFFFF"/>
                    </w:rPr>
                  </w:pPr>
                  <w:r w:rsidRPr="00D633FF">
                    <w:rPr>
                      <w:rFonts w:ascii="Calibri" w:eastAsia="Times New Roman" w:hAnsi="Calibri" w:cs="Calibri"/>
                      <w:color w:val="FFFFFF"/>
                    </w:rPr>
                    <w:t>Age Group</w:t>
                  </w:r>
                </w:p>
              </w:tc>
              <w:tc>
                <w:tcPr>
                  <w:tcW w:w="1276" w:type="dxa"/>
                  <w:tcBorders>
                    <w:top w:val="nil"/>
                    <w:left w:val="single" w:sz="4" w:space="0" w:color="auto"/>
                    <w:bottom w:val="single" w:sz="4" w:space="0" w:color="auto"/>
                    <w:right w:val="single" w:sz="4" w:space="0" w:color="auto"/>
                  </w:tcBorders>
                  <w:shd w:val="clear" w:color="auto" w:fill="FFFFFF"/>
                  <w:vAlign w:val="center"/>
                </w:tcPr>
                <w:p w14:paraId="534D0180" w14:textId="5B9B94DD" w:rsidR="005C5475" w:rsidRPr="00D633FF" w:rsidRDefault="0062648B" w:rsidP="00912AC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FFFFFF"/>
                    </w:rPr>
                  </w:pPr>
                  <w:r w:rsidRPr="003A2FA9">
                    <w:rPr>
                      <w:rFonts w:ascii="Calibri" w:eastAsia="Times New Roman" w:hAnsi="Calibri" w:cs="Calibri"/>
                      <w:b/>
                      <w:bCs/>
                    </w:rPr>
                    <w:t>Male</w:t>
                  </w:r>
                </w:p>
              </w:tc>
              <w:tc>
                <w:tcPr>
                  <w:tcW w:w="1275" w:type="dxa"/>
                  <w:tcBorders>
                    <w:top w:val="nil"/>
                    <w:left w:val="single" w:sz="4" w:space="0" w:color="auto"/>
                    <w:bottom w:val="single" w:sz="4" w:space="0" w:color="auto"/>
                    <w:right w:val="single" w:sz="4" w:space="0" w:color="auto"/>
                  </w:tcBorders>
                  <w:shd w:val="clear" w:color="auto" w:fill="FFFFFF"/>
                  <w:vAlign w:val="center"/>
                </w:tcPr>
                <w:p w14:paraId="4C3F78E5" w14:textId="555788A1" w:rsidR="005C5475" w:rsidRPr="00D633FF" w:rsidRDefault="00087128" w:rsidP="00912AC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FFFFFF"/>
                    </w:rPr>
                  </w:pPr>
                  <w:r w:rsidRPr="003A2FA9">
                    <w:rPr>
                      <w:rFonts w:ascii="Calibri" w:eastAsia="Times New Roman" w:hAnsi="Calibri" w:cs="Calibri"/>
                      <w:b/>
                      <w:bCs/>
                    </w:rPr>
                    <w:t>Female</w:t>
                  </w:r>
                </w:p>
              </w:tc>
              <w:tc>
                <w:tcPr>
                  <w:tcW w:w="2268" w:type="dxa"/>
                  <w:gridSpan w:val="2"/>
                  <w:tcBorders>
                    <w:top w:val="nil"/>
                    <w:left w:val="single" w:sz="4" w:space="0" w:color="auto"/>
                    <w:bottom w:val="single" w:sz="4" w:space="0" w:color="auto"/>
                    <w:right w:val="single" w:sz="4" w:space="0" w:color="auto"/>
                  </w:tcBorders>
                  <w:shd w:val="clear" w:color="auto" w:fill="FFFFFF"/>
                  <w:vAlign w:val="center"/>
                </w:tcPr>
                <w:p w14:paraId="3A0DCA86" w14:textId="04A30AF5" w:rsidR="005C5475" w:rsidRPr="00D633FF" w:rsidRDefault="00087128" w:rsidP="00912AC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3A2FA9">
                    <w:rPr>
                      <w:rFonts w:ascii="Calibri" w:eastAsia="Times New Roman" w:hAnsi="Calibri" w:cs="Calibri"/>
                      <w:b/>
                      <w:bCs/>
                    </w:rPr>
                    <w:t>Applicable UL Age</w:t>
                  </w:r>
                  <w:r>
                    <w:rPr>
                      <w:rFonts w:ascii="Calibri" w:eastAsia="Times New Roman" w:hAnsi="Calibri" w:cs="Calibri"/>
                      <w:b/>
                      <w:bCs/>
                    </w:rPr>
                    <w:t xml:space="preserve"> G</w:t>
                  </w:r>
                  <w:r w:rsidRPr="003A2FA9">
                    <w:rPr>
                      <w:rFonts w:ascii="Calibri" w:eastAsia="Times New Roman" w:hAnsi="Calibri" w:cs="Calibri"/>
                      <w:b/>
                      <w:bCs/>
                    </w:rPr>
                    <w:t>roup/s</w:t>
                  </w:r>
                </w:p>
              </w:tc>
              <w:tc>
                <w:tcPr>
                  <w:tcW w:w="1276" w:type="dxa"/>
                  <w:tcBorders>
                    <w:top w:val="single" w:sz="4" w:space="0" w:color="auto"/>
                    <w:left w:val="single" w:sz="4" w:space="0" w:color="auto"/>
                    <w:bottom w:val="single" w:sz="4" w:space="0" w:color="auto"/>
                    <w:right w:val="single" w:sz="4" w:space="0" w:color="auto"/>
                  </w:tcBorders>
                  <w:shd w:val="clear" w:color="auto" w:fill="CCCCCC"/>
                  <w:vAlign w:val="center"/>
                </w:tcPr>
                <w:p w14:paraId="3E1F4EA5" w14:textId="3F4AC404" w:rsidR="005C5475" w:rsidRPr="00DF287F" w:rsidRDefault="0062648B" w:rsidP="003A2FA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r>
                    <w:rPr>
                      <w:rFonts w:ascii="Calibri" w:eastAsia="Times New Roman" w:hAnsi="Calibri" w:cs="Calibri"/>
                      <w:b/>
                      <w:bCs/>
                    </w:rPr>
                    <w:t xml:space="preserve">RETAINED 2006 </w:t>
                  </w:r>
                  <w:r w:rsidR="005C5475" w:rsidRPr="00DF287F">
                    <w:rPr>
                      <w:rFonts w:ascii="Calibri" w:eastAsia="Times New Roman" w:hAnsi="Calibri" w:cs="Calibri"/>
                      <w:b/>
                      <w:bCs/>
                    </w:rPr>
                    <w:t>NHMRC</w:t>
                  </w:r>
                </w:p>
              </w:tc>
              <w:tc>
                <w:tcPr>
                  <w:tcW w:w="1418" w:type="dxa"/>
                  <w:tcBorders>
                    <w:top w:val="single" w:sz="4" w:space="0" w:color="auto"/>
                    <w:left w:val="single" w:sz="4" w:space="0" w:color="auto"/>
                    <w:bottom w:val="single" w:sz="4" w:space="0" w:color="auto"/>
                    <w:right w:val="single" w:sz="4" w:space="0" w:color="auto"/>
                  </w:tcBorders>
                  <w:shd w:val="clear" w:color="auto" w:fill="CCCCCC"/>
                  <w:vAlign w:val="center"/>
                </w:tcPr>
                <w:p w14:paraId="5218F338" w14:textId="77777777" w:rsidR="005C5475" w:rsidRPr="00DF287F" w:rsidRDefault="005C5475" w:rsidP="003A2FA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r w:rsidRPr="00DF287F">
                    <w:rPr>
                      <w:rFonts w:ascii="Calibri" w:eastAsia="Times New Roman" w:hAnsi="Calibri" w:cs="Calibri"/>
                      <w:b/>
                      <w:bCs/>
                    </w:rPr>
                    <w:t>ADAPTED 2023 EFSA</w:t>
                  </w:r>
                </w:p>
              </w:tc>
              <w:tc>
                <w:tcPr>
                  <w:tcW w:w="1703" w:type="dxa"/>
                  <w:tcBorders>
                    <w:top w:val="nil"/>
                    <w:left w:val="single" w:sz="4" w:space="0" w:color="auto"/>
                    <w:bottom w:val="single" w:sz="4" w:space="0" w:color="auto"/>
                    <w:right w:val="single" w:sz="4" w:space="0" w:color="auto"/>
                  </w:tcBorders>
                  <w:shd w:val="clear" w:color="auto" w:fill="FFFFFF"/>
                  <w:vAlign w:val="center"/>
                </w:tcPr>
                <w:p w14:paraId="22379F09" w14:textId="72756DBC" w:rsidR="005C5475" w:rsidRPr="00D633FF" w:rsidRDefault="00087128" w:rsidP="008A40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F287F">
                    <w:rPr>
                      <w:rFonts w:ascii="Calibri" w:eastAsia="Times New Roman" w:hAnsi="Calibri" w:cs="Calibri"/>
                      <w:b/>
                      <w:bCs/>
                    </w:rPr>
                    <w:t>% Modelled Intake Exceeding UL</w:t>
                  </w:r>
                </w:p>
              </w:tc>
            </w:tr>
            <w:tr w:rsidR="0095163F" w:rsidRPr="00D633FF" w14:paraId="441624D8" w14:textId="77777777" w:rsidTr="00BA310E">
              <w:trPr>
                <w:trHeight w:val="343"/>
              </w:trPr>
              <w:tc>
                <w:tcPr>
                  <w:cnfStyle w:val="001000000000" w:firstRow="0" w:lastRow="0" w:firstColumn="1" w:lastColumn="0" w:oddVBand="0" w:evenVBand="0" w:oddHBand="0" w:evenHBand="0" w:firstRowFirstColumn="0" w:firstRowLastColumn="0" w:lastRowFirstColumn="0" w:lastRowLastColumn="0"/>
                  <w:tcW w:w="2205" w:type="dxa"/>
                  <w:tcBorders>
                    <w:top w:val="single" w:sz="4" w:space="0" w:color="FFFFFF"/>
                    <w:left w:val="single" w:sz="4" w:space="0" w:color="auto"/>
                    <w:bottom w:val="single" w:sz="4" w:space="0" w:color="FFFFFF"/>
                  </w:tcBorders>
                  <w:vAlign w:val="center"/>
                </w:tcPr>
                <w:p w14:paraId="16B5860F" w14:textId="77777777" w:rsidR="005C5475" w:rsidRPr="00D633FF" w:rsidRDefault="005C5475" w:rsidP="00787A70">
                  <w:pPr>
                    <w:spacing w:before="100" w:beforeAutospacing="1"/>
                    <w:jc w:val="right"/>
                    <w:rPr>
                      <w:rFonts w:ascii="Calibri" w:eastAsia="Times New Roman" w:hAnsi="Calibri" w:cs="Calibri"/>
                      <w:color w:val="FFFFFF"/>
                    </w:rPr>
                  </w:pPr>
                  <w:r w:rsidRPr="00D633FF">
                    <w:rPr>
                      <w:rFonts w:ascii="Calibri" w:eastAsia="Times New Roman" w:hAnsi="Calibri" w:cs="Calibri"/>
                      <w:color w:val="FFFFFF"/>
                    </w:rPr>
                    <w:t>13-23 months</w:t>
                  </w:r>
                </w:p>
              </w:tc>
              <w:tc>
                <w:tcPr>
                  <w:tcW w:w="1276" w:type="dxa"/>
                  <w:tcBorders>
                    <w:top w:val="single" w:sz="4" w:space="0" w:color="auto"/>
                  </w:tcBorders>
                  <w:shd w:val="clear" w:color="auto" w:fill="CCCCCF"/>
                  <w:vAlign w:val="center"/>
                </w:tcPr>
                <w:p w14:paraId="4CE4A379" w14:textId="77777777" w:rsidR="005C5475" w:rsidRPr="00D633FF" w:rsidRDefault="005C5475" w:rsidP="00787A70">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38</w:t>
                  </w:r>
                </w:p>
              </w:tc>
              <w:tc>
                <w:tcPr>
                  <w:tcW w:w="1275" w:type="dxa"/>
                  <w:tcBorders>
                    <w:top w:val="single" w:sz="4" w:space="0" w:color="auto"/>
                  </w:tcBorders>
                  <w:shd w:val="clear" w:color="auto" w:fill="CCCCCF"/>
                  <w:vAlign w:val="center"/>
                </w:tcPr>
                <w:p w14:paraId="7A60315F" w14:textId="77777777" w:rsidR="005C5475" w:rsidRPr="00D633FF" w:rsidRDefault="005C5475" w:rsidP="00787A70">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36</w:t>
                  </w:r>
                </w:p>
              </w:tc>
              <w:tc>
                <w:tcPr>
                  <w:tcW w:w="2268" w:type="dxa"/>
                  <w:gridSpan w:val="2"/>
                  <w:tcBorders>
                    <w:top w:val="single" w:sz="4" w:space="0" w:color="auto"/>
                  </w:tcBorders>
                  <w:shd w:val="clear" w:color="auto" w:fill="CCCCCF"/>
                  <w:vAlign w:val="center"/>
                </w:tcPr>
                <w:p w14:paraId="5752F03D" w14:textId="77777777" w:rsidR="005C5475" w:rsidRPr="00D633FF" w:rsidRDefault="005C5475" w:rsidP="00787A70">
                  <w:pPr>
                    <w:spacing w:before="100" w:beforeAutospacing="1"/>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13-23 months</w:t>
                  </w:r>
                </w:p>
              </w:tc>
              <w:tc>
                <w:tcPr>
                  <w:tcW w:w="1276" w:type="dxa"/>
                  <w:tcBorders>
                    <w:top w:val="single" w:sz="4" w:space="0" w:color="auto"/>
                    <w:bottom w:val="single" w:sz="4" w:space="0" w:color="auto"/>
                  </w:tcBorders>
                  <w:shd w:val="clear" w:color="auto" w:fill="CCCCCF"/>
                  <w:vAlign w:val="center"/>
                </w:tcPr>
                <w:p w14:paraId="23D72F33" w14:textId="77777777" w:rsidR="005C5475" w:rsidRPr="00D633FF" w:rsidRDefault="005C5475" w:rsidP="00787A7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105</w:t>
                  </w:r>
                </w:p>
              </w:tc>
              <w:tc>
                <w:tcPr>
                  <w:tcW w:w="1418" w:type="dxa"/>
                  <w:tcBorders>
                    <w:top w:val="single" w:sz="4" w:space="0" w:color="auto"/>
                    <w:right w:val="single" w:sz="4" w:space="0" w:color="auto"/>
                  </w:tcBorders>
                  <w:shd w:val="clear" w:color="auto" w:fill="CCCCCF"/>
                  <w:vAlign w:val="center"/>
                </w:tcPr>
                <w:p w14:paraId="113A859B" w14:textId="77777777" w:rsidR="005C5475" w:rsidRPr="00D633FF" w:rsidRDefault="005C5475" w:rsidP="00787A70">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85</w:t>
                  </w:r>
                </w:p>
              </w:tc>
              <w:tc>
                <w:tcPr>
                  <w:tcW w:w="1703" w:type="dxa"/>
                  <w:tcBorders>
                    <w:top w:val="single" w:sz="4" w:space="0" w:color="auto"/>
                    <w:left w:val="single" w:sz="4" w:space="0" w:color="auto"/>
                    <w:bottom w:val="nil"/>
                    <w:right w:val="single" w:sz="4" w:space="0" w:color="auto"/>
                  </w:tcBorders>
                  <w:shd w:val="clear" w:color="auto" w:fill="FFFFFF"/>
                  <w:vAlign w:val="center"/>
                </w:tcPr>
                <w:p w14:paraId="0D244921" w14:textId="28D1B90D" w:rsidR="005C5475" w:rsidRPr="00D633FF" w:rsidRDefault="00BA310E" w:rsidP="00BA310E">
                  <w:pPr>
                    <w:jc w:val="center"/>
                    <w:cnfStyle w:val="000000000000" w:firstRow="0" w:lastRow="0" w:firstColumn="0" w:lastColumn="0" w:oddVBand="0" w:evenVBand="0" w:oddHBand="0" w:evenHBand="0" w:firstRowFirstColumn="0" w:firstRowLastColumn="0" w:lastRowFirstColumn="0" w:lastRowLastColumn="0"/>
                    <w:rPr>
                      <w:rFonts w:ascii="Calibri" w:eastAsia="Arial" w:hAnsi="Calibri" w:cs="Calibri"/>
                      <w:b/>
                      <w:bCs/>
                    </w:rPr>
                  </w:pPr>
                  <w:r w:rsidRPr="00D633FF">
                    <w:rPr>
                      <w:rFonts w:ascii="Calibri" w:eastAsia="Times New Roman" w:hAnsi="Calibri" w:cs="Calibri"/>
                    </w:rPr>
                    <w:t>0%</w:t>
                  </w:r>
                </w:p>
              </w:tc>
            </w:tr>
            <w:tr w:rsidR="0095163F" w:rsidRPr="00D633FF" w14:paraId="7CF78E6C" w14:textId="77777777" w:rsidTr="00BA310E">
              <w:trPr>
                <w:trHeight w:val="408"/>
              </w:trPr>
              <w:tc>
                <w:tcPr>
                  <w:cnfStyle w:val="001000000000" w:firstRow="0" w:lastRow="0" w:firstColumn="1" w:lastColumn="0" w:oddVBand="0" w:evenVBand="0" w:oddHBand="0" w:evenHBand="0" w:firstRowFirstColumn="0" w:firstRowLastColumn="0" w:lastRowFirstColumn="0" w:lastRowLastColumn="0"/>
                  <w:tcW w:w="2205" w:type="dxa"/>
                  <w:tcBorders>
                    <w:top w:val="single" w:sz="4" w:space="0" w:color="FFFFFF"/>
                    <w:left w:val="single" w:sz="4" w:space="0" w:color="auto"/>
                    <w:bottom w:val="single" w:sz="4" w:space="0" w:color="FFFFFF"/>
                  </w:tcBorders>
                </w:tcPr>
                <w:p w14:paraId="2090529B" w14:textId="064A4601" w:rsidR="005C5475" w:rsidRPr="00D633FF" w:rsidRDefault="005C5475" w:rsidP="005C5475">
                  <w:pPr>
                    <w:jc w:val="right"/>
                    <w:rPr>
                      <w:rFonts w:ascii="Calibri" w:eastAsia="Times New Roman" w:hAnsi="Calibri" w:cs="Calibri"/>
                      <w:color w:val="FFFFFF"/>
                    </w:rPr>
                  </w:pPr>
                  <w:r w:rsidRPr="00D633FF">
                    <w:rPr>
                      <w:rFonts w:ascii="Calibri" w:eastAsia="Times New Roman" w:hAnsi="Calibri" w:cs="Calibri"/>
                      <w:color w:val="FFFFFF"/>
                    </w:rPr>
                    <w:t>2 – 3</w:t>
                  </w:r>
                  <w:r w:rsidR="00236C7D">
                    <w:rPr>
                      <w:rFonts w:ascii="Calibri" w:eastAsia="Times New Roman" w:hAnsi="Calibri" w:cs="Calibri"/>
                      <w:color w:val="FFFFFF"/>
                    </w:rPr>
                    <w:t xml:space="preserve"> years</w:t>
                  </w:r>
                </w:p>
              </w:tc>
              <w:tc>
                <w:tcPr>
                  <w:tcW w:w="1276" w:type="dxa"/>
                  <w:shd w:val="clear" w:color="auto" w:fill="FFFFFF"/>
                  <w:vAlign w:val="center"/>
                </w:tcPr>
                <w:p w14:paraId="5BBDB982" w14:textId="77777777" w:rsidR="005C5475" w:rsidRPr="00D633FF" w:rsidRDefault="005C5475" w:rsidP="00F62E8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41</w:t>
                  </w:r>
                </w:p>
              </w:tc>
              <w:tc>
                <w:tcPr>
                  <w:tcW w:w="1275" w:type="dxa"/>
                  <w:shd w:val="clear" w:color="auto" w:fill="FFFFFF"/>
                  <w:vAlign w:val="center"/>
                </w:tcPr>
                <w:p w14:paraId="188288B8" w14:textId="77777777" w:rsidR="005C5475" w:rsidRPr="00D633FF" w:rsidRDefault="005C5475" w:rsidP="00F62E8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39</w:t>
                  </w:r>
                </w:p>
              </w:tc>
              <w:tc>
                <w:tcPr>
                  <w:tcW w:w="2268" w:type="dxa"/>
                  <w:gridSpan w:val="2"/>
                  <w:tcBorders>
                    <w:right w:val="single" w:sz="4" w:space="0" w:color="auto"/>
                  </w:tcBorders>
                  <w:shd w:val="clear" w:color="auto" w:fill="FFFFFF"/>
                </w:tcPr>
                <w:p w14:paraId="62C3C22C" w14:textId="0CF58CB6" w:rsidR="005C5475" w:rsidRPr="00D633FF" w:rsidRDefault="005C5475" w:rsidP="005C547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2-4</w:t>
                  </w:r>
                  <w:r w:rsidR="00C90A49">
                    <w:rPr>
                      <w:rFonts w:ascii="Calibri" w:eastAsia="Times New Roman" w:hAnsi="Calibri" w:cs="Calibri"/>
                    </w:rPr>
                    <w:t xml:space="preserve"> years</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AFD0F31" w14:textId="77777777" w:rsidR="005C5475" w:rsidRPr="00D633FF" w:rsidRDefault="005C5475" w:rsidP="003A2FA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145</w:t>
                  </w:r>
                </w:p>
              </w:tc>
              <w:tc>
                <w:tcPr>
                  <w:tcW w:w="1418" w:type="dxa"/>
                  <w:tcBorders>
                    <w:left w:val="single" w:sz="4" w:space="0" w:color="auto"/>
                    <w:right w:val="single" w:sz="4" w:space="0" w:color="auto"/>
                  </w:tcBorders>
                  <w:shd w:val="clear" w:color="auto" w:fill="FFFFFF"/>
                </w:tcPr>
                <w:p w14:paraId="293C9249" w14:textId="77777777" w:rsidR="005C5475" w:rsidRPr="00D633FF" w:rsidRDefault="005C5475" w:rsidP="003A2FA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120</w:t>
                  </w:r>
                </w:p>
              </w:tc>
              <w:tc>
                <w:tcPr>
                  <w:tcW w:w="1703" w:type="dxa"/>
                  <w:tcBorders>
                    <w:top w:val="nil"/>
                    <w:left w:val="single" w:sz="4" w:space="0" w:color="auto"/>
                    <w:bottom w:val="nil"/>
                    <w:right w:val="single" w:sz="4" w:space="0" w:color="auto"/>
                  </w:tcBorders>
                  <w:shd w:val="clear" w:color="auto" w:fill="FFFFFF"/>
                  <w:vAlign w:val="center"/>
                </w:tcPr>
                <w:p w14:paraId="13C4B8F0" w14:textId="43B7C636" w:rsidR="005C5475" w:rsidRPr="00D633FF" w:rsidRDefault="00BA310E" w:rsidP="00BA310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0%</w:t>
                  </w:r>
                </w:p>
              </w:tc>
            </w:tr>
            <w:tr w:rsidR="0095163F" w:rsidRPr="00D633FF" w14:paraId="4B1B0FC0" w14:textId="77777777" w:rsidTr="00BA310E">
              <w:trPr>
                <w:trHeight w:val="408"/>
              </w:trPr>
              <w:tc>
                <w:tcPr>
                  <w:cnfStyle w:val="001000000000" w:firstRow="0" w:lastRow="0" w:firstColumn="1" w:lastColumn="0" w:oddVBand="0" w:evenVBand="0" w:oddHBand="0" w:evenHBand="0" w:firstRowFirstColumn="0" w:firstRowLastColumn="0" w:lastRowFirstColumn="0" w:lastRowLastColumn="0"/>
                  <w:tcW w:w="2205" w:type="dxa"/>
                  <w:tcBorders>
                    <w:top w:val="single" w:sz="4" w:space="0" w:color="FFFFFF"/>
                    <w:left w:val="single" w:sz="4" w:space="0" w:color="auto"/>
                    <w:bottom w:val="single" w:sz="4" w:space="0" w:color="FFFFFF"/>
                  </w:tcBorders>
                </w:tcPr>
                <w:p w14:paraId="401FD120" w14:textId="4325F5A6" w:rsidR="005C5475" w:rsidRPr="00D633FF" w:rsidRDefault="005C5475" w:rsidP="005C5475">
                  <w:pPr>
                    <w:jc w:val="right"/>
                    <w:rPr>
                      <w:rFonts w:ascii="Calibri" w:eastAsia="Times New Roman" w:hAnsi="Calibri" w:cs="Calibri"/>
                      <w:color w:val="FFFFFF"/>
                    </w:rPr>
                  </w:pPr>
                  <w:r w:rsidRPr="00D633FF">
                    <w:rPr>
                      <w:rFonts w:ascii="Calibri" w:eastAsia="Times New Roman" w:hAnsi="Calibri" w:cs="Calibri"/>
                      <w:color w:val="FFFFFF"/>
                    </w:rPr>
                    <w:t>4 – 8</w:t>
                  </w:r>
                  <w:r w:rsidR="00236C7D">
                    <w:rPr>
                      <w:rFonts w:ascii="Calibri" w:eastAsia="Times New Roman" w:hAnsi="Calibri" w:cs="Calibri"/>
                      <w:color w:val="FFFFFF"/>
                    </w:rPr>
                    <w:t xml:space="preserve"> years</w:t>
                  </w:r>
                </w:p>
              </w:tc>
              <w:tc>
                <w:tcPr>
                  <w:tcW w:w="1276" w:type="dxa"/>
                  <w:shd w:val="clear" w:color="auto" w:fill="CCCCCF"/>
                  <w:vAlign w:val="center"/>
                </w:tcPr>
                <w:p w14:paraId="1FA69743" w14:textId="77777777" w:rsidR="005C5475" w:rsidRPr="00D633FF" w:rsidRDefault="005C5475" w:rsidP="00F62E8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54</w:t>
                  </w:r>
                </w:p>
              </w:tc>
              <w:tc>
                <w:tcPr>
                  <w:tcW w:w="1275" w:type="dxa"/>
                  <w:shd w:val="clear" w:color="auto" w:fill="CCCCCF"/>
                  <w:vAlign w:val="center"/>
                </w:tcPr>
                <w:p w14:paraId="5505A8A0" w14:textId="77777777" w:rsidR="005C5475" w:rsidRPr="00D633FF" w:rsidRDefault="005C5475" w:rsidP="00F62E8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52</w:t>
                  </w:r>
                </w:p>
              </w:tc>
              <w:tc>
                <w:tcPr>
                  <w:tcW w:w="2268" w:type="dxa"/>
                  <w:gridSpan w:val="2"/>
                  <w:shd w:val="clear" w:color="auto" w:fill="CCCCCF"/>
                </w:tcPr>
                <w:p w14:paraId="5522E04F" w14:textId="22A1A69E" w:rsidR="005C5475" w:rsidRPr="00D633FF" w:rsidRDefault="005C5475" w:rsidP="005C547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2-4/5-11</w:t>
                  </w:r>
                  <w:r w:rsidR="0062648B">
                    <w:rPr>
                      <w:rFonts w:ascii="Calibri" w:eastAsia="Times New Roman" w:hAnsi="Calibri" w:cs="Calibri"/>
                    </w:rPr>
                    <w:t xml:space="preserve"> years</w:t>
                  </w:r>
                </w:p>
              </w:tc>
              <w:tc>
                <w:tcPr>
                  <w:tcW w:w="1276" w:type="dxa"/>
                  <w:tcBorders>
                    <w:top w:val="single" w:sz="4" w:space="0" w:color="auto"/>
                  </w:tcBorders>
                  <w:shd w:val="clear" w:color="auto" w:fill="CCCCCF"/>
                </w:tcPr>
                <w:p w14:paraId="36041CE7" w14:textId="77777777" w:rsidR="005C5475" w:rsidRPr="00D633FF" w:rsidRDefault="005C5475" w:rsidP="003A2FA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145/220</w:t>
                  </w:r>
                </w:p>
              </w:tc>
              <w:tc>
                <w:tcPr>
                  <w:tcW w:w="1418" w:type="dxa"/>
                  <w:tcBorders>
                    <w:right w:val="single" w:sz="4" w:space="0" w:color="auto"/>
                  </w:tcBorders>
                  <w:shd w:val="clear" w:color="auto" w:fill="CCCCCF"/>
                </w:tcPr>
                <w:p w14:paraId="56D59A77" w14:textId="77777777" w:rsidR="005C5475" w:rsidRPr="00D633FF" w:rsidRDefault="005C5475" w:rsidP="003A2FA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120/185</w:t>
                  </w:r>
                </w:p>
              </w:tc>
              <w:tc>
                <w:tcPr>
                  <w:tcW w:w="1703" w:type="dxa"/>
                  <w:tcBorders>
                    <w:top w:val="nil"/>
                    <w:left w:val="single" w:sz="4" w:space="0" w:color="auto"/>
                    <w:bottom w:val="nil"/>
                    <w:right w:val="single" w:sz="4" w:space="0" w:color="auto"/>
                  </w:tcBorders>
                  <w:shd w:val="clear" w:color="auto" w:fill="FFFFFF"/>
                  <w:vAlign w:val="center"/>
                </w:tcPr>
                <w:p w14:paraId="5B93AB2F" w14:textId="77777777" w:rsidR="005C5475" w:rsidRPr="00D633FF" w:rsidRDefault="005C5475" w:rsidP="00BA310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0%</w:t>
                  </w:r>
                </w:p>
              </w:tc>
            </w:tr>
            <w:tr w:rsidR="0095163F" w:rsidRPr="00D633FF" w14:paraId="31085E98" w14:textId="77777777" w:rsidTr="00BA310E">
              <w:trPr>
                <w:trHeight w:val="408"/>
              </w:trPr>
              <w:tc>
                <w:tcPr>
                  <w:cnfStyle w:val="001000000000" w:firstRow="0" w:lastRow="0" w:firstColumn="1" w:lastColumn="0" w:oddVBand="0" w:evenVBand="0" w:oddHBand="0" w:evenHBand="0" w:firstRowFirstColumn="0" w:firstRowLastColumn="0" w:lastRowFirstColumn="0" w:lastRowLastColumn="0"/>
                  <w:tcW w:w="2205" w:type="dxa"/>
                  <w:tcBorders>
                    <w:top w:val="single" w:sz="4" w:space="0" w:color="FFFFFF"/>
                    <w:left w:val="single" w:sz="4" w:space="0" w:color="auto"/>
                    <w:bottom w:val="single" w:sz="4" w:space="0" w:color="FFFFFF" w:themeColor="background1"/>
                  </w:tcBorders>
                </w:tcPr>
                <w:p w14:paraId="6838253E" w14:textId="6350BEC6" w:rsidR="005C5475" w:rsidRPr="00D633FF" w:rsidRDefault="005C5475" w:rsidP="005C5475">
                  <w:pPr>
                    <w:jc w:val="right"/>
                    <w:rPr>
                      <w:rFonts w:ascii="Calibri" w:eastAsia="Times New Roman" w:hAnsi="Calibri" w:cs="Calibri"/>
                      <w:color w:val="FFFFFF"/>
                    </w:rPr>
                  </w:pPr>
                  <w:r w:rsidRPr="00D633FF">
                    <w:rPr>
                      <w:rFonts w:ascii="Calibri" w:eastAsia="Times New Roman" w:hAnsi="Calibri" w:cs="Calibri"/>
                      <w:color w:val="FFFFFF"/>
                    </w:rPr>
                    <w:t>9 – 11</w:t>
                  </w:r>
                  <w:r w:rsidR="00593DA6">
                    <w:rPr>
                      <w:rFonts w:ascii="Calibri" w:eastAsia="Times New Roman" w:hAnsi="Calibri" w:cs="Calibri"/>
                      <w:color w:val="FFFFFF"/>
                    </w:rPr>
                    <w:t xml:space="preserve"> years</w:t>
                  </w:r>
                </w:p>
              </w:tc>
              <w:tc>
                <w:tcPr>
                  <w:tcW w:w="1276" w:type="dxa"/>
                  <w:shd w:val="clear" w:color="auto" w:fill="FFFFFF"/>
                  <w:vAlign w:val="center"/>
                </w:tcPr>
                <w:p w14:paraId="4CF9BC53" w14:textId="77777777" w:rsidR="005C5475" w:rsidRPr="00D633FF" w:rsidRDefault="005C5475" w:rsidP="00F62E8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68</w:t>
                  </w:r>
                </w:p>
              </w:tc>
              <w:tc>
                <w:tcPr>
                  <w:tcW w:w="1275" w:type="dxa"/>
                  <w:shd w:val="clear" w:color="auto" w:fill="FFFFFF"/>
                  <w:vAlign w:val="center"/>
                </w:tcPr>
                <w:p w14:paraId="23BA9F36" w14:textId="77777777" w:rsidR="005C5475" w:rsidRPr="00D633FF" w:rsidRDefault="005C5475" w:rsidP="00F62E8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67</w:t>
                  </w:r>
                </w:p>
              </w:tc>
              <w:tc>
                <w:tcPr>
                  <w:tcW w:w="2268" w:type="dxa"/>
                  <w:gridSpan w:val="2"/>
                  <w:shd w:val="clear" w:color="auto" w:fill="FFFFFF"/>
                </w:tcPr>
                <w:p w14:paraId="497A930A" w14:textId="0768F465" w:rsidR="005C5475" w:rsidRPr="00D633FF" w:rsidRDefault="005C5475" w:rsidP="005C547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5 - 11</w:t>
                  </w:r>
                  <w:r w:rsidR="0062648B">
                    <w:rPr>
                      <w:rFonts w:ascii="Calibri" w:eastAsia="Times New Roman" w:hAnsi="Calibri" w:cs="Calibri"/>
                    </w:rPr>
                    <w:t xml:space="preserve"> years</w:t>
                  </w:r>
                </w:p>
              </w:tc>
              <w:tc>
                <w:tcPr>
                  <w:tcW w:w="1276" w:type="dxa"/>
                  <w:shd w:val="clear" w:color="auto" w:fill="FFFFFF"/>
                </w:tcPr>
                <w:p w14:paraId="7E67B7DA" w14:textId="77777777" w:rsidR="005C5475" w:rsidRPr="00D633FF" w:rsidRDefault="005C5475" w:rsidP="003A2FA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220</w:t>
                  </w:r>
                </w:p>
              </w:tc>
              <w:tc>
                <w:tcPr>
                  <w:tcW w:w="1418" w:type="dxa"/>
                  <w:tcBorders>
                    <w:right w:val="single" w:sz="4" w:space="0" w:color="auto"/>
                  </w:tcBorders>
                  <w:shd w:val="clear" w:color="auto" w:fill="FFFFFF"/>
                </w:tcPr>
                <w:p w14:paraId="6C052280" w14:textId="77777777" w:rsidR="005C5475" w:rsidRPr="00D633FF" w:rsidRDefault="005C5475" w:rsidP="003A2FA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185</w:t>
                  </w:r>
                </w:p>
              </w:tc>
              <w:tc>
                <w:tcPr>
                  <w:tcW w:w="1703" w:type="dxa"/>
                  <w:tcBorders>
                    <w:top w:val="nil"/>
                    <w:left w:val="single" w:sz="4" w:space="0" w:color="auto"/>
                    <w:bottom w:val="nil"/>
                    <w:right w:val="single" w:sz="4" w:space="0" w:color="auto"/>
                  </w:tcBorders>
                  <w:shd w:val="clear" w:color="auto" w:fill="FFFFFF"/>
                  <w:vAlign w:val="center"/>
                </w:tcPr>
                <w:p w14:paraId="1C096F87" w14:textId="37BA370D" w:rsidR="005C5475" w:rsidRPr="00D633FF" w:rsidRDefault="00BA310E" w:rsidP="00BA310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0%</w:t>
                  </w:r>
                </w:p>
              </w:tc>
            </w:tr>
            <w:tr w:rsidR="0095163F" w:rsidRPr="00D633FF" w14:paraId="7C2034B7" w14:textId="77777777" w:rsidTr="00BA310E">
              <w:trPr>
                <w:trHeight w:val="408"/>
              </w:trPr>
              <w:tc>
                <w:tcPr>
                  <w:cnfStyle w:val="001000000000" w:firstRow="0" w:lastRow="0" w:firstColumn="1" w:lastColumn="0" w:oddVBand="0" w:evenVBand="0" w:oddHBand="0" w:evenHBand="0" w:firstRowFirstColumn="0" w:firstRowLastColumn="0" w:lastRowFirstColumn="0" w:lastRowLastColumn="0"/>
                  <w:tcW w:w="2205" w:type="dxa"/>
                  <w:tcBorders>
                    <w:top w:val="single" w:sz="4" w:space="0" w:color="FFFFFF" w:themeColor="background1"/>
                    <w:left w:val="single" w:sz="4" w:space="0" w:color="auto"/>
                    <w:bottom w:val="single" w:sz="4" w:space="0" w:color="FFFFFF"/>
                  </w:tcBorders>
                </w:tcPr>
                <w:p w14:paraId="2921AAD0" w14:textId="25811008" w:rsidR="005C5475" w:rsidRPr="00D633FF" w:rsidRDefault="005C5475" w:rsidP="005C5475">
                  <w:pPr>
                    <w:jc w:val="right"/>
                    <w:rPr>
                      <w:rFonts w:ascii="Calibri" w:eastAsia="Times New Roman" w:hAnsi="Calibri" w:cs="Calibri"/>
                      <w:color w:val="FFFFFF"/>
                    </w:rPr>
                  </w:pPr>
                  <w:r w:rsidRPr="00D633FF">
                    <w:rPr>
                      <w:rFonts w:ascii="Calibri" w:eastAsia="Times New Roman" w:hAnsi="Calibri" w:cs="Calibri"/>
                      <w:color w:val="FFFFFF"/>
                    </w:rPr>
                    <w:t>12 – 13</w:t>
                  </w:r>
                  <w:r w:rsidR="00593DA6">
                    <w:rPr>
                      <w:rFonts w:ascii="Calibri" w:eastAsia="Times New Roman" w:hAnsi="Calibri" w:cs="Calibri"/>
                      <w:color w:val="FFFFFF"/>
                    </w:rPr>
                    <w:t xml:space="preserve"> years</w:t>
                  </w:r>
                </w:p>
              </w:tc>
              <w:tc>
                <w:tcPr>
                  <w:tcW w:w="1276" w:type="dxa"/>
                  <w:shd w:val="clear" w:color="auto" w:fill="CCCCCF"/>
                  <w:vAlign w:val="center"/>
                </w:tcPr>
                <w:p w14:paraId="0BA2ACE1" w14:textId="77777777" w:rsidR="005C5475" w:rsidRPr="00D633FF" w:rsidRDefault="005C5475" w:rsidP="00F62E8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75</w:t>
                  </w:r>
                </w:p>
              </w:tc>
              <w:tc>
                <w:tcPr>
                  <w:tcW w:w="1275" w:type="dxa"/>
                  <w:shd w:val="clear" w:color="auto" w:fill="CCCCCF"/>
                  <w:vAlign w:val="center"/>
                </w:tcPr>
                <w:p w14:paraId="7ACEF9DE" w14:textId="77777777" w:rsidR="005C5475" w:rsidRPr="00D633FF" w:rsidRDefault="005C5475" w:rsidP="00F62E8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72</w:t>
                  </w:r>
                </w:p>
              </w:tc>
              <w:tc>
                <w:tcPr>
                  <w:tcW w:w="2268" w:type="dxa"/>
                  <w:gridSpan w:val="2"/>
                  <w:shd w:val="clear" w:color="auto" w:fill="CCCCCF"/>
                </w:tcPr>
                <w:p w14:paraId="7154BA73" w14:textId="43CC4F98" w:rsidR="005C5475" w:rsidRPr="00D633FF" w:rsidRDefault="005C5475" w:rsidP="005C547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12 -17</w:t>
                  </w:r>
                  <w:r w:rsidR="0062648B">
                    <w:rPr>
                      <w:rFonts w:ascii="Calibri" w:eastAsia="Times New Roman" w:hAnsi="Calibri" w:cs="Calibri"/>
                    </w:rPr>
                    <w:t xml:space="preserve"> years</w:t>
                  </w:r>
                </w:p>
              </w:tc>
              <w:tc>
                <w:tcPr>
                  <w:tcW w:w="1276" w:type="dxa"/>
                  <w:shd w:val="clear" w:color="auto" w:fill="CCCCCF"/>
                </w:tcPr>
                <w:p w14:paraId="5A81B0E8" w14:textId="77777777" w:rsidR="005C5475" w:rsidRPr="00D633FF" w:rsidRDefault="005C5475" w:rsidP="003A2FA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360</w:t>
                  </w:r>
                </w:p>
              </w:tc>
              <w:tc>
                <w:tcPr>
                  <w:tcW w:w="1418" w:type="dxa"/>
                  <w:tcBorders>
                    <w:right w:val="single" w:sz="4" w:space="0" w:color="auto"/>
                  </w:tcBorders>
                  <w:shd w:val="clear" w:color="auto" w:fill="CCCCCF"/>
                </w:tcPr>
                <w:p w14:paraId="3C6C9A1C" w14:textId="77777777" w:rsidR="005C5475" w:rsidRPr="00D633FF" w:rsidRDefault="005C5475" w:rsidP="003A2FA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295</w:t>
                  </w:r>
                </w:p>
              </w:tc>
              <w:tc>
                <w:tcPr>
                  <w:tcW w:w="1703" w:type="dxa"/>
                  <w:tcBorders>
                    <w:top w:val="nil"/>
                    <w:left w:val="single" w:sz="4" w:space="0" w:color="auto"/>
                    <w:bottom w:val="nil"/>
                    <w:right w:val="single" w:sz="4" w:space="0" w:color="auto"/>
                  </w:tcBorders>
                  <w:shd w:val="clear" w:color="auto" w:fill="FFFFFF"/>
                  <w:vAlign w:val="center"/>
                </w:tcPr>
                <w:p w14:paraId="2D60F83E" w14:textId="19540731" w:rsidR="005C5475" w:rsidRPr="00D633FF" w:rsidRDefault="00BA310E" w:rsidP="00BA310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0%</w:t>
                  </w:r>
                </w:p>
              </w:tc>
            </w:tr>
            <w:tr w:rsidR="0095163F" w:rsidRPr="00D633FF" w14:paraId="787B14D6" w14:textId="77777777" w:rsidTr="00BA310E">
              <w:trPr>
                <w:trHeight w:val="408"/>
              </w:trPr>
              <w:tc>
                <w:tcPr>
                  <w:cnfStyle w:val="001000000000" w:firstRow="0" w:lastRow="0" w:firstColumn="1" w:lastColumn="0" w:oddVBand="0" w:evenVBand="0" w:oddHBand="0" w:evenHBand="0" w:firstRowFirstColumn="0" w:firstRowLastColumn="0" w:lastRowFirstColumn="0" w:lastRowLastColumn="0"/>
                  <w:tcW w:w="2205" w:type="dxa"/>
                  <w:tcBorders>
                    <w:top w:val="single" w:sz="4" w:space="0" w:color="FFFFFF"/>
                    <w:left w:val="single" w:sz="4" w:space="0" w:color="auto"/>
                    <w:bottom w:val="single" w:sz="4" w:space="0" w:color="auto"/>
                  </w:tcBorders>
                </w:tcPr>
                <w:p w14:paraId="7A935AA5" w14:textId="12BD9F06" w:rsidR="005C5475" w:rsidRPr="00D633FF" w:rsidRDefault="005C5475" w:rsidP="005C5475">
                  <w:pPr>
                    <w:jc w:val="right"/>
                    <w:rPr>
                      <w:rFonts w:ascii="Calibri" w:eastAsia="Times New Roman" w:hAnsi="Calibri" w:cs="Calibri"/>
                      <w:color w:val="FFFFFF"/>
                    </w:rPr>
                  </w:pPr>
                  <w:r w:rsidRPr="00D633FF">
                    <w:rPr>
                      <w:rFonts w:ascii="Calibri" w:eastAsia="Times New Roman" w:hAnsi="Calibri" w:cs="Calibri"/>
                      <w:color w:val="FFFFFF"/>
                    </w:rPr>
                    <w:t>14 – 18</w:t>
                  </w:r>
                  <w:r w:rsidR="00C90A49">
                    <w:rPr>
                      <w:rFonts w:ascii="Calibri" w:eastAsia="Times New Roman" w:hAnsi="Calibri" w:cs="Calibri"/>
                      <w:color w:val="FFFFFF"/>
                    </w:rPr>
                    <w:t xml:space="preserve"> years</w:t>
                  </w:r>
                </w:p>
              </w:tc>
              <w:tc>
                <w:tcPr>
                  <w:tcW w:w="1276" w:type="dxa"/>
                  <w:tcBorders>
                    <w:bottom w:val="single" w:sz="4" w:space="0" w:color="auto"/>
                  </w:tcBorders>
                  <w:shd w:val="clear" w:color="auto" w:fill="FFFFFF"/>
                  <w:vAlign w:val="center"/>
                </w:tcPr>
                <w:p w14:paraId="02096A0D" w14:textId="77777777" w:rsidR="005C5475" w:rsidRPr="00D633FF" w:rsidRDefault="005C5475" w:rsidP="00F62E8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78</w:t>
                  </w:r>
                </w:p>
              </w:tc>
              <w:tc>
                <w:tcPr>
                  <w:tcW w:w="1275" w:type="dxa"/>
                  <w:tcBorders>
                    <w:bottom w:val="single" w:sz="4" w:space="0" w:color="auto"/>
                  </w:tcBorders>
                  <w:shd w:val="clear" w:color="auto" w:fill="FFFFFF"/>
                  <w:vAlign w:val="center"/>
                </w:tcPr>
                <w:p w14:paraId="3E361CCF" w14:textId="77777777" w:rsidR="005C5475" w:rsidRPr="00D633FF" w:rsidRDefault="005C5475" w:rsidP="00F62E8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82</w:t>
                  </w:r>
                </w:p>
              </w:tc>
              <w:tc>
                <w:tcPr>
                  <w:tcW w:w="2268" w:type="dxa"/>
                  <w:gridSpan w:val="2"/>
                  <w:tcBorders>
                    <w:bottom w:val="single" w:sz="4" w:space="0" w:color="auto"/>
                  </w:tcBorders>
                  <w:shd w:val="clear" w:color="auto" w:fill="FFFFFF"/>
                </w:tcPr>
                <w:p w14:paraId="3CFC11DC" w14:textId="37294E82" w:rsidR="005C5475" w:rsidRPr="00D633FF" w:rsidRDefault="005C5475" w:rsidP="005C547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12 -17</w:t>
                  </w:r>
                  <w:r w:rsidR="0062648B">
                    <w:rPr>
                      <w:rFonts w:ascii="Calibri" w:eastAsia="Times New Roman" w:hAnsi="Calibri" w:cs="Calibri"/>
                    </w:rPr>
                    <w:t xml:space="preserve"> years</w:t>
                  </w:r>
                </w:p>
              </w:tc>
              <w:tc>
                <w:tcPr>
                  <w:tcW w:w="1276" w:type="dxa"/>
                  <w:shd w:val="clear" w:color="auto" w:fill="FFFFFF"/>
                </w:tcPr>
                <w:p w14:paraId="2D45FB8A" w14:textId="77777777" w:rsidR="005C5475" w:rsidRPr="00D633FF" w:rsidRDefault="005C5475" w:rsidP="003A2FA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360</w:t>
                  </w:r>
                </w:p>
              </w:tc>
              <w:tc>
                <w:tcPr>
                  <w:tcW w:w="1418" w:type="dxa"/>
                  <w:tcBorders>
                    <w:right w:val="single" w:sz="4" w:space="0" w:color="auto"/>
                  </w:tcBorders>
                  <w:shd w:val="clear" w:color="auto" w:fill="FFFFFF"/>
                </w:tcPr>
                <w:p w14:paraId="70CFB612" w14:textId="77777777" w:rsidR="005C5475" w:rsidRPr="00D633FF" w:rsidRDefault="005C5475" w:rsidP="003A2FA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295</w:t>
                  </w:r>
                </w:p>
              </w:tc>
              <w:tc>
                <w:tcPr>
                  <w:tcW w:w="1703" w:type="dxa"/>
                  <w:tcBorders>
                    <w:top w:val="nil"/>
                    <w:left w:val="single" w:sz="4" w:space="0" w:color="auto"/>
                    <w:bottom w:val="single" w:sz="4" w:space="0" w:color="auto"/>
                    <w:right w:val="single" w:sz="4" w:space="0" w:color="auto"/>
                  </w:tcBorders>
                  <w:shd w:val="clear" w:color="auto" w:fill="FFFFFF"/>
                  <w:vAlign w:val="center"/>
                </w:tcPr>
                <w:p w14:paraId="6B88C1AE" w14:textId="7C157F86" w:rsidR="005C5475" w:rsidRPr="00D633FF" w:rsidRDefault="00BA310E" w:rsidP="00BA310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0%</w:t>
                  </w:r>
                </w:p>
              </w:tc>
            </w:tr>
            <w:tr w:rsidR="005E3DC1" w:rsidRPr="00D633FF" w14:paraId="27EE9937" w14:textId="77777777" w:rsidTr="005E3DC1">
              <w:trPr>
                <w:trHeight w:val="370"/>
              </w:trPr>
              <w:tc>
                <w:tcPr>
                  <w:cnfStyle w:val="001000000000" w:firstRow="0" w:lastRow="0" w:firstColumn="1" w:lastColumn="0" w:oddVBand="0" w:evenVBand="0" w:oddHBand="0" w:evenHBand="0" w:firstRowFirstColumn="0" w:firstRowLastColumn="0" w:lastRowFirstColumn="0" w:lastRowLastColumn="0"/>
                  <w:tcW w:w="2205" w:type="dxa"/>
                  <w:tcBorders>
                    <w:left w:val="single" w:sz="4" w:space="0" w:color="auto"/>
                    <w:bottom w:val="single" w:sz="4" w:space="0" w:color="auto"/>
                  </w:tcBorders>
                </w:tcPr>
                <w:p w14:paraId="48CF6EC3" w14:textId="40801FFC" w:rsidR="00C230B7" w:rsidRPr="00D633FF" w:rsidRDefault="00C230B7" w:rsidP="004945D9">
                  <w:pPr>
                    <w:jc w:val="right"/>
                    <w:rPr>
                      <w:rFonts w:ascii="Calibri" w:eastAsia="Times New Roman" w:hAnsi="Calibri" w:cs="Calibri"/>
                      <w:b w:val="0"/>
                      <w:bCs w:val="0"/>
                    </w:rPr>
                  </w:pPr>
                  <w:bookmarkStart w:id="117" w:name="_Hlk204873845"/>
                </w:p>
              </w:tc>
              <w:tc>
                <w:tcPr>
                  <w:tcW w:w="1276" w:type="dxa"/>
                  <w:tcBorders>
                    <w:left w:val="single" w:sz="4" w:space="0" w:color="auto"/>
                    <w:bottom w:val="single" w:sz="4" w:space="0" w:color="auto"/>
                  </w:tcBorders>
                  <w:shd w:val="clear" w:color="auto" w:fill="000000" w:themeFill="text1"/>
                  <w:vAlign w:val="center"/>
                </w:tcPr>
                <w:p w14:paraId="58D9133E" w14:textId="77777777" w:rsidR="00C230B7" w:rsidRPr="00D633FF" w:rsidRDefault="00C230B7" w:rsidP="009516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FFFFFF" w:themeColor="background1"/>
                    </w:rPr>
                  </w:pPr>
                </w:p>
              </w:tc>
              <w:tc>
                <w:tcPr>
                  <w:tcW w:w="1275" w:type="dxa"/>
                  <w:tcBorders>
                    <w:left w:val="single" w:sz="4" w:space="0" w:color="auto"/>
                    <w:bottom w:val="single" w:sz="4" w:space="0" w:color="auto"/>
                    <w:right w:val="single" w:sz="4" w:space="0" w:color="FFFFFF" w:themeColor="background1"/>
                  </w:tcBorders>
                  <w:shd w:val="clear" w:color="auto" w:fill="000000" w:themeFill="text1"/>
                  <w:vAlign w:val="center"/>
                </w:tcPr>
                <w:p w14:paraId="1AC41AA7" w14:textId="77777777" w:rsidR="00C230B7" w:rsidRPr="00D633FF" w:rsidRDefault="00C230B7" w:rsidP="009516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FFFFFF" w:themeColor="background1"/>
                    </w:rPr>
                  </w:pPr>
                </w:p>
              </w:tc>
              <w:tc>
                <w:tcPr>
                  <w:tcW w:w="2268" w:type="dxa"/>
                  <w:gridSpan w:val="2"/>
                  <w:tcBorders>
                    <w:left w:val="single" w:sz="4" w:space="0" w:color="FFFFFF" w:themeColor="background1"/>
                    <w:bottom w:val="single" w:sz="4" w:space="0" w:color="auto"/>
                  </w:tcBorders>
                  <w:shd w:val="clear" w:color="auto" w:fill="000000" w:themeFill="text1"/>
                </w:tcPr>
                <w:p w14:paraId="24DB53D9" w14:textId="0E57CB56" w:rsidR="00C230B7" w:rsidRPr="00D633FF" w:rsidRDefault="00C230B7" w:rsidP="004945D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color w:val="FFFFFF"/>
                    </w:rPr>
                    <w:t>PROPOSED ADULT ULs</w:t>
                  </w:r>
                </w:p>
              </w:tc>
              <w:tc>
                <w:tcPr>
                  <w:tcW w:w="1276" w:type="dxa"/>
                  <w:shd w:val="clear" w:color="auto" w:fill="A6A6A6" w:themeFill="background1" w:themeFillShade="A6"/>
                </w:tcPr>
                <w:p w14:paraId="0D2C7A49" w14:textId="77777777" w:rsidR="00C230B7" w:rsidRPr="00D633FF" w:rsidRDefault="00C230B7" w:rsidP="003A2FA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400</w:t>
                  </w:r>
                </w:p>
              </w:tc>
              <w:tc>
                <w:tcPr>
                  <w:tcW w:w="1418" w:type="dxa"/>
                  <w:shd w:val="clear" w:color="auto" w:fill="A6A6A6" w:themeFill="background1" w:themeFillShade="A6"/>
                </w:tcPr>
                <w:p w14:paraId="7E5BFCCF" w14:textId="77777777" w:rsidR="00C230B7" w:rsidRPr="00D633FF" w:rsidRDefault="00C230B7" w:rsidP="003A2FA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D633FF">
                    <w:rPr>
                      <w:rFonts w:ascii="Calibri" w:eastAsia="Times New Roman" w:hAnsi="Calibri" w:cs="Calibri"/>
                    </w:rPr>
                    <w:t>330</w:t>
                  </w:r>
                </w:p>
              </w:tc>
              <w:tc>
                <w:tcPr>
                  <w:tcW w:w="1703" w:type="dxa"/>
                  <w:tcBorders>
                    <w:top w:val="single" w:sz="4" w:space="0" w:color="auto"/>
                  </w:tcBorders>
                  <w:shd w:val="clear" w:color="auto" w:fill="A6A6A6" w:themeFill="background1" w:themeFillShade="A6"/>
                </w:tcPr>
                <w:p w14:paraId="29FE9D8B" w14:textId="77777777" w:rsidR="00C230B7" w:rsidRPr="00D633FF" w:rsidRDefault="00C230B7" w:rsidP="005C547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bl>
          <w:bookmarkEnd w:id="117"/>
          <w:p w14:paraId="0778A3E8" w14:textId="77777777" w:rsidR="005C5475" w:rsidRPr="00D633FF" w:rsidRDefault="005C5475" w:rsidP="00B368DB">
            <w:pPr>
              <w:spacing w:before="0" w:line="276" w:lineRule="auto"/>
              <w:cnfStyle w:val="000000010000" w:firstRow="0" w:lastRow="0" w:firstColumn="0" w:lastColumn="0" w:oddVBand="0" w:evenVBand="0" w:oddHBand="0" w:evenHBand="1" w:firstRowFirstColumn="0" w:firstRowLastColumn="0" w:lastRowFirstColumn="0" w:lastRowLastColumn="0"/>
              <w:rPr>
                <w:rFonts w:ascii="Calibri" w:eastAsia="Arial" w:hAnsi="Calibri" w:cs="Calibri"/>
                <w:sz w:val="16"/>
              </w:rPr>
            </w:pPr>
            <w:r w:rsidRPr="00D633FF">
              <w:rPr>
                <w:rFonts w:ascii="Calibri" w:eastAsia="Arial" w:hAnsi="Calibri" w:cs="Calibri"/>
                <w:b/>
                <w:bCs/>
                <w:sz w:val="16"/>
              </w:rPr>
              <w:t>Abbreviations:</w:t>
            </w:r>
            <w:r w:rsidRPr="00D633FF">
              <w:rPr>
                <w:rFonts w:ascii="Calibri" w:eastAsia="Arial" w:hAnsi="Calibri" w:cs="Calibri"/>
                <w:sz w:val="16"/>
              </w:rPr>
              <w:t xml:space="preserve"> UL, Upper Level</w:t>
            </w:r>
          </w:p>
        </w:tc>
      </w:tr>
      <w:tr w:rsidR="00FC2992" w:rsidRPr="00D633FF" w14:paraId="021BF35E" w14:textId="77777777" w:rsidTr="000477FA">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500" w:type="dxa"/>
            <w:tcBorders>
              <w:top w:val="single" w:sz="4" w:space="0" w:color="auto"/>
              <w:left w:val="single" w:sz="4" w:space="0" w:color="auto"/>
              <w:bottom w:val="single" w:sz="4" w:space="0" w:color="auto"/>
              <w:right w:val="single" w:sz="4" w:space="0" w:color="auto"/>
            </w:tcBorders>
            <w:shd w:val="clear" w:color="auto" w:fill="83CAEB" w:themeFill="accent1" w:themeFillTint="66"/>
          </w:tcPr>
          <w:p w14:paraId="131E0EC5" w14:textId="77777777" w:rsidR="005C5475" w:rsidRPr="00D633FF" w:rsidRDefault="005C5475" w:rsidP="00BB4BBB">
            <w:pPr>
              <w:spacing w:before="120" w:after="160" w:line="276" w:lineRule="auto"/>
              <w:rPr>
                <w:rFonts w:ascii="Calibri" w:eastAsia="Arial" w:hAnsi="Calibri" w:cs="Calibri"/>
                <w:color w:val="auto"/>
                <w:sz w:val="20"/>
                <w:highlight w:val="lightGray"/>
              </w:rPr>
            </w:pPr>
            <w:r w:rsidRPr="00D633FF">
              <w:rPr>
                <w:rFonts w:ascii="Calibri" w:eastAsia="Arial" w:hAnsi="Calibri" w:cs="Calibri"/>
                <w:color w:val="auto"/>
                <w:sz w:val="20"/>
              </w:rPr>
              <w:t>Resource impacts</w:t>
            </w:r>
          </w:p>
        </w:tc>
        <w:tc>
          <w:tcPr>
            <w:tcW w:w="600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03296394" w14:textId="77777777" w:rsidR="005C5475" w:rsidRPr="00D633FF" w:rsidRDefault="005C5475" w:rsidP="00BB4BBB">
            <w:pPr>
              <w:spacing w:before="120" w:after="160" w:line="276" w:lineRule="auto"/>
              <w:ind w:right="-113"/>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20"/>
                <w:highlight w:val="lightGray"/>
              </w:rPr>
            </w:pPr>
            <w:r w:rsidRPr="00D633FF">
              <w:rPr>
                <w:rFonts w:ascii="Calibri" w:eastAsia="Times New Roman" w:hAnsi="Calibri" w:cs="Calibri"/>
                <w:sz w:val="20"/>
              </w:rPr>
              <w:t xml:space="preserve">Basing the revised UL levels for children on updated weights has only minor implications. Additional age groupings are extrapolated from adult values to provide more options for different users to compare against usual intake from national nutrition surveys This minor change </w:t>
            </w:r>
            <w:r w:rsidRPr="00D633FF">
              <w:rPr>
                <w:rFonts w:ascii="Calibri" w:eastAsia="Times New Roman" w:hAnsi="Calibri" w:cs="Calibri"/>
                <w:sz w:val="20"/>
              </w:rPr>
              <w:lastRenderedPageBreak/>
              <w:t>from updated weights should have minimal impact for regulators, including FSANZ (food and food products) and TGA (supplements).</w:t>
            </w:r>
          </w:p>
        </w:tc>
        <w:tc>
          <w:tcPr>
            <w:tcW w:w="634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65DDC73B" w14:textId="77777777" w:rsidR="005C5475" w:rsidRPr="00D633FF" w:rsidRDefault="005C5475" w:rsidP="00BB4BBB">
            <w:pPr>
              <w:spacing w:before="120" w:after="160" w:line="276" w:lineRule="auto"/>
              <w:ind w:right="-113"/>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rPr>
            </w:pPr>
            <w:r w:rsidRPr="00D633FF">
              <w:rPr>
                <w:rFonts w:ascii="Calibri" w:eastAsia="Times New Roman" w:hAnsi="Calibri" w:cs="Calibri"/>
                <w:sz w:val="20"/>
              </w:rPr>
              <w:lastRenderedPageBreak/>
              <w:t>The proposed change to the UL may have implications for regulators, including FSANZ (food and food products) and TGA (supplements). Views will be sought during targeted/stakeholder consultation and considered when developing final NRVs.</w:t>
            </w:r>
          </w:p>
          <w:p w14:paraId="0831118F" w14:textId="77777777" w:rsidR="005C5475" w:rsidRPr="00D633FF" w:rsidRDefault="005C5475" w:rsidP="00B36E34">
            <w:pPr>
              <w:spacing w:before="0" w:after="160" w:line="276" w:lineRule="auto"/>
              <w:ind w:right="1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rPr>
            </w:pPr>
            <w:r w:rsidRPr="00D633FF">
              <w:rPr>
                <w:rFonts w:ascii="Calibri" w:eastAsia="Times New Roman" w:hAnsi="Calibri" w:cs="Calibri"/>
                <w:sz w:val="20"/>
              </w:rPr>
              <w:lastRenderedPageBreak/>
              <w:t>The Australia New Zealand Food Standards Code permits selenium to be added up to a maximum of:</w:t>
            </w:r>
          </w:p>
          <w:p w14:paraId="5E543F14" w14:textId="7085527C" w:rsidR="005C5475" w:rsidRPr="00D633FF" w:rsidRDefault="005C5475" w:rsidP="008D15E1">
            <w:pPr>
              <w:numPr>
                <w:ilvl w:val="0"/>
                <w:numId w:val="44"/>
              </w:numPr>
              <w:spacing w:before="0" w:after="0" w:line="259" w:lineRule="auto"/>
              <w:ind w:left="357" w:right="170" w:hanging="357"/>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rPr>
            </w:pPr>
            <w:r w:rsidRPr="00D633FF">
              <w:rPr>
                <w:rFonts w:ascii="Calibri" w:eastAsia="Times New Roman" w:hAnsi="Calibri" w:cs="Calibri"/>
                <w:sz w:val="20"/>
              </w:rPr>
              <w:t xml:space="preserve">formulated beverage – 17.5 µg/600mL </w:t>
            </w:r>
          </w:p>
          <w:p w14:paraId="108588E5" w14:textId="5452546F" w:rsidR="005C5475" w:rsidRPr="00D633FF" w:rsidRDefault="005C5475" w:rsidP="008D15E1">
            <w:pPr>
              <w:numPr>
                <w:ilvl w:val="0"/>
                <w:numId w:val="44"/>
              </w:numPr>
              <w:spacing w:before="0" w:after="0" w:line="259" w:lineRule="auto"/>
              <w:ind w:left="357" w:right="170" w:hanging="357"/>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rPr>
            </w:pPr>
            <w:r w:rsidRPr="00D633FF">
              <w:rPr>
                <w:rFonts w:ascii="Calibri" w:eastAsia="Times New Roman" w:hAnsi="Calibri" w:cs="Calibri"/>
                <w:sz w:val="20"/>
              </w:rPr>
              <w:t>formulated meal replacements - 17.5 µg/serve inorganic</w:t>
            </w:r>
            <w:r w:rsidR="005E4C9B" w:rsidRPr="00D633FF">
              <w:rPr>
                <w:rFonts w:ascii="Calibri" w:eastAsia="Times New Roman" w:hAnsi="Calibri" w:cs="Calibri"/>
                <w:sz w:val="20"/>
              </w:rPr>
              <w:t xml:space="preserve">, </w:t>
            </w:r>
            <w:r w:rsidRPr="00D633FF">
              <w:rPr>
                <w:rFonts w:ascii="Calibri" w:eastAsia="Times New Roman" w:hAnsi="Calibri" w:cs="Calibri"/>
                <w:sz w:val="20"/>
              </w:rPr>
              <w:t xml:space="preserve">9 µg/serve organic  </w:t>
            </w:r>
          </w:p>
          <w:p w14:paraId="5C14BEBA" w14:textId="2DE7DA03" w:rsidR="005C5475" w:rsidRPr="00D633FF" w:rsidRDefault="005C5475" w:rsidP="008D15E1">
            <w:pPr>
              <w:numPr>
                <w:ilvl w:val="0"/>
                <w:numId w:val="44"/>
              </w:numPr>
              <w:spacing w:before="0" w:after="0" w:line="259" w:lineRule="auto"/>
              <w:ind w:left="357" w:right="170" w:hanging="357"/>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rPr>
            </w:pPr>
            <w:r w:rsidRPr="00D633FF">
              <w:rPr>
                <w:rFonts w:ascii="Calibri" w:eastAsia="Times New Roman" w:hAnsi="Calibri" w:cs="Calibri"/>
                <w:sz w:val="20"/>
              </w:rPr>
              <w:t>formulated supplementary sports foods -</w:t>
            </w:r>
            <w:r w:rsidR="005E4C9B" w:rsidRPr="00D633FF">
              <w:rPr>
                <w:rFonts w:ascii="Calibri" w:eastAsia="Times New Roman" w:hAnsi="Calibri" w:cs="Calibri"/>
                <w:sz w:val="20"/>
              </w:rPr>
              <w:t xml:space="preserve"> </w:t>
            </w:r>
            <w:r w:rsidRPr="00D633FF">
              <w:rPr>
                <w:rFonts w:ascii="Calibri" w:eastAsia="Times New Roman" w:hAnsi="Calibri" w:cs="Calibri"/>
                <w:sz w:val="20"/>
              </w:rPr>
              <w:t>52 µg/serve inorganic</w:t>
            </w:r>
            <w:r w:rsidR="005E4C9B" w:rsidRPr="00D633FF">
              <w:rPr>
                <w:rFonts w:ascii="Calibri" w:eastAsia="Times New Roman" w:hAnsi="Calibri" w:cs="Calibri"/>
                <w:sz w:val="20"/>
              </w:rPr>
              <w:t xml:space="preserve">, </w:t>
            </w:r>
            <w:r w:rsidRPr="00D633FF">
              <w:rPr>
                <w:rFonts w:ascii="Calibri" w:eastAsia="Times New Roman" w:hAnsi="Calibri" w:cs="Calibri"/>
                <w:sz w:val="20"/>
              </w:rPr>
              <w:t xml:space="preserve">26 µg/serve organic </w:t>
            </w:r>
          </w:p>
          <w:p w14:paraId="64965DAD" w14:textId="0593299D" w:rsidR="005C5475" w:rsidRPr="00D633FF" w:rsidRDefault="005C5475" w:rsidP="008D15E1">
            <w:pPr>
              <w:numPr>
                <w:ilvl w:val="0"/>
                <w:numId w:val="44"/>
              </w:numPr>
              <w:spacing w:before="0" w:after="0" w:line="259" w:lineRule="auto"/>
              <w:ind w:left="357" w:right="170" w:hanging="357"/>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D633FF">
              <w:rPr>
                <w:rFonts w:ascii="Calibri" w:eastAsia="Times New Roman" w:hAnsi="Calibri" w:cs="Calibri"/>
                <w:sz w:val="20"/>
                <w:szCs w:val="20"/>
              </w:rPr>
              <w:t>food for special medical purposes represented as a sole source of nutrition</w:t>
            </w:r>
            <w:r w:rsidRPr="00D633FF">
              <w:rPr>
                <w:rFonts w:ascii="Calibri" w:eastAsia="Times New Roman" w:hAnsi="Calibri" w:cs="Calibri"/>
                <w:sz w:val="20"/>
              </w:rPr>
              <w:t xml:space="preserve"> -</w:t>
            </w:r>
            <w:r w:rsidR="005E4C9B" w:rsidRPr="00D633FF">
              <w:rPr>
                <w:rFonts w:ascii="Calibri" w:eastAsia="Times New Roman" w:hAnsi="Calibri" w:cs="Calibri"/>
                <w:sz w:val="20"/>
              </w:rPr>
              <w:t xml:space="preserve"> </w:t>
            </w:r>
            <w:r w:rsidRPr="00D633FF">
              <w:rPr>
                <w:rFonts w:ascii="Calibri" w:eastAsia="Times New Roman" w:hAnsi="Calibri" w:cs="Calibri"/>
                <w:sz w:val="20"/>
                <w:szCs w:val="20"/>
              </w:rPr>
              <w:t xml:space="preserve">25µg/MJ </w:t>
            </w:r>
          </w:p>
          <w:p w14:paraId="5C855508" w14:textId="4F284075" w:rsidR="005C5475" w:rsidRPr="00D633FF" w:rsidRDefault="005C5475" w:rsidP="00B36E34">
            <w:pPr>
              <w:spacing w:after="0"/>
              <w:ind w:right="1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rPr>
            </w:pPr>
            <w:r w:rsidRPr="00D633FF">
              <w:rPr>
                <w:rFonts w:ascii="Calibri" w:eastAsia="Times New Roman" w:hAnsi="Calibri" w:cs="Calibri"/>
                <w:sz w:val="20"/>
              </w:rPr>
              <w:t xml:space="preserve">At normal levels of consumption these products are unlikely to contribute to </w:t>
            </w:r>
            <w:r w:rsidRPr="00D633FF">
              <w:rPr>
                <w:rFonts w:ascii="Calibri" w:eastAsia="Times New Roman" w:hAnsi="Calibri" w:cs="Calibri"/>
                <w:sz w:val="20"/>
                <w:szCs w:val="20"/>
              </w:rPr>
              <w:t xml:space="preserve">exceeding </w:t>
            </w:r>
            <w:r w:rsidRPr="00D633FF">
              <w:rPr>
                <w:rFonts w:ascii="Calibri" w:eastAsia="Times New Roman" w:hAnsi="Calibri" w:cs="Calibri"/>
                <w:sz w:val="20"/>
              </w:rPr>
              <w:t xml:space="preserve">the </w:t>
            </w:r>
            <w:r w:rsidRPr="00D633FF">
              <w:rPr>
                <w:rFonts w:ascii="Calibri" w:eastAsia="Times New Roman" w:hAnsi="Calibri" w:cs="Calibri"/>
                <w:sz w:val="20"/>
                <w:szCs w:val="20"/>
              </w:rPr>
              <w:t xml:space="preserve">UL if it is lowered. </w:t>
            </w:r>
          </w:p>
        </w:tc>
      </w:tr>
      <w:tr w:rsidR="00FC2992" w:rsidRPr="00D633FF" w14:paraId="388740E7" w14:textId="77777777" w:rsidTr="000477FA">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500" w:type="dxa"/>
            <w:tcBorders>
              <w:top w:val="single" w:sz="4" w:space="0" w:color="auto"/>
              <w:left w:val="single" w:sz="4" w:space="0" w:color="auto"/>
              <w:bottom w:val="single" w:sz="4" w:space="0" w:color="auto"/>
              <w:right w:val="single" w:sz="4" w:space="0" w:color="auto"/>
            </w:tcBorders>
            <w:shd w:val="clear" w:color="auto" w:fill="83CAEB" w:themeFill="accent1" w:themeFillTint="66"/>
          </w:tcPr>
          <w:p w14:paraId="0554205D" w14:textId="77777777" w:rsidR="005C5475" w:rsidRPr="00D633FF" w:rsidRDefault="005C5475" w:rsidP="00A41BD1">
            <w:pPr>
              <w:spacing w:before="0" w:after="160" w:line="276" w:lineRule="auto"/>
              <w:rPr>
                <w:rFonts w:ascii="Calibri" w:eastAsia="Arial" w:hAnsi="Calibri" w:cs="Calibri"/>
                <w:color w:val="auto"/>
                <w:sz w:val="20"/>
                <w:highlight w:val="lightGray"/>
              </w:rPr>
            </w:pPr>
            <w:r w:rsidRPr="00D633FF">
              <w:rPr>
                <w:rFonts w:ascii="Calibri" w:eastAsia="Arial" w:hAnsi="Calibri" w:cs="Calibri"/>
                <w:color w:val="auto"/>
                <w:sz w:val="20"/>
              </w:rPr>
              <w:lastRenderedPageBreak/>
              <w:t>Other factors (health equity impacts, sustainability)</w:t>
            </w:r>
          </w:p>
        </w:tc>
        <w:tc>
          <w:tcPr>
            <w:tcW w:w="6000" w:type="dxa"/>
            <w:tcBorders>
              <w:top w:val="single" w:sz="4" w:space="0" w:color="auto"/>
              <w:left w:val="single" w:sz="4" w:space="0" w:color="auto"/>
              <w:bottom w:val="single" w:sz="4" w:space="0" w:color="auto"/>
              <w:right w:val="single" w:sz="4" w:space="0" w:color="auto"/>
            </w:tcBorders>
          </w:tcPr>
          <w:p w14:paraId="076A40A5" w14:textId="77777777" w:rsidR="005C5475" w:rsidRPr="00D633FF" w:rsidRDefault="005C5475" w:rsidP="00B36E34">
            <w:pPr>
              <w:spacing w:before="0" w:after="160" w:line="276" w:lineRule="auto"/>
              <w:ind w:right="-114"/>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rPr>
            </w:pPr>
            <w:r w:rsidRPr="00D633FF">
              <w:rPr>
                <w:rFonts w:ascii="Calibri" w:eastAsia="Times New Roman" w:hAnsi="Calibri" w:cs="Calibri"/>
                <w:sz w:val="20"/>
              </w:rPr>
              <w:t xml:space="preserve">The UL should aim to be protective of almost all individuals within the population. </w:t>
            </w:r>
          </w:p>
          <w:p w14:paraId="123EAE89" w14:textId="77777777" w:rsidR="005C5475" w:rsidRPr="00D633FF" w:rsidRDefault="005C5475" w:rsidP="00B36E34">
            <w:pPr>
              <w:spacing w:before="0" w:after="160" w:line="276" w:lineRule="auto"/>
              <w:ind w:right="-114"/>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i/>
                <w:sz w:val="20"/>
                <w:highlight w:val="lightGray"/>
              </w:rPr>
            </w:pPr>
            <w:r w:rsidRPr="00D633FF">
              <w:rPr>
                <w:rFonts w:ascii="Calibri" w:eastAsia="Times New Roman" w:hAnsi="Calibri" w:cs="Calibri"/>
                <w:sz w:val="20"/>
              </w:rPr>
              <w:t>Maintaining the current ULs for children</w:t>
            </w:r>
            <w:r w:rsidRPr="00D633FF">
              <w:rPr>
                <w:rFonts w:ascii="Calibri" w:eastAsia="Times New Roman" w:hAnsi="Calibri" w:cs="Calibri"/>
                <w:sz w:val="20"/>
                <w:szCs w:val="20"/>
              </w:rPr>
              <w:t xml:space="preserve"> should continue to protect the most individuals from the health effects of selenium excess.</w:t>
            </w:r>
          </w:p>
        </w:tc>
        <w:tc>
          <w:tcPr>
            <w:tcW w:w="6349" w:type="dxa"/>
            <w:tcBorders>
              <w:top w:val="single" w:sz="4" w:space="0" w:color="auto"/>
              <w:left w:val="single" w:sz="4" w:space="0" w:color="auto"/>
              <w:bottom w:val="single" w:sz="4" w:space="0" w:color="auto"/>
              <w:right w:val="single" w:sz="4" w:space="0" w:color="auto"/>
            </w:tcBorders>
          </w:tcPr>
          <w:p w14:paraId="09BA759F" w14:textId="77777777" w:rsidR="005C5475" w:rsidRPr="00D633FF" w:rsidRDefault="005C5475" w:rsidP="00B36E34">
            <w:pPr>
              <w:spacing w:before="0" w:after="160" w:line="276" w:lineRule="auto"/>
              <w:ind w:right="-114"/>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rPr>
            </w:pPr>
            <w:r w:rsidRPr="00D633FF">
              <w:rPr>
                <w:rFonts w:ascii="Calibri" w:eastAsia="Times New Roman" w:hAnsi="Calibri" w:cs="Calibri"/>
                <w:sz w:val="20"/>
              </w:rPr>
              <w:t xml:space="preserve">The UL should aim to be protective of almost all individuals within the population. </w:t>
            </w:r>
          </w:p>
          <w:p w14:paraId="513F1C05" w14:textId="77777777" w:rsidR="005C5475" w:rsidRPr="00D633FF" w:rsidRDefault="005C5475" w:rsidP="00B36E34">
            <w:pPr>
              <w:spacing w:before="0" w:after="160" w:line="276" w:lineRule="auto"/>
              <w:ind w:right="31"/>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highlight w:val="lightGray"/>
              </w:rPr>
            </w:pPr>
            <w:r w:rsidRPr="00D633FF">
              <w:rPr>
                <w:rFonts w:ascii="Calibri" w:eastAsia="Times New Roman" w:hAnsi="Calibri" w:cs="Calibri"/>
                <w:sz w:val="20"/>
              </w:rPr>
              <w:t>Adapting EFSAs ULs and extrapolating for children</w:t>
            </w:r>
            <w:r w:rsidRPr="00D633FF">
              <w:rPr>
                <w:rFonts w:ascii="Calibri" w:eastAsia="Times New Roman" w:hAnsi="Calibri" w:cs="Calibri"/>
                <w:sz w:val="20"/>
                <w:szCs w:val="20"/>
              </w:rPr>
              <w:t xml:space="preserve"> should continue to protect the most individuals from the health effects of selenium excess.</w:t>
            </w:r>
          </w:p>
          <w:p w14:paraId="7D22BBB0" w14:textId="77777777" w:rsidR="005C5475" w:rsidRPr="00D633FF" w:rsidRDefault="005C5475" w:rsidP="00B36E34">
            <w:pPr>
              <w:spacing w:before="0" w:after="160" w:line="276" w:lineRule="auto"/>
              <w:ind w:right="31"/>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highlight w:val="lightGray"/>
              </w:rPr>
            </w:pPr>
          </w:p>
        </w:tc>
      </w:tr>
      <w:tr w:rsidR="00614F6C" w:rsidRPr="00D633FF" w14:paraId="0CF4CAAC" w14:textId="77777777" w:rsidTr="000477FA">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500" w:type="dxa"/>
            <w:tcBorders>
              <w:top w:val="single" w:sz="4" w:space="0" w:color="auto"/>
              <w:left w:val="single" w:sz="4" w:space="0" w:color="auto"/>
              <w:bottom w:val="single" w:sz="4" w:space="0" w:color="auto"/>
              <w:right w:val="single" w:sz="4" w:space="0" w:color="auto"/>
            </w:tcBorders>
            <w:shd w:val="clear" w:color="auto" w:fill="83CAEB" w:themeFill="accent1" w:themeFillTint="66"/>
          </w:tcPr>
          <w:p w14:paraId="37D1C266" w14:textId="77777777" w:rsidR="005C5475" w:rsidRPr="00D633FF" w:rsidRDefault="005C5475" w:rsidP="00A41BD1">
            <w:pPr>
              <w:spacing w:before="0" w:after="160" w:line="276" w:lineRule="auto"/>
              <w:rPr>
                <w:rFonts w:ascii="Calibri" w:eastAsia="Arial" w:hAnsi="Calibri" w:cs="Calibri"/>
                <w:color w:val="auto"/>
                <w:sz w:val="20"/>
              </w:rPr>
            </w:pPr>
            <w:r w:rsidRPr="00D633FF">
              <w:rPr>
                <w:rFonts w:ascii="Calibri" w:eastAsia="Arial" w:hAnsi="Calibri" w:cs="Calibri"/>
                <w:color w:val="auto"/>
                <w:sz w:val="20"/>
              </w:rPr>
              <w:t>Decision</w:t>
            </w:r>
          </w:p>
        </w:tc>
        <w:tc>
          <w:tcPr>
            <w:tcW w:w="12349"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tcPr>
          <w:p w14:paraId="051B8CCA" w14:textId="077387AD" w:rsidR="005C5475" w:rsidRPr="00D633FF" w:rsidRDefault="005C5475" w:rsidP="00DC1FB9">
            <w:pPr>
              <w:spacing w:before="0" w:after="160" w:line="276" w:lineRule="auto"/>
              <w:ind w:right="-114"/>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20"/>
                <w:szCs w:val="20"/>
              </w:rPr>
            </w:pPr>
            <w:r w:rsidRPr="00D633FF">
              <w:rPr>
                <w:rFonts w:ascii="Calibri" w:eastAsia="Times New Roman" w:hAnsi="Calibri" w:cs="Calibri"/>
                <w:i/>
                <w:iCs/>
                <w:sz w:val="20"/>
                <w:szCs w:val="20"/>
              </w:rPr>
              <w:t xml:space="preserve">Adapt EFSAs 2023 UL </w:t>
            </w:r>
            <w:r w:rsidR="004D7351" w:rsidRPr="00D633FF">
              <w:rPr>
                <w:rFonts w:ascii="Calibri" w:eastAsia="Times New Roman" w:hAnsi="Calibri" w:cs="Calibri"/>
                <w:i/>
                <w:iCs/>
                <w:sz w:val="20"/>
                <w:szCs w:val="20"/>
              </w:rPr>
              <w:t xml:space="preserve">to the Australian </w:t>
            </w:r>
            <w:r w:rsidRPr="00D633FF">
              <w:rPr>
                <w:rFonts w:ascii="Calibri" w:eastAsia="Times New Roman" w:hAnsi="Calibri" w:cs="Calibri"/>
                <w:i/>
                <w:iCs/>
                <w:sz w:val="20"/>
                <w:szCs w:val="20"/>
              </w:rPr>
              <w:t xml:space="preserve">and </w:t>
            </w:r>
            <w:r w:rsidR="004D7351" w:rsidRPr="00D633FF">
              <w:rPr>
                <w:rFonts w:ascii="Calibri" w:eastAsia="Times New Roman" w:hAnsi="Calibri" w:cs="Calibri"/>
                <w:i/>
                <w:iCs/>
                <w:sz w:val="20"/>
                <w:szCs w:val="20"/>
              </w:rPr>
              <w:t xml:space="preserve">New Zealand context by </w:t>
            </w:r>
            <w:r w:rsidRPr="00D633FF">
              <w:rPr>
                <w:rFonts w:ascii="Calibri" w:eastAsia="Times New Roman" w:hAnsi="Calibri" w:cs="Calibri"/>
                <w:i/>
                <w:iCs/>
                <w:sz w:val="20"/>
                <w:szCs w:val="20"/>
              </w:rPr>
              <w:t>extrapolat</w:t>
            </w:r>
            <w:r w:rsidR="004D7351" w:rsidRPr="00D633FF">
              <w:rPr>
                <w:rFonts w:ascii="Calibri" w:eastAsia="Times New Roman" w:hAnsi="Calibri" w:cs="Calibri"/>
                <w:i/>
                <w:iCs/>
                <w:sz w:val="20"/>
                <w:szCs w:val="20"/>
              </w:rPr>
              <w:t xml:space="preserve">ing adapted adult values to </w:t>
            </w:r>
            <w:r w:rsidRPr="00D633FF">
              <w:rPr>
                <w:rFonts w:ascii="Calibri" w:eastAsia="Times New Roman" w:hAnsi="Calibri" w:cs="Calibri"/>
                <w:i/>
                <w:iCs/>
                <w:sz w:val="20"/>
                <w:szCs w:val="20"/>
              </w:rPr>
              <w:t>children</w:t>
            </w:r>
            <w:r w:rsidR="004D7351" w:rsidRPr="00D633FF">
              <w:rPr>
                <w:rFonts w:ascii="Calibri" w:eastAsia="Times New Roman" w:hAnsi="Calibri" w:cs="Calibri"/>
                <w:i/>
                <w:iCs/>
                <w:sz w:val="20"/>
                <w:szCs w:val="20"/>
              </w:rPr>
              <w:t xml:space="preserve"> using current reference weights.</w:t>
            </w:r>
          </w:p>
        </w:tc>
      </w:tr>
    </w:tbl>
    <w:p w14:paraId="101F601D" w14:textId="77777777" w:rsidR="004D7351" w:rsidRPr="00D633FF" w:rsidRDefault="004D7351">
      <w:pPr>
        <w:rPr>
          <w:rFonts w:ascii="Calibri" w:eastAsia="SimHei" w:hAnsi="Calibri" w:cs="Calibri"/>
          <w:color w:val="09002E"/>
          <w:sz w:val="24"/>
          <w:szCs w:val="24"/>
        </w:rPr>
      </w:pPr>
      <w:r w:rsidRPr="00D633FF">
        <w:rPr>
          <w:rFonts w:ascii="Calibri" w:eastAsia="SimHei" w:hAnsi="Calibri" w:cs="Calibri"/>
          <w:color w:val="09002E"/>
          <w:sz w:val="24"/>
          <w:szCs w:val="24"/>
        </w:rPr>
        <w:br w:type="page"/>
      </w:r>
    </w:p>
    <w:p w14:paraId="3B8B0967" w14:textId="79781DE2" w:rsidR="005C5475" w:rsidRPr="00B368DB" w:rsidRDefault="005C5475" w:rsidP="005C5475">
      <w:pPr>
        <w:spacing w:before="120" w:after="60" w:line="240" w:lineRule="atLeast"/>
        <w:rPr>
          <w:rFonts w:ascii="Calibri" w:eastAsia="SimHei" w:hAnsi="Calibri" w:cs="Calibri"/>
          <w:b/>
          <w:bCs/>
          <w:color w:val="09002E"/>
          <w:sz w:val="24"/>
          <w:szCs w:val="24"/>
        </w:rPr>
      </w:pPr>
      <w:r w:rsidRPr="00B368DB">
        <w:rPr>
          <w:rFonts w:ascii="Calibri" w:eastAsia="SimHei" w:hAnsi="Calibri" w:cs="Calibri"/>
          <w:b/>
          <w:bCs/>
          <w:color w:val="09002E"/>
          <w:sz w:val="24"/>
          <w:szCs w:val="24"/>
        </w:rPr>
        <w:lastRenderedPageBreak/>
        <w:t>References</w:t>
      </w:r>
    </w:p>
    <w:p w14:paraId="037345F8" w14:textId="2301AA7B" w:rsidR="00493C3F" w:rsidRPr="00D633FF" w:rsidRDefault="00493C3F" w:rsidP="00AF3BF2">
      <w:pPr>
        <w:pStyle w:val="EndNoteBibliography"/>
        <w:spacing w:after="0"/>
        <w:ind w:left="720" w:hanging="720"/>
        <w:rPr>
          <w:rFonts w:ascii="Calibri" w:hAnsi="Calibri" w:cs="Calibri"/>
        </w:rPr>
      </w:pPr>
      <w:r w:rsidRPr="00D633FF">
        <w:rPr>
          <w:rFonts w:ascii="Calibri" w:hAnsi="Calibri" w:cs="Calibri"/>
        </w:rPr>
        <w:t xml:space="preserve">ABS. (2011). </w:t>
      </w:r>
      <w:r w:rsidRPr="00D633FF">
        <w:rPr>
          <w:rFonts w:ascii="Calibri" w:hAnsi="Calibri" w:cs="Calibri"/>
          <w:i/>
        </w:rPr>
        <w:t xml:space="preserve">Australian Health Survey: Usual Nutrient Intakes </w:t>
      </w:r>
      <w:r w:rsidRPr="00D633FF">
        <w:rPr>
          <w:rFonts w:ascii="Calibri" w:hAnsi="Calibri" w:cs="Calibri"/>
        </w:rPr>
        <w:t xml:space="preserve">Australian Bureau of Statistics. date accessed 15 August 2025 </w:t>
      </w:r>
      <w:hyperlink r:id="rId50" w:history="1">
        <w:r w:rsidR="0032492E" w:rsidRPr="00D633FF">
          <w:rPr>
            <w:rStyle w:val="Hyperlink"/>
            <w:rFonts w:ascii="Calibri" w:hAnsi="Calibri" w:cs="Calibri"/>
          </w:rPr>
          <w:t>https://www.abs.gov.au/statistics/health/health-conditions-and-risks/usual-nutrient-intakes/latest-release</w:t>
        </w:r>
      </w:hyperlink>
      <w:r w:rsidR="0032492E" w:rsidRPr="00D633FF">
        <w:rPr>
          <w:rFonts w:ascii="Calibri" w:hAnsi="Calibri" w:cs="Calibri"/>
        </w:rPr>
        <w:t xml:space="preserve"> </w:t>
      </w:r>
      <w:r w:rsidRPr="00D633FF">
        <w:rPr>
          <w:rFonts w:ascii="Calibri" w:hAnsi="Calibri" w:cs="Calibri"/>
        </w:rPr>
        <w:t xml:space="preserve"> </w:t>
      </w:r>
      <w:r w:rsidR="00146E1D" w:rsidRPr="00D633FF">
        <w:rPr>
          <w:rFonts w:ascii="Calibri" w:hAnsi="Calibri" w:cs="Calibri"/>
        </w:rPr>
        <w:t xml:space="preserve"> </w:t>
      </w:r>
      <w:r w:rsidRPr="00D633FF">
        <w:rPr>
          <w:rFonts w:ascii="Calibri" w:hAnsi="Calibri" w:cs="Calibri"/>
        </w:rPr>
        <w:t xml:space="preserve"> </w:t>
      </w:r>
    </w:p>
    <w:p w14:paraId="028A51F3" w14:textId="3DAC7AE6" w:rsidR="00493C3F" w:rsidRPr="00D633FF" w:rsidRDefault="00493C3F" w:rsidP="00493C3F">
      <w:pPr>
        <w:pStyle w:val="EndNoteBibliography"/>
        <w:spacing w:after="0"/>
        <w:ind w:left="720" w:hanging="720"/>
        <w:rPr>
          <w:rFonts w:ascii="Calibri" w:hAnsi="Calibri" w:cs="Calibri"/>
        </w:rPr>
      </w:pPr>
      <w:r w:rsidRPr="00D633FF">
        <w:rPr>
          <w:rFonts w:ascii="Calibri" w:hAnsi="Calibri" w:cs="Calibri"/>
        </w:rPr>
        <w:t xml:space="preserve">ABS. (2025). </w:t>
      </w:r>
      <w:r w:rsidRPr="00D633FF">
        <w:rPr>
          <w:rFonts w:ascii="Calibri" w:hAnsi="Calibri" w:cs="Calibri"/>
          <w:i/>
        </w:rPr>
        <w:t>Dietary supplements. Information on consumption of dietary supplements (including fibre and protein) in Australia. Reference period 2023.</w:t>
      </w:r>
      <w:r w:rsidRPr="00D633FF">
        <w:rPr>
          <w:rFonts w:ascii="Calibri" w:hAnsi="Calibri" w:cs="Calibri"/>
        </w:rPr>
        <w:t xml:space="preserve"> Australian Bureau of Statistics. date accessed 23 October 2025 </w:t>
      </w:r>
      <w:hyperlink r:id="rId51" w:anchor=":~:text=Methodology-,Key%20statistics,included%20the%20following%20listed%20medicines" w:history="1">
        <w:r w:rsidR="00327DDC" w:rsidRPr="00D633FF">
          <w:rPr>
            <w:rStyle w:val="Hyperlink"/>
            <w:rFonts w:ascii="Calibri" w:hAnsi="Calibri" w:cs="Calibri"/>
          </w:rPr>
          <w:t>https://www.abs.gov.au/statistics/health/food-and-nutrition/dietary-supplements/latest-release#:~:text=Methodology-,Key%20statistics,included%20the%20following%20listed%20medicines</w:t>
        </w:r>
      </w:hyperlink>
      <w:r w:rsidRPr="00D633FF">
        <w:rPr>
          <w:rFonts w:ascii="Calibri" w:hAnsi="Calibri" w:cs="Calibri"/>
        </w:rPr>
        <w:t>:</w:t>
      </w:r>
      <w:r w:rsidR="00327DDC" w:rsidRPr="00D633FF">
        <w:rPr>
          <w:rFonts w:ascii="Calibri" w:hAnsi="Calibri" w:cs="Calibri"/>
        </w:rPr>
        <w:t xml:space="preserve"> </w:t>
      </w:r>
      <w:r w:rsidRPr="00D633FF">
        <w:rPr>
          <w:rFonts w:ascii="Calibri" w:hAnsi="Calibri" w:cs="Calibri"/>
        </w:rPr>
        <w:t xml:space="preserve"> </w:t>
      </w:r>
    </w:p>
    <w:p w14:paraId="5B2FC5A0" w14:textId="20DE248A" w:rsidR="00493C3F" w:rsidRPr="00D633FF" w:rsidRDefault="00493C3F" w:rsidP="00493C3F">
      <w:pPr>
        <w:pStyle w:val="EndNoteBibliography"/>
        <w:spacing w:after="0"/>
        <w:ind w:left="720" w:hanging="720"/>
        <w:rPr>
          <w:rFonts w:ascii="Calibri" w:hAnsi="Calibri" w:cs="Calibri"/>
        </w:rPr>
      </w:pPr>
      <w:r w:rsidRPr="00D633FF">
        <w:rPr>
          <w:rFonts w:ascii="Calibri" w:hAnsi="Calibri" w:cs="Calibri"/>
        </w:rPr>
        <w:t xml:space="preserve">Alexander J, &amp; Olsen AK. (2023). Selenium - a scoping review for Nordic Nutrition Recommendations 2023. </w:t>
      </w:r>
      <w:r w:rsidRPr="00D633FF">
        <w:rPr>
          <w:rFonts w:ascii="Calibri" w:hAnsi="Calibri" w:cs="Calibri"/>
          <w:i/>
        </w:rPr>
        <w:t>Food Nutr Res</w:t>
      </w:r>
      <w:r w:rsidRPr="00D633FF">
        <w:rPr>
          <w:rFonts w:ascii="Calibri" w:hAnsi="Calibri" w:cs="Calibri"/>
        </w:rPr>
        <w:t>,</w:t>
      </w:r>
      <w:r w:rsidRPr="00D633FF">
        <w:rPr>
          <w:rFonts w:ascii="Calibri" w:hAnsi="Calibri" w:cs="Calibri"/>
          <w:i/>
        </w:rPr>
        <w:t xml:space="preserve"> 67</w:t>
      </w:r>
      <w:r w:rsidRPr="00D633FF">
        <w:rPr>
          <w:rFonts w:ascii="Calibri" w:hAnsi="Calibri" w:cs="Calibri"/>
        </w:rPr>
        <w:t xml:space="preserve">. </w:t>
      </w:r>
      <w:hyperlink r:id="rId52" w:history="1">
        <w:r w:rsidR="00327DDC" w:rsidRPr="00D633FF">
          <w:rPr>
            <w:rStyle w:val="Hyperlink"/>
            <w:rFonts w:ascii="Calibri" w:hAnsi="Calibri" w:cs="Calibri"/>
          </w:rPr>
          <w:t>https://doi.org/10.29219/fnr.v67.10320</w:t>
        </w:r>
      </w:hyperlink>
      <w:r w:rsidR="00327DDC" w:rsidRPr="00D633FF">
        <w:rPr>
          <w:rFonts w:ascii="Calibri" w:hAnsi="Calibri" w:cs="Calibri"/>
        </w:rPr>
        <w:t xml:space="preserve"> </w:t>
      </w:r>
      <w:r w:rsidRPr="00D633FF">
        <w:rPr>
          <w:rFonts w:ascii="Calibri" w:hAnsi="Calibri" w:cs="Calibri"/>
        </w:rPr>
        <w:t xml:space="preserve"> </w:t>
      </w:r>
    </w:p>
    <w:p w14:paraId="5655141B" w14:textId="77777777" w:rsidR="00493C3F" w:rsidRPr="00D633FF" w:rsidRDefault="00493C3F" w:rsidP="00493C3F">
      <w:pPr>
        <w:pStyle w:val="EndNoteBibliography"/>
        <w:spacing w:after="0"/>
        <w:ind w:left="720" w:hanging="720"/>
        <w:rPr>
          <w:rFonts w:ascii="Calibri" w:hAnsi="Calibri" w:cs="Calibri"/>
        </w:rPr>
      </w:pPr>
      <w:r w:rsidRPr="00D633FF">
        <w:rPr>
          <w:rFonts w:ascii="Calibri" w:hAnsi="Calibri" w:cs="Calibri"/>
        </w:rPr>
        <w:t xml:space="preserve">Algotar AM, Stratton MS, Ahmann FR, Ranger‐Moore J, Nagle RB, Thompson PA, Slate E, Hsu CH, Dalkin BL, &amp; Sindhwani P. (2013). Phase 3 clinical trial investigating the effect of selenium supplementation in men at high‐risk for prostate cancer. </w:t>
      </w:r>
      <w:r w:rsidRPr="00D633FF">
        <w:rPr>
          <w:rFonts w:ascii="Calibri" w:hAnsi="Calibri" w:cs="Calibri"/>
          <w:i/>
        </w:rPr>
        <w:t>The Prostate</w:t>
      </w:r>
      <w:r w:rsidRPr="00D633FF">
        <w:rPr>
          <w:rFonts w:ascii="Calibri" w:hAnsi="Calibri" w:cs="Calibri"/>
        </w:rPr>
        <w:t>,</w:t>
      </w:r>
      <w:r w:rsidRPr="00D633FF">
        <w:rPr>
          <w:rFonts w:ascii="Calibri" w:hAnsi="Calibri" w:cs="Calibri"/>
          <w:i/>
        </w:rPr>
        <w:t xml:space="preserve"> 73</w:t>
      </w:r>
      <w:r w:rsidRPr="00D633FF">
        <w:rPr>
          <w:rFonts w:ascii="Calibri" w:hAnsi="Calibri" w:cs="Calibri"/>
        </w:rPr>
        <w:t xml:space="preserve">(3), 328-335. </w:t>
      </w:r>
    </w:p>
    <w:p w14:paraId="2FBA0887" w14:textId="0B669FA8" w:rsidR="00493C3F" w:rsidRPr="00D633FF" w:rsidRDefault="00493C3F" w:rsidP="00493C3F">
      <w:pPr>
        <w:pStyle w:val="EndNoteBibliography"/>
        <w:spacing w:after="0"/>
        <w:ind w:left="720" w:hanging="720"/>
        <w:rPr>
          <w:rFonts w:ascii="Calibri" w:hAnsi="Calibri" w:cs="Calibri"/>
        </w:rPr>
      </w:pPr>
      <w:r w:rsidRPr="00D633FF">
        <w:rPr>
          <w:rFonts w:ascii="Calibri" w:hAnsi="Calibri" w:cs="Calibri"/>
        </w:rPr>
        <w:t xml:space="preserve">Australian Bureau of Statistics. (2019). </w:t>
      </w:r>
      <w:r w:rsidRPr="00D633FF">
        <w:rPr>
          <w:rFonts w:ascii="Calibri" w:hAnsi="Calibri" w:cs="Calibri"/>
          <w:i/>
        </w:rPr>
        <w:t>National Health Survey: First Results, 2017-18</w:t>
      </w:r>
      <w:r w:rsidRPr="00D633FF">
        <w:rPr>
          <w:rFonts w:ascii="Calibri" w:hAnsi="Calibri" w:cs="Calibri"/>
        </w:rPr>
        <w:t xml:space="preserve"> (</w:t>
      </w:r>
      <w:hyperlink r:id="rId53" w:history="1">
        <w:r w:rsidR="00327DDC" w:rsidRPr="00D633FF">
          <w:rPr>
            <w:rStyle w:val="Hyperlink"/>
            <w:rFonts w:ascii="Calibri" w:hAnsi="Calibri" w:cs="Calibri"/>
          </w:rPr>
          <w:t>https://www.abs.gov.au/ausstats/abs@.nsf/dd0ca10eed681f12ca2570ce0082655d/5eaae4309d9a2baeca257aa30014c736!OpenDocument</w:t>
        </w:r>
      </w:hyperlink>
      <w:r w:rsidR="00327DDC" w:rsidRPr="00D633FF">
        <w:rPr>
          <w:rFonts w:ascii="Calibri" w:hAnsi="Calibri" w:cs="Calibri"/>
        </w:rPr>
        <w:t xml:space="preserve"> </w:t>
      </w:r>
      <w:r w:rsidRPr="00D633FF">
        <w:rPr>
          <w:rFonts w:ascii="Calibri" w:hAnsi="Calibri" w:cs="Calibri"/>
        </w:rPr>
        <w:t xml:space="preserve"> </w:t>
      </w:r>
    </w:p>
    <w:p w14:paraId="18A77DB7" w14:textId="17D9C6D4" w:rsidR="00493C3F" w:rsidRPr="00D633FF" w:rsidRDefault="00493C3F" w:rsidP="00493C3F">
      <w:pPr>
        <w:pStyle w:val="EndNoteBibliography"/>
        <w:spacing w:after="0"/>
        <w:ind w:left="720" w:hanging="720"/>
        <w:rPr>
          <w:rFonts w:ascii="Calibri" w:hAnsi="Calibri" w:cs="Calibri"/>
        </w:rPr>
      </w:pPr>
      <w:r w:rsidRPr="00D633FF">
        <w:rPr>
          <w:rFonts w:ascii="Calibri" w:hAnsi="Calibri" w:cs="Calibri"/>
        </w:rPr>
        <w:t xml:space="preserve">Australian Government. (2021). Schedule 17 - Vitamins and minerals. In </w:t>
      </w:r>
      <w:r w:rsidRPr="00D633FF">
        <w:rPr>
          <w:rFonts w:ascii="Calibri" w:hAnsi="Calibri" w:cs="Calibri"/>
          <w:i/>
        </w:rPr>
        <w:t>Federal Register of Legislation - Australia New Zealand Food Standards Code</w:t>
      </w:r>
      <w:r w:rsidRPr="00D633FF">
        <w:rPr>
          <w:rFonts w:ascii="Calibri" w:hAnsi="Calibri" w:cs="Calibri"/>
        </w:rPr>
        <w:t xml:space="preserve">. date accessed 25 August 2025 </w:t>
      </w:r>
      <w:hyperlink r:id="rId54" w:history="1">
        <w:r w:rsidR="00327DDC" w:rsidRPr="00D633FF">
          <w:rPr>
            <w:rStyle w:val="Hyperlink"/>
            <w:rFonts w:ascii="Calibri" w:hAnsi="Calibri" w:cs="Calibri"/>
          </w:rPr>
          <w:t>https://www.legislation.gov.au/F2015L00449/latest/text</w:t>
        </w:r>
      </w:hyperlink>
      <w:r w:rsidR="00327DDC" w:rsidRPr="00D633FF">
        <w:rPr>
          <w:rFonts w:ascii="Calibri" w:hAnsi="Calibri" w:cs="Calibri"/>
        </w:rPr>
        <w:t xml:space="preserve"> </w:t>
      </w:r>
      <w:r w:rsidRPr="00D633FF">
        <w:rPr>
          <w:rFonts w:ascii="Calibri" w:hAnsi="Calibri" w:cs="Calibri"/>
        </w:rPr>
        <w:t xml:space="preserve"> </w:t>
      </w:r>
    </w:p>
    <w:p w14:paraId="18FBA84E" w14:textId="2374ADF6" w:rsidR="00493C3F" w:rsidRPr="00D633FF" w:rsidRDefault="00493C3F" w:rsidP="00493C3F">
      <w:pPr>
        <w:pStyle w:val="EndNoteBibliography"/>
        <w:spacing w:after="0"/>
        <w:ind w:left="720" w:hanging="720"/>
        <w:rPr>
          <w:rFonts w:ascii="Calibri" w:hAnsi="Calibri" w:cs="Calibri"/>
        </w:rPr>
      </w:pPr>
      <w:r w:rsidRPr="00D633FF">
        <w:rPr>
          <w:rFonts w:ascii="Calibri" w:hAnsi="Calibri" w:cs="Calibri"/>
        </w:rPr>
        <w:t xml:space="preserve">Australian Government. (2025a). Schedule 2 - Pharmacy medicines. In </w:t>
      </w:r>
      <w:r w:rsidRPr="00D633FF">
        <w:rPr>
          <w:rFonts w:ascii="Calibri" w:hAnsi="Calibri" w:cs="Calibri"/>
          <w:i/>
        </w:rPr>
        <w:t>Federal Register of Legislation - Therapeutic Goods (Poisons standards - June 2025) Instrument 2025</w:t>
      </w:r>
      <w:r w:rsidRPr="00D633FF">
        <w:rPr>
          <w:rFonts w:ascii="Calibri" w:hAnsi="Calibri" w:cs="Calibri"/>
        </w:rPr>
        <w:t xml:space="preserve">. date accessed 25 August 2025 </w:t>
      </w:r>
      <w:hyperlink r:id="rId55" w:history="1">
        <w:r w:rsidR="00327DDC" w:rsidRPr="00D633FF">
          <w:rPr>
            <w:rStyle w:val="Hyperlink"/>
            <w:rFonts w:ascii="Calibri" w:hAnsi="Calibri" w:cs="Calibri"/>
          </w:rPr>
          <w:t>https://www.legislation.gov.au/F2025L00599/asmade/text</w:t>
        </w:r>
      </w:hyperlink>
      <w:r w:rsidR="00327DDC" w:rsidRPr="00D633FF">
        <w:rPr>
          <w:rFonts w:ascii="Calibri" w:hAnsi="Calibri" w:cs="Calibri"/>
        </w:rPr>
        <w:t xml:space="preserve"> </w:t>
      </w:r>
      <w:r w:rsidRPr="00D633FF">
        <w:rPr>
          <w:rFonts w:ascii="Calibri" w:hAnsi="Calibri" w:cs="Calibri"/>
        </w:rPr>
        <w:t xml:space="preserve"> </w:t>
      </w:r>
    </w:p>
    <w:p w14:paraId="19D0CFE8" w14:textId="229B10F9" w:rsidR="00493C3F" w:rsidRPr="00D633FF" w:rsidRDefault="00493C3F" w:rsidP="00493C3F">
      <w:pPr>
        <w:pStyle w:val="EndNoteBibliography"/>
        <w:spacing w:after="0"/>
        <w:ind w:left="720" w:hanging="720"/>
        <w:rPr>
          <w:rFonts w:ascii="Calibri" w:hAnsi="Calibri" w:cs="Calibri"/>
        </w:rPr>
      </w:pPr>
      <w:r w:rsidRPr="00D633FF">
        <w:rPr>
          <w:rFonts w:ascii="Calibri" w:hAnsi="Calibri" w:cs="Calibri"/>
        </w:rPr>
        <w:t xml:space="preserve">Australian Government. (2025b). Schedule 4 - Prescription only medicines and prescription animal remedies. In </w:t>
      </w:r>
      <w:r w:rsidRPr="00D633FF">
        <w:rPr>
          <w:rFonts w:ascii="Calibri" w:hAnsi="Calibri" w:cs="Calibri"/>
          <w:i/>
        </w:rPr>
        <w:t>Federal Register of Legislation - Therapeutic Goods (Poisons standards - June 2025) Instrument 2025</w:t>
      </w:r>
      <w:r w:rsidRPr="00D633FF">
        <w:rPr>
          <w:rFonts w:ascii="Calibri" w:hAnsi="Calibri" w:cs="Calibri"/>
        </w:rPr>
        <w:t xml:space="preserve">. date accessed 25 August 2025 </w:t>
      </w:r>
      <w:hyperlink r:id="rId56" w:history="1">
        <w:r w:rsidR="00327DDC" w:rsidRPr="00D633FF">
          <w:rPr>
            <w:rStyle w:val="Hyperlink"/>
            <w:rFonts w:ascii="Calibri" w:hAnsi="Calibri" w:cs="Calibri"/>
          </w:rPr>
          <w:t>https://www.legislation.gov.au/F2025L00599/asmade/text</w:t>
        </w:r>
      </w:hyperlink>
      <w:r w:rsidR="00327DDC" w:rsidRPr="00D633FF">
        <w:rPr>
          <w:rFonts w:ascii="Calibri" w:hAnsi="Calibri" w:cs="Calibri"/>
        </w:rPr>
        <w:t xml:space="preserve"> </w:t>
      </w:r>
      <w:r w:rsidRPr="00D633FF">
        <w:rPr>
          <w:rFonts w:ascii="Calibri" w:hAnsi="Calibri" w:cs="Calibri"/>
        </w:rPr>
        <w:t xml:space="preserve"> </w:t>
      </w:r>
    </w:p>
    <w:p w14:paraId="24E7A3AA" w14:textId="1482289D" w:rsidR="00493C3F" w:rsidRPr="00D633FF" w:rsidRDefault="00493C3F" w:rsidP="00493C3F">
      <w:pPr>
        <w:pStyle w:val="EndNoteBibliography"/>
        <w:spacing w:after="0"/>
        <w:ind w:left="720" w:hanging="720"/>
        <w:rPr>
          <w:rFonts w:ascii="Calibri" w:hAnsi="Calibri" w:cs="Calibri"/>
        </w:rPr>
      </w:pPr>
      <w:r w:rsidRPr="00D633FF">
        <w:rPr>
          <w:rFonts w:ascii="Calibri" w:hAnsi="Calibri" w:cs="Calibri"/>
        </w:rPr>
        <w:t xml:space="preserve">Australian Government. (2025c). Schedule 29 - Special purpose foods. In </w:t>
      </w:r>
      <w:r w:rsidRPr="00D633FF">
        <w:rPr>
          <w:rFonts w:ascii="Calibri" w:hAnsi="Calibri" w:cs="Calibri"/>
          <w:i/>
        </w:rPr>
        <w:t>Federal Register of Legislation - Australia New Zealand Food Standards Code</w:t>
      </w:r>
      <w:r w:rsidRPr="00D633FF">
        <w:rPr>
          <w:rFonts w:ascii="Calibri" w:hAnsi="Calibri" w:cs="Calibri"/>
        </w:rPr>
        <w:t xml:space="preserve">. date accessed 25 August 2025 </w:t>
      </w:r>
      <w:hyperlink r:id="rId57" w:history="1">
        <w:r w:rsidR="00327DDC" w:rsidRPr="00D633FF">
          <w:rPr>
            <w:rStyle w:val="Hyperlink"/>
            <w:rFonts w:ascii="Calibri" w:hAnsi="Calibri" w:cs="Calibri"/>
          </w:rPr>
          <w:t>https://www.legislation.gov.au/F2015L00463/latest/text</w:t>
        </w:r>
      </w:hyperlink>
      <w:r w:rsidR="00327DDC" w:rsidRPr="00D633FF">
        <w:rPr>
          <w:rFonts w:ascii="Calibri" w:hAnsi="Calibri" w:cs="Calibri"/>
        </w:rPr>
        <w:t xml:space="preserve"> </w:t>
      </w:r>
      <w:r w:rsidRPr="00D633FF">
        <w:rPr>
          <w:rFonts w:ascii="Calibri" w:hAnsi="Calibri" w:cs="Calibri"/>
        </w:rPr>
        <w:t xml:space="preserve"> </w:t>
      </w:r>
    </w:p>
    <w:p w14:paraId="44A94A55" w14:textId="77777777" w:rsidR="00B45C4F" w:rsidRDefault="00B45C4F" w:rsidP="00B45C4F">
      <w:pPr>
        <w:pStyle w:val="EndNoteBibliography"/>
        <w:spacing w:after="0"/>
        <w:ind w:left="720" w:hanging="720"/>
        <w:rPr>
          <w:rFonts w:ascii="Calibri" w:hAnsi="Calibri" w:cs="Calibri"/>
        </w:rPr>
      </w:pPr>
      <w:r w:rsidRPr="00DC54CD">
        <w:t xml:space="preserve">Baghurst K, Cobiac, L., Baghurst, P., Magary, A., &amp; Bryon, A. (2011). </w:t>
      </w:r>
      <w:r w:rsidRPr="00DC54CD">
        <w:rPr>
          <w:i/>
        </w:rPr>
        <w:t>A modelling system to inform the revision of the Australian Guide to Healthy Eating</w:t>
      </w:r>
      <w:r w:rsidRPr="00DC54CD">
        <w:t xml:space="preserve">. Dietitians Association of Australia for Department of Health and Ageing and National Health and Medical Research Council. </w:t>
      </w:r>
      <w:hyperlink r:id="rId58" w:history="1">
        <w:r w:rsidRPr="00DC54CD">
          <w:rPr>
            <w:rStyle w:val="Hyperlink"/>
          </w:rPr>
          <w:t>https://www.eatforhealth.gov.au/sites/default/files/files/the_guidelines/n55c_australian_dietary_guidelines_food_modelling_140121.pdf</w:t>
        </w:r>
      </w:hyperlink>
    </w:p>
    <w:p w14:paraId="3A482B4C" w14:textId="3436CC06" w:rsidR="00493C3F" w:rsidRPr="00D633FF" w:rsidRDefault="00493C3F" w:rsidP="00493C3F">
      <w:pPr>
        <w:pStyle w:val="EndNoteBibliography"/>
        <w:spacing w:after="0"/>
        <w:ind w:left="720" w:hanging="720"/>
        <w:rPr>
          <w:rFonts w:ascii="Calibri" w:hAnsi="Calibri" w:cs="Calibri"/>
        </w:rPr>
      </w:pPr>
      <w:r w:rsidRPr="00D633FF">
        <w:rPr>
          <w:rFonts w:ascii="Calibri" w:hAnsi="Calibri" w:cs="Calibri"/>
        </w:rPr>
        <w:t xml:space="preserve">Barceloux DG. (1999). Selenium. </w:t>
      </w:r>
      <w:r w:rsidRPr="00D633FF">
        <w:rPr>
          <w:rFonts w:ascii="Calibri" w:hAnsi="Calibri" w:cs="Calibri"/>
          <w:i/>
        </w:rPr>
        <w:t>J Toxicol Clin Toxicol</w:t>
      </w:r>
      <w:r w:rsidRPr="00D633FF">
        <w:rPr>
          <w:rFonts w:ascii="Calibri" w:hAnsi="Calibri" w:cs="Calibri"/>
        </w:rPr>
        <w:t>,</w:t>
      </w:r>
      <w:r w:rsidRPr="00D633FF">
        <w:rPr>
          <w:rFonts w:ascii="Calibri" w:hAnsi="Calibri" w:cs="Calibri"/>
          <w:i/>
        </w:rPr>
        <w:t xml:space="preserve"> 37</w:t>
      </w:r>
      <w:r w:rsidRPr="00D633FF">
        <w:rPr>
          <w:rFonts w:ascii="Calibri" w:hAnsi="Calibri" w:cs="Calibri"/>
        </w:rPr>
        <w:t xml:space="preserve">(2), 145-172. </w:t>
      </w:r>
      <w:hyperlink r:id="rId59" w:history="1">
        <w:r w:rsidR="00327DDC" w:rsidRPr="00D633FF">
          <w:rPr>
            <w:rStyle w:val="Hyperlink"/>
            <w:rFonts w:ascii="Calibri" w:hAnsi="Calibri" w:cs="Calibri"/>
          </w:rPr>
          <w:t>https://doi.org/10.1081/clt-100102417</w:t>
        </w:r>
      </w:hyperlink>
      <w:r w:rsidR="00327DDC" w:rsidRPr="00D633FF">
        <w:rPr>
          <w:rFonts w:ascii="Calibri" w:hAnsi="Calibri" w:cs="Calibri"/>
        </w:rPr>
        <w:t xml:space="preserve"> </w:t>
      </w:r>
      <w:r w:rsidRPr="00D633FF">
        <w:rPr>
          <w:rFonts w:ascii="Calibri" w:hAnsi="Calibri" w:cs="Calibri"/>
        </w:rPr>
        <w:t xml:space="preserve"> </w:t>
      </w:r>
    </w:p>
    <w:p w14:paraId="3FFAA0A5" w14:textId="77777777" w:rsidR="00493C3F" w:rsidRPr="00D633FF" w:rsidRDefault="00493C3F" w:rsidP="00493C3F">
      <w:pPr>
        <w:pStyle w:val="EndNoteBibliography"/>
        <w:spacing w:after="0"/>
        <w:ind w:left="720" w:hanging="720"/>
        <w:rPr>
          <w:rFonts w:ascii="Calibri" w:hAnsi="Calibri" w:cs="Calibri"/>
        </w:rPr>
      </w:pPr>
      <w:r w:rsidRPr="00D633FF">
        <w:rPr>
          <w:rFonts w:ascii="Calibri" w:hAnsi="Calibri" w:cs="Calibri"/>
        </w:rPr>
        <w:t xml:space="preserve">Brown KM, Pickard K, Nicol F, Beckett GJ, Duthie GG, &amp; Arthur JR. (2000). Effects of organic and inorganic selenium supplementation on selenoenzyme activity in blood lymphocytes, granulocytes, platelets and erythrocytes. </w:t>
      </w:r>
      <w:r w:rsidRPr="00D633FF">
        <w:rPr>
          <w:rFonts w:ascii="Calibri" w:hAnsi="Calibri" w:cs="Calibri"/>
          <w:i/>
        </w:rPr>
        <w:t>Clin Sci (Lond)</w:t>
      </w:r>
      <w:r w:rsidRPr="00D633FF">
        <w:rPr>
          <w:rFonts w:ascii="Calibri" w:hAnsi="Calibri" w:cs="Calibri"/>
        </w:rPr>
        <w:t>,</w:t>
      </w:r>
      <w:r w:rsidRPr="00D633FF">
        <w:rPr>
          <w:rFonts w:ascii="Calibri" w:hAnsi="Calibri" w:cs="Calibri"/>
          <w:i/>
        </w:rPr>
        <w:t xml:space="preserve"> 98</w:t>
      </w:r>
      <w:r w:rsidRPr="00D633FF">
        <w:rPr>
          <w:rFonts w:ascii="Calibri" w:hAnsi="Calibri" w:cs="Calibri"/>
        </w:rPr>
        <w:t xml:space="preserve">(5), 593-599. </w:t>
      </w:r>
    </w:p>
    <w:p w14:paraId="0E6C68BE" w14:textId="67453141" w:rsidR="00493C3F" w:rsidRPr="00D633FF" w:rsidRDefault="00493C3F" w:rsidP="00493C3F">
      <w:pPr>
        <w:pStyle w:val="EndNoteBibliography"/>
        <w:spacing w:after="0"/>
        <w:ind w:left="720" w:hanging="720"/>
        <w:rPr>
          <w:rFonts w:ascii="Calibri" w:hAnsi="Calibri" w:cs="Calibri"/>
        </w:rPr>
      </w:pPr>
      <w:r w:rsidRPr="00D633FF">
        <w:rPr>
          <w:rFonts w:ascii="Calibri" w:hAnsi="Calibri" w:cs="Calibri"/>
        </w:rPr>
        <w:lastRenderedPageBreak/>
        <w:t xml:space="preserve">Burk RF, &amp; Hill KE. (2015). Regulation of Selenium Metabolism and Transport. </w:t>
      </w:r>
      <w:r w:rsidRPr="00D633FF">
        <w:rPr>
          <w:rFonts w:ascii="Calibri" w:hAnsi="Calibri" w:cs="Calibri"/>
          <w:i/>
        </w:rPr>
        <w:t>Annu Rev Nutr</w:t>
      </w:r>
      <w:r w:rsidRPr="00D633FF">
        <w:rPr>
          <w:rFonts w:ascii="Calibri" w:hAnsi="Calibri" w:cs="Calibri"/>
        </w:rPr>
        <w:t>,</w:t>
      </w:r>
      <w:r w:rsidRPr="00D633FF">
        <w:rPr>
          <w:rFonts w:ascii="Calibri" w:hAnsi="Calibri" w:cs="Calibri"/>
          <w:i/>
        </w:rPr>
        <w:t xml:space="preserve"> 35</w:t>
      </w:r>
      <w:r w:rsidRPr="00D633FF">
        <w:rPr>
          <w:rFonts w:ascii="Calibri" w:hAnsi="Calibri" w:cs="Calibri"/>
        </w:rPr>
        <w:t xml:space="preserve">, 109-134. </w:t>
      </w:r>
      <w:hyperlink r:id="rId60" w:history="1">
        <w:r w:rsidR="00327DDC" w:rsidRPr="00D633FF">
          <w:rPr>
            <w:rStyle w:val="Hyperlink"/>
            <w:rFonts w:ascii="Calibri" w:hAnsi="Calibri" w:cs="Calibri"/>
          </w:rPr>
          <w:t>https://doi.org/10.1146/annurev-nutr-071714-034250</w:t>
        </w:r>
      </w:hyperlink>
      <w:r w:rsidR="00327DDC" w:rsidRPr="00D633FF">
        <w:rPr>
          <w:rFonts w:ascii="Calibri" w:hAnsi="Calibri" w:cs="Calibri"/>
        </w:rPr>
        <w:t xml:space="preserve"> </w:t>
      </w:r>
      <w:r w:rsidRPr="00D633FF">
        <w:rPr>
          <w:rFonts w:ascii="Calibri" w:hAnsi="Calibri" w:cs="Calibri"/>
        </w:rPr>
        <w:t xml:space="preserve"> </w:t>
      </w:r>
    </w:p>
    <w:p w14:paraId="3ED36027" w14:textId="017C915E" w:rsidR="00493C3F" w:rsidRPr="00D633FF" w:rsidRDefault="00493C3F" w:rsidP="00493C3F">
      <w:pPr>
        <w:pStyle w:val="EndNoteBibliography"/>
        <w:spacing w:after="0"/>
        <w:ind w:left="720" w:hanging="720"/>
        <w:rPr>
          <w:rFonts w:ascii="Calibri" w:hAnsi="Calibri" w:cs="Calibri"/>
        </w:rPr>
      </w:pPr>
      <w:r w:rsidRPr="00D633FF">
        <w:rPr>
          <w:rFonts w:ascii="Calibri" w:hAnsi="Calibri" w:cs="Calibri"/>
        </w:rPr>
        <w:t xml:space="preserve">Burk RF, Norsworthy BK, Hill KE, Motley AK, &amp; Byrne DW. (2006). Effects of chemical form of selenium on plasma biomarkers in a high-dose human supplementation trial. </w:t>
      </w:r>
      <w:r w:rsidRPr="00D633FF">
        <w:rPr>
          <w:rFonts w:ascii="Calibri" w:hAnsi="Calibri" w:cs="Calibri"/>
          <w:i/>
        </w:rPr>
        <w:t>Cancer Epidemiol Biomarkers Prev</w:t>
      </w:r>
      <w:r w:rsidRPr="00D633FF">
        <w:rPr>
          <w:rFonts w:ascii="Calibri" w:hAnsi="Calibri" w:cs="Calibri"/>
        </w:rPr>
        <w:t>,</w:t>
      </w:r>
      <w:r w:rsidRPr="00D633FF">
        <w:rPr>
          <w:rFonts w:ascii="Calibri" w:hAnsi="Calibri" w:cs="Calibri"/>
          <w:i/>
        </w:rPr>
        <w:t xml:space="preserve"> 15</w:t>
      </w:r>
      <w:r w:rsidRPr="00D633FF">
        <w:rPr>
          <w:rFonts w:ascii="Calibri" w:hAnsi="Calibri" w:cs="Calibri"/>
        </w:rPr>
        <w:t xml:space="preserve">(4), 804-810. </w:t>
      </w:r>
      <w:hyperlink r:id="rId61" w:history="1">
        <w:r w:rsidR="00327DDC" w:rsidRPr="00D633FF">
          <w:rPr>
            <w:rStyle w:val="Hyperlink"/>
            <w:rFonts w:ascii="Calibri" w:hAnsi="Calibri" w:cs="Calibri"/>
          </w:rPr>
          <w:t>https://doi.org/10.1158/1055-9965.Epi-05-0950</w:t>
        </w:r>
      </w:hyperlink>
      <w:r w:rsidR="00327DDC" w:rsidRPr="00D633FF">
        <w:rPr>
          <w:rFonts w:ascii="Calibri" w:hAnsi="Calibri" w:cs="Calibri"/>
        </w:rPr>
        <w:t xml:space="preserve"> </w:t>
      </w:r>
      <w:r w:rsidRPr="00D633FF">
        <w:rPr>
          <w:rFonts w:ascii="Calibri" w:hAnsi="Calibri" w:cs="Calibri"/>
        </w:rPr>
        <w:t xml:space="preserve"> </w:t>
      </w:r>
    </w:p>
    <w:p w14:paraId="7A7A1B4D" w14:textId="1B3316FC" w:rsidR="00493C3F" w:rsidRPr="00D633FF" w:rsidRDefault="00493C3F" w:rsidP="00493C3F">
      <w:pPr>
        <w:pStyle w:val="EndNoteBibliography"/>
        <w:spacing w:after="0"/>
        <w:ind w:left="720" w:hanging="720"/>
        <w:rPr>
          <w:rFonts w:ascii="Calibri" w:hAnsi="Calibri" w:cs="Calibri"/>
        </w:rPr>
      </w:pPr>
      <w:r w:rsidRPr="00D633FF">
        <w:rPr>
          <w:rFonts w:ascii="Calibri" w:hAnsi="Calibri" w:cs="Calibri"/>
        </w:rPr>
        <w:t xml:space="preserve">Butler JA, Thomson CD, Whanger PD, &amp; Robinson MF. (1991). Selenium distribution in blood fractions of New Zealand women taking organic or inorganic selenium. </w:t>
      </w:r>
      <w:r w:rsidRPr="00D633FF">
        <w:rPr>
          <w:rFonts w:ascii="Calibri" w:hAnsi="Calibri" w:cs="Calibri"/>
          <w:i/>
        </w:rPr>
        <w:t>Am J Clin Nutr</w:t>
      </w:r>
      <w:r w:rsidRPr="00D633FF">
        <w:rPr>
          <w:rFonts w:ascii="Calibri" w:hAnsi="Calibri" w:cs="Calibri"/>
        </w:rPr>
        <w:t>,</w:t>
      </w:r>
      <w:r w:rsidRPr="00D633FF">
        <w:rPr>
          <w:rFonts w:ascii="Calibri" w:hAnsi="Calibri" w:cs="Calibri"/>
          <w:i/>
        </w:rPr>
        <w:t xml:space="preserve"> 53</w:t>
      </w:r>
      <w:r w:rsidRPr="00D633FF">
        <w:rPr>
          <w:rFonts w:ascii="Calibri" w:hAnsi="Calibri" w:cs="Calibri"/>
        </w:rPr>
        <w:t xml:space="preserve">(3), 748-754. </w:t>
      </w:r>
      <w:hyperlink r:id="rId62" w:history="1">
        <w:r w:rsidR="00327DDC" w:rsidRPr="00D633FF">
          <w:rPr>
            <w:rStyle w:val="Hyperlink"/>
            <w:rFonts w:ascii="Calibri" w:hAnsi="Calibri" w:cs="Calibri"/>
          </w:rPr>
          <w:t>https://doi.org/10.1093/ajcn/53.3.748</w:t>
        </w:r>
      </w:hyperlink>
      <w:r w:rsidR="00327DDC" w:rsidRPr="00D633FF">
        <w:rPr>
          <w:rFonts w:ascii="Calibri" w:hAnsi="Calibri" w:cs="Calibri"/>
        </w:rPr>
        <w:t xml:space="preserve"> </w:t>
      </w:r>
      <w:r w:rsidRPr="00D633FF">
        <w:rPr>
          <w:rFonts w:ascii="Calibri" w:hAnsi="Calibri" w:cs="Calibri"/>
        </w:rPr>
        <w:t xml:space="preserve"> </w:t>
      </w:r>
    </w:p>
    <w:p w14:paraId="1BBCB555" w14:textId="16A58ECD" w:rsidR="00493C3F" w:rsidRPr="00D633FF" w:rsidRDefault="00493C3F" w:rsidP="00493C3F">
      <w:pPr>
        <w:pStyle w:val="EndNoteBibliography"/>
        <w:spacing w:after="0"/>
        <w:ind w:left="720" w:hanging="720"/>
        <w:rPr>
          <w:rFonts w:ascii="Calibri" w:hAnsi="Calibri" w:cs="Calibri"/>
        </w:rPr>
      </w:pPr>
      <w:r w:rsidRPr="00D633FF">
        <w:rPr>
          <w:rFonts w:ascii="Calibri" w:hAnsi="Calibri" w:cs="Calibri"/>
        </w:rPr>
        <w:t xml:space="preserve">Combs Jr GF. (2015). Biomarkers of selenium status. </w:t>
      </w:r>
      <w:r w:rsidRPr="00D633FF">
        <w:rPr>
          <w:rFonts w:ascii="Calibri" w:hAnsi="Calibri" w:cs="Calibri"/>
          <w:i/>
        </w:rPr>
        <w:t>Nutrients</w:t>
      </w:r>
      <w:r w:rsidRPr="00D633FF">
        <w:rPr>
          <w:rFonts w:ascii="Calibri" w:hAnsi="Calibri" w:cs="Calibri"/>
        </w:rPr>
        <w:t>,</w:t>
      </w:r>
      <w:r w:rsidRPr="00D633FF">
        <w:rPr>
          <w:rFonts w:ascii="Calibri" w:hAnsi="Calibri" w:cs="Calibri"/>
          <w:i/>
        </w:rPr>
        <w:t xml:space="preserve"> 7</w:t>
      </w:r>
      <w:r w:rsidRPr="00D633FF">
        <w:rPr>
          <w:rFonts w:ascii="Calibri" w:hAnsi="Calibri" w:cs="Calibri"/>
        </w:rPr>
        <w:t xml:space="preserve">(4), 2209-2236. </w:t>
      </w:r>
      <w:hyperlink r:id="rId63" w:history="1">
        <w:r w:rsidR="00327DDC" w:rsidRPr="00D633FF">
          <w:rPr>
            <w:rStyle w:val="Hyperlink"/>
            <w:rFonts w:ascii="Calibri" w:hAnsi="Calibri" w:cs="Calibri"/>
          </w:rPr>
          <w:t>https://doi.org/10.3390/nu7042209</w:t>
        </w:r>
      </w:hyperlink>
      <w:r w:rsidR="00327DDC" w:rsidRPr="00D633FF">
        <w:rPr>
          <w:rFonts w:ascii="Calibri" w:hAnsi="Calibri" w:cs="Calibri"/>
        </w:rPr>
        <w:t xml:space="preserve"> </w:t>
      </w:r>
      <w:r w:rsidRPr="00D633FF">
        <w:rPr>
          <w:rFonts w:ascii="Calibri" w:hAnsi="Calibri" w:cs="Calibri"/>
        </w:rPr>
        <w:t xml:space="preserve"> </w:t>
      </w:r>
    </w:p>
    <w:p w14:paraId="7F4DF53C" w14:textId="33D0AAA6" w:rsidR="00493C3F" w:rsidRPr="00D633FF" w:rsidRDefault="00493C3F" w:rsidP="00493C3F">
      <w:pPr>
        <w:pStyle w:val="EndNoteBibliography"/>
        <w:spacing w:after="0"/>
        <w:ind w:left="720" w:hanging="720"/>
        <w:rPr>
          <w:rFonts w:ascii="Calibri" w:hAnsi="Calibri" w:cs="Calibri"/>
        </w:rPr>
      </w:pPr>
      <w:r w:rsidRPr="00D633FF">
        <w:rPr>
          <w:rFonts w:ascii="Calibri" w:hAnsi="Calibri" w:cs="Calibri"/>
        </w:rPr>
        <w:t xml:space="preserve">EFSA Panel on Nutrition NF, Allergens F, Turck D, Bohn T, Castenmiller J, de Henauw S, Hirsch-Ernst K-I, Knutsen HK, Maciuk A,…Naska A. (2023). Scientific opinion on the tolerable upper intake level for selenium. </w:t>
      </w:r>
      <w:r w:rsidRPr="00D633FF">
        <w:rPr>
          <w:rFonts w:ascii="Calibri" w:hAnsi="Calibri" w:cs="Calibri"/>
          <w:i/>
        </w:rPr>
        <w:t>EFSA Journal</w:t>
      </w:r>
      <w:r w:rsidRPr="00D633FF">
        <w:rPr>
          <w:rFonts w:ascii="Calibri" w:hAnsi="Calibri" w:cs="Calibri"/>
        </w:rPr>
        <w:t>,</w:t>
      </w:r>
      <w:r w:rsidRPr="00D633FF">
        <w:rPr>
          <w:rFonts w:ascii="Calibri" w:hAnsi="Calibri" w:cs="Calibri"/>
          <w:i/>
        </w:rPr>
        <w:t xml:space="preserve"> 21</w:t>
      </w:r>
      <w:r w:rsidRPr="00D633FF">
        <w:rPr>
          <w:rFonts w:ascii="Calibri" w:hAnsi="Calibri" w:cs="Calibri"/>
        </w:rPr>
        <w:t xml:space="preserve">(1), e07704. </w:t>
      </w:r>
      <w:hyperlink r:id="rId64" w:history="1">
        <w:r w:rsidR="00327DDC" w:rsidRPr="00D633FF">
          <w:rPr>
            <w:rStyle w:val="Hyperlink"/>
            <w:rFonts w:ascii="Calibri" w:hAnsi="Calibri" w:cs="Calibri"/>
          </w:rPr>
          <w:t>https://doi.org/https://doi.org/10.2903/j.efsa.2023.7704</w:t>
        </w:r>
      </w:hyperlink>
      <w:r w:rsidR="00327DDC" w:rsidRPr="00D633FF">
        <w:rPr>
          <w:rFonts w:ascii="Calibri" w:hAnsi="Calibri" w:cs="Calibri"/>
        </w:rPr>
        <w:t xml:space="preserve"> </w:t>
      </w:r>
      <w:r w:rsidRPr="00D633FF">
        <w:rPr>
          <w:rFonts w:ascii="Calibri" w:hAnsi="Calibri" w:cs="Calibri"/>
        </w:rPr>
        <w:t xml:space="preserve"> </w:t>
      </w:r>
    </w:p>
    <w:p w14:paraId="30148ADB" w14:textId="6997B594" w:rsidR="00493C3F" w:rsidRPr="00D633FF" w:rsidRDefault="00493C3F" w:rsidP="00493C3F">
      <w:pPr>
        <w:pStyle w:val="EndNoteBibliography"/>
        <w:spacing w:after="0"/>
        <w:ind w:left="720" w:hanging="720"/>
        <w:rPr>
          <w:rFonts w:ascii="Calibri" w:hAnsi="Calibri" w:cs="Calibri"/>
        </w:rPr>
      </w:pPr>
      <w:r w:rsidRPr="00D633FF">
        <w:rPr>
          <w:rFonts w:ascii="Calibri" w:hAnsi="Calibri" w:cs="Calibri"/>
        </w:rPr>
        <w:t xml:space="preserve">Fairweather-Tait SJ, &amp; Collings R. (2010). Estimating the bioavailability factors needed for setting dietary reference values. </w:t>
      </w:r>
      <w:r w:rsidRPr="00D633FF">
        <w:rPr>
          <w:rFonts w:ascii="Calibri" w:hAnsi="Calibri" w:cs="Calibri"/>
          <w:i/>
        </w:rPr>
        <w:t>Int J Vitam Nutr Res</w:t>
      </w:r>
      <w:r w:rsidRPr="00D633FF">
        <w:rPr>
          <w:rFonts w:ascii="Calibri" w:hAnsi="Calibri" w:cs="Calibri"/>
        </w:rPr>
        <w:t>,</w:t>
      </w:r>
      <w:r w:rsidRPr="00D633FF">
        <w:rPr>
          <w:rFonts w:ascii="Calibri" w:hAnsi="Calibri" w:cs="Calibri"/>
          <w:i/>
        </w:rPr>
        <w:t xml:space="preserve"> 80</w:t>
      </w:r>
      <w:r w:rsidRPr="00D633FF">
        <w:rPr>
          <w:rFonts w:ascii="Calibri" w:hAnsi="Calibri" w:cs="Calibri"/>
        </w:rPr>
        <w:t xml:space="preserve">(4-5), 249-256. </w:t>
      </w:r>
      <w:hyperlink r:id="rId65" w:history="1">
        <w:r w:rsidR="00327DDC" w:rsidRPr="00D633FF">
          <w:rPr>
            <w:rStyle w:val="Hyperlink"/>
            <w:rFonts w:ascii="Calibri" w:hAnsi="Calibri" w:cs="Calibri"/>
          </w:rPr>
          <w:t>https://doi.org/10.1024/0300-9831/a000031</w:t>
        </w:r>
      </w:hyperlink>
      <w:r w:rsidR="00327DDC" w:rsidRPr="00D633FF">
        <w:rPr>
          <w:rFonts w:ascii="Calibri" w:hAnsi="Calibri" w:cs="Calibri"/>
        </w:rPr>
        <w:t xml:space="preserve"> </w:t>
      </w:r>
    </w:p>
    <w:p w14:paraId="70620D01" w14:textId="75382BC2" w:rsidR="00493C3F" w:rsidRPr="00D633FF" w:rsidRDefault="00493C3F" w:rsidP="00493C3F">
      <w:pPr>
        <w:pStyle w:val="EndNoteBibliography"/>
        <w:spacing w:after="0"/>
        <w:ind w:left="720" w:hanging="720"/>
        <w:rPr>
          <w:rFonts w:ascii="Calibri" w:hAnsi="Calibri" w:cs="Calibri"/>
        </w:rPr>
      </w:pPr>
      <w:r w:rsidRPr="00D633FF">
        <w:rPr>
          <w:rFonts w:ascii="Calibri" w:hAnsi="Calibri" w:cs="Calibri"/>
        </w:rPr>
        <w:t xml:space="preserve">FSANZ. (2022). </w:t>
      </w:r>
      <w:r w:rsidRPr="00D633FF">
        <w:rPr>
          <w:rFonts w:ascii="Calibri" w:hAnsi="Calibri" w:cs="Calibri"/>
          <w:i/>
        </w:rPr>
        <w:t>Australian Food Composition Database – Release 2​​.0</w:t>
      </w:r>
      <w:r w:rsidRPr="00D633FF">
        <w:rPr>
          <w:rFonts w:ascii="Calibri" w:hAnsi="Calibri" w:cs="Calibri"/>
        </w:rPr>
        <w:t xml:space="preserve"> date accessed 25 August 2025 </w:t>
      </w:r>
      <w:hyperlink r:id="rId66" w:history="1">
        <w:r w:rsidR="00327DDC" w:rsidRPr="00D633FF">
          <w:rPr>
            <w:rStyle w:val="Hyperlink"/>
            <w:rFonts w:ascii="Calibri" w:hAnsi="Calibri" w:cs="Calibri"/>
          </w:rPr>
          <w:t>https://afcd.foodstandards.gov.au/</w:t>
        </w:r>
      </w:hyperlink>
      <w:r w:rsidR="00327DDC" w:rsidRPr="00D633FF">
        <w:rPr>
          <w:rFonts w:ascii="Calibri" w:hAnsi="Calibri" w:cs="Calibri"/>
        </w:rPr>
        <w:t xml:space="preserve"> </w:t>
      </w:r>
      <w:r w:rsidRPr="00D633FF">
        <w:rPr>
          <w:rFonts w:ascii="Calibri" w:hAnsi="Calibri" w:cs="Calibri"/>
        </w:rPr>
        <w:t xml:space="preserve"> </w:t>
      </w:r>
    </w:p>
    <w:p w14:paraId="73E6A142" w14:textId="4C9F989F" w:rsidR="00493C3F" w:rsidRPr="00D633FF" w:rsidRDefault="00493C3F" w:rsidP="00493C3F">
      <w:pPr>
        <w:pStyle w:val="EndNoteBibliography"/>
        <w:spacing w:after="0"/>
        <w:ind w:left="720" w:hanging="720"/>
        <w:rPr>
          <w:rFonts w:ascii="Calibri" w:hAnsi="Calibri" w:cs="Calibri"/>
        </w:rPr>
      </w:pPr>
      <w:r w:rsidRPr="00D633FF">
        <w:rPr>
          <w:rFonts w:ascii="Calibri" w:hAnsi="Calibri" w:cs="Calibri"/>
        </w:rPr>
        <w:t xml:space="preserve">Hadrup N, &amp; Ravn-Haren G. (2021). Absorption, distribution, metabolism and excretion (ADME) of oral selenium from organic and inorganic sources: A review. </w:t>
      </w:r>
      <w:r w:rsidRPr="00D633FF">
        <w:rPr>
          <w:rFonts w:ascii="Calibri" w:hAnsi="Calibri" w:cs="Calibri"/>
          <w:i/>
        </w:rPr>
        <w:t>J Trace Elem Med Biol</w:t>
      </w:r>
      <w:r w:rsidRPr="00D633FF">
        <w:rPr>
          <w:rFonts w:ascii="Calibri" w:hAnsi="Calibri" w:cs="Calibri"/>
        </w:rPr>
        <w:t>,</w:t>
      </w:r>
      <w:r w:rsidRPr="00D633FF">
        <w:rPr>
          <w:rFonts w:ascii="Calibri" w:hAnsi="Calibri" w:cs="Calibri"/>
          <w:i/>
        </w:rPr>
        <w:t xml:space="preserve"> 67</w:t>
      </w:r>
      <w:r w:rsidRPr="00D633FF">
        <w:rPr>
          <w:rFonts w:ascii="Calibri" w:hAnsi="Calibri" w:cs="Calibri"/>
        </w:rPr>
        <w:t xml:space="preserve">, 126801. </w:t>
      </w:r>
      <w:hyperlink r:id="rId67" w:history="1">
        <w:r w:rsidR="00327DDC" w:rsidRPr="00D633FF">
          <w:rPr>
            <w:rStyle w:val="Hyperlink"/>
            <w:rFonts w:ascii="Calibri" w:hAnsi="Calibri" w:cs="Calibri"/>
          </w:rPr>
          <w:t>https://doi.org/10.1016/j.jtemb.2021.126801</w:t>
        </w:r>
      </w:hyperlink>
      <w:r w:rsidR="00327DDC" w:rsidRPr="00D633FF">
        <w:rPr>
          <w:rFonts w:ascii="Calibri" w:hAnsi="Calibri" w:cs="Calibri"/>
        </w:rPr>
        <w:t xml:space="preserve"> </w:t>
      </w:r>
      <w:r w:rsidRPr="00D633FF">
        <w:rPr>
          <w:rFonts w:ascii="Calibri" w:hAnsi="Calibri" w:cs="Calibri"/>
        </w:rPr>
        <w:t xml:space="preserve"> </w:t>
      </w:r>
    </w:p>
    <w:p w14:paraId="50C52BB7" w14:textId="77777777" w:rsidR="00493C3F" w:rsidRPr="00D633FF" w:rsidRDefault="00493C3F" w:rsidP="00493C3F">
      <w:pPr>
        <w:pStyle w:val="EndNoteBibliography"/>
        <w:ind w:left="720" w:hanging="720"/>
        <w:rPr>
          <w:rFonts w:ascii="Calibri" w:hAnsi="Calibri" w:cs="Calibri"/>
        </w:rPr>
      </w:pPr>
      <w:r w:rsidRPr="00D633FF">
        <w:rPr>
          <w:rFonts w:ascii="Calibri" w:hAnsi="Calibri" w:cs="Calibri"/>
        </w:rPr>
        <w:t xml:space="preserve">Institute of Medicine Panel on Dietary A, &amp; Related C. (2000). In </w:t>
      </w:r>
      <w:r w:rsidRPr="00D633FF">
        <w:rPr>
          <w:rFonts w:ascii="Calibri" w:hAnsi="Calibri" w:cs="Calibri"/>
          <w:i/>
        </w:rPr>
        <w:t>Dietary Reference Intakes for Vitamin C, Vitamin E, Selenium, and Carotenoids</w:t>
      </w:r>
      <w:r w:rsidRPr="00D633FF">
        <w:rPr>
          <w:rFonts w:ascii="Calibri" w:hAnsi="Calibri" w:cs="Calibri"/>
        </w:rPr>
        <w:t>. National Academies Press (US)</w:t>
      </w:r>
    </w:p>
    <w:p w14:paraId="788E6000" w14:textId="1DCA5961" w:rsidR="00493C3F" w:rsidRPr="00D633FF" w:rsidRDefault="00493C3F" w:rsidP="00493C3F">
      <w:pPr>
        <w:pStyle w:val="EndNoteBibliography"/>
        <w:spacing w:after="0"/>
        <w:ind w:left="720" w:hanging="720"/>
        <w:rPr>
          <w:rFonts w:ascii="Calibri" w:hAnsi="Calibri" w:cs="Calibri"/>
        </w:rPr>
      </w:pPr>
      <w:r w:rsidRPr="00D633FF">
        <w:rPr>
          <w:rFonts w:ascii="Calibri" w:hAnsi="Calibri" w:cs="Calibri"/>
        </w:rPr>
        <w:t xml:space="preserve">IOM. (2000). </w:t>
      </w:r>
      <w:r w:rsidRPr="00D633FF">
        <w:rPr>
          <w:rFonts w:ascii="Calibri" w:hAnsi="Calibri" w:cs="Calibri"/>
          <w:i/>
        </w:rPr>
        <w:t>Dietary Reference Intakes for Vitamin C, Vitamin E, Selenium, and Carotenoids</w:t>
      </w:r>
      <w:r w:rsidRPr="00D633FF">
        <w:rPr>
          <w:rFonts w:ascii="Calibri" w:hAnsi="Calibri" w:cs="Calibri"/>
        </w:rPr>
        <w:t xml:space="preserve">. Institute of Medicine (US) Panel on Dietary Antioxidants and Related Compounds, National Academies Press (US). </w:t>
      </w:r>
      <w:hyperlink r:id="rId68" w:history="1">
        <w:r w:rsidR="00327DDC" w:rsidRPr="00D633FF">
          <w:rPr>
            <w:rStyle w:val="Hyperlink"/>
            <w:rFonts w:ascii="Calibri" w:hAnsi="Calibri" w:cs="Calibri"/>
          </w:rPr>
          <w:t>https://doi.org/10.17226/9810</w:t>
        </w:r>
      </w:hyperlink>
      <w:r w:rsidR="00327DDC" w:rsidRPr="00D633FF">
        <w:rPr>
          <w:rFonts w:ascii="Calibri" w:hAnsi="Calibri" w:cs="Calibri"/>
        </w:rPr>
        <w:t xml:space="preserve"> </w:t>
      </w:r>
      <w:r w:rsidRPr="00D633FF">
        <w:rPr>
          <w:rFonts w:ascii="Calibri" w:hAnsi="Calibri" w:cs="Calibri"/>
        </w:rPr>
        <w:t xml:space="preserve"> </w:t>
      </w:r>
    </w:p>
    <w:p w14:paraId="12892EFD" w14:textId="1821687B" w:rsidR="00493C3F" w:rsidRPr="00D633FF" w:rsidRDefault="00493C3F" w:rsidP="00493C3F">
      <w:pPr>
        <w:pStyle w:val="EndNoteBibliography"/>
        <w:spacing w:after="0"/>
        <w:ind w:left="720" w:hanging="720"/>
        <w:rPr>
          <w:rFonts w:ascii="Calibri" w:hAnsi="Calibri" w:cs="Calibri"/>
        </w:rPr>
      </w:pPr>
      <w:r w:rsidRPr="00D633FF">
        <w:rPr>
          <w:rFonts w:ascii="Calibri" w:hAnsi="Calibri" w:cs="Calibri"/>
        </w:rPr>
        <w:t xml:space="preserve">Lei XG, Combs GF, Jr., Sunde RA, Caton JS, Arthington JD, &amp; Vatamaniuk MZ. (2022). Dietary Selenium Across Species. </w:t>
      </w:r>
      <w:r w:rsidRPr="00D633FF">
        <w:rPr>
          <w:rFonts w:ascii="Calibri" w:hAnsi="Calibri" w:cs="Calibri"/>
          <w:i/>
        </w:rPr>
        <w:t>Annu Rev Nutr</w:t>
      </w:r>
      <w:r w:rsidRPr="00D633FF">
        <w:rPr>
          <w:rFonts w:ascii="Calibri" w:hAnsi="Calibri" w:cs="Calibri"/>
        </w:rPr>
        <w:t>,</w:t>
      </w:r>
      <w:r w:rsidRPr="00D633FF">
        <w:rPr>
          <w:rFonts w:ascii="Calibri" w:hAnsi="Calibri" w:cs="Calibri"/>
          <w:i/>
        </w:rPr>
        <w:t xml:space="preserve"> 42</w:t>
      </w:r>
      <w:r w:rsidRPr="00D633FF">
        <w:rPr>
          <w:rFonts w:ascii="Calibri" w:hAnsi="Calibri" w:cs="Calibri"/>
        </w:rPr>
        <w:t xml:space="preserve">, 337-375. </w:t>
      </w:r>
      <w:hyperlink r:id="rId69" w:history="1">
        <w:r w:rsidR="00327DDC" w:rsidRPr="00D633FF">
          <w:rPr>
            <w:rStyle w:val="Hyperlink"/>
            <w:rFonts w:ascii="Calibri" w:hAnsi="Calibri" w:cs="Calibri"/>
          </w:rPr>
          <w:t>https://doi.org/10.1146/annurev-nutr-062320-121834</w:t>
        </w:r>
      </w:hyperlink>
      <w:r w:rsidR="00327DDC" w:rsidRPr="00D633FF">
        <w:rPr>
          <w:rFonts w:ascii="Calibri" w:hAnsi="Calibri" w:cs="Calibri"/>
        </w:rPr>
        <w:t xml:space="preserve"> </w:t>
      </w:r>
      <w:r w:rsidRPr="00D633FF">
        <w:rPr>
          <w:rFonts w:ascii="Calibri" w:hAnsi="Calibri" w:cs="Calibri"/>
        </w:rPr>
        <w:t xml:space="preserve"> </w:t>
      </w:r>
    </w:p>
    <w:p w14:paraId="228D2AE1" w14:textId="739B82C9" w:rsidR="00493C3F" w:rsidRPr="00D633FF" w:rsidRDefault="00493C3F" w:rsidP="00493C3F">
      <w:pPr>
        <w:pStyle w:val="EndNoteBibliography"/>
        <w:spacing w:after="0"/>
        <w:ind w:left="720" w:hanging="720"/>
        <w:rPr>
          <w:rFonts w:ascii="Calibri" w:hAnsi="Calibri" w:cs="Calibri"/>
        </w:rPr>
      </w:pPr>
      <w:r w:rsidRPr="00D633FF">
        <w:rPr>
          <w:rFonts w:ascii="Calibri" w:hAnsi="Calibri" w:cs="Calibri"/>
        </w:rPr>
        <w:t xml:space="preserve">Lippman SM, Klein EA, Goodman PJ, Lucia MS, Thompson IM, Ford LG, Parnes HL, Minasian LM, Gaziano JM,…Coltman CA, Jr. (2009). Effect of selenium and vitamin E on risk of prostate cancer and other cancers: the Selenium and Vitamin E Cancer Prevention Trial (SELECT). </w:t>
      </w:r>
      <w:r w:rsidR="006F65C5">
        <w:rPr>
          <w:rFonts w:ascii="Calibri" w:hAnsi="Calibri" w:cs="Calibri"/>
          <w:i/>
        </w:rPr>
        <w:t>JAMA</w:t>
      </w:r>
      <w:r w:rsidRPr="00D633FF">
        <w:rPr>
          <w:rFonts w:ascii="Calibri" w:hAnsi="Calibri" w:cs="Calibri"/>
        </w:rPr>
        <w:t>,</w:t>
      </w:r>
      <w:r w:rsidRPr="00D633FF">
        <w:rPr>
          <w:rFonts w:ascii="Calibri" w:hAnsi="Calibri" w:cs="Calibri"/>
          <w:i/>
        </w:rPr>
        <w:t xml:space="preserve"> 301</w:t>
      </w:r>
      <w:r w:rsidRPr="00D633FF">
        <w:rPr>
          <w:rFonts w:ascii="Calibri" w:hAnsi="Calibri" w:cs="Calibri"/>
        </w:rPr>
        <w:t xml:space="preserve">(1), 39-51. </w:t>
      </w:r>
      <w:hyperlink r:id="rId70" w:history="1">
        <w:r w:rsidR="00327DDC" w:rsidRPr="00D633FF">
          <w:rPr>
            <w:rStyle w:val="Hyperlink"/>
            <w:rFonts w:ascii="Calibri" w:hAnsi="Calibri" w:cs="Calibri"/>
          </w:rPr>
          <w:t>https://doi.org/10.1001/jama.2008.864</w:t>
        </w:r>
      </w:hyperlink>
      <w:r w:rsidR="00327DDC" w:rsidRPr="00D633FF">
        <w:rPr>
          <w:rFonts w:ascii="Calibri" w:hAnsi="Calibri" w:cs="Calibri"/>
        </w:rPr>
        <w:t xml:space="preserve"> </w:t>
      </w:r>
      <w:r w:rsidRPr="00D633FF">
        <w:rPr>
          <w:rFonts w:ascii="Calibri" w:hAnsi="Calibri" w:cs="Calibri"/>
        </w:rPr>
        <w:t xml:space="preserve"> </w:t>
      </w:r>
    </w:p>
    <w:p w14:paraId="518D3F41" w14:textId="7B681753" w:rsidR="00493C3F" w:rsidRPr="00D633FF" w:rsidRDefault="00493C3F" w:rsidP="00493C3F">
      <w:pPr>
        <w:pStyle w:val="EndNoteBibliography"/>
        <w:spacing w:after="0"/>
        <w:ind w:left="720" w:hanging="720"/>
        <w:rPr>
          <w:rFonts w:ascii="Calibri" w:hAnsi="Calibri" w:cs="Calibri"/>
        </w:rPr>
      </w:pPr>
      <w:r w:rsidRPr="00D633FF">
        <w:rPr>
          <w:rFonts w:ascii="Calibri" w:hAnsi="Calibri" w:cs="Calibri"/>
        </w:rPr>
        <w:t xml:space="preserve">Lymbury R, Tinggi U, Griffiths L, Rosenfeldt F, &amp; Perkins AV. (2008). Selenium status of the Australian population: effect of age, gender and cardiovascular disease. </w:t>
      </w:r>
      <w:r w:rsidRPr="00D633FF">
        <w:rPr>
          <w:rFonts w:ascii="Calibri" w:hAnsi="Calibri" w:cs="Calibri"/>
          <w:i/>
        </w:rPr>
        <w:t>Biol Trace Elem Res</w:t>
      </w:r>
      <w:r w:rsidRPr="00D633FF">
        <w:rPr>
          <w:rFonts w:ascii="Calibri" w:hAnsi="Calibri" w:cs="Calibri"/>
        </w:rPr>
        <w:t>,</w:t>
      </w:r>
      <w:r w:rsidRPr="00D633FF">
        <w:rPr>
          <w:rFonts w:ascii="Calibri" w:hAnsi="Calibri" w:cs="Calibri"/>
          <w:i/>
        </w:rPr>
        <w:t xml:space="preserve"> 126 Suppl 1</w:t>
      </w:r>
      <w:r w:rsidRPr="00D633FF">
        <w:rPr>
          <w:rFonts w:ascii="Calibri" w:hAnsi="Calibri" w:cs="Calibri"/>
        </w:rPr>
        <w:t xml:space="preserve">, S1-10. </w:t>
      </w:r>
      <w:hyperlink r:id="rId71" w:history="1">
        <w:r w:rsidR="00327DDC" w:rsidRPr="00D633FF">
          <w:rPr>
            <w:rStyle w:val="Hyperlink"/>
            <w:rFonts w:ascii="Calibri" w:hAnsi="Calibri" w:cs="Calibri"/>
          </w:rPr>
          <w:t>https://doi.org/10.1007/s12011-008-8208-6</w:t>
        </w:r>
      </w:hyperlink>
      <w:r w:rsidR="00327DDC" w:rsidRPr="00D633FF">
        <w:rPr>
          <w:rFonts w:ascii="Calibri" w:hAnsi="Calibri" w:cs="Calibri"/>
        </w:rPr>
        <w:t xml:space="preserve"> </w:t>
      </w:r>
      <w:r w:rsidRPr="00D633FF">
        <w:rPr>
          <w:rFonts w:ascii="Calibri" w:hAnsi="Calibri" w:cs="Calibri"/>
        </w:rPr>
        <w:t xml:space="preserve"> </w:t>
      </w:r>
    </w:p>
    <w:p w14:paraId="1D1D2EC6" w14:textId="2D6CF7BF" w:rsidR="00493C3F" w:rsidRPr="00D633FF" w:rsidRDefault="00493C3F" w:rsidP="00493C3F">
      <w:pPr>
        <w:pStyle w:val="EndNoteBibliography"/>
        <w:spacing w:after="0"/>
        <w:ind w:left="720" w:hanging="720"/>
        <w:rPr>
          <w:rFonts w:ascii="Calibri" w:hAnsi="Calibri" w:cs="Calibri"/>
        </w:rPr>
      </w:pPr>
      <w:r w:rsidRPr="00D633FF">
        <w:rPr>
          <w:rFonts w:ascii="Calibri" w:hAnsi="Calibri" w:cs="Calibri"/>
        </w:rPr>
        <w:t xml:space="preserve">Ministry of Health. (2003). </w:t>
      </w:r>
      <w:r w:rsidRPr="00D633FF">
        <w:rPr>
          <w:rFonts w:ascii="Calibri" w:hAnsi="Calibri" w:cs="Calibri"/>
          <w:i/>
        </w:rPr>
        <w:t>NZ Food NZ Children: Key results of the 2002 National Children's Nutrition Survey</w:t>
      </w:r>
      <w:r w:rsidRPr="00D633FF">
        <w:rPr>
          <w:rFonts w:ascii="Calibri" w:hAnsi="Calibri" w:cs="Calibri"/>
        </w:rPr>
        <w:t xml:space="preserve">. Ministry of Health. date accessed 25 August 2025 </w:t>
      </w:r>
      <w:hyperlink r:id="rId72" w:history="1">
        <w:r w:rsidR="00205154" w:rsidRPr="00D633FF">
          <w:rPr>
            <w:rStyle w:val="Hyperlink"/>
            <w:rFonts w:ascii="Calibri" w:hAnsi="Calibri" w:cs="Calibri"/>
          </w:rPr>
          <w:t>https://www.health.govt.nz/system/files/2011-11/nzfoodnzchildren.pdf</w:t>
        </w:r>
      </w:hyperlink>
      <w:r w:rsidR="00205154" w:rsidRPr="00D633FF">
        <w:rPr>
          <w:rFonts w:ascii="Calibri" w:hAnsi="Calibri" w:cs="Calibri"/>
        </w:rPr>
        <w:t xml:space="preserve"> </w:t>
      </w:r>
      <w:r w:rsidRPr="00D633FF">
        <w:rPr>
          <w:rFonts w:ascii="Calibri" w:hAnsi="Calibri" w:cs="Calibri"/>
        </w:rPr>
        <w:t xml:space="preserve"> </w:t>
      </w:r>
    </w:p>
    <w:p w14:paraId="4365FA4D" w14:textId="2E140B3F" w:rsidR="00493C3F" w:rsidRPr="00D633FF" w:rsidRDefault="00493C3F" w:rsidP="00493C3F">
      <w:pPr>
        <w:pStyle w:val="EndNoteBibliography"/>
        <w:spacing w:after="0"/>
        <w:ind w:left="720" w:hanging="720"/>
        <w:rPr>
          <w:rFonts w:ascii="Calibri" w:hAnsi="Calibri" w:cs="Calibri"/>
        </w:rPr>
      </w:pPr>
      <w:r w:rsidRPr="00D633FF">
        <w:rPr>
          <w:rFonts w:ascii="Calibri" w:hAnsi="Calibri" w:cs="Calibri"/>
        </w:rPr>
        <w:lastRenderedPageBreak/>
        <w:t xml:space="preserve">NHMRC. (2006). </w:t>
      </w:r>
      <w:r w:rsidRPr="00D633FF">
        <w:rPr>
          <w:rFonts w:ascii="Calibri" w:hAnsi="Calibri" w:cs="Calibri"/>
          <w:i/>
        </w:rPr>
        <w:t>Nutrient reference values for Australia and New Zealand: including recommended dietary intakes</w:t>
      </w:r>
      <w:r w:rsidRPr="00D633FF">
        <w:rPr>
          <w:rFonts w:ascii="Calibri" w:hAnsi="Calibri" w:cs="Calibri"/>
        </w:rPr>
        <w:t xml:space="preserve">. National Health and Medical Research Council. date accessed 15 July 2025 </w:t>
      </w:r>
      <w:hyperlink r:id="rId73" w:history="1">
        <w:r w:rsidR="00205154" w:rsidRPr="00D633FF">
          <w:rPr>
            <w:rStyle w:val="Hyperlink"/>
            <w:rFonts w:ascii="Calibri" w:hAnsi="Calibri" w:cs="Calibri"/>
          </w:rPr>
          <w:t>https://www.nhmrc.gov.au/about-us/publications/nutrient-reference-values-australia-and-new-zealand-including-recommended-dietary-intakes</w:t>
        </w:r>
      </w:hyperlink>
      <w:r w:rsidR="00205154" w:rsidRPr="00D633FF">
        <w:rPr>
          <w:rFonts w:ascii="Calibri" w:hAnsi="Calibri" w:cs="Calibri"/>
        </w:rPr>
        <w:t xml:space="preserve"> </w:t>
      </w:r>
      <w:r w:rsidRPr="00D633FF">
        <w:rPr>
          <w:rFonts w:ascii="Calibri" w:hAnsi="Calibri" w:cs="Calibri"/>
        </w:rPr>
        <w:t xml:space="preserve"> </w:t>
      </w:r>
    </w:p>
    <w:p w14:paraId="2CA6DEFA" w14:textId="488FBB33" w:rsidR="00493C3F" w:rsidRPr="00D633FF" w:rsidRDefault="00493C3F" w:rsidP="00493C3F">
      <w:pPr>
        <w:pStyle w:val="EndNoteBibliography"/>
        <w:spacing w:after="0"/>
        <w:ind w:left="720" w:hanging="720"/>
        <w:rPr>
          <w:rFonts w:ascii="Calibri" w:hAnsi="Calibri" w:cs="Calibri"/>
        </w:rPr>
      </w:pPr>
      <w:r w:rsidRPr="00D633FF">
        <w:rPr>
          <w:rFonts w:ascii="Calibri" w:hAnsi="Calibri" w:cs="Calibri"/>
        </w:rPr>
        <w:t>NHMRC. (2025</w:t>
      </w:r>
      <w:r w:rsidR="001562B5" w:rsidRPr="00D633FF">
        <w:rPr>
          <w:rFonts w:ascii="Calibri" w:hAnsi="Calibri" w:cs="Calibri"/>
        </w:rPr>
        <w:t>a</w:t>
      </w:r>
      <w:r w:rsidRPr="00D633FF">
        <w:rPr>
          <w:rFonts w:ascii="Calibri" w:hAnsi="Calibri" w:cs="Calibri"/>
        </w:rPr>
        <w:t xml:space="preserve">). </w:t>
      </w:r>
      <w:r w:rsidRPr="00D633FF">
        <w:rPr>
          <w:rFonts w:ascii="Calibri" w:hAnsi="Calibri" w:cs="Calibri"/>
          <w:i/>
        </w:rPr>
        <w:t>Australian Drinking Water Guidelines Paper 6 National Water Quality Management Strategy (version 4.0)</w:t>
      </w:r>
      <w:r w:rsidRPr="00D633FF">
        <w:rPr>
          <w:rFonts w:ascii="Calibri" w:hAnsi="Calibri" w:cs="Calibri"/>
        </w:rPr>
        <w:t xml:space="preserve"> (National Health Medical Research Council, Ed. version 4.0 ed.). Commonwealth of Australia. date accessed 15 August 2025 </w:t>
      </w:r>
      <w:hyperlink r:id="rId74" w:history="1">
        <w:r w:rsidR="004F6727" w:rsidRPr="00D633FF">
          <w:rPr>
            <w:rStyle w:val="Hyperlink"/>
            <w:rFonts w:ascii="Calibri" w:hAnsi="Calibri" w:cs="Calibri"/>
          </w:rPr>
          <w:t>https://www.nhmrc.gov.au/about-us/publications/australian-drinking-water-guidelines</w:t>
        </w:r>
      </w:hyperlink>
      <w:r w:rsidR="004F6727" w:rsidRPr="00D633FF">
        <w:rPr>
          <w:rFonts w:ascii="Calibri" w:hAnsi="Calibri" w:cs="Calibri"/>
        </w:rPr>
        <w:t xml:space="preserve"> </w:t>
      </w:r>
      <w:r w:rsidRPr="00D633FF">
        <w:rPr>
          <w:rFonts w:ascii="Calibri" w:hAnsi="Calibri" w:cs="Calibri"/>
        </w:rPr>
        <w:t xml:space="preserve"> </w:t>
      </w:r>
    </w:p>
    <w:p w14:paraId="36DFE5AB" w14:textId="77777777" w:rsidR="00493C3F" w:rsidRPr="00D633FF" w:rsidRDefault="00493C3F" w:rsidP="00493C3F">
      <w:pPr>
        <w:pStyle w:val="EndNoteBibliography"/>
        <w:spacing w:after="0"/>
        <w:ind w:left="720" w:hanging="720"/>
        <w:rPr>
          <w:rFonts w:ascii="Calibri" w:hAnsi="Calibri" w:cs="Calibri"/>
        </w:rPr>
      </w:pPr>
      <w:r w:rsidRPr="00D633FF">
        <w:rPr>
          <w:rFonts w:ascii="Calibri" w:hAnsi="Calibri" w:cs="Calibri"/>
        </w:rPr>
        <w:t xml:space="preserve">Nuttall KL. (2006). Evaluating selenium poisoning. </w:t>
      </w:r>
      <w:r w:rsidRPr="00D633FF">
        <w:rPr>
          <w:rFonts w:ascii="Calibri" w:hAnsi="Calibri" w:cs="Calibri"/>
          <w:i/>
        </w:rPr>
        <w:t>Ann Clin Lab Sci</w:t>
      </w:r>
      <w:r w:rsidRPr="00D633FF">
        <w:rPr>
          <w:rFonts w:ascii="Calibri" w:hAnsi="Calibri" w:cs="Calibri"/>
        </w:rPr>
        <w:t>,</w:t>
      </w:r>
      <w:r w:rsidRPr="00D633FF">
        <w:rPr>
          <w:rFonts w:ascii="Calibri" w:hAnsi="Calibri" w:cs="Calibri"/>
          <w:i/>
        </w:rPr>
        <w:t xml:space="preserve"> 36</w:t>
      </w:r>
      <w:r w:rsidRPr="00D633FF">
        <w:rPr>
          <w:rFonts w:ascii="Calibri" w:hAnsi="Calibri" w:cs="Calibri"/>
        </w:rPr>
        <w:t xml:space="preserve">(4), 409-420. </w:t>
      </w:r>
    </w:p>
    <w:p w14:paraId="63BC6613" w14:textId="4FECFFFB" w:rsidR="00493C3F" w:rsidRPr="00D633FF" w:rsidRDefault="00493C3F" w:rsidP="00493C3F">
      <w:pPr>
        <w:pStyle w:val="EndNoteBibliography"/>
        <w:spacing w:after="0"/>
        <w:ind w:left="720" w:hanging="720"/>
        <w:rPr>
          <w:rFonts w:ascii="Calibri" w:hAnsi="Calibri" w:cs="Calibri"/>
        </w:rPr>
      </w:pPr>
      <w:r w:rsidRPr="00D633FF">
        <w:rPr>
          <w:rFonts w:ascii="Calibri" w:hAnsi="Calibri" w:cs="Calibri"/>
        </w:rPr>
        <w:t xml:space="preserve">Rayman MP, Infante HG, &amp; Sargent M. (2008). Food-chain selenium and human health: spotlight on speciation. </w:t>
      </w:r>
      <w:r w:rsidRPr="00D633FF">
        <w:rPr>
          <w:rFonts w:ascii="Calibri" w:hAnsi="Calibri" w:cs="Calibri"/>
          <w:i/>
        </w:rPr>
        <w:t>Br J Nutr</w:t>
      </w:r>
      <w:r w:rsidRPr="00D633FF">
        <w:rPr>
          <w:rFonts w:ascii="Calibri" w:hAnsi="Calibri" w:cs="Calibri"/>
        </w:rPr>
        <w:t>,</w:t>
      </w:r>
      <w:r w:rsidRPr="00D633FF">
        <w:rPr>
          <w:rFonts w:ascii="Calibri" w:hAnsi="Calibri" w:cs="Calibri"/>
          <w:i/>
        </w:rPr>
        <w:t xml:space="preserve"> 100</w:t>
      </w:r>
      <w:r w:rsidRPr="00D633FF">
        <w:rPr>
          <w:rFonts w:ascii="Calibri" w:hAnsi="Calibri" w:cs="Calibri"/>
        </w:rPr>
        <w:t xml:space="preserve">(2), 238-253. </w:t>
      </w:r>
      <w:hyperlink r:id="rId75" w:history="1">
        <w:r w:rsidR="004F6727" w:rsidRPr="00D633FF">
          <w:rPr>
            <w:rStyle w:val="Hyperlink"/>
            <w:rFonts w:ascii="Calibri" w:hAnsi="Calibri" w:cs="Calibri"/>
          </w:rPr>
          <w:t>https://doi.org/10.1017/s0007114508922522</w:t>
        </w:r>
      </w:hyperlink>
      <w:r w:rsidR="004F6727" w:rsidRPr="00D633FF">
        <w:rPr>
          <w:rFonts w:ascii="Calibri" w:hAnsi="Calibri" w:cs="Calibri"/>
        </w:rPr>
        <w:t xml:space="preserve"> </w:t>
      </w:r>
      <w:r w:rsidRPr="00D633FF">
        <w:rPr>
          <w:rFonts w:ascii="Calibri" w:hAnsi="Calibri" w:cs="Calibri"/>
        </w:rPr>
        <w:t xml:space="preserve"> </w:t>
      </w:r>
    </w:p>
    <w:p w14:paraId="5EAC9346" w14:textId="3232DEE2" w:rsidR="00493C3F" w:rsidRPr="00D633FF" w:rsidRDefault="00493C3F" w:rsidP="00493C3F">
      <w:pPr>
        <w:pStyle w:val="EndNoteBibliography"/>
        <w:spacing w:after="0"/>
        <w:ind w:left="720" w:hanging="720"/>
        <w:rPr>
          <w:rFonts w:ascii="Calibri" w:hAnsi="Calibri" w:cs="Calibri"/>
        </w:rPr>
      </w:pPr>
      <w:r w:rsidRPr="00D633FF">
        <w:rPr>
          <w:rFonts w:ascii="Calibri" w:hAnsi="Calibri" w:cs="Calibri"/>
        </w:rPr>
        <w:t xml:space="preserve">Schrauzer GN. (2000). Selenomethionine: a review of its nutritional significance, metabolism and toxicity. </w:t>
      </w:r>
      <w:r w:rsidRPr="00D633FF">
        <w:rPr>
          <w:rFonts w:ascii="Calibri" w:hAnsi="Calibri" w:cs="Calibri"/>
          <w:i/>
        </w:rPr>
        <w:t>J Nutr</w:t>
      </w:r>
      <w:r w:rsidRPr="00D633FF">
        <w:rPr>
          <w:rFonts w:ascii="Calibri" w:hAnsi="Calibri" w:cs="Calibri"/>
        </w:rPr>
        <w:t>,</w:t>
      </w:r>
      <w:r w:rsidRPr="00D633FF">
        <w:rPr>
          <w:rFonts w:ascii="Calibri" w:hAnsi="Calibri" w:cs="Calibri"/>
          <w:i/>
        </w:rPr>
        <w:t xml:space="preserve"> 130</w:t>
      </w:r>
      <w:r w:rsidRPr="00D633FF">
        <w:rPr>
          <w:rFonts w:ascii="Calibri" w:hAnsi="Calibri" w:cs="Calibri"/>
        </w:rPr>
        <w:t xml:space="preserve">(7), 1653-1656. </w:t>
      </w:r>
      <w:hyperlink r:id="rId76" w:history="1">
        <w:r w:rsidR="004F6727" w:rsidRPr="00D633FF">
          <w:rPr>
            <w:rStyle w:val="Hyperlink"/>
            <w:rFonts w:ascii="Calibri" w:hAnsi="Calibri" w:cs="Calibri"/>
          </w:rPr>
          <w:t>https://doi.org/10.1093/jn/130.7.1653</w:t>
        </w:r>
      </w:hyperlink>
      <w:r w:rsidR="004F6727" w:rsidRPr="00D633FF">
        <w:rPr>
          <w:rFonts w:ascii="Calibri" w:hAnsi="Calibri" w:cs="Calibri"/>
        </w:rPr>
        <w:t xml:space="preserve"> </w:t>
      </w:r>
      <w:r w:rsidRPr="00D633FF">
        <w:rPr>
          <w:rFonts w:ascii="Calibri" w:hAnsi="Calibri" w:cs="Calibri"/>
        </w:rPr>
        <w:t xml:space="preserve"> </w:t>
      </w:r>
    </w:p>
    <w:p w14:paraId="1B5D9350" w14:textId="32D77B2E" w:rsidR="00493C3F" w:rsidRPr="00D633FF" w:rsidRDefault="00493C3F" w:rsidP="00493C3F">
      <w:pPr>
        <w:pStyle w:val="EndNoteBibliography"/>
        <w:spacing w:after="0"/>
        <w:ind w:left="720" w:hanging="720"/>
        <w:rPr>
          <w:rFonts w:ascii="Calibri" w:hAnsi="Calibri" w:cs="Calibri"/>
        </w:rPr>
      </w:pPr>
      <w:r w:rsidRPr="00D633FF">
        <w:rPr>
          <w:rFonts w:ascii="Calibri" w:hAnsi="Calibri" w:cs="Calibri"/>
        </w:rPr>
        <w:t xml:space="preserve">Thomson CD. (2004). Selenium and iodine intakes and status in New Zealand and Australia. </w:t>
      </w:r>
      <w:r w:rsidRPr="00D633FF">
        <w:rPr>
          <w:rFonts w:ascii="Calibri" w:hAnsi="Calibri" w:cs="Calibri"/>
          <w:i/>
        </w:rPr>
        <w:t>Br J Nutr</w:t>
      </w:r>
      <w:r w:rsidRPr="00D633FF">
        <w:rPr>
          <w:rFonts w:ascii="Calibri" w:hAnsi="Calibri" w:cs="Calibri"/>
        </w:rPr>
        <w:t>,</w:t>
      </w:r>
      <w:r w:rsidRPr="00D633FF">
        <w:rPr>
          <w:rFonts w:ascii="Calibri" w:hAnsi="Calibri" w:cs="Calibri"/>
          <w:i/>
        </w:rPr>
        <w:t xml:space="preserve"> 91</w:t>
      </w:r>
      <w:r w:rsidRPr="00D633FF">
        <w:rPr>
          <w:rFonts w:ascii="Calibri" w:hAnsi="Calibri" w:cs="Calibri"/>
        </w:rPr>
        <w:t xml:space="preserve">(5), 661-672. </w:t>
      </w:r>
      <w:hyperlink r:id="rId77" w:history="1">
        <w:r w:rsidR="004F6727" w:rsidRPr="00D633FF">
          <w:rPr>
            <w:rStyle w:val="Hyperlink"/>
            <w:rFonts w:ascii="Calibri" w:hAnsi="Calibri" w:cs="Calibri"/>
          </w:rPr>
          <w:t>https://doi.org/10.1079/bjn20041110</w:t>
        </w:r>
      </w:hyperlink>
      <w:r w:rsidR="004F6727" w:rsidRPr="00D633FF">
        <w:rPr>
          <w:rFonts w:ascii="Calibri" w:hAnsi="Calibri" w:cs="Calibri"/>
        </w:rPr>
        <w:t xml:space="preserve"> </w:t>
      </w:r>
      <w:r w:rsidRPr="00D633FF">
        <w:rPr>
          <w:rFonts w:ascii="Calibri" w:hAnsi="Calibri" w:cs="Calibri"/>
        </w:rPr>
        <w:t xml:space="preserve"> </w:t>
      </w:r>
    </w:p>
    <w:p w14:paraId="606ECA4E" w14:textId="2B2F4B1E" w:rsidR="00493C3F" w:rsidRPr="00D633FF" w:rsidRDefault="00493C3F" w:rsidP="00493C3F">
      <w:pPr>
        <w:pStyle w:val="EndNoteBibliography"/>
        <w:spacing w:after="0"/>
        <w:ind w:left="720" w:hanging="720"/>
        <w:rPr>
          <w:rFonts w:ascii="Calibri" w:hAnsi="Calibri" w:cs="Calibri"/>
        </w:rPr>
      </w:pPr>
      <w:r w:rsidRPr="00D633FF">
        <w:rPr>
          <w:rFonts w:ascii="Calibri" w:hAnsi="Calibri" w:cs="Calibri"/>
        </w:rPr>
        <w:t xml:space="preserve">Thomson CD, Chisholm A, McLachlan SK, &amp; Campbell JM. (2008). Brazil nuts: an effective way to improve selenium status. </w:t>
      </w:r>
      <w:r w:rsidRPr="00D633FF">
        <w:rPr>
          <w:rFonts w:ascii="Calibri" w:hAnsi="Calibri" w:cs="Calibri"/>
          <w:i/>
        </w:rPr>
        <w:t>Am J Clin Nutr</w:t>
      </w:r>
      <w:r w:rsidRPr="00D633FF">
        <w:rPr>
          <w:rFonts w:ascii="Calibri" w:hAnsi="Calibri" w:cs="Calibri"/>
        </w:rPr>
        <w:t>,</w:t>
      </w:r>
      <w:r w:rsidRPr="00D633FF">
        <w:rPr>
          <w:rFonts w:ascii="Calibri" w:hAnsi="Calibri" w:cs="Calibri"/>
          <w:i/>
        </w:rPr>
        <w:t xml:space="preserve"> 87</w:t>
      </w:r>
      <w:r w:rsidRPr="00D633FF">
        <w:rPr>
          <w:rFonts w:ascii="Calibri" w:hAnsi="Calibri" w:cs="Calibri"/>
        </w:rPr>
        <w:t xml:space="preserve">(2), 379-384. </w:t>
      </w:r>
      <w:hyperlink r:id="rId78" w:history="1">
        <w:r w:rsidR="004F6727" w:rsidRPr="00D633FF">
          <w:rPr>
            <w:rStyle w:val="Hyperlink"/>
            <w:rFonts w:ascii="Calibri" w:hAnsi="Calibri" w:cs="Calibri"/>
          </w:rPr>
          <w:t>https://doi.org/10.1093/ajcn/87.2.379</w:t>
        </w:r>
      </w:hyperlink>
      <w:r w:rsidR="004F6727" w:rsidRPr="00D633FF">
        <w:rPr>
          <w:rFonts w:ascii="Calibri" w:hAnsi="Calibri" w:cs="Calibri"/>
        </w:rPr>
        <w:t xml:space="preserve"> </w:t>
      </w:r>
      <w:r w:rsidRPr="00D633FF">
        <w:rPr>
          <w:rFonts w:ascii="Calibri" w:hAnsi="Calibri" w:cs="Calibri"/>
        </w:rPr>
        <w:t xml:space="preserve"> </w:t>
      </w:r>
    </w:p>
    <w:p w14:paraId="11AF42CD" w14:textId="26437EE5" w:rsidR="00493C3F" w:rsidRPr="00D633FF" w:rsidRDefault="00493C3F" w:rsidP="00493C3F">
      <w:pPr>
        <w:pStyle w:val="EndNoteBibliography"/>
        <w:spacing w:after="0"/>
        <w:ind w:left="720" w:hanging="720"/>
        <w:rPr>
          <w:rFonts w:ascii="Calibri" w:hAnsi="Calibri" w:cs="Calibri"/>
        </w:rPr>
      </w:pPr>
      <w:r w:rsidRPr="00D633FF">
        <w:rPr>
          <w:rFonts w:ascii="Calibri" w:hAnsi="Calibri" w:cs="Calibri"/>
        </w:rPr>
        <w:t xml:space="preserve">Tinggi U. (2003). Essentiality and toxicity of selenium and its status in Australia: a review. </w:t>
      </w:r>
      <w:r w:rsidRPr="00D633FF">
        <w:rPr>
          <w:rFonts w:ascii="Calibri" w:hAnsi="Calibri" w:cs="Calibri"/>
          <w:i/>
        </w:rPr>
        <w:t>Toxicol Lett</w:t>
      </w:r>
      <w:r w:rsidRPr="00D633FF">
        <w:rPr>
          <w:rFonts w:ascii="Calibri" w:hAnsi="Calibri" w:cs="Calibri"/>
        </w:rPr>
        <w:t>,</w:t>
      </w:r>
      <w:r w:rsidRPr="00D633FF">
        <w:rPr>
          <w:rFonts w:ascii="Calibri" w:hAnsi="Calibri" w:cs="Calibri"/>
          <w:i/>
        </w:rPr>
        <w:t xml:space="preserve"> 137</w:t>
      </w:r>
      <w:r w:rsidRPr="00D633FF">
        <w:rPr>
          <w:rFonts w:ascii="Calibri" w:hAnsi="Calibri" w:cs="Calibri"/>
        </w:rPr>
        <w:t xml:space="preserve">(1), 103-110. </w:t>
      </w:r>
      <w:hyperlink r:id="rId79" w:history="1">
        <w:r w:rsidR="004F6727" w:rsidRPr="00D633FF">
          <w:rPr>
            <w:rStyle w:val="Hyperlink"/>
            <w:rFonts w:ascii="Calibri" w:hAnsi="Calibri" w:cs="Calibri"/>
          </w:rPr>
          <w:t>https://doi.org/https://doi.org/10.1016/S0378-4274(02)00384-3</w:t>
        </w:r>
      </w:hyperlink>
      <w:r w:rsidR="004F6727" w:rsidRPr="00D633FF">
        <w:rPr>
          <w:rFonts w:ascii="Calibri" w:hAnsi="Calibri" w:cs="Calibri"/>
        </w:rPr>
        <w:t xml:space="preserve"> </w:t>
      </w:r>
      <w:r w:rsidRPr="00D633FF">
        <w:rPr>
          <w:rFonts w:ascii="Calibri" w:hAnsi="Calibri" w:cs="Calibri"/>
        </w:rPr>
        <w:t xml:space="preserve"> </w:t>
      </w:r>
    </w:p>
    <w:p w14:paraId="25D4BBAF" w14:textId="5EF3EE15" w:rsidR="00493C3F" w:rsidRPr="00D633FF" w:rsidRDefault="00493C3F" w:rsidP="00493C3F">
      <w:pPr>
        <w:pStyle w:val="EndNoteBibliography"/>
        <w:spacing w:after="0"/>
        <w:ind w:left="720" w:hanging="720"/>
        <w:rPr>
          <w:rFonts w:ascii="Calibri" w:hAnsi="Calibri" w:cs="Calibri"/>
        </w:rPr>
      </w:pPr>
      <w:r w:rsidRPr="00D633FF">
        <w:rPr>
          <w:rFonts w:ascii="Calibri" w:hAnsi="Calibri" w:cs="Calibri"/>
        </w:rPr>
        <w:t>University of Otago, &amp; Ministry of Health (2011)</w:t>
      </w:r>
      <w:r w:rsidR="005958AE" w:rsidRPr="00D633FF">
        <w:rPr>
          <w:rFonts w:ascii="Calibri" w:hAnsi="Calibri" w:cs="Calibri"/>
        </w:rPr>
        <w:t>.</w:t>
      </w:r>
      <w:r w:rsidRPr="00D633FF">
        <w:rPr>
          <w:rFonts w:ascii="Calibri" w:hAnsi="Calibri" w:cs="Calibri"/>
        </w:rPr>
        <w:t xml:space="preserve"> </w:t>
      </w:r>
      <w:r w:rsidRPr="00D633FF">
        <w:rPr>
          <w:rFonts w:ascii="Calibri" w:hAnsi="Calibri" w:cs="Calibri"/>
          <w:i/>
        </w:rPr>
        <w:t>A focus on nutrition: key findings of the 2008/09 New Zealand Adult Nutrition Survey</w:t>
      </w:r>
      <w:r w:rsidRPr="00D633FF">
        <w:rPr>
          <w:rFonts w:ascii="Calibri" w:hAnsi="Calibri" w:cs="Calibri"/>
        </w:rPr>
        <w:t xml:space="preserve"> In: Ministry of Health Wellington, New Zealand.</w:t>
      </w:r>
    </w:p>
    <w:p w14:paraId="0083AF52" w14:textId="5B5C006C" w:rsidR="00493C3F" w:rsidRPr="00D633FF" w:rsidRDefault="00493C3F" w:rsidP="00493C3F">
      <w:pPr>
        <w:pStyle w:val="EndNoteBibliography"/>
        <w:spacing w:after="0"/>
        <w:ind w:left="720" w:hanging="720"/>
        <w:rPr>
          <w:rFonts w:ascii="Calibri" w:hAnsi="Calibri" w:cs="Calibri"/>
        </w:rPr>
      </w:pPr>
      <w:r w:rsidRPr="00D633FF">
        <w:rPr>
          <w:rFonts w:ascii="Calibri" w:hAnsi="Calibri" w:cs="Calibri"/>
        </w:rPr>
        <w:t xml:space="preserve">Winther KH, Bonnema SJ, Cold F, Debrabant B, Nybo M, Cold S, &amp; Hegedüs L. (2015). Does selenium supplementation affect thyroid function? Results from a randomized, controlled, double-blinded trial in a Danish population. </w:t>
      </w:r>
      <w:r w:rsidRPr="00D633FF">
        <w:rPr>
          <w:rFonts w:ascii="Calibri" w:hAnsi="Calibri" w:cs="Calibri"/>
          <w:i/>
        </w:rPr>
        <w:t xml:space="preserve">Eur </w:t>
      </w:r>
      <w:r w:rsidR="008F1A2A">
        <w:rPr>
          <w:rFonts w:ascii="Calibri" w:hAnsi="Calibri" w:cs="Calibri"/>
          <w:i/>
        </w:rPr>
        <w:t>J</w:t>
      </w:r>
      <w:r w:rsidRPr="00D633FF">
        <w:rPr>
          <w:rFonts w:ascii="Calibri" w:hAnsi="Calibri" w:cs="Calibri"/>
          <w:i/>
        </w:rPr>
        <w:t xml:space="preserve"> </w:t>
      </w:r>
      <w:r w:rsidR="008F1A2A">
        <w:rPr>
          <w:rFonts w:ascii="Calibri" w:hAnsi="Calibri" w:cs="Calibri"/>
          <w:i/>
        </w:rPr>
        <w:t>E</w:t>
      </w:r>
      <w:r w:rsidRPr="00D633FF">
        <w:rPr>
          <w:rFonts w:ascii="Calibri" w:hAnsi="Calibri" w:cs="Calibri"/>
          <w:i/>
        </w:rPr>
        <w:t>ndocrinol</w:t>
      </w:r>
      <w:r w:rsidRPr="00D633FF">
        <w:rPr>
          <w:rFonts w:ascii="Calibri" w:hAnsi="Calibri" w:cs="Calibri"/>
        </w:rPr>
        <w:t>,</w:t>
      </w:r>
      <w:r w:rsidRPr="00D633FF">
        <w:rPr>
          <w:rFonts w:ascii="Calibri" w:hAnsi="Calibri" w:cs="Calibri"/>
          <w:i/>
        </w:rPr>
        <w:t xml:space="preserve"> 172</w:t>
      </w:r>
      <w:r w:rsidRPr="00D633FF">
        <w:rPr>
          <w:rFonts w:ascii="Calibri" w:hAnsi="Calibri" w:cs="Calibri"/>
        </w:rPr>
        <w:t xml:space="preserve">(6), 657-667. </w:t>
      </w:r>
    </w:p>
    <w:p w14:paraId="787E43ED" w14:textId="4EDA4509" w:rsidR="00493C3F" w:rsidRPr="00D633FF" w:rsidRDefault="00493C3F" w:rsidP="00493C3F">
      <w:pPr>
        <w:pStyle w:val="EndNoteBibliography"/>
        <w:ind w:left="720" w:hanging="720"/>
        <w:rPr>
          <w:rFonts w:ascii="Calibri" w:hAnsi="Calibri" w:cs="Calibri"/>
        </w:rPr>
      </w:pPr>
      <w:r w:rsidRPr="00D633FF">
        <w:rPr>
          <w:rFonts w:ascii="Calibri" w:hAnsi="Calibri" w:cs="Calibri"/>
        </w:rPr>
        <w:t xml:space="preserve">Yang G, Yin S, Zhou R, Gu L, Yan B, &amp; Liu Y. (1989). Studies of safe maximal daily dietary Se-intake in a seleniferous area in China. Part II: Relation between Se-intake and the manifestation of clinical signs and certain biochemical alterations in blood and urine. </w:t>
      </w:r>
      <w:r w:rsidRPr="00D633FF">
        <w:rPr>
          <w:rFonts w:ascii="Calibri" w:hAnsi="Calibri" w:cs="Calibri"/>
          <w:i/>
        </w:rPr>
        <w:t xml:space="preserve">J </w:t>
      </w:r>
      <w:r w:rsidR="00AB6310">
        <w:rPr>
          <w:rFonts w:ascii="Calibri" w:hAnsi="Calibri" w:cs="Calibri"/>
          <w:i/>
        </w:rPr>
        <w:t>T</w:t>
      </w:r>
      <w:r w:rsidRPr="00D633FF">
        <w:rPr>
          <w:rFonts w:ascii="Calibri" w:hAnsi="Calibri" w:cs="Calibri"/>
          <w:i/>
        </w:rPr>
        <w:t xml:space="preserve">race </w:t>
      </w:r>
      <w:r w:rsidR="00AB6310">
        <w:rPr>
          <w:rFonts w:ascii="Calibri" w:hAnsi="Calibri" w:cs="Calibri"/>
          <w:i/>
        </w:rPr>
        <w:t>E</w:t>
      </w:r>
      <w:r w:rsidRPr="00D633FF">
        <w:rPr>
          <w:rFonts w:ascii="Calibri" w:hAnsi="Calibri" w:cs="Calibri"/>
          <w:i/>
        </w:rPr>
        <w:t xml:space="preserve">lem </w:t>
      </w:r>
      <w:r w:rsidR="00AB6310">
        <w:rPr>
          <w:rFonts w:ascii="Calibri" w:hAnsi="Calibri" w:cs="Calibri"/>
          <w:i/>
        </w:rPr>
        <w:t>E</w:t>
      </w:r>
      <w:r w:rsidRPr="00D633FF">
        <w:rPr>
          <w:rFonts w:ascii="Calibri" w:hAnsi="Calibri" w:cs="Calibri"/>
          <w:i/>
        </w:rPr>
        <w:t xml:space="preserve">lectrolytes </w:t>
      </w:r>
      <w:r w:rsidR="00AB6310">
        <w:rPr>
          <w:rFonts w:ascii="Calibri" w:hAnsi="Calibri" w:cs="Calibri"/>
          <w:i/>
        </w:rPr>
        <w:t>H</w:t>
      </w:r>
      <w:r w:rsidRPr="00D633FF">
        <w:rPr>
          <w:rFonts w:ascii="Calibri" w:hAnsi="Calibri" w:cs="Calibri"/>
          <w:i/>
        </w:rPr>
        <w:t xml:space="preserve">ealth </w:t>
      </w:r>
      <w:r w:rsidR="00AB6310">
        <w:rPr>
          <w:rFonts w:ascii="Calibri" w:hAnsi="Calibri" w:cs="Calibri"/>
          <w:i/>
        </w:rPr>
        <w:t>D</w:t>
      </w:r>
      <w:r w:rsidRPr="00D633FF">
        <w:rPr>
          <w:rFonts w:ascii="Calibri" w:hAnsi="Calibri" w:cs="Calibri"/>
          <w:i/>
        </w:rPr>
        <w:t>is</w:t>
      </w:r>
      <w:r w:rsidRPr="00D633FF">
        <w:rPr>
          <w:rFonts w:ascii="Calibri" w:hAnsi="Calibri" w:cs="Calibri"/>
        </w:rPr>
        <w:t>,</w:t>
      </w:r>
      <w:r w:rsidRPr="00D633FF">
        <w:rPr>
          <w:rFonts w:ascii="Calibri" w:hAnsi="Calibri" w:cs="Calibri"/>
          <w:i/>
        </w:rPr>
        <w:t xml:space="preserve"> 3</w:t>
      </w:r>
      <w:r w:rsidRPr="00D633FF">
        <w:rPr>
          <w:rFonts w:ascii="Calibri" w:hAnsi="Calibri" w:cs="Calibri"/>
        </w:rPr>
        <w:t xml:space="preserve">(3), 123-130. </w:t>
      </w:r>
    </w:p>
    <w:p w14:paraId="0C86C92E" w14:textId="4D375CA3" w:rsidR="00E01CE5" w:rsidRPr="00D633FF" w:rsidRDefault="00E01CE5" w:rsidP="00C96EB2">
      <w:pPr>
        <w:jc w:val="center"/>
        <w:rPr>
          <w:rFonts w:ascii="Calibri" w:hAnsi="Calibri" w:cs="Calibri"/>
          <w:i/>
          <w:iCs/>
        </w:rPr>
      </w:pPr>
    </w:p>
    <w:sectPr w:rsidR="00E01CE5" w:rsidRPr="00D633FF" w:rsidSect="003B7F58">
      <w:footnotePr>
        <w:pos w:val="beneathText"/>
      </w:footnotePr>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957FD" w14:textId="77777777" w:rsidR="00883EEC" w:rsidRDefault="00883EEC" w:rsidP="00A644FB">
      <w:pPr>
        <w:spacing w:after="0" w:line="240" w:lineRule="auto"/>
      </w:pPr>
      <w:r>
        <w:separator/>
      </w:r>
    </w:p>
  </w:endnote>
  <w:endnote w:type="continuationSeparator" w:id="0">
    <w:p w14:paraId="48159919" w14:textId="77777777" w:rsidR="00883EEC" w:rsidRDefault="00883EEC" w:rsidP="00A644FB">
      <w:pPr>
        <w:spacing w:after="0" w:line="240" w:lineRule="auto"/>
      </w:pPr>
      <w:r>
        <w:continuationSeparator/>
      </w:r>
    </w:p>
  </w:endnote>
  <w:endnote w:type="continuationNotice" w:id="1">
    <w:p w14:paraId="188F09F6" w14:textId="77777777" w:rsidR="00883EEC" w:rsidRDefault="00883E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Gotham Medium">
    <w:panose1 w:val="00000000000000000000"/>
    <w:charset w:val="00"/>
    <w:family w:val="modern"/>
    <w:notTrueType/>
    <w:pitch w:val="variable"/>
    <w:sig w:usb0="A00002FF" w:usb1="4000005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40C6C" w14:textId="2C7A2335" w:rsidR="004E37E6" w:rsidRDefault="00635E0F">
    <w:pPr>
      <w:pStyle w:val="Footer"/>
    </w:pPr>
    <w:r>
      <w:rPr>
        <w:noProof/>
      </w:rPr>
      <mc:AlternateContent>
        <mc:Choice Requires="wps">
          <w:drawing>
            <wp:anchor distT="0" distB="0" distL="0" distR="0" simplePos="0" relativeHeight="251667471" behindDoc="0" locked="0" layoutInCell="1" allowOverlap="1" wp14:anchorId="64A56BEA" wp14:editId="2310ADAD">
              <wp:simplePos x="635" y="635"/>
              <wp:positionH relativeFrom="page">
                <wp:align>left</wp:align>
              </wp:positionH>
              <wp:positionV relativeFrom="page">
                <wp:align>bottom</wp:align>
              </wp:positionV>
              <wp:extent cx="772795" cy="357505"/>
              <wp:effectExtent l="0" t="0" r="8255" b="0"/>
              <wp:wrapNone/>
              <wp:docPr id="1872580813"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357505"/>
                      </a:xfrm>
                      <a:prstGeom prst="rect">
                        <a:avLst/>
                      </a:prstGeom>
                      <a:noFill/>
                      <a:ln>
                        <a:noFill/>
                      </a:ln>
                    </wps:spPr>
                    <wps:txbx>
                      <w:txbxContent>
                        <w:p w14:paraId="1350FA16" w14:textId="2496CA0D" w:rsidR="00635E0F" w:rsidRPr="00635E0F" w:rsidRDefault="00635E0F" w:rsidP="00635E0F">
                          <w:pPr>
                            <w:spacing w:after="0"/>
                            <w:rPr>
                              <w:rFonts w:ascii="Aptos" w:eastAsia="Aptos" w:hAnsi="Aptos" w:cs="Aptos"/>
                              <w:noProof/>
                              <w:color w:val="000000"/>
                              <w:sz w:val="20"/>
                              <w:szCs w:val="20"/>
                            </w:rPr>
                          </w:pPr>
                          <w:r w:rsidRPr="00635E0F">
                            <w:rPr>
                              <w:rFonts w:ascii="Aptos" w:eastAsia="Aptos" w:hAnsi="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A56BEA" id="_x0000_t202" coordsize="21600,21600" o:spt="202" path="m,l,21600r21600,l21600,xe">
              <v:stroke joinstyle="miter"/>
              <v:path gradientshapeok="t" o:connecttype="rect"/>
            </v:shapetype>
            <v:shape id="Text Box 9" o:spid="_x0000_s1028" type="#_x0000_t202" alt="OFFICIAL" style="position:absolute;margin-left:0;margin-top:0;width:60.85pt;height:28.15pt;z-index:25166747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" filled="f" stroked="f">
              <v:fill o:detectmouseclick="t"/>
              <v:textbox style="mso-fit-shape-to-text:t" inset="20pt,0,0,15pt">
                <w:txbxContent>
                  <w:p w14:paraId="1350FA16" w14:textId="2496CA0D" w:rsidR="00635E0F" w:rsidRPr="00635E0F" w:rsidRDefault="00635E0F" w:rsidP="00635E0F">
                    <w:pPr>
                      <w:spacing w:after="0"/>
                      <w:rPr>
                        <w:rFonts w:ascii="Aptos" w:eastAsia="Aptos" w:hAnsi="Aptos" w:cs="Aptos"/>
                        <w:noProof/>
                        <w:color w:val="000000"/>
                        <w:sz w:val="20"/>
                        <w:szCs w:val="20"/>
                      </w:rPr>
                    </w:pPr>
                    <w:r w:rsidRPr="00635E0F">
                      <w:rPr>
                        <w:rFonts w:ascii="Aptos" w:eastAsia="Aptos" w:hAnsi="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2809" w14:textId="206CE2E9" w:rsidR="00C4754B" w:rsidRDefault="00635E0F">
    <w:pPr>
      <w:pStyle w:val="Footer"/>
      <w:jc w:val="right"/>
    </w:pPr>
    <w:r>
      <w:rPr>
        <w:noProof/>
      </w:rPr>
      <mc:AlternateContent>
        <mc:Choice Requires="wps">
          <w:drawing>
            <wp:anchor distT="0" distB="0" distL="0" distR="0" simplePos="0" relativeHeight="251668495" behindDoc="0" locked="0" layoutInCell="1" allowOverlap="1" wp14:anchorId="0C49C935" wp14:editId="4AC6C048">
              <wp:simplePos x="914400" y="9899374"/>
              <wp:positionH relativeFrom="page">
                <wp:align>left</wp:align>
              </wp:positionH>
              <wp:positionV relativeFrom="page">
                <wp:align>bottom</wp:align>
              </wp:positionV>
              <wp:extent cx="772795" cy="357505"/>
              <wp:effectExtent l="0" t="0" r="8255" b="0"/>
              <wp:wrapNone/>
              <wp:docPr id="759395083"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357505"/>
                      </a:xfrm>
                      <a:prstGeom prst="rect">
                        <a:avLst/>
                      </a:prstGeom>
                      <a:noFill/>
                      <a:ln>
                        <a:noFill/>
                      </a:ln>
                    </wps:spPr>
                    <wps:txbx>
                      <w:txbxContent>
                        <w:p w14:paraId="197C4F4A" w14:textId="50FA7A70" w:rsidR="00635E0F" w:rsidRPr="00635E0F" w:rsidRDefault="00635E0F" w:rsidP="00635E0F">
                          <w:pPr>
                            <w:spacing w:after="0"/>
                            <w:rPr>
                              <w:rFonts w:ascii="Aptos" w:eastAsia="Aptos" w:hAnsi="Aptos" w:cs="Aptos"/>
                              <w:noProof/>
                              <w:color w:val="000000"/>
                              <w:sz w:val="20"/>
                              <w:szCs w:val="20"/>
                            </w:rPr>
                          </w:pPr>
                          <w:r w:rsidRPr="00635E0F">
                            <w:rPr>
                              <w:rFonts w:ascii="Aptos" w:eastAsia="Aptos" w:hAnsi="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49C935" id="_x0000_t202" coordsize="21600,21600" o:spt="202" path="m,l,21600r21600,l21600,xe">
              <v:stroke joinstyle="miter"/>
              <v:path gradientshapeok="t" o:connecttype="rect"/>
            </v:shapetype>
            <v:shape id="Text Box 10" o:spid="_x0000_s1029" type="#_x0000_t202" alt="OFFICIAL" style="position:absolute;left:0;text-align:left;margin-left:0;margin-top:0;width:60.85pt;height:28.15pt;z-index:25166849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" filled="f" stroked="f">
              <v:fill o:detectmouseclick="t"/>
              <v:textbox style="mso-fit-shape-to-text:t" inset="20pt,0,0,15pt">
                <w:txbxContent>
                  <w:p w14:paraId="197C4F4A" w14:textId="50FA7A70" w:rsidR="00635E0F" w:rsidRPr="00635E0F" w:rsidRDefault="00635E0F" w:rsidP="00635E0F">
                    <w:pPr>
                      <w:spacing w:after="0"/>
                      <w:rPr>
                        <w:rFonts w:ascii="Aptos" w:eastAsia="Aptos" w:hAnsi="Aptos" w:cs="Aptos"/>
                        <w:noProof/>
                        <w:color w:val="000000"/>
                        <w:sz w:val="20"/>
                        <w:szCs w:val="20"/>
                      </w:rPr>
                    </w:pPr>
                    <w:r w:rsidRPr="00635E0F">
                      <w:rPr>
                        <w:rFonts w:ascii="Aptos" w:eastAsia="Aptos" w:hAnsi="Aptos" w:cs="Aptos"/>
                        <w:noProof/>
                        <w:color w:val="000000"/>
                        <w:sz w:val="20"/>
                        <w:szCs w:val="20"/>
                      </w:rPr>
                      <w:t>OFFICIAL</w:t>
                    </w:r>
                  </w:p>
                </w:txbxContent>
              </v:textbox>
              <w10:wrap anchorx="page" anchory="page"/>
            </v:shape>
          </w:pict>
        </mc:Fallback>
      </mc:AlternateContent>
    </w:r>
    <w:sdt>
      <w:sdtPr>
        <w:id w:val="221263711"/>
        <w:docPartObj>
          <w:docPartGallery w:val="Page Numbers (Bottom of Page)"/>
          <w:docPartUnique/>
        </w:docPartObj>
      </w:sdtPr>
      <w:sdtEndPr>
        <w:rPr>
          <w:noProof/>
        </w:rPr>
      </w:sdtEndPr>
      <w:sdtContent>
        <w:r w:rsidR="00C4754B">
          <w:fldChar w:fldCharType="begin"/>
        </w:r>
        <w:r w:rsidR="00C4754B">
          <w:instrText xml:space="preserve"> PAGE   \* MERGEFORMAT </w:instrText>
        </w:r>
        <w:r w:rsidR="00C4754B">
          <w:fldChar w:fldCharType="separate"/>
        </w:r>
        <w:r w:rsidR="00C4754B">
          <w:rPr>
            <w:noProof/>
          </w:rPr>
          <w:t>2</w:t>
        </w:r>
        <w:r w:rsidR="00C4754B">
          <w:rPr>
            <w:noProof/>
          </w:rPr>
          <w:fldChar w:fldCharType="end"/>
        </w:r>
      </w:sdtContent>
    </w:sdt>
  </w:p>
  <w:p w14:paraId="2ACE6CE8" w14:textId="77777777" w:rsidR="00C4754B" w:rsidRDefault="00C475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D9FC2" w14:textId="1C8CD90A" w:rsidR="008606B9" w:rsidRDefault="00635E0F">
    <w:pPr>
      <w:pStyle w:val="Footer"/>
      <w:jc w:val="center"/>
    </w:pPr>
    <w:r>
      <w:rPr>
        <w:noProof/>
      </w:rPr>
      <mc:AlternateContent>
        <mc:Choice Requires="wps">
          <w:drawing>
            <wp:anchor distT="0" distB="0" distL="0" distR="0" simplePos="0" relativeHeight="251666447" behindDoc="0" locked="0" layoutInCell="1" allowOverlap="1" wp14:anchorId="626F0902" wp14:editId="03A7800E">
              <wp:simplePos x="635" y="635"/>
              <wp:positionH relativeFrom="page">
                <wp:align>left</wp:align>
              </wp:positionH>
              <wp:positionV relativeFrom="page">
                <wp:align>bottom</wp:align>
              </wp:positionV>
              <wp:extent cx="772795" cy="357505"/>
              <wp:effectExtent l="0" t="0" r="8255" b="0"/>
              <wp:wrapNone/>
              <wp:docPr id="1849285509"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357505"/>
                      </a:xfrm>
                      <a:prstGeom prst="rect">
                        <a:avLst/>
                      </a:prstGeom>
                      <a:noFill/>
                      <a:ln>
                        <a:noFill/>
                      </a:ln>
                    </wps:spPr>
                    <wps:txbx>
                      <w:txbxContent>
                        <w:p w14:paraId="5C2F8D8B" w14:textId="27560695" w:rsidR="00635E0F" w:rsidRPr="00635E0F" w:rsidRDefault="00635E0F" w:rsidP="00635E0F">
                          <w:pPr>
                            <w:spacing w:after="0"/>
                            <w:rPr>
                              <w:rFonts w:ascii="Aptos" w:eastAsia="Aptos" w:hAnsi="Aptos" w:cs="Aptos"/>
                              <w:noProof/>
                              <w:color w:val="000000"/>
                              <w:sz w:val="20"/>
                              <w:szCs w:val="20"/>
                            </w:rPr>
                          </w:pPr>
                          <w:r w:rsidRPr="00635E0F">
                            <w:rPr>
                              <w:rFonts w:ascii="Aptos" w:eastAsia="Aptos" w:hAnsi="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6F0902" id="_x0000_t202" coordsize="21600,21600" o:spt="202" path="m,l,21600r21600,l21600,xe">
              <v:stroke joinstyle="miter"/>
              <v:path gradientshapeok="t" o:connecttype="rect"/>
            </v:shapetype>
            <v:shape id="Text Box 8" o:spid="_x0000_s1031" type="#_x0000_t202" alt="OFFICIAL" style="position:absolute;left:0;text-align:left;margin-left:0;margin-top:0;width:60.85pt;height:28.15pt;z-index:25166644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" filled="f" stroked="f">
              <v:fill o:detectmouseclick="t"/>
              <v:textbox style="mso-fit-shape-to-text:t" inset="20pt,0,0,15pt">
                <w:txbxContent>
                  <w:p w14:paraId="5C2F8D8B" w14:textId="27560695" w:rsidR="00635E0F" w:rsidRPr="00635E0F" w:rsidRDefault="00635E0F" w:rsidP="00635E0F">
                    <w:pPr>
                      <w:spacing w:after="0"/>
                      <w:rPr>
                        <w:rFonts w:ascii="Aptos" w:eastAsia="Aptos" w:hAnsi="Aptos" w:cs="Aptos"/>
                        <w:noProof/>
                        <w:color w:val="000000"/>
                        <w:sz w:val="20"/>
                        <w:szCs w:val="20"/>
                      </w:rPr>
                    </w:pPr>
                    <w:r w:rsidRPr="00635E0F">
                      <w:rPr>
                        <w:rFonts w:ascii="Aptos" w:eastAsia="Aptos" w:hAnsi="Aptos" w:cs="Aptos"/>
                        <w:noProof/>
                        <w:color w:val="000000"/>
                        <w:sz w:val="20"/>
                        <w:szCs w:val="20"/>
                      </w:rPr>
                      <w:t>OFFICIAL</w:t>
                    </w:r>
                  </w:p>
                </w:txbxContent>
              </v:textbox>
              <w10:wrap anchorx="page" anchory="page"/>
            </v:shape>
          </w:pict>
        </mc:Fallback>
      </mc:AlternateContent>
    </w:r>
  </w:p>
  <w:sdt>
    <w:sdtPr>
      <w:id w:val="-214281038"/>
      <w:docPartObj>
        <w:docPartGallery w:val="Page Numbers (Bottom of Page)"/>
        <w:docPartUnique/>
      </w:docPartObj>
    </w:sdtPr>
    <w:sdtEndPr>
      <w:rPr>
        <w:noProof/>
      </w:rPr>
    </w:sdtEndPr>
    <w:sdtContent>
      <w:p w14:paraId="47CE4C23" w14:textId="77777777" w:rsidR="008606B9" w:rsidRDefault="008606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CF4D50" w14:textId="162F4A99" w:rsidR="004E37E6" w:rsidRDefault="004E37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40A3" w14:textId="2674A310" w:rsidR="001E6404" w:rsidRDefault="00635E0F">
    <w:pPr>
      <w:pStyle w:val="Footer"/>
      <w:jc w:val="center"/>
    </w:pPr>
    <w:r>
      <w:rPr>
        <w:noProof/>
      </w:rPr>
      <mc:AlternateContent>
        <mc:Choice Requires="wps">
          <w:drawing>
            <wp:anchor distT="0" distB="0" distL="0" distR="0" simplePos="0" relativeHeight="251669519" behindDoc="0" locked="0" layoutInCell="1" allowOverlap="1" wp14:anchorId="63A05442" wp14:editId="1BCCBBE3">
              <wp:simplePos x="635" y="635"/>
              <wp:positionH relativeFrom="page">
                <wp:align>left</wp:align>
              </wp:positionH>
              <wp:positionV relativeFrom="page">
                <wp:align>bottom</wp:align>
              </wp:positionV>
              <wp:extent cx="772795" cy="357505"/>
              <wp:effectExtent l="0" t="0" r="8255" b="0"/>
              <wp:wrapNone/>
              <wp:docPr id="181421686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357505"/>
                      </a:xfrm>
                      <a:prstGeom prst="rect">
                        <a:avLst/>
                      </a:prstGeom>
                      <a:noFill/>
                      <a:ln>
                        <a:noFill/>
                      </a:ln>
                    </wps:spPr>
                    <wps:txbx>
                      <w:txbxContent>
                        <w:p w14:paraId="5AD337CA" w14:textId="741037AA" w:rsidR="00635E0F" w:rsidRPr="00635E0F" w:rsidRDefault="00635E0F" w:rsidP="00635E0F">
                          <w:pPr>
                            <w:spacing w:after="0"/>
                            <w:rPr>
                              <w:rFonts w:ascii="Aptos" w:eastAsia="Aptos" w:hAnsi="Aptos" w:cs="Aptos"/>
                              <w:noProof/>
                              <w:color w:val="000000"/>
                              <w:sz w:val="20"/>
                              <w:szCs w:val="20"/>
                            </w:rPr>
                          </w:pPr>
                          <w:r w:rsidRPr="00635E0F">
                            <w:rPr>
                              <w:rFonts w:ascii="Aptos" w:eastAsia="Aptos" w:hAnsi="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A05442" id="_x0000_t202" coordsize="21600,21600" o:spt="202" path="m,l,21600r21600,l21600,xe">
              <v:stroke joinstyle="miter"/>
              <v:path gradientshapeok="t" o:connecttype="rect"/>
            </v:shapetype>
            <v:shape id="Text Box 11" o:spid="_x0000_s1033" type="#_x0000_t202" alt="OFFICIAL" style="position:absolute;left:0;text-align:left;margin-left:0;margin-top:0;width:60.85pt;height:28.15pt;z-index:25166951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" filled="f" stroked="f">
              <v:fill o:detectmouseclick="t"/>
              <v:textbox style="mso-fit-shape-to-text:t" inset="20pt,0,0,15pt">
                <w:txbxContent>
                  <w:p w14:paraId="5AD337CA" w14:textId="741037AA" w:rsidR="00635E0F" w:rsidRPr="00635E0F" w:rsidRDefault="00635E0F" w:rsidP="00635E0F">
                    <w:pPr>
                      <w:spacing w:after="0"/>
                      <w:rPr>
                        <w:rFonts w:ascii="Aptos" w:eastAsia="Aptos" w:hAnsi="Aptos" w:cs="Aptos"/>
                        <w:noProof/>
                        <w:color w:val="000000"/>
                        <w:sz w:val="20"/>
                        <w:szCs w:val="20"/>
                      </w:rPr>
                    </w:pPr>
                    <w:r w:rsidRPr="00635E0F">
                      <w:rPr>
                        <w:rFonts w:ascii="Aptos" w:eastAsia="Aptos" w:hAnsi="Aptos" w:cs="Aptos"/>
                        <w:noProof/>
                        <w:color w:val="000000"/>
                        <w:sz w:val="20"/>
                        <w:szCs w:val="20"/>
                      </w:rPr>
                      <w:t>OFFICIAL</w:t>
                    </w:r>
                  </w:p>
                </w:txbxContent>
              </v:textbox>
              <w10:wrap anchorx="page" anchory="page"/>
            </v:shape>
          </w:pict>
        </mc:Fallback>
      </mc:AlternateContent>
    </w:r>
    <w:sdt>
      <w:sdtPr>
        <w:id w:val="-2088524950"/>
        <w:docPartObj>
          <w:docPartGallery w:val="Page Numbers (Bottom of Page)"/>
          <w:docPartUnique/>
        </w:docPartObj>
      </w:sdtPr>
      <w:sdtEndPr>
        <w:rPr>
          <w:noProof/>
        </w:rPr>
      </w:sdtEndPr>
      <w:sdtContent>
        <w:r w:rsidR="001E6404">
          <w:fldChar w:fldCharType="begin"/>
        </w:r>
        <w:r w:rsidR="001E6404">
          <w:instrText xml:space="preserve"> PAGE   \* MERGEFORMAT </w:instrText>
        </w:r>
        <w:r w:rsidR="001E6404">
          <w:fldChar w:fldCharType="separate"/>
        </w:r>
        <w:r w:rsidR="001E6404">
          <w:rPr>
            <w:noProof/>
          </w:rPr>
          <w:t>2</w:t>
        </w:r>
        <w:r w:rsidR="001E6404">
          <w:rPr>
            <w:noProof/>
          </w:rPr>
          <w:fldChar w:fldCharType="end"/>
        </w:r>
      </w:sdtContent>
    </w:sdt>
  </w:p>
  <w:p w14:paraId="3ABF1D51" w14:textId="77777777" w:rsidR="00E738A7" w:rsidRPr="00791DFA" w:rsidRDefault="00E738A7">
    <w:pPr>
      <w:pStyle w:val="Footer"/>
      <w:jc w:val="righ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C425E" w14:textId="68CDE0F9" w:rsidR="008606B9" w:rsidRDefault="00635E0F">
    <w:pPr>
      <w:pStyle w:val="Footer"/>
      <w:jc w:val="center"/>
    </w:pPr>
    <w:r>
      <w:rPr>
        <w:noProof/>
      </w:rPr>
      <mc:AlternateContent>
        <mc:Choice Requires="wps">
          <w:drawing>
            <wp:anchor distT="0" distB="0" distL="0" distR="0" simplePos="0" relativeHeight="251670543" behindDoc="0" locked="0" layoutInCell="1" allowOverlap="1" wp14:anchorId="3D3C8E45" wp14:editId="007F9557">
              <wp:simplePos x="635" y="635"/>
              <wp:positionH relativeFrom="page">
                <wp:align>left</wp:align>
              </wp:positionH>
              <wp:positionV relativeFrom="page">
                <wp:align>bottom</wp:align>
              </wp:positionV>
              <wp:extent cx="772795" cy="357505"/>
              <wp:effectExtent l="0" t="0" r="8255" b="0"/>
              <wp:wrapNone/>
              <wp:docPr id="1833699469"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357505"/>
                      </a:xfrm>
                      <a:prstGeom prst="rect">
                        <a:avLst/>
                      </a:prstGeom>
                      <a:noFill/>
                      <a:ln>
                        <a:noFill/>
                      </a:ln>
                    </wps:spPr>
                    <wps:txbx>
                      <w:txbxContent>
                        <w:p w14:paraId="0FD7E9D6" w14:textId="6932614D" w:rsidR="00635E0F" w:rsidRPr="00635E0F" w:rsidRDefault="00635E0F" w:rsidP="00635E0F">
                          <w:pPr>
                            <w:spacing w:after="0"/>
                            <w:rPr>
                              <w:rFonts w:ascii="Aptos" w:eastAsia="Aptos" w:hAnsi="Aptos" w:cs="Aptos"/>
                              <w:noProof/>
                              <w:color w:val="000000"/>
                              <w:sz w:val="20"/>
                              <w:szCs w:val="20"/>
                            </w:rPr>
                          </w:pPr>
                          <w:r w:rsidRPr="00635E0F">
                            <w:rPr>
                              <w:rFonts w:ascii="Aptos" w:eastAsia="Aptos" w:hAnsi="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3C8E45" id="_x0000_t202" coordsize="21600,21600" o:spt="202" path="m,l,21600r21600,l21600,xe">
              <v:stroke joinstyle="miter"/>
              <v:path gradientshapeok="t" o:connecttype="rect"/>
            </v:shapetype>
            <v:shape id="Text Box 12" o:spid="_x0000_s1036" type="#_x0000_t202" alt="OFFICIAL" style="position:absolute;left:0;text-align:left;margin-left:0;margin-top:0;width:60.85pt;height:28.15pt;z-index:2516705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" filled="f" stroked="f">
              <v:fill o:detectmouseclick="t"/>
              <v:textbox style="mso-fit-shape-to-text:t" inset="20pt,0,0,15pt">
                <w:txbxContent>
                  <w:p w14:paraId="0FD7E9D6" w14:textId="6932614D" w:rsidR="00635E0F" w:rsidRPr="00635E0F" w:rsidRDefault="00635E0F" w:rsidP="00635E0F">
                    <w:pPr>
                      <w:spacing w:after="0"/>
                      <w:rPr>
                        <w:rFonts w:ascii="Aptos" w:eastAsia="Aptos" w:hAnsi="Aptos" w:cs="Aptos"/>
                        <w:noProof/>
                        <w:color w:val="000000"/>
                        <w:sz w:val="20"/>
                        <w:szCs w:val="20"/>
                      </w:rPr>
                    </w:pPr>
                    <w:r w:rsidRPr="00635E0F">
                      <w:rPr>
                        <w:rFonts w:ascii="Aptos" w:eastAsia="Aptos" w:hAnsi="Aptos" w:cs="Aptos"/>
                        <w:noProof/>
                        <w:color w:val="000000"/>
                        <w:sz w:val="20"/>
                        <w:szCs w:val="20"/>
                      </w:rPr>
                      <w:t>OFFICIAL</w:t>
                    </w:r>
                  </w:p>
                </w:txbxContent>
              </v:textbox>
              <w10:wrap anchorx="page" anchory="page"/>
            </v:shape>
          </w:pict>
        </mc:Fallback>
      </mc:AlternateContent>
    </w:r>
  </w:p>
  <w:sdt>
    <w:sdtPr>
      <w:id w:val="-1349091475"/>
      <w:docPartObj>
        <w:docPartGallery w:val="Page Numbers (Bottom of Page)"/>
        <w:docPartUnique/>
      </w:docPartObj>
    </w:sdtPr>
    <w:sdtEndPr>
      <w:rPr>
        <w:noProof/>
      </w:rPr>
    </w:sdtEndPr>
    <w:sdtContent>
      <w:p w14:paraId="2094BB59" w14:textId="77777777" w:rsidR="008606B9" w:rsidRDefault="008606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86010C" w14:textId="6B7EFE8E" w:rsidR="005C5475" w:rsidRPr="008606B9" w:rsidRDefault="008606B9">
    <w:pPr>
      <w:pStyle w:val="Footer"/>
      <w:tabs>
        <w:tab w:val="clear" w:pos="4513"/>
        <w:tab w:val="clear" w:pos="9026"/>
        <w:tab w:val="center" w:pos="7230"/>
        <w:tab w:val="right" w:pos="10206"/>
      </w:tabs>
      <w:rPr>
        <w:rFonts w:cs="Arial"/>
        <w:noProof/>
        <w:sz w:val="12"/>
        <w:szCs w:val="12"/>
      </w:rPr>
    </w:pPr>
    <w:r w:rsidRPr="008606B9">
      <w:rPr>
        <w:rFonts w:cs="Arial"/>
        <w:noProof/>
        <w:sz w:val="12"/>
        <w:szCs w:val="12"/>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44521" w14:textId="77777777" w:rsidR="00883EEC" w:rsidRDefault="00883EEC" w:rsidP="00A644FB">
      <w:pPr>
        <w:spacing w:after="0" w:line="240" w:lineRule="auto"/>
      </w:pPr>
      <w:r>
        <w:separator/>
      </w:r>
    </w:p>
  </w:footnote>
  <w:footnote w:type="continuationSeparator" w:id="0">
    <w:p w14:paraId="7B9C0E78" w14:textId="77777777" w:rsidR="00883EEC" w:rsidRDefault="00883EEC" w:rsidP="00A644FB">
      <w:pPr>
        <w:spacing w:after="0" w:line="240" w:lineRule="auto"/>
      </w:pPr>
      <w:r>
        <w:continuationSeparator/>
      </w:r>
    </w:p>
  </w:footnote>
  <w:footnote w:type="continuationNotice" w:id="1">
    <w:p w14:paraId="442F94FF" w14:textId="77777777" w:rsidR="00883EEC" w:rsidRDefault="00883EEC">
      <w:pPr>
        <w:spacing w:after="0" w:line="240" w:lineRule="auto"/>
      </w:pPr>
    </w:p>
  </w:footnote>
  <w:footnote w:id="2">
    <w:p w14:paraId="6DF30823" w14:textId="32AA0799" w:rsidR="00A41FC0" w:rsidRPr="00A41FC0" w:rsidRDefault="00A41FC0">
      <w:pPr>
        <w:pStyle w:val="FootnoteText"/>
        <w:rPr>
          <w:lang w:val="en-US"/>
        </w:rPr>
      </w:pPr>
      <w:r>
        <w:rPr>
          <w:rStyle w:val="FootnoteReference"/>
        </w:rPr>
        <w:footnoteRef/>
      </w:r>
      <w:r>
        <w:t xml:space="preserve"> </w:t>
      </w:r>
      <w:hyperlink r:id="rId1" w:history="1">
        <w:r w:rsidRPr="00A41FC0">
          <w:rPr>
            <w:rStyle w:val="Hyperlink"/>
          </w:rPr>
          <w:t>https://www.foodstandards.gov.au/science-data/monitoringnutrients/afcd/legal</w:t>
        </w:r>
      </w:hyperlink>
    </w:p>
  </w:footnote>
  <w:footnote w:id="3">
    <w:p w14:paraId="46BF54AE" w14:textId="063779D4" w:rsidR="00E731B0" w:rsidRDefault="00E731B0" w:rsidP="00E731B0">
      <w:pPr>
        <w:pStyle w:val="FootnoteText"/>
      </w:pPr>
      <w:r>
        <w:rPr>
          <w:rStyle w:val="FootnoteReference"/>
        </w:rPr>
        <w:footnoteRef/>
      </w:r>
      <w:r>
        <w:t xml:space="preserve"> For example, </w:t>
      </w:r>
      <w:r w:rsidR="00EE2E69">
        <w:t xml:space="preserve">to calculate </w:t>
      </w:r>
      <w:r>
        <w:t xml:space="preserve">a weighted NRV for children aged 5 to under 12 years (a 7 year age grouping) </w:t>
      </w:r>
      <w:r w:rsidR="00EE2E69">
        <w:t>based on the following age groups</w:t>
      </w:r>
      <w:r>
        <w:t>:</w:t>
      </w:r>
    </w:p>
    <w:p w14:paraId="35207A31" w14:textId="77777777" w:rsidR="00E731B0" w:rsidRPr="00E731B0" w:rsidRDefault="00E731B0" w:rsidP="008D15E1">
      <w:pPr>
        <w:pStyle w:val="FootnoteText"/>
        <w:numPr>
          <w:ilvl w:val="0"/>
          <w:numId w:val="48"/>
        </w:numPr>
        <w:rPr>
          <w:b/>
          <w:bCs/>
        </w:rPr>
      </w:pPr>
      <w:r>
        <w:t>4 to under 9 years age group (4 of the 7 year span falls within this group)</w:t>
      </w:r>
    </w:p>
    <w:p w14:paraId="39FC819E" w14:textId="77777777" w:rsidR="00E731B0" w:rsidRPr="00DA1B12" w:rsidRDefault="00E731B0" w:rsidP="008D15E1">
      <w:pPr>
        <w:pStyle w:val="FootnoteText"/>
        <w:numPr>
          <w:ilvl w:val="0"/>
          <w:numId w:val="48"/>
        </w:numPr>
        <w:rPr>
          <w:b/>
          <w:bCs/>
        </w:rPr>
      </w:pPr>
      <w:r>
        <w:t>9 to under 14 years age group (3 of the 7 year span falls within this group)</w:t>
      </w:r>
    </w:p>
    <w:p w14:paraId="27055FBE" w14:textId="77777777" w:rsidR="00E731B0" w:rsidRDefault="00E731B0" w:rsidP="00E731B0">
      <w:pPr>
        <w:pStyle w:val="FootnoteText"/>
      </w:pPr>
    </w:p>
    <w:p w14:paraId="1436D198" w14:textId="5ECFF17E" w:rsidR="00E731B0" w:rsidRPr="00DA1B12" w:rsidRDefault="00E731B0" w:rsidP="00EB3DE6">
      <w:pPr>
        <w:pStyle w:val="FootnoteText"/>
        <w:pBdr>
          <w:top w:val="single" w:sz="4" w:space="1" w:color="FFC000"/>
          <w:left w:val="single" w:sz="4" w:space="4" w:color="FFC000"/>
          <w:bottom w:val="single" w:sz="4" w:space="1" w:color="FFC000"/>
          <w:right w:val="single" w:sz="4" w:space="4" w:color="FFC000"/>
        </w:pBdr>
        <w:rPr>
          <w:u w:val="single"/>
        </w:rPr>
      </w:pPr>
      <w:r w:rsidRPr="00DA1B12">
        <w:t>Weighted NRV</w:t>
      </w:r>
      <w:r w:rsidRPr="00EE2E69">
        <w:rPr>
          <w:sz w:val="24"/>
          <w:szCs w:val="24"/>
          <w:vertAlign w:val="subscript"/>
        </w:rPr>
        <w:t>5 to under 12 years</w:t>
      </w:r>
      <w:r w:rsidRPr="00EE2E69">
        <w:rPr>
          <w:sz w:val="24"/>
          <w:szCs w:val="24"/>
        </w:rPr>
        <w:t xml:space="preserve"> </w:t>
      </w:r>
      <w:r w:rsidRPr="00DA1B12">
        <w:t xml:space="preserve">= </w:t>
      </w:r>
      <w:r w:rsidRPr="00DA1B12">
        <w:rPr>
          <w:u w:val="single"/>
        </w:rPr>
        <w:t>(NRV</w:t>
      </w:r>
      <w:r w:rsidRPr="00DA1B12">
        <w:rPr>
          <w:sz w:val="24"/>
          <w:szCs w:val="24"/>
          <w:u w:val="single"/>
          <w:vertAlign w:val="subscript"/>
        </w:rPr>
        <w:t>child 4</w:t>
      </w:r>
      <w:r w:rsidRPr="00E731B0">
        <w:rPr>
          <w:sz w:val="24"/>
          <w:szCs w:val="24"/>
          <w:u w:val="single"/>
          <w:vertAlign w:val="subscript"/>
        </w:rPr>
        <w:t xml:space="preserve"> to under 9years</w:t>
      </w:r>
      <w:r w:rsidRPr="00DA1B12">
        <w:rPr>
          <w:sz w:val="24"/>
          <w:szCs w:val="24"/>
          <w:u w:val="single"/>
        </w:rPr>
        <w:t xml:space="preserve">  </w:t>
      </w:r>
      <w:r w:rsidRPr="00DA1B12">
        <w:rPr>
          <w:u w:val="single"/>
        </w:rPr>
        <w:t>x 4) + (NRV</w:t>
      </w:r>
      <w:r w:rsidRPr="00E731B0">
        <w:rPr>
          <w:u w:val="single"/>
          <w:vertAlign w:val="subscript"/>
        </w:rPr>
        <w:t xml:space="preserve"> </w:t>
      </w:r>
      <w:r w:rsidRPr="00DA1B12">
        <w:rPr>
          <w:sz w:val="24"/>
          <w:szCs w:val="24"/>
          <w:u w:val="single"/>
          <w:vertAlign w:val="subscript"/>
        </w:rPr>
        <w:t xml:space="preserve">child </w:t>
      </w:r>
      <w:r w:rsidRPr="00E731B0">
        <w:rPr>
          <w:sz w:val="24"/>
          <w:szCs w:val="24"/>
          <w:u w:val="single"/>
          <w:vertAlign w:val="subscript"/>
        </w:rPr>
        <w:t>9 to under 13years</w:t>
      </w:r>
      <w:r w:rsidRPr="00DA1B12">
        <w:rPr>
          <w:u w:val="single"/>
        </w:rPr>
        <w:t xml:space="preserve">   x 3)</w:t>
      </w:r>
    </w:p>
    <w:p w14:paraId="16137855" w14:textId="77FAD5DC" w:rsidR="00E731B0" w:rsidRDefault="00E731B0" w:rsidP="00EB3DE6">
      <w:pPr>
        <w:pStyle w:val="FootnoteText"/>
        <w:pBdr>
          <w:top w:val="single" w:sz="4" w:space="1" w:color="FFC000"/>
          <w:left w:val="single" w:sz="4" w:space="4" w:color="FFC000"/>
          <w:bottom w:val="single" w:sz="4" w:space="1" w:color="FFC000"/>
          <w:right w:val="single" w:sz="4" w:space="4" w:color="FFC000"/>
        </w:pBdr>
        <w:jc w:val="center"/>
      </w:pPr>
      <w:r>
        <w:t xml:space="preserve">                        </w:t>
      </w:r>
      <w:r w:rsidRPr="00DA1B12">
        <w:t>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96596" w14:textId="2CC36AE1" w:rsidR="004E37E6" w:rsidRDefault="00635E0F">
    <w:pPr>
      <w:pStyle w:val="Header"/>
    </w:pPr>
    <w:r>
      <w:rPr>
        <w:noProof/>
      </w:rPr>
      <mc:AlternateContent>
        <mc:Choice Requires="wps">
          <w:drawing>
            <wp:anchor distT="0" distB="0" distL="0" distR="0" simplePos="0" relativeHeight="251660303" behindDoc="0" locked="0" layoutInCell="1" allowOverlap="1" wp14:anchorId="5FE7F3E2" wp14:editId="0B89370D">
              <wp:simplePos x="635" y="635"/>
              <wp:positionH relativeFrom="page">
                <wp:align>left</wp:align>
              </wp:positionH>
              <wp:positionV relativeFrom="page">
                <wp:align>top</wp:align>
              </wp:positionV>
              <wp:extent cx="772795" cy="357505"/>
              <wp:effectExtent l="0" t="0" r="8255" b="4445"/>
              <wp:wrapNone/>
              <wp:docPr id="25468850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2795" cy="357505"/>
                      </a:xfrm>
                      <a:prstGeom prst="rect">
                        <a:avLst/>
                      </a:prstGeom>
                      <a:noFill/>
                      <a:ln>
                        <a:noFill/>
                      </a:ln>
                    </wps:spPr>
                    <wps:txbx>
                      <w:txbxContent>
                        <w:p w14:paraId="42933854" w14:textId="24E4B7B9" w:rsidR="00635E0F" w:rsidRPr="00635E0F" w:rsidRDefault="00635E0F" w:rsidP="00635E0F">
                          <w:pPr>
                            <w:spacing w:after="0"/>
                            <w:rPr>
                              <w:rFonts w:ascii="Aptos" w:eastAsia="Aptos" w:hAnsi="Aptos" w:cs="Aptos"/>
                              <w:noProof/>
                              <w:color w:val="000000"/>
                              <w:sz w:val="20"/>
                              <w:szCs w:val="20"/>
                            </w:rPr>
                          </w:pPr>
                          <w:r w:rsidRPr="00635E0F">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FE7F3E2" id="_x0000_t202" coordsize="21600,21600" o:spt="202" path="m,l,21600r21600,l21600,xe">
              <v:stroke joinstyle="miter"/>
              <v:path gradientshapeok="t" o:connecttype="rect"/>
            </v:shapetype>
            <v:shape id="Text Box 2" o:spid="_x0000_s1026" type="#_x0000_t202" alt="OFFICIAL" style="position:absolute;margin-left:0;margin-top:0;width:60.85pt;height:28.15pt;z-index:25166030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" filled="f" stroked="f">
              <v:fill o:detectmouseclick="t"/>
              <v:textbox style="mso-fit-shape-to-text:t" inset="20pt,15pt,0,0">
                <w:txbxContent>
                  <w:p w14:paraId="42933854" w14:textId="24E4B7B9" w:rsidR="00635E0F" w:rsidRPr="00635E0F" w:rsidRDefault="00635E0F" w:rsidP="00635E0F">
                    <w:pPr>
                      <w:spacing w:after="0"/>
                      <w:rPr>
                        <w:rFonts w:ascii="Aptos" w:eastAsia="Aptos" w:hAnsi="Aptos" w:cs="Aptos"/>
                        <w:noProof/>
                        <w:color w:val="000000"/>
                        <w:sz w:val="20"/>
                        <w:szCs w:val="20"/>
                      </w:rPr>
                    </w:pPr>
                    <w:r w:rsidRPr="00635E0F">
                      <w:rPr>
                        <w:rFonts w:ascii="Aptos" w:eastAsia="Aptos" w:hAnsi="Aptos" w:cs="Aptos"/>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2791E" w14:textId="7F738971" w:rsidR="003A0A60" w:rsidRDefault="00635E0F">
    <w:pPr>
      <w:pStyle w:val="Header"/>
    </w:pPr>
    <w:r>
      <w:rPr>
        <w:noProof/>
      </w:rPr>
      <mc:AlternateContent>
        <mc:Choice Requires="wps">
          <w:drawing>
            <wp:anchor distT="0" distB="0" distL="0" distR="0" simplePos="0" relativeHeight="251661327" behindDoc="0" locked="0" layoutInCell="1" allowOverlap="1" wp14:anchorId="0E6C9FBA" wp14:editId="63DFFBF3">
              <wp:simplePos x="914400" y="453224"/>
              <wp:positionH relativeFrom="page">
                <wp:align>left</wp:align>
              </wp:positionH>
              <wp:positionV relativeFrom="page">
                <wp:align>top</wp:align>
              </wp:positionV>
              <wp:extent cx="772795" cy="357505"/>
              <wp:effectExtent l="0" t="0" r="8255" b="4445"/>
              <wp:wrapNone/>
              <wp:docPr id="105202137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2795" cy="357505"/>
                      </a:xfrm>
                      <a:prstGeom prst="rect">
                        <a:avLst/>
                      </a:prstGeom>
                      <a:noFill/>
                      <a:ln>
                        <a:noFill/>
                      </a:ln>
                    </wps:spPr>
                    <wps:txbx>
                      <w:txbxContent>
                        <w:p w14:paraId="24669ABD" w14:textId="0F4B1B35" w:rsidR="00635E0F" w:rsidRPr="00635E0F" w:rsidRDefault="00635E0F" w:rsidP="00635E0F">
                          <w:pPr>
                            <w:spacing w:after="0"/>
                            <w:rPr>
                              <w:rFonts w:ascii="Aptos" w:eastAsia="Aptos" w:hAnsi="Aptos" w:cs="Aptos"/>
                              <w:noProof/>
                              <w:color w:val="000000"/>
                              <w:sz w:val="20"/>
                              <w:szCs w:val="20"/>
                            </w:rPr>
                          </w:pPr>
                          <w:r w:rsidRPr="00635E0F">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E6C9FBA" id="_x0000_t202" coordsize="21600,21600" o:spt="202" path="m,l,21600r21600,l21600,xe">
              <v:stroke joinstyle="miter"/>
              <v:path gradientshapeok="t" o:connecttype="rect"/>
            </v:shapetype>
            <v:shape id="Text Box 3" o:spid="_x0000_s1027" type="#_x0000_t202" alt="OFFICIAL" style="position:absolute;margin-left:0;margin-top:0;width:60.85pt;height:28.15pt;z-index:25166132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" filled="f" stroked="f">
              <v:fill o:detectmouseclick="t"/>
              <v:textbox style="mso-fit-shape-to-text:t" inset="20pt,15pt,0,0">
                <w:txbxContent>
                  <w:p w14:paraId="24669ABD" w14:textId="0F4B1B35" w:rsidR="00635E0F" w:rsidRPr="00635E0F" w:rsidRDefault="00635E0F" w:rsidP="00635E0F">
                    <w:pPr>
                      <w:spacing w:after="0"/>
                      <w:rPr>
                        <w:rFonts w:ascii="Aptos" w:eastAsia="Aptos" w:hAnsi="Aptos" w:cs="Aptos"/>
                        <w:noProof/>
                        <w:color w:val="000000"/>
                        <w:sz w:val="20"/>
                        <w:szCs w:val="20"/>
                      </w:rPr>
                    </w:pPr>
                    <w:r w:rsidRPr="00635E0F">
                      <w:rPr>
                        <w:rFonts w:ascii="Aptos" w:eastAsia="Aptos" w:hAnsi="Aptos" w:cs="Aptos"/>
                        <w:noProof/>
                        <w:color w:val="000000"/>
                        <w:sz w:val="20"/>
                        <w:szCs w:val="20"/>
                      </w:rPr>
                      <w:t>OFFICIAL</w:t>
                    </w:r>
                  </w:p>
                </w:txbxContent>
              </v:textbox>
              <w10:wrap anchorx="page" anchory="page"/>
            </v:shape>
          </w:pict>
        </mc:Fallback>
      </mc:AlternateContent>
    </w:r>
    <w:sdt>
      <w:sdtPr>
        <w:id w:val="-1068266664"/>
        <w:docPartObj>
          <w:docPartGallery w:val="Watermarks"/>
          <w:docPartUnique/>
        </w:docPartObj>
      </w:sdtPr>
      <w:sdtEndPr/>
      <w:sdtContent>
        <w:r w:rsidR="005B259F">
          <w:rPr>
            <w:noProof/>
          </w:rPr>
          <w:pict w14:anchorId="21D3B1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40D0A">
      <w:tab/>
    </w:r>
    <w:r w:rsidR="00E40D0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3500C" w14:textId="324822FC" w:rsidR="004E37E6" w:rsidRDefault="00635E0F">
    <w:pPr>
      <w:pStyle w:val="Header"/>
    </w:pPr>
    <w:r>
      <w:rPr>
        <w:noProof/>
      </w:rPr>
      <mc:AlternateContent>
        <mc:Choice Requires="wps">
          <w:drawing>
            <wp:anchor distT="0" distB="0" distL="0" distR="0" simplePos="0" relativeHeight="251659279" behindDoc="0" locked="0" layoutInCell="1" allowOverlap="1" wp14:anchorId="1472F4FE" wp14:editId="1671C2B2">
              <wp:simplePos x="635" y="635"/>
              <wp:positionH relativeFrom="page">
                <wp:align>left</wp:align>
              </wp:positionH>
              <wp:positionV relativeFrom="page">
                <wp:align>top</wp:align>
              </wp:positionV>
              <wp:extent cx="772795" cy="357505"/>
              <wp:effectExtent l="0" t="0" r="8255" b="4445"/>
              <wp:wrapNone/>
              <wp:docPr id="118335299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2795" cy="357505"/>
                      </a:xfrm>
                      <a:prstGeom prst="rect">
                        <a:avLst/>
                      </a:prstGeom>
                      <a:noFill/>
                      <a:ln>
                        <a:noFill/>
                      </a:ln>
                    </wps:spPr>
                    <wps:txbx>
                      <w:txbxContent>
                        <w:p w14:paraId="7DCCA41A" w14:textId="2EC0620C" w:rsidR="00635E0F" w:rsidRPr="00635E0F" w:rsidRDefault="00635E0F" w:rsidP="00635E0F">
                          <w:pPr>
                            <w:spacing w:after="0"/>
                            <w:rPr>
                              <w:rFonts w:ascii="Aptos" w:eastAsia="Aptos" w:hAnsi="Aptos" w:cs="Aptos"/>
                              <w:noProof/>
                              <w:color w:val="000000"/>
                              <w:sz w:val="20"/>
                              <w:szCs w:val="20"/>
                            </w:rPr>
                          </w:pPr>
                          <w:r w:rsidRPr="00635E0F">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472F4FE" id="_x0000_t202" coordsize="21600,21600" o:spt="202" path="m,l,21600r21600,l21600,xe">
              <v:stroke joinstyle="miter"/>
              <v:path gradientshapeok="t" o:connecttype="rect"/>
            </v:shapetype>
            <v:shape id="Text Box 1" o:spid="_x0000_s1030" type="#_x0000_t202" alt="OFFICIAL" style="position:absolute;margin-left:0;margin-top:0;width:60.85pt;height:28.15pt;z-index:251659279;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" filled="f" stroked="f">
              <v:fill o:detectmouseclick="t"/>
              <v:textbox style="mso-fit-shape-to-text:t" inset="20pt,15pt,0,0">
                <w:txbxContent>
                  <w:p w14:paraId="7DCCA41A" w14:textId="2EC0620C" w:rsidR="00635E0F" w:rsidRPr="00635E0F" w:rsidRDefault="00635E0F" w:rsidP="00635E0F">
                    <w:pPr>
                      <w:spacing w:after="0"/>
                      <w:rPr>
                        <w:rFonts w:ascii="Aptos" w:eastAsia="Aptos" w:hAnsi="Aptos" w:cs="Aptos"/>
                        <w:noProof/>
                        <w:color w:val="000000"/>
                        <w:sz w:val="20"/>
                        <w:szCs w:val="20"/>
                      </w:rPr>
                    </w:pPr>
                    <w:r w:rsidRPr="00635E0F">
                      <w:rPr>
                        <w:rFonts w:ascii="Aptos" w:eastAsia="Aptos" w:hAnsi="Aptos" w:cs="Aptos"/>
                        <w:noProof/>
                        <w:color w:val="000000"/>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1C73B" w14:textId="589053B0" w:rsidR="00E738A7" w:rsidRDefault="00635E0F">
    <w:r>
      <w:rPr>
        <w:noProof/>
      </w:rPr>
      <mc:AlternateContent>
        <mc:Choice Requires="wps">
          <w:drawing>
            <wp:anchor distT="0" distB="0" distL="0" distR="0" simplePos="0" relativeHeight="251662351" behindDoc="0" locked="0" layoutInCell="1" allowOverlap="1" wp14:anchorId="33E77E26" wp14:editId="5EA6145A">
              <wp:simplePos x="635" y="635"/>
              <wp:positionH relativeFrom="page">
                <wp:align>left</wp:align>
              </wp:positionH>
              <wp:positionV relativeFrom="page">
                <wp:align>top</wp:align>
              </wp:positionV>
              <wp:extent cx="772795" cy="357505"/>
              <wp:effectExtent l="0" t="0" r="8255" b="4445"/>
              <wp:wrapNone/>
              <wp:docPr id="196412849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2795" cy="357505"/>
                      </a:xfrm>
                      <a:prstGeom prst="rect">
                        <a:avLst/>
                      </a:prstGeom>
                      <a:noFill/>
                      <a:ln>
                        <a:noFill/>
                      </a:ln>
                    </wps:spPr>
                    <wps:txbx>
                      <w:txbxContent>
                        <w:p w14:paraId="5C3D9942" w14:textId="422D66F9" w:rsidR="00635E0F" w:rsidRPr="00635E0F" w:rsidRDefault="00635E0F" w:rsidP="00635E0F">
                          <w:pPr>
                            <w:spacing w:after="0"/>
                            <w:rPr>
                              <w:rFonts w:ascii="Aptos" w:eastAsia="Aptos" w:hAnsi="Aptos" w:cs="Aptos"/>
                              <w:noProof/>
                              <w:color w:val="000000"/>
                              <w:sz w:val="20"/>
                              <w:szCs w:val="20"/>
                            </w:rPr>
                          </w:pPr>
                          <w:r w:rsidRPr="00635E0F">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3E77E26" id="_x0000_t202" coordsize="21600,21600" o:spt="202" path="m,l,21600r21600,l21600,xe">
              <v:stroke joinstyle="miter"/>
              <v:path gradientshapeok="t" o:connecttype="rect"/>
            </v:shapetype>
            <v:shape id="Text Box 4" o:spid="_x0000_s1032" type="#_x0000_t202" alt="OFFICIAL" style="position:absolute;margin-left:0;margin-top:0;width:60.85pt;height:28.15pt;z-index:25166235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" filled="f" stroked="f">
              <v:fill o:detectmouseclick="t"/>
              <v:textbox style="mso-fit-shape-to-text:t" inset="20pt,15pt,0,0">
                <w:txbxContent>
                  <w:p w14:paraId="5C3D9942" w14:textId="422D66F9" w:rsidR="00635E0F" w:rsidRPr="00635E0F" w:rsidRDefault="00635E0F" w:rsidP="00635E0F">
                    <w:pPr>
                      <w:spacing w:after="0"/>
                      <w:rPr>
                        <w:rFonts w:ascii="Aptos" w:eastAsia="Aptos" w:hAnsi="Aptos" w:cs="Aptos"/>
                        <w:noProof/>
                        <w:color w:val="000000"/>
                        <w:sz w:val="20"/>
                        <w:szCs w:val="20"/>
                      </w:rPr>
                    </w:pPr>
                    <w:r w:rsidRPr="00635E0F">
                      <w:rPr>
                        <w:rFonts w:ascii="Aptos" w:eastAsia="Aptos" w:hAnsi="Aptos" w:cs="Aptos"/>
                        <w:noProof/>
                        <w:color w:val="000000"/>
                        <w:sz w:val="20"/>
                        <w:szCs w:val="20"/>
                      </w:rPr>
                      <w:t>OFFICIAL</w:t>
                    </w:r>
                  </w:p>
                </w:txbxContent>
              </v:textbox>
              <w10:wrap anchorx="page" anchory="page"/>
            </v:shape>
          </w:pict>
        </mc:Fallback>
      </mc:AlternateContent>
    </w:r>
    <w:sdt>
      <w:sdtPr>
        <w:id w:val="-247036898"/>
        <w:docPartObj>
          <w:docPartGallery w:val="Watermarks"/>
          <w:docPartUnique/>
        </w:docPartObj>
      </w:sdtPr>
      <w:sdtEndPr/>
      <w:sdtContent>
        <w:r w:rsidR="005B259F">
          <w:rPr>
            <w:noProof/>
          </w:rPr>
          <w:pict w14:anchorId="54643C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12.4pt;height:247.4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755DE" w14:textId="557BFCA6" w:rsidR="005C5475" w:rsidRDefault="00635E0F">
    <w:pPr>
      <w:pStyle w:val="Header"/>
    </w:pPr>
    <w:r>
      <w:rPr>
        <w:noProof/>
      </w:rPr>
      <mc:AlternateContent>
        <mc:Choice Requires="wps">
          <w:drawing>
            <wp:anchor distT="0" distB="0" distL="0" distR="0" simplePos="0" relativeHeight="251664399" behindDoc="0" locked="0" layoutInCell="1" allowOverlap="1" wp14:anchorId="10984F10" wp14:editId="39A19951">
              <wp:simplePos x="635" y="635"/>
              <wp:positionH relativeFrom="page">
                <wp:align>left</wp:align>
              </wp:positionH>
              <wp:positionV relativeFrom="page">
                <wp:align>top</wp:align>
              </wp:positionV>
              <wp:extent cx="772795" cy="357505"/>
              <wp:effectExtent l="0" t="0" r="8255" b="4445"/>
              <wp:wrapNone/>
              <wp:docPr id="965591434"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2795" cy="357505"/>
                      </a:xfrm>
                      <a:prstGeom prst="rect">
                        <a:avLst/>
                      </a:prstGeom>
                      <a:noFill/>
                      <a:ln>
                        <a:noFill/>
                      </a:ln>
                    </wps:spPr>
                    <wps:txbx>
                      <w:txbxContent>
                        <w:p w14:paraId="1A8329EB" w14:textId="34EBCA74" w:rsidR="00635E0F" w:rsidRPr="00635E0F" w:rsidRDefault="00635E0F" w:rsidP="00635E0F">
                          <w:pPr>
                            <w:spacing w:after="0"/>
                            <w:rPr>
                              <w:rFonts w:ascii="Aptos" w:eastAsia="Aptos" w:hAnsi="Aptos" w:cs="Aptos"/>
                              <w:noProof/>
                              <w:color w:val="000000"/>
                              <w:sz w:val="20"/>
                              <w:szCs w:val="20"/>
                            </w:rPr>
                          </w:pPr>
                          <w:r w:rsidRPr="00635E0F">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0984F10" id="_x0000_t202" coordsize="21600,21600" o:spt="202" path="m,l,21600r21600,l21600,xe">
              <v:stroke joinstyle="miter"/>
              <v:path gradientshapeok="t" o:connecttype="rect"/>
            </v:shapetype>
            <v:shape id="Text Box 6" o:spid="_x0000_s1034" type="#_x0000_t202" alt="OFFICIAL" style="position:absolute;margin-left:0;margin-top:0;width:60.85pt;height:28.15pt;z-index:251664399;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" filled="f" stroked="f">
              <v:fill o:detectmouseclick="t"/>
              <v:textbox style="mso-fit-shape-to-text:t" inset="20pt,15pt,0,0">
                <w:txbxContent>
                  <w:p w14:paraId="1A8329EB" w14:textId="34EBCA74" w:rsidR="00635E0F" w:rsidRPr="00635E0F" w:rsidRDefault="00635E0F" w:rsidP="00635E0F">
                    <w:pPr>
                      <w:spacing w:after="0"/>
                      <w:rPr>
                        <w:rFonts w:ascii="Aptos" w:eastAsia="Aptos" w:hAnsi="Aptos" w:cs="Aptos"/>
                        <w:noProof/>
                        <w:color w:val="000000"/>
                        <w:sz w:val="20"/>
                        <w:szCs w:val="20"/>
                      </w:rPr>
                    </w:pPr>
                    <w:r w:rsidRPr="00635E0F">
                      <w:rPr>
                        <w:rFonts w:ascii="Aptos" w:eastAsia="Aptos" w:hAnsi="Aptos" w:cs="Aptos"/>
                        <w:noProof/>
                        <w:color w:val="000000"/>
                        <w:sz w:val="20"/>
                        <w:szCs w:val="20"/>
                      </w:rPr>
                      <w:t>OFFICIAL</w:t>
                    </w:r>
                  </w:p>
                </w:txbxContent>
              </v:textbox>
              <w10:wrap anchorx="page" anchory="page"/>
            </v:shape>
          </w:pict>
        </mc:Fallback>
      </mc:AlternateContent>
    </w:r>
    <w:r w:rsidR="005B259F">
      <w:rPr>
        <w:noProof/>
      </w:rPr>
      <w:pict w14:anchorId="09C309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3516" o:spid="_x0000_s1037" type="#_x0000_t136" style="position:absolute;margin-left:0;margin-top:0;width:551.75pt;height:157.6pt;rotation:315;z-index:-251658238;mso-position-horizontal:center;mso-position-horizontal-relative:margin;mso-position-vertical:center;mso-position-vertical-relative:margin" o:allowincell="f" fillcolor="silver" stroked="f">
          <v:fill opacity=".5"/>
          <v:textpath style="font-family:&quot;Gotham Book&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01EC6" w14:textId="5D07F274" w:rsidR="005C5475" w:rsidRDefault="00635E0F">
    <w:pPr>
      <w:pStyle w:val="Header"/>
    </w:pPr>
    <w:r>
      <w:rPr>
        <w:noProof/>
      </w:rPr>
      <mc:AlternateContent>
        <mc:Choice Requires="wps">
          <w:drawing>
            <wp:anchor distT="0" distB="0" distL="0" distR="0" simplePos="0" relativeHeight="251665423" behindDoc="0" locked="0" layoutInCell="1" allowOverlap="1" wp14:anchorId="14ED2768" wp14:editId="5ED01545">
              <wp:simplePos x="635" y="635"/>
              <wp:positionH relativeFrom="page">
                <wp:align>left</wp:align>
              </wp:positionH>
              <wp:positionV relativeFrom="page">
                <wp:align>top</wp:align>
              </wp:positionV>
              <wp:extent cx="772795" cy="357505"/>
              <wp:effectExtent l="0" t="0" r="8255" b="4445"/>
              <wp:wrapNone/>
              <wp:docPr id="768803609"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2795" cy="357505"/>
                      </a:xfrm>
                      <a:prstGeom prst="rect">
                        <a:avLst/>
                      </a:prstGeom>
                      <a:noFill/>
                      <a:ln>
                        <a:noFill/>
                      </a:ln>
                    </wps:spPr>
                    <wps:txbx>
                      <w:txbxContent>
                        <w:p w14:paraId="459089DF" w14:textId="5506055B" w:rsidR="00635E0F" w:rsidRPr="00635E0F" w:rsidRDefault="00635E0F" w:rsidP="00635E0F">
                          <w:pPr>
                            <w:spacing w:after="0"/>
                            <w:rPr>
                              <w:rFonts w:ascii="Aptos" w:eastAsia="Aptos" w:hAnsi="Aptos" w:cs="Aptos"/>
                              <w:noProof/>
                              <w:color w:val="000000"/>
                              <w:sz w:val="20"/>
                              <w:szCs w:val="20"/>
                            </w:rPr>
                          </w:pPr>
                          <w:r w:rsidRPr="00635E0F">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4ED2768" id="_x0000_t202" coordsize="21600,21600" o:spt="202" path="m,l,21600r21600,l21600,xe">
              <v:stroke joinstyle="miter"/>
              <v:path gradientshapeok="t" o:connecttype="rect"/>
            </v:shapetype>
            <v:shape id="Text Box 7" o:spid="_x0000_s1035" type="#_x0000_t202" alt="OFFICIAL" style="position:absolute;margin-left:0;margin-top:0;width:60.85pt;height:28.15pt;z-index:25166542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" filled="f" stroked="f">
              <v:fill o:detectmouseclick="t"/>
              <v:textbox style="mso-fit-shape-to-text:t" inset="20pt,15pt,0,0">
                <w:txbxContent>
                  <w:p w14:paraId="459089DF" w14:textId="5506055B" w:rsidR="00635E0F" w:rsidRPr="00635E0F" w:rsidRDefault="00635E0F" w:rsidP="00635E0F">
                    <w:pPr>
                      <w:spacing w:after="0"/>
                      <w:rPr>
                        <w:rFonts w:ascii="Aptos" w:eastAsia="Aptos" w:hAnsi="Aptos" w:cs="Aptos"/>
                        <w:noProof/>
                        <w:color w:val="000000"/>
                        <w:sz w:val="20"/>
                        <w:szCs w:val="20"/>
                      </w:rPr>
                    </w:pPr>
                    <w:r w:rsidRPr="00635E0F">
                      <w:rPr>
                        <w:rFonts w:ascii="Aptos" w:eastAsia="Aptos" w:hAnsi="Aptos" w:cs="Aptos"/>
                        <w:noProof/>
                        <w:color w:val="000000"/>
                        <w:sz w:val="20"/>
                        <w:szCs w:val="20"/>
                      </w:rPr>
                      <w:t>OFFICIAL</w:t>
                    </w:r>
                  </w:p>
                </w:txbxContent>
              </v:textbox>
              <w10:wrap anchorx="page" anchory="page"/>
            </v:shape>
          </w:pict>
        </mc:Fallback>
      </mc:AlternateContent>
    </w:r>
    <w:r w:rsidR="005B259F">
      <w:rPr>
        <w:noProof/>
      </w:rPr>
      <w:pict w14:anchorId="646B29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3517" o:spid="_x0000_s1038" type="#_x0000_t136" style="position:absolute;margin-left:0;margin-top:0;width:551.75pt;height:157.6pt;rotation:315;z-index:-251658237;mso-position-horizontal:center;mso-position-horizontal-relative:margin;mso-position-vertical:center;mso-position-vertical-relative:margin" o:allowincell="f" fillcolor="silver" stroked="f">
          <v:fill opacity=".5"/>
          <v:textpath style="font-family:&quot;Gotham Book&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6423B" w14:textId="37F350AC" w:rsidR="005C5475" w:rsidRDefault="00635E0F">
    <w:pPr>
      <w:pStyle w:val="Header"/>
    </w:pPr>
    <w:r>
      <w:rPr>
        <w:noProof/>
      </w:rPr>
      <mc:AlternateContent>
        <mc:Choice Requires="wps">
          <w:drawing>
            <wp:anchor distT="0" distB="0" distL="0" distR="0" simplePos="0" relativeHeight="251663375" behindDoc="0" locked="0" layoutInCell="1" allowOverlap="1" wp14:anchorId="0C6AA6D0" wp14:editId="0FD7C523">
              <wp:simplePos x="635" y="635"/>
              <wp:positionH relativeFrom="page">
                <wp:align>left</wp:align>
              </wp:positionH>
              <wp:positionV relativeFrom="page">
                <wp:align>top</wp:align>
              </wp:positionV>
              <wp:extent cx="772795" cy="357505"/>
              <wp:effectExtent l="0" t="0" r="8255" b="4445"/>
              <wp:wrapNone/>
              <wp:docPr id="2157461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2795" cy="357505"/>
                      </a:xfrm>
                      <a:prstGeom prst="rect">
                        <a:avLst/>
                      </a:prstGeom>
                      <a:noFill/>
                      <a:ln>
                        <a:noFill/>
                      </a:ln>
                    </wps:spPr>
                    <wps:txbx>
                      <w:txbxContent>
                        <w:p w14:paraId="51C4BCED" w14:textId="0390BBA0" w:rsidR="00635E0F" w:rsidRPr="00635E0F" w:rsidRDefault="00635E0F" w:rsidP="00635E0F">
                          <w:pPr>
                            <w:spacing w:after="0"/>
                            <w:rPr>
                              <w:rFonts w:ascii="Aptos" w:eastAsia="Aptos" w:hAnsi="Aptos" w:cs="Aptos"/>
                              <w:noProof/>
                              <w:color w:val="000000"/>
                              <w:sz w:val="20"/>
                              <w:szCs w:val="20"/>
                            </w:rPr>
                          </w:pPr>
                          <w:r w:rsidRPr="00635E0F">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C6AA6D0" id="_x0000_t202" coordsize="21600,21600" o:spt="202" path="m,l,21600r21600,l21600,xe">
              <v:stroke joinstyle="miter"/>
              <v:path gradientshapeok="t" o:connecttype="rect"/>
            </v:shapetype>
            <v:shape id="Text Box 5" o:spid="_x0000_s1037" type="#_x0000_t202" alt="OFFICIAL" style="position:absolute;margin-left:0;margin-top:0;width:60.85pt;height:28.15pt;z-index:25166337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" filled="f" stroked="f">
              <v:fill o:detectmouseclick="t"/>
              <v:textbox style="mso-fit-shape-to-text:t" inset="20pt,15pt,0,0">
                <w:txbxContent>
                  <w:p w14:paraId="51C4BCED" w14:textId="0390BBA0" w:rsidR="00635E0F" w:rsidRPr="00635E0F" w:rsidRDefault="00635E0F" w:rsidP="00635E0F">
                    <w:pPr>
                      <w:spacing w:after="0"/>
                      <w:rPr>
                        <w:rFonts w:ascii="Aptos" w:eastAsia="Aptos" w:hAnsi="Aptos" w:cs="Aptos"/>
                        <w:noProof/>
                        <w:color w:val="000000"/>
                        <w:sz w:val="20"/>
                        <w:szCs w:val="20"/>
                      </w:rPr>
                    </w:pPr>
                    <w:r w:rsidRPr="00635E0F">
                      <w:rPr>
                        <w:rFonts w:ascii="Aptos" w:eastAsia="Aptos" w:hAnsi="Aptos" w:cs="Aptos"/>
                        <w:noProof/>
                        <w:color w:val="000000"/>
                        <w:sz w:val="20"/>
                        <w:szCs w:val="20"/>
                      </w:rPr>
                      <w:t>OFFICIAL</w:t>
                    </w:r>
                  </w:p>
                </w:txbxContent>
              </v:textbox>
              <w10:wrap anchorx="page" anchory="page"/>
            </v:shape>
          </w:pict>
        </mc:Fallback>
      </mc:AlternateContent>
    </w:r>
    <w:r w:rsidR="005B259F">
      <w:rPr>
        <w:noProof/>
      </w:rPr>
      <w:pict w14:anchorId="636CFB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3515" o:spid="_x0000_s1039" type="#_x0000_t136" style="position:absolute;margin-left:0;margin-top:0;width:551.75pt;height:157.6pt;rotation:315;z-index:-251658236;mso-position-horizontal:center;mso-position-horizontal-relative:margin;mso-position-vertical:center;mso-position-vertical-relative:margin" o:allowincell="f" fillcolor="silver" stroked="f">
          <v:fill opacity=".5"/>
          <v:textpath style="font-family:&quot;Gotham Book&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6142B2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40F8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7E76C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4058B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E1418F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0091E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66110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74BD5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4ACE62"/>
    <w:lvl w:ilvl="0">
      <w:start w:val="1"/>
      <w:numFmt w:val="decimal"/>
      <w:pStyle w:val="ListNumber"/>
      <w:lvlText w:val="%1."/>
      <w:lvlJc w:val="left"/>
      <w:pPr>
        <w:tabs>
          <w:tab w:val="num" w:pos="360"/>
        </w:tabs>
        <w:ind w:left="360" w:hanging="360"/>
      </w:pPr>
    </w:lvl>
  </w:abstractNum>
  <w:abstractNum w:abstractNumId="9" w15:restartNumberingAfterBreak="0">
    <w:nsid w:val="00171E40"/>
    <w:multiLevelType w:val="hybridMultilevel"/>
    <w:tmpl w:val="6DA82BE4"/>
    <w:lvl w:ilvl="0" w:tplc="9AAE7F2C">
      <w:start w:val="45"/>
      <w:numFmt w:val="bullet"/>
      <w:lvlText w:val="-"/>
      <w:lvlJc w:val="left"/>
      <w:pPr>
        <w:ind w:left="644" w:hanging="360"/>
      </w:pPr>
      <w:rPr>
        <w:rFonts w:ascii="Aptos" w:eastAsia="Times New Roman" w:hAnsi="Aptos" w:cstheme="minorBid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0" w15:restartNumberingAfterBreak="0">
    <w:nsid w:val="00A737A8"/>
    <w:multiLevelType w:val="hybridMultilevel"/>
    <w:tmpl w:val="1304BDA0"/>
    <w:lvl w:ilvl="0" w:tplc="5EDCA868">
      <w:start w:val="7"/>
      <w:numFmt w:val="bullet"/>
      <w:lvlText w:val="-"/>
      <w:lvlJc w:val="left"/>
      <w:pPr>
        <w:ind w:left="720" w:hanging="360"/>
      </w:pPr>
      <w:rPr>
        <w:rFonts w:ascii="Aptos" w:eastAsiaTheme="minorHAnsi" w:hAnsi="Aptos" w:cstheme="minorBidi"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0C127ED"/>
    <w:multiLevelType w:val="multilevel"/>
    <w:tmpl w:val="C284D0B0"/>
    <w:numStyleLink w:val="FigureNumbers"/>
  </w:abstractNum>
  <w:abstractNum w:abstractNumId="12" w15:restartNumberingAfterBreak="0">
    <w:nsid w:val="0D3E28C3"/>
    <w:multiLevelType w:val="hybridMultilevel"/>
    <w:tmpl w:val="5F1876DE"/>
    <w:lvl w:ilvl="0" w:tplc="5AF26D54">
      <w:numFmt w:val="bullet"/>
      <w:lvlText w:val="-"/>
      <w:lvlJc w:val="left"/>
      <w:pPr>
        <w:ind w:left="720" w:hanging="360"/>
      </w:pPr>
      <w:rPr>
        <w:rFonts w:ascii="Gotham Book" w:eastAsia="Times New Roman" w:hAnsi="Gotham Book"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7E5AAC"/>
    <w:multiLevelType w:val="hybridMultilevel"/>
    <w:tmpl w:val="6EB6D6E4"/>
    <w:lvl w:ilvl="0" w:tplc="0C090003">
      <w:start w:val="1"/>
      <w:numFmt w:val="bullet"/>
      <w:lvlText w:val="o"/>
      <w:lvlJc w:val="left"/>
      <w:pPr>
        <w:ind w:left="1800" w:hanging="360"/>
      </w:pPr>
      <w:rPr>
        <w:rFonts w:ascii="Courier New" w:hAnsi="Courier New" w:cs="Courier New"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15:restartNumberingAfterBreak="0">
    <w:nsid w:val="0DD97643"/>
    <w:multiLevelType w:val="hybridMultilevel"/>
    <w:tmpl w:val="858252FA"/>
    <w:lvl w:ilvl="0" w:tplc="9AAE7F2C">
      <w:start w:val="45"/>
      <w:numFmt w:val="bullet"/>
      <w:lvlText w:val="-"/>
      <w:lvlJc w:val="left"/>
      <w:pPr>
        <w:ind w:left="720" w:hanging="360"/>
      </w:pPr>
      <w:rPr>
        <w:rFonts w:ascii="Aptos" w:eastAsia="Times New Roman"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0E2841" w:themeColor="text2"/>
      </w:rPr>
    </w:lvl>
    <w:lvl w:ilvl="2">
      <w:start w:val="1"/>
      <w:numFmt w:val="bullet"/>
      <w:lvlText w:val="»"/>
      <w:lvlJc w:val="left"/>
      <w:pPr>
        <w:ind w:left="852" w:hanging="284"/>
      </w:pPr>
      <w:rPr>
        <w:rFonts w:ascii="Arial" w:hAnsi="Arial" w:hint="default"/>
        <w:color w:val="0E2841"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12352DB6"/>
    <w:multiLevelType w:val="hybridMultilevel"/>
    <w:tmpl w:val="F15E4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3CF0FF5"/>
    <w:multiLevelType w:val="hybridMultilevel"/>
    <w:tmpl w:val="BBA89C7A"/>
    <w:lvl w:ilvl="0" w:tplc="B2BEA74E">
      <w:numFmt w:val="bullet"/>
      <w:lvlText w:val="-"/>
      <w:lvlJc w:val="left"/>
      <w:pPr>
        <w:ind w:left="360" w:hanging="360"/>
      </w:pPr>
      <w:rPr>
        <w:rFonts w:ascii="Aptos" w:eastAsiaTheme="minorHAnsi" w:hAnsi="Aptos"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9E63007"/>
    <w:multiLevelType w:val="hybridMultilevel"/>
    <w:tmpl w:val="941690AC"/>
    <w:lvl w:ilvl="0" w:tplc="5AF26D54">
      <w:numFmt w:val="bullet"/>
      <w:lvlText w:val="-"/>
      <w:lvlJc w:val="left"/>
      <w:pPr>
        <w:ind w:left="720" w:hanging="360"/>
      </w:pPr>
      <w:rPr>
        <w:rFonts w:ascii="Gotham Book" w:eastAsia="Times New Roman" w:hAnsi="Gotham Book"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0" w15:restartNumberingAfterBreak="0">
    <w:nsid w:val="1B414CD6"/>
    <w:multiLevelType w:val="hybridMultilevel"/>
    <w:tmpl w:val="1DA49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C7C6A63"/>
    <w:multiLevelType w:val="hybridMultilevel"/>
    <w:tmpl w:val="675CC330"/>
    <w:lvl w:ilvl="0" w:tplc="9AAE7F2C">
      <w:start w:val="45"/>
      <w:numFmt w:val="bullet"/>
      <w:lvlText w:val="-"/>
      <w:lvlJc w:val="left"/>
      <w:pPr>
        <w:ind w:left="720" w:hanging="360"/>
      </w:pPr>
      <w:rPr>
        <w:rFonts w:ascii="Aptos" w:eastAsia="Times New Roman"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E97132"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F355FAE"/>
    <w:multiLevelType w:val="hybridMultilevel"/>
    <w:tmpl w:val="ABAEBC4A"/>
    <w:lvl w:ilvl="0" w:tplc="669C037E">
      <w:start w:val="1"/>
      <w:numFmt w:val="bullet"/>
      <w:lvlText w:val="-"/>
      <w:lvlJc w:val="left"/>
      <w:pPr>
        <w:ind w:left="36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E97132"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5543EC0"/>
    <w:multiLevelType w:val="hybridMultilevel"/>
    <w:tmpl w:val="F91E8642"/>
    <w:lvl w:ilvl="0" w:tplc="9AAE7F2C">
      <w:start w:val="45"/>
      <w:numFmt w:val="bullet"/>
      <w:lvlText w:val="-"/>
      <w:lvlJc w:val="left"/>
      <w:pPr>
        <w:ind w:left="778" w:hanging="360"/>
      </w:pPr>
      <w:rPr>
        <w:rFonts w:ascii="Aptos" w:eastAsia="Times New Roman" w:hAnsi="Aptos" w:cstheme="minorBidi"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26" w15:restartNumberingAfterBreak="0">
    <w:nsid w:val="2A960A0A"/>
    <w:multiLevelType w:val="hybridMultilevel"/>
    <w:tmpl w:val="936E75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D890E47"/>
    <w:multiLevelType w:val="hybridMultilevel"/>
    <w:tmpl w:val="E628387E"/>
    <w:lvl w:ilvl="0" w:tplc="092E6C30">
      <w:start w:val="1"/>
      <w:numFmt w:val="decimal"/>
      <w:pStyle w:val="SourceNotesNumbered"/>
      <w:lvlText w:val="%1."/>
      <w:lvlJc w:val="left"/>
      <w:pPr>
        <w:ind w:left="720" w:hanging="360"/>
      </w:pPr>
      <w:rPr>
        <w:rFonts w:hint="default"/>
        <w:caps w:val="0"/>
        <w:vanish w:val="0"/>
        <w:color w:val="000000" w:themeColor="text1"/>
      </w:rPr>
    </w:lvl>
    <w:lvl w:ilvl="1" w:tplc="F74A54DE" w:tentative="1">
      <w:start w:val="1"/>
      <w:numFmt w:val="lowerLetter"/>
      <w:lvlText w:val="%2."/>
      <w:lvlJc w:val="left"/>
      <w:pPr>
        <w:ind w:left="1440" w:hanging="360"/>
      </w:pPr>
    </w:lvl>
    <w:lvl w:ilvl="2" w:tplc="5240F48A" w:tentative="1">
      <w:start w:val="1"/>
      <w:numFmt w:val="lowerRoman"/>
      <w:lvlText w:val="%3."/>
      <w:lvlJc w:val="right"/>
      <w:pPr>
        <w:ind w:left="2160" w:hanging="180"/>
      </w:pPr>
    </w:lvl>
    <w:lvl w:ilvl="3" w:tplc="0156908A" w:tentative="1">
      <w:start w:val="1"/>
      <w:numFmt w:val="decimal"/>
      <w:lvlText w:val="%4."/>
      <w:lvlJc w:val="left"/>
      <w:pPr>
        <w:ind w:left="2880" w:hanging="360"/>
      </w:pPr>
    </w:lvl>
    <w:lvl w:ilvl="4" w:tplc="63D44120" w:tentative="1">
      <w:start w:val="1"/>
      <w:numFmt w:val="lowerLetter"/>
      <w:lvlText w:val="%5."/>
      <w:lvlJc w:val="left"/>
      <w:pPr>
        <w:ind w:left="3600" w:hanging="360"/>
      </w:pPr>
    </w:lvl>
    <w:lvl w:ilvl="5" w:tplc="C474245A" w:tentative="1">
      <w:start w:val="1"/>
      <w:numFmt w:val="lowerRoman"/>
      <w:lvlText w:val="%6."/>
      <w:lvlJc w:val="right"/>
      <w:pPr>
        <w:ind w:left="4320" w:hanging="180"/>
      </w:pPr>
    </w:lvl>
    <w:lvl w:ilvl="6" w:tplc="DDC20084" w:tentative="1">
      <w:start w:val="1"/>
      <w:numFmt w:val="decimal"/>
      <w:lvlText w:val="%7."/>
      <w:lvlJc w:val="left"/>
      <w:pPr>
        <w:ind w:left="5040" w:hanging="360"/>
      </w:pPr>
    </w:lvl>
    <w:lvl w:ilvl="7" w:tplc="313AC3C2" w:tentative="1">
      <w:start w:val="1"/>
      <w:numFmt w:val="lowerLetter"/>
      <w:lvlText w:val="%8."/>
      <w:lvlJc w:val="left"/>
      <w:pPr>
        <w:ind w:left="5760" w:hanging="360"/>
      </w:pPr>
    </w:lvl>
    <w:lvl w:ilvl="8" w:tplc="6BBEEBB4" w:tentative="1">
      <w:start w:val="1"/>
      <w:numFmt w:val="lowerRoman"/>
      <w:lvlText w:val="%9."/>
      <w:lvlJc w:val="right"/>
      <w:pPr>
        <w:ind w:left="6480" w:hanging="180"/>
      </w:pPr>
    </w:lvl>
  </w:abstractNum>
  <w:abstractNum w:abstractNumId="28" w15:restartNumberingAfterBreak="0">
    <w:nsid w:val="319D1998"/>
    <w:multiLevelType w:val="multilevel"/>
    <w:tmpl w:val="86840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4107EB3"/>
    <w:multiLevelType w:val="hybridMultilevel"/>
    <w:tmpl w:val="3DF0800C"/>
    <w:lvl w:ilvl="0" w:tplc="9AAE7F2C">
      <w:start w:val="45"/>
      <w:numFmt w:val="bullet"/>
      <w:lvlText w:val="-"/>
      <w:lvlJc w:val="left"/>
      <w:pPr>
        <w:ind w:left="720" w:hanging="360"/>
      </w:pPr>
      <w:rPr>
        <w:rFonts w:ascii="Aptos" w:eastAsia="Times New Roman"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9E00EB2"/>
    <w:multiLevelType w:val="hybridMultilevel"/>
    <w:tmpl w:val="D006231E"/>
    <w:lvl w:ilvl="0" w:tplc="9AAE7F2C">
      <w:start w:val="45"/>
      <w:numFmt w:val="bullet"/>
      <w:lvlText w:val="-"/>
      <w:lvlJc w:val="left"/>
      <w:pPr>
        <w:ind w:left="720" w:hanging="360"/>
      </w:pPr>
      <w:rPr>
        <w:rFonts w:ascii="Aptos" w:eastAsia="Times New Roman"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A2E3C9B"/>
    <w:multiLevelType w:val="hybridMultilevel"/>
    <w:tmpl w:val="8530E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CFE2924"/>
    <w:multiLevelType w:val="hybridMultilevel"/>
    <w:tmpl w:val="109E0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0E1355C"/>
    <w:multiLevelType w:val="hybridMultilevel"/>
    <w:tmpl w:val="3FDC3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1396E59"/>
    <w:multiLevelType w:val="multilevel"/>
    <w:tmpl w:val="4CE41A74"/>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FFFFFF" w:themeColor="background1"/>
      </w:rPr>
    </w:lvl>
    <w:lvl w:ilvl="2">
      <w:start w:val="1"/>
      <w:numFmt w:val="bullet"/>
      <w:lvlText w:val="–"/>
      <w:lvlJc w:val="left"/>
      <w:pPr>
        <w:ind w:left="624" w:hanging="340"/>
      </w:pPr>
      <w:rPr>
        <w:rFonts w:ascii="Arial" w:hAnsi="Arial" w:hint="default"/>
        <w:color w:val="0E2841" w:themeColor="text2"/>
      </w:rPr>
    </w:lvl>
    <w:lvl w:ilvl="3">
      <w:start w:val="1"/>
      <w:numFmt w:val="bullet"/>
      <w:lvlText w:val="»"/>
      <w:lvlJc w:val="left"/>
      <w:pPr>
        <w:ind w:left="794" w:hanging="510"/>
      </w:pPr>
      <w:rPr>
        <w:rFonts w:ascii="Arial" w:hAnsi="Arial" w:hint="default"/>
        <w:color w:val="0E2841"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35" w15:restartNumberingAfterBreak="0">
    <w:nsid w:val="471252DA"/>
    <w:multiLevelType w:val="hybridMultilevel"/>
    <w:tmpl w:val="DCD8F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BDC6C8E"/>
    <w:multiLevelType w:val="multilevel"/>
    <w:tmpl w:val="131EEC6C"/>
    <w:numStyleLink w:val="TableNumbers"/>
  </w:abstractNum>
  <w:abstractNum w:abstractNumId="37" w15:restartNumberingAfterBreak="0">
    <w:nsid w:val="507F6BC3"/>
    <w:multiLevelType w:val="hybridMultilevel"/>
    <w:tmpl w:val="4BC07414"/>
    <w:lvl w:ilvl="0" w:tplc="669C037E">
      <w:start w:val="1"/>
      <w:numFmt w:val="bullet"/>
      <w:lvlText w:val="-"/>
      <w:lvlJc w:val="left"/>
      <w:pPr>
        <w:ind w:left="360" w:hanging="360"/>
      </w:pPr>
      <w:rPr>
        <w:rFonts w:ascii="Aptos" w:eastAsiaTheme="minorHAnsi" w:hAnsi="Aptos"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50B7415C"/>
    <w:multiLevelType w:val="hybridMultilevel"/>
    <w:tmpl w:val="426809BC"/>
    <w:lvl w:ilvl="0" w:tplc="EF8ECB10">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2677E05"/>
    <w:multiLevelType w:val="hybridMultilevel"/>
    <w:tmpl w:val="C3BEFEBC"/>
    <w:lvl w:ilvl="0" w:tplc="9B883DD6">
      <w:numFmt w:val="bullet"/>
      <w:lvlText w:val="-"/>
      <w:lvlJc w:val="left"/>
      <w:pPr>
        <w:ind w:left="413" w:hanging="360"/>
      </w:pPr>
      <w:rPr>
        <w:rFonts w:ascii="Calibri" w:eastAsia="Times New Roman" w:hAnsi="Calibri" w:cs="Calibri" w:hint="default"/>
        <w:color w:val="auto"/>
      </w:rPr>
    </w:lvl>
    <w:lvl w:ilvl="1" w:tplc="0C090003" w:tentative="1">
      <w:start w:val="1"/>
      <w:numFmt w:val="bullet"/>
      <w:lvlText w:val="o"/>
      <w:lvlJc w:val="left"/>
      <w:pPr>
        <w:ind w:left="1133" w:hanging="360"/>
      </w:pPr>
      <w:rPr>
        <w:rFonts w:ascii="Courier New" w:hAnsi="Courier New" w:cs="Courier New" w:hint="default"/>
      </w:rPr>
    </w:lvl>
    <w:lvl w:ilvl="2" w:tplc="0C090005" w:tentative="1">
      <w:start w:val="1"/>
      <w:numFmt w:val="bullet"/>
      <w:lvlText w:val=""/>
      <w:lvlJc w:val="left"/>
      <w:pPr>
        <w:ind w:left="1853" w:hanging="360"/>
      </w:pPr>
      <w:rPr>
        <w:rFonts w:ascii="Wingdings" w:hAnsi="Wingdings" w:hint="default"/>
      </w:rPr>
    </w:lvl>
    <w:lvl w:ilvl="3" w:tplc="0C090001" w:tentative="1">
      <w:start w:val="1"/>
      <w:numFmt w:val="bullet"/>
      <w:lvlText w:val=""/>
      <w:lvlJc w:val="left"/>
      <w:pPr>
        <w:ind w:left="2573" w:hanging="360"/>
      </w:pPr>
      <w:rPr>
        <w:rFonts w:ascii="Symbol" w:hAnsi="Symbol" w:hint="default"/>
      </w:rPr>
    </w:lvl>
    <w:lvl w:ilvl="4" w:tplc="0C090003" w:tentative="1">
      <w:start w:val="1"/>
      <w:numFmt w:val="bullet"/>
      <w:lvlText w:val="o"/>
      <w:lvlJc w:val="left"/>
      <w:pPr>
        <w:ind w:left="3293" w:hanging="360"/>
      </w:pPr>
      <w:rPr>
        <w:rFonts w:ascii="Courier New" w:hAnsi="Courier New" w:cs="Courier New" w:hint="default"/>
      </w:rPr>
    </w:lvl>
    <w:lvl w:ilvl="5" w:tplc="0C090005" w:tentative="1">
      <w:start w:val="1"/>
      <w:numFmt w:val="bullet"/>
      <w:lvlText w:val=""/>
      <w:lvlJc w:val="left"/>
      <w:pPr>
        <w:ind w:left="4013" w:hanging="360"/>
      </w:pPr>
      <w:rPr>
        <w:rFonts w:ascii="Wingdings" w:hAnsi="Wingdings" w:hint="default"/>
      </w:rPr>
    </w:lvl>
    <w:lvl w:ilvl="6" w:tplc="0C090001" w:tentative="1">
      <w:start w:val="1"/>
      <w:numFmt w:val="bullet"/>
      <w:lvlText w:val=""/>
      <w:lvlJc w:val="left"/>
      <w:pPr>
        <w:ind w:left="4733" w:hanging="360"/>
      </w:pPr>
      <w:rPr>
        <w:rFonts w:ascii="Symbol" w:hAnsi="Symbol" w:hint="default"/>
      </w:rPr>
    </w:lvl>
    <w:lvl w:ilvl="7" w:tplc="0C090003" w:tentative="1">
      <w:start w:val="1"/>
      <w:numFmt w:val="bullet"/>
      <w:lvlText w:val="o"/>
      <w:lvlJc w:val="left"/>
      <w:pPr>
        <w:ind w:left="5453" w:hanging="360"/>
      </w:pPr>
      <w:rPr>
        <w:rFonts w:ascii="Courier New" w:hAnsi="Courier New" w:cs="Courier New" w:hint="default"/>
      </w:rPr>
    </w:lvl>
    <w:lvl w:ilvl="8" w:tplc="0C090005" w:tentative="1">
      <w:start w:val="1"/>
      <w:numFmt w:val="bullet"/>
      <w:lvlText w:val=""/>
      <w:lvlJc w:val="left"/>
      <w:pPr>
        <w:ind w:left="6173" w:hanging="360"/>
      </w:pPr>
      <w:rPr>
        <w:rFonts w:ascii="Wingdings" w:hAnsi="Wingdings" w:hint="default"/>
      </w:rPr>
    </w:lvl>
  </w:abstractNum>
  <w:abstractNum w:abstractNumId="40" w15:restartNumberingAfterBreak="0">
    <w:nsid w:val="535249AF"/>
    <w:multiLevelType w:val="multilevel"/>
    <w:tmpl w:val="A41689A2"/>
    <w:styleLink w:val="AppendixNumbers"/>
    <w:lvl w:ilvl="0">
      <w:start w:val="1"/>
      <w:numFmt w:val="upperLetter"/>
      <w:pStyle w:val="AppendixNumbered"/>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56DB5F4C"/>
    <w:multiLevelType w:val="multilevel"/>
    <w:tmpl w:val="0C09001F"/>
    <w:styleLink w:val="NumberedHeadings"/>
    <w:lvl w:ilvl="0">
      <w:start w:val="1"/>
      <w:numFmt w:val="decimal"/>
      <w:pStyle w:val="Heading2Numbered"/>
      <w:lvlText w:val="%1."/>
      <w:lvlJc w:val="left"/>
      <w:pPr>
        <w:ind w:left="360" w:hanging="360"/>
      </w:pPr>
      <w:rPr>
        <w:rFonts w:hint="default"/>
      </w:rPr>
    </w:lvl>
    <w:lvl w:ilvl="1">
      <w:start w:val="1"/>
      <w:numFmt w:val="decimal"/>
      <w:pStyle w:val="Heading3Numbered"/>
      <w:lvlText w:val="%1.%2."/>
      <w:lvlJc w:val="left"/>
      <w:pPr>
        <w:ind w:left="792" w:hanging="432"/>
      </w:pPr>
      <w:rPr>
        <w:rFonts w:hint="default"/>
      </w:rPr>
    </w:lvl>
    <w:lvl w:ilvl="2">
      <w:start w:val="1"/>
      <w:numFmt w:val="decimal"/>
      <w:pStyle w:val="Heading4Numbered"/>
      <w:lvlText w:val="%1.%2.%3."/>
      <w:lvlJc w:val="left"/>
      <w:pPr>
        <w:ind w:left="1224" w:hanging="504"/>
      </w:pPr>
      <w:rPr>
        <w:rFonts w:hint="default"/>
      </w:rPr>
    </w:lvl>
    <w:lvl w:ilvl="3">
      <w:start w:val="1"/>
      <w:numFmt w:val="decimal"/>
      <w:pStyle w:val="Heading5Numbered"/>
      <w:lvlText w:val="%1.%2.%3.%4."/>
      <w:lvlJc w:val="left"/>
      <w:pPr>
        <w:ind w:left="1728" w:hanging="648"/>
      </w:pPr>
      <w:rPr>
        <w:rFonts w:hint="default"/>
      </w:rPr>
    </w:lvl>
    <w:lvl w:ilvl="4">
      <w:start w:val="1"/>
      <w:numFmt w:val="decimal"/>
      <w:pStyle w:val="Heading6Numbered"/>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7B46D86"/>
    <w:multiLevelType w:val="hybridMultilevel"/>
    <w:tmpl w:val="12B4F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8615703"/>
    <w:multiLevelType w:val="multilevel"/>
    <w:tmpl w:val="803CF862"/>
    <w:numStyleLink w:val="List1Numbered"/>
  </w:abstractNum>
  <w:abstractNum w:abstractNumId="44" w15:restartNumberingAfterBreak="0">
    <w:nsid w:val="58E50DAA"/>
    <w:multiLevelType w:val="hybridMultilevel"/>
    <w:tmpl w:val="7EA6389C"/>
    <w:lvl w:ilvl="0" w:tplc="5AF26D54">
      <w:numFmt w:val="bullet"/>
      <w:lvlText w:val="-"/>
      <w:lvlJc w:val="left"/>
      <w:pPr>
        <w:ind w:left="720" w:hanging="360"/>
      </w:pPr>
      <w:rPr>
        <w:rFonts w:ascii="Gotham Book" w:eastAsia="Times New Roman" w:hAnsi="Gotham Book"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9A26828"/>
    <w:multiLevelType w:val="hybridMultilevel"/>
    <w:tmpl w:val="23D61AB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6" w15:restartNumberingAfterBreak="0">
    <w:nsid w:val="5B2B52C7"/>
    <w:multiLevelType w:val="multilevel"/>
    <w:tmpl w:val="B5BEE4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E676E09"/>
    <w:multiLevelType w:val="multilevel"/>
    <w:tmpl w:val="0C09001F"/>
    <w:numStyleLink w:val="NumberedHeadings"/>
  </w:abstractNum>
  <w:abstractNum w:abstractNumId="48" w15:restartNumberingAfterBreak="0">
    <w:nsid w:val="5FAD311F"/>
    <w:multiLevelType w:val="multilevel"/>
    <w:tmpl w:val="72745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03C29DE"/>
    <w:multiLevelType w:val="multilevel"/>
    <w:tmpl w:val="A71202E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Bidi"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0F55994"/>
    <w:multiLevelType w:val="hybridMultilevel"/>
    <w:tmpl w:val="B9A0A8DA"/>
    <w:lvl w:ilvl="0" w:tplc="2C5ACCA2">
      <w:start w:val="4"/>
      <w:numFmt w:val="bullet"/>
      <w:lvlText w:val="-"/>
      <w:lvlJc w:val="left"/>
      <w:pPr>
        <w:ind w:left="720" w:hanging="360"/>
      </w:pPr>
      <w:rPr>
        <w:rFonts w:ascii="Gotham Book" w:eastAsia="Times New Roman" w:hAnsi="Gotham Book" w:cstheme="minorBidi"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9384C2E"/>
    <w:multiLevelType w:val="hybridMultilevel"/>
    <w:tmpl w:val="7C36C772"/>
    <w:lvl w:ilvl="0" w:tplc="669C037E">
      <w:start w:val="1"/>
      <w:numFmt w:val="bullet"/>
      <w:lvlText w:val="-"/>
      <w:lvlJc w:val="left"/>
      <w:pPr>
        <w:ind w:left="36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1EF40BD"/>
    <w:multiLevelType w:val="hybridMultilevel"/>
    <w:tmpl w:val="1644751A"/>
    <w:lvl w:ilvl="0" w:tplc="9AAE7F2C">
      <w:start w:val="45"/>
      <w:numFmt w:val="bullet"/>
      <w:lvlText w:val="-"/>
      <w:lvlJc w:val="left"/>
      <w:pPr>
        <w:ind w:left="720" w:hanging="360"/>
      </w:pPr>
      <w:rPr>
        <w:rFonts w:ascii="Aptos" w:eastAsia="Times New Roman"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2EB6709"/>
    <w:multiLevelType w:val="hybridMultilevel"/>
    <w:tmpl w:val="DAC437BA"/>
    <w:lvl w:ilvl="0" w:tplc="B2BEA74E">
      <w:numFmt w:val="bullet"/>
      <w:lvlText w:val="-"/>
      <w:lvlJc w:val="left"/>
      <w:pPr>
        <w:ind w:left="1078" w:hanging="360"/>
      </w:pPr>
      <w:rPr>
        <w:rFonts w:ascii="Aptos" w:eastAsiaTheme="minorHAnsi" w:hAnsi="Aptos" w:cstheme="minorBidi" w:hint="default"/>
      </w:rPr>
    </w:lvl>
    <w:lvl w:ilvl="1" w:tplc="0C090003" w:tentative="1">
      <w:start w:val="1"/>
      <w:numFmt w:val="bullet"/>
      <w:lvlText w:val="o"/>
      <w:lvlJc w:val="left"/>
      <w:pPr>
        <w:ind w:left="1798" w:hanging="360"/>
      </w:pPr>
      <w:rPr>
        <w:rFonts w:ascii="Courier New" w:hAnsi="Courier New" w:cs="Courier New" w:hint="default"/>
      </w:rPr>
    </w:lvl>
    <w:lvl w:ilvl="2" w:tplc="0C090005" w:tentative="1">
      <w:start w:val="1"/>
      <w:numFmt w:val="bullet"/>
      <w:lvlText w:val=""/>
      <w:lvlJc w:val="left"/>
      <w:pPr>
        <w:ind w:left="2518" w:hanging="360"/>
      </w:pPr>
      <w:rPr>
        <w:rFonts w:ascii="Wingdings" w:hAnsi="Wingdings" w:hint="default"/>
      </w:rPr>
    </w:lvl>
    <w:lvl w:ilvl="3" w:tplc="0C090001" w:tentative="1">
      <w:start w:val="1"/>
      <w:numFmt w:val="bullet"/>
      <w:lvlText w:val=""/>
      <w:lvlJc w:val="left"/>
      <w:pPr>
        <w:ind w:left="3238" w:hanging="360"/>
      </w:pPr>
      <w:rPr>
        <w:rFonts w:ascii="Symbol" w:hAnsi="Symbol" w:hint="default"/>
      </w:rPr>
    </w:lvl>
    <w:lvl w:ilvl="4" w:tplc="0C090003" w:tentative="1">
      <w:start w:val="1"/>
      <w:numFmt w:val="bullet"/>
      <w:lvlText w:val="o"/>
      <w:lvlJc w:val="left"/>
      <w:pPr>
        <w:ind w:left="3958" w:hanging="360"/>
      </w:pPr>
      <w:rPr>
        <w:rFonts w:ascii="Courier New" w:hAnsi="Courier New" w:cs="Courier New" w:hint="default"/>
      </w:rPr>
    </w:lvl>
    <w:lvl w:ilvl="5" w:tplc="0C090005" w:tentative="1">
      <w:start w:val="1"/>
      <w:numFmt w:val="bullet"/>
      <w:lvlText w:val=""/>
      <w:lvlJc w:val="left"/>
      <w:pPr>
        <w:ind w:left="4678" w:hanging="360"/>
      </w:pPr>
      <w:rPr>
        <w:rFonts w:ascii="Wingdings" w:hAnsi="Wingdings" w:hint="default"/>
      </w:rPr>
    </w:lvl>
    <w:lvl w:ilvl="6" w:tplc="0C090001" w:tentative="1">
      <w:start w:val="1"/>
      <w:numFmt w:val="bullet"/>
      <w:lvlText w:val=""/>
      <w:lvlJc w:val="left"/>
      <w:pPr>
        <w:ind w:left="5398" w:hanging="360"/>
      </w:pPr>
      <w:rPr>
        <w:rFonts w:ascii="Symbol" w:hAnsi="Symbol" w:hint="default"/>
      </w:rPr>
    </w:lvl>
    <w:lvl w:ilvl="7" w:tplc="0C090003" w:tentative="1">
      <w:start w:val="1"/>
      <w:numFmt w:val="bullet"/>
      <w:lvlText w:val="o"/>
      <w:lvlJc w:val="left"/>
      <w:pPr>
        <w:ind w:left="6118" w:hanging="360"/>
      </w:pPr>
      <w:rPr>
        <w:rFonts w:ascii="Courier New" w:hAnsi="Courier New" w:cs="Courier New" w:hint="default"/>
      </w:rPr>
    </w:lvl>
    <w:lvl w:ilvl="8" w:tplc="0C090005" w:tentative="1">
      <w:start w:val="1"/>
      <w:numFmt w:val="bullet"/>
      <w:lvlText w:val=""/>
      <w:lvlJc w:val="left"/>
      <w:pPr>
        <w:ind w:left="6838" w:hanging="360"/>
      </w:pPr>
      <w:rPr>
        <w:rFonts w:ascii="Wingdings" w:hAnsi="Wingdings" w:hint="default"/>
      </w:rPr>
    </w:lvl>
  </w:abstractNum>
  <w:abstractNum w:abstractNumId="54" w15:restartNumberingAfterBreak="0">
    <w:nsid w:val="738A4D83"/>
    <w:multiLevelType w:val="multilevel"/>
    <w:tmpl w:val="E9FE6464"/>
    <w:styleLink w:val="DefaultBullets"/>
    <w:lvl w:ilvl="0">
      <w:start w:val="1"/>
      <w:numFmt w:val="bullet"/>
      <w:lvlText w:val=""/>
      <w:lvlJc w:val="left"/>
      <w:pPr>
        <w:ind w:left="284" w:hanging="284"/>
      </w:pPr>
      <w:rPr>
        <w:rFonts w:ascii="Symbol" w:hAnsi="Symbol" w:hint="default"/>
        <w:color w:val="156082" w:themeColor="accent1"/>
      </w:rPr>
    </w:lvl>
    <w:lvl w:ilvl="1">
      <w:start w:val="1"/>
      <w:numFmt w:val="bullet"/>
      <w:lvlText w:val="–"/>
      <w:lvlJc w:val="left"/>
      <w:pPr>
        <w:ind w:left="568" w:hanging="284"/>
      </w:pPr>
      <w:rPr>
        <w:rFonts w:ascii="Arial" w:hAnsi="Arial" w:hint="default"/>
        <w:color w:val="156082" w:themeColor="accent1"/>
      </w:rPr>
    </w:lvl>
    <w:lvl w:ilvl="2">
      <w:start w:val="1"/>
      <w:numFmt w:val="bullet"/>
      <w:lvlText w:val="»"/>
      <w:lvlJc w:val="left"/>
      <w:pPr>
        <w:ind w:left="852" w:hanging="284"/>
      </w:pPr>
      <w:rPr>
        <w:rFonts w:ascii="Arial" w:hAnsi="Arial" w:hint="default"/>
        <w:color w:val="156082" w:themeColor="accent1"/>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5" w15:restartNumberingAfterBreak="0">
    <w:nsid w:val="7EE44065"/>
    <w:multiLevelType w:val="multilevel"/>
    <w:tmpl w:val="A41689A2"/>
    <w:numStyleLink w:val="AppendixNumbers"/>
  </w:abstractNum>
  <w:abstractNum w:abstractNumId="56" w15:restartNumberingAfterBreak="0">
    <w:nsid w:val="7F2D3372"/>
    <w:multiLevelType w:val="hybridMultilevel"/>
    <w:tmpl w:val="A218FAB2"/>
    <w:lvl w:ilvl="0" w:tplc="9AAE7F2C">
      <w:start w:val="45"/>
      <w:numFmt w:val="bullet"/>
      <w:lvlText w:val="-"/>
      <w:lvlJc w:val="left"/>
      <w:pPr>
        <w:ind w:left="720" w:hanging="360"/>
      </w:pPr>
      <w:rPr>
        <w:rFonts w:ascii="Aptos" w:eastAsia="Times New Roman"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FA6507B"/>
    <w:multiLevelType w:val="hybridMultilevel"/>
    <w:tmpl w:val="8C58A348"/>
    <w:lvl w:ilvl="0" w:tplc="0C090001">
      <w:start w:val="1"/>
      <w:numFmt w:val="bullet"/>
      <w:lvlText w:val=""/>
      <w:lvlJc w:val="left"/>
      <w:pPr>
        <w:ind w:left="761" w:hanging="360"/>
      </w:pPr>
      <w:rPr>
        <w:rFonts w:ascii="Symbol" w:hAnsi="Symbol" w:hint="default"/>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58" w15:restartNumberingAfterBreak="0">
    <w:nsid w:val="7FCD3401"/>
    <w:multiLevelType w:val="multilevel"/>
    <w:tmpl w:val="18CA4DEC"/>
    <w:styleLink w:val="RList"/>
    <w:lvl w:ilvl="0">
      <w:start w:val="1"/>
      <w:numFmt w:val="decimal"/>
      <w:lvlText w:val="R%1"/>
      <w:lvlJc w:val="left"/>
      <w:pPr>
        <w:ind w:left="510" w:hanging="510"/>
      </w:pPr>
      <w:rPr>
        <w:rFonts w:hint="default"/>
        <w:b/>
        <w:i w:val="0"/>
      </w:rPr>
    </w:lvl>
    <w:lvl w:ilvl="1">
      <w:start w:val="1"/>
      <w:numFmt w:val="none"/>
      <w:lvlText w:val=""/>
      <w:lvlJc w:val="left"/>
      <w:pPr>
        <w:ind w:left="850" w:hanging="510"/>
      </w:pPr>
      <w:rPr>
        <w:rFonts w:hint="default"/>
      </w:rPr>
    </w:lvl>
    <w:lvl w:ilvl="2">
      <w:start w:val="1"/>
      <w:numFmt w:val="none"/>
      <w:lvlText w:val=""/>
      <w:lvlJc w:val="left"/>
      <w:pPr>
        <w:ind w:left="1190" w:hanging="510"/>
      </w:pPr>
      <w:rPr>
        <w:rFonts w:hint="default"/>
      </w:rPr>
    </w:lvl>
    <w:lvl w:ilvl="3">
      <w:start w:val="1"/>
      <w:numFmt w:val="none"/>
      <w:lvlText w:val=""/>
      <w:lvlJc w:val="left"/>
      <w:pPr>
        <w:ind w:left="1530" w:hanging="510"/>
      </w:pPr>
      <w:rPr>
        <w:rFonts w:hint="default"/>
      </w:rPr>
    </w:lvl>
    <w:lvl w:ilvl="4">
      <w:start w:val="1"/>
      <w:numFmt w:val="none"/>
      <w:lvlText w:val=""/>
      <w:lvlJc w:val="left"/>
      <w:pPr>
        <w:ind w:left="1870" w:hanging="510"/>
      </w:pPr>
      <w:rPr>
        <w:rFonts w:hint="default"/>
      </w:rPr>
    </w:lvl>
    <w:lvl w:ilvl="5">
      <w:start w:val="1"/>
      <w:numFmt w:val="none"/>
      <w:lvlText w:val=""/>
      <w:lvlJc w:val="left"/>
      <w:pPr>
        <w:ind w:left="2210" w:hanging="510"/>
      </w:pPr>
      <w:rPr>
        <w:rFonts w:hint="default"/>
      </w:rPr>
    </w:lvl>
    <w:lvl w:ilvl="6">
      <w:start w:val="1"/>
      <w:numFmt w:val="none"/>
      <w:lvlText w:val=""/>
      <w:lvlJc w:val="left"/>
      <w:pPr>
        <w:ind w:left="2550" w:hanging="510"/>
      </w:pPr>
      <w:rPr>
        <w:rFonts w:hint="default"/>
      </w:rPr>
    </w:lvl>
    <w:lvl w:ilvl="7">
      <w:start w:val="1"/>
      <w:numFmt w:val="none"/>
      <w:lvlText w:val=""/>
      <w:lvlJc w:val="left"/>
      <w:pPr>
        <w:ind w:left="2890" w:hanging="510"/>
      </w:pPr>
      <w:rPr>
        <w:rFonts w:hint="default"/>
      </w:rPr>
    </w:lvl>
    <w:lvl w:ilvl="8">
      <w:start w:val="1"/>
      <w:numFmt w:val="none"/>
      <w:lvlText w:val=""/>
      <w:lvlJc w:val="left"/>
      <w:pPr>
        <w:ind w:left="3230" w:hanging="510"/>
      </w:pPr>
      <w:rPr>
        <w:rFonts w:hint="default"/>
      </w:rPr>
    </w:lvl>
  </w:abstractNum>
  <w:num w:numId="1" w16cid:durableId="1588153793">
    <w:abstractNumId w:val="37"/>
  </w:num>
  <w:num w:numId="2" w16cid:durableId="783109298">
    <w:abstractNumId w:val="48"/>
  </w:num>
  <w:num w:numId="3" w16cid:durableId="1061948078">
    <w:abstractNumId w:val="46"/>
  </w:num>
  <w:num w:numId="4" w16cid:durableId="712311833">
    <w:abstractNumId w:val="49"/>
  </w:num>
  <w:num w:numId="5" w16cid:durableId="1880047626">
    <w:abstractNumId w:val="13"/>
  </w:num>
  <w:num w:numId="6" w16cid:durableId="11882295">
    <w:abstractNumId w:val="28"/>
  </w:num>
  <w:num w:numId="7" w16cid:durableId="2085909650">
    <w:abstractNumId w:val="45"/>
  </w:num>
  <w:num w:numId="8" w16cid:durableId="46296800">
    <w:abstractNumId w:val="42"/>
  </w:num>
  <w:num w:numId="9" w16cid:durableId="1083524882">
    <w:abstractNumId w:val="27"/>
  </w:num>
  <w:num w:numId="10" w16cid:durableId="370106601">
    <w:abstractNumId w:val="12"/>
  </w:num>
  <w:num w:numId="11" w16cid:durableId="536092000">
    <w:abstractNumId w:val="16"/>
  </w:num>
  <w:num w:numId="12" w16cid:durableId="1103305163">
    <w:abstractNumId w:val="35"/>
  </w:num>
  <w:num w:numId="13" w16cid:durableId="1171456200">
    <w:abstractNumId w:val="20"/>
  </w:num>
  <w:num w:numId="14" w16cid:durableId="1859004680">
    <w:abstractNumId w:val="33"/>
  </w:num>
  <w:num w:numId="15" w16cid:durableId="1681739482">
    <w:abstractNumId w:val="39"/>
  </w:num>
  <w:num w:numId="16" w16cid:durableId="1063412708">
    <w:abstractNumId w:val="56"/>
  </w:num>
  <w:num w:numId="17" w16cid:durableId="137502966">
    <w:abstractNumId w:val="38"/>
  </w:num>
  <w:num w:numId="18" w16cid:durableId="1885481682">
    <w:abstractNumId w:val="58"/>
  </w:num>
  <w:num w:numId="19" w16cid:durableId="709764690">
    <w:abstractNumId w:val="40"/>
  </w:num>
  <w:num w:numId="20" w16cid:durableId="1158381352">
    <w:abstractNumId w:val="34"/>
  </w:num>
  <w:num w:numId="21" w16cid:durableId="491412865">
    <w:abstractNumId w:val="54"/>
  </w:num>
  <w:num w:numId="22" w16cid:durableId="2095473806">
    <w:abstractNumId w:val="22"/>
  </w:num>
  <w:num w:numId="23" w16cid:durableId="960039475">
    <w:abstractNumId w:val="11"/>
  </w:num>
  <w:num w:numId="24" w16cid:durableId="1213810782">
    <w:abstractNumId w:val="41"/>
  </w:num>
  <w:num w:numId="25" w16cid:durableId="999507997">
    <w:abstractNumId w:val="15"/>
  </w:num>
  <w:num w:numId="26" w16cid:durableId="991106785">
    <w:abstractNumId w:val="19"/>
  </w:num>
  <w:num w:numId="27" w16cid:durableId="1228960154">
    <w:abstractNumId w:val="43"/>
  </w:num>
  <w:num w:numId="28" w16cid:durableId="709378581">
    <w:abstractNumId w:val="24"/>
  </w:num>
  <w:num w:numId="29" w16cid:durableId="1198665999">
    <w:abstractNumId w:val="36"/>
  </w:num>
  <w:num w:numId="30" w16cid:durableId="583104145">
    <w:abstractNumId w:val="55"/>
  </w:num>
  <w:num w:numId="31" w16cid:durableId="1291282911">
    <w:abstractNumId w:val="47"/>
  </w:num>
  <w:num w:numId="32" w16cid:durableId="1022126086">
    <w:abstractNumId w:val="50"/>
  </w:num>
  <w:num w:numId="33" w16cid:durableId="744255926">
    <w:abstractNumId w:val="17"/>
  </w:num>
  <w:num w:numId="34" w16cid:durableId="1379164989">
    <w:abstractNumId w:val="53"/>
  </w:num>
  <w:num w:numId="35" w16cid:durableId="813135952">
    <w:abstractNumId w:val="44"/>
  </w:num>
  <w:num w:numId="36" w16cid:durableId="695160420">
    <w:abstractNumId w:val="18"/>
  </w:num>
  <w:num w:numId="37" w16cid:durableId="333414086">
    <w:abstractNumId w:val="30"/>
  </w:num>
  <w:num w:numId="38" w16cid:durableId="280308668">
    <w:abstractNumId w:val="9"/>
  </w:num>
  <w:num w:numId="39" w16cid:durableId="1645967781">
    <w:abstractNumId w:val="14"/>
  </w:num>
  <w:num w:numId="40" w16cid:durableId="1836724731">
    <w:abstractNumId w:val="25"/>
  </w:num>
  <w:num w:numId="41" w16cid:durableId="736441157">
    <w:abstractNumId w:val="21"/>
  </w:num>
  <w:num w:numId="42" w16cid:durableId="1942453557">
    <w:abstractNumId w:val="29"/>
  </w:num>
  <w:num w:numId="43" w16cid:durableId="1166284820">
    <w:abstractNumId w:val="52"/>
  </w:num>
  <w:num w:numId="44" w16cid:durableId="1900165080">
    <w:abstractNumId w:val="26"/>
  </w:num>
  <w:num w:numId="45" w16cid:durableId="1330212252">
    <w:abstractNumId w:val="31"/>
  </w:num>
  <w:num w:numId="46" w16cid:durableId="1522163696">
    <w:abstractNumId w:val="32"/>
  </w:num>
  <w:num w:numId="47" w16cid:durableId="2134320666">
    <w:abstractNumId w:val="57"/>
  </w:num>
  <w:num w:numId="48" w16cid:durableId="1182664017">
    <w:abstractNumId w:val="10"/>
  </w:num>
  <w:num w:numId="49" w16cid:durableId="1876232681">
    <w:abstractNumId w:val="51"/>
  </w:num>
  <w:num w:numId="50" w16cid:durableId="988440753">
    <w:abstractNumId w:val="23"/>
  </w:num>
  <w:num w:numId="51" w16cid:durableId="434713124">
    <w:abstractNumId w:val="7"/>
  </w:num>
  <w:num w:numId="52" w16cid:durableId="1029570954">
    <w:abstractNumId w:val="6"/>
  </w:num>
  <w:num w:numId="53" w16cid:durableId="31662076">
    <w:abstractNumId w:val="5"/>
  </w:num>
  <w:num w:numId="54" w16cid:durableId="1436637090">
    <w:abstractNumId w:val="4"/>
  </w:num>
  <w:num w:numId="55" w16cid:durableId="23987167">
    <w:abstractNumId w:val="8"/>
  </w:num>
  <w:num w:numId="56" w16cid:durableId="1653171438">
    <w:abstractNumId w:val="3"/>
  </w:num>
  <w:num w:numId="57" w16cid:durableId="1757045334">
    <w:abstractNumId w:val="2"/>
  </w:num>
  <w:num w:numId="58" w16cid:durableId="1033504293">
    <w:abstractNumId w:val="1"/>
  </w:num>
  <w:num w:numId="59" w16cid:durableId="1380127113">
    <w:abstractNumId w:val="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hdrShapeDefaults>
    <o:shapedefaults v:ext="edit" spidmax="2050"/>
    <o:shapelayout v:ext="edit">
      <o:idmap v:ext="edit" data="1"/>
    </o:shapelayout>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7th NHMRC&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devsvrf12res7eadx8vsv00wax9sa99v9w0&quot;&gt;Selenium&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6&lt;/item&gt;&lt;item&gt;27&lt;/item&gt;&lt;item&gt;28&lt;/item&gt;&lt;item&gt;29&lt;/item&gt;&lt;item&gt;30&lt;/item&gt;&lt;item&gt;31&lt;/item&gt;&lt;item&gt;34&lt;/item&gt;&lt;item&gt;35&lt;/item&gt;&lt;item&gt;36&lt;/item&gt;&lt;item&gt;38&lt;/item&gt;&lt;item&gt;41&lt;/item&gt;&lt;item&gt;44&lt;/item&gt;&lt;item&gt;45&lt;/item&gt;&lt;item&gt;46&lt;/item&gt;&lt;item&gt;47&lt;/item&gt;&lt;item&gt;48&lt;/item&gt;&lt;item&gt;49&lt;/item&gt;&lt;item&gt;51&lt;/item&gt;&lt;item&gt;54&lt;/item&gt;&lt;item&gt;56&lt;/item&gt;&lt;item&gt;59&lt;/item&gt;&lt;item&gt;63&lt;/item&gt;&lt;item&gt;64&lt;/item&gt;&lt;item&gt;66&lt;/item&gt;&lt;item&gt;67&lt;/item&gt;&lt;item&gt;68&lt;/item&gt;&lt;item&gt;69&lt;/item&gt;&lt;item&gt;70&lt;/item&gt;&lt;item&gt;71&lt;/item&gt;&lt;item&gt;72&lt;/item&gt;&lt;item&gt;73&lt;/item&gt;&lt;item&gt;74&lt;/item&gt;&lt;item&gt;76&lt;/item&gt;&lt;item&gt;77&lt;/item&gt;&lt;item&gt;82&lt;/item&gt;&lt;item&gt;84&lt;/item&gt;&lt;item&gt;86&lt;/item&gt;&lt;item&gt;87&lt;/item&gt;&lt;item&gt;89&lt;/item&gt;&lt;item&gt;90&lt;/item&gt;&lt;item&gt;91&lt;/item&gt;&lt;item&gt;92&lt;/item&gt;&lt;item&gt;93&lt;/item&gt;&lt;item&gt;96&lt;/item&gt;&lt;item&gt;97&lt;/item&gt;&lt;item&gt;98&lt;/item&gt;&lt;item&gt;99&lt;/item&gt;&lt;item&gt;100&lt;/item&gt;&lt;item&gt;101&lt;/item&gt;&lt;item&gt;102&lt;/item&gt;&lt;item&gt;103&lt;/item&gt;&lt;item&gt;104&lt;/item&gt;&lt;item&gt;105&lt;/item&gt;&lt;item&gt;106&lt;/item&gt;&lt;item&gt;108&lt;/item&gt;&lt;item&gt;109&lt;/item&gt;&lt;item&gt;110&lt;/item&gt;&lt;item&gt;111&lt;/item&gt;&lt;item&gt;112&lt;/item&gt;&lt;item&gt;113&lt;/item&gt;&lt;item&gt;114&lt;/item&gt;&lt;item&gt;117&lt;/item&gt;&lt;item&gt;118&lt;/item&gt;&lt;item&gt;119&lt;/item&gt;&lt;item&gt;120&lt;/item&gt;&lt;item&gt;121&lt;/item&gt;&lt;item&gt;122&lt;/item&gt;&lt;item&gt;132&lt;/item&gt;&lt;item&gt;147&lt;/item&gt;&lt;item&gt;148&lt;/item&gt;&lt;item&gt;149&lt;/item&gt;&lt;item&gt;150&lt;/item&gt;&lt;item&gt;151&lt;/item&gt;&lt;item&gt;152&lt;/item&gt;&lt;/record-ids&gt;&lt;/item&gt;&lt;/Libraries&gt;"/>
  </w:docVars>
  <w:rsids>
    <w:rsidRoot w:val="00923AE9"/>
    <w:rsid w:val="000001B8"/>
    <w:rsid w:val="000001E3"/>
    <w:rsid w:val="00000661"/>
    <w:rsid w:val="00000F22"/>
    <w:rsid w:val="00001048"/>
    <w:rsid w:val="00001094"/>
    <w:rsid w:val="000016F5"/>
    <w:rsid w:val="00001727"/>
    <w:rsid w:val="000018AA"/>
    <w:rsid w:val="00002018"/>
    <w:rsid w:val="00002157"/>
    <w:rsid w:val="000022EB"/>
    <w:rsid w:val="0000245E"/>
    <w:rsid w:val="00002984"/>
    <w:rsid w:val="00002A3A"/>
    <w:rsid w:val="00002BA2"/>
    <w:rsid w:val="00002CD5"/>
    <w:rsid w:val="00002DBF"/>
    <w:rsid w:val="000031B4"/>
    <w:rsid w:val="000031D3"/>
    <w:rsid w:val="000032E7"/>
    <w:rsid w:val="00003459"/>
    <w:rsid w:val="00003739"/>
    <w:rsid w:val="00004C77"/>
    <w:rsid w:val="00004E04"/>
    <w:rsid w:val="000051E7"/>
    <w:rsid w:val="0000571F"/>
    <w:rsid w:val="000057BA"/>
    <w:rsid w:val="00005854"/>
    <w:rsid w:val="000058F2"/>
    <w:rsid w:val="00005A87"/>
    <w:rsid w:val="00005C93"/>
    <w:rsid w:val="000061D5"/>
    <w:rsid w:val="0000622F"/>
    <w:rsid w:val="00006257"/>
    <w:rsid w:val="00006328"/>
    <w:rsid w:val="000065EB"/>
    <w:rsid w:val="00006649"/>
    <w:rsid w:val="00006DA7"/>
    <w:rsid w:val="00006E85"/>
    <w:rsid w:val="00007328"/>
    <w:rsid w:val="00007471"/>
    <w:rsid w:val="000074BF"/>
    <w:rsid w:val="0000776E"/>
    <w:rsid w:val="0000792A"/>
    <w:rsid w:val="00007C9A"/>
    <w:rsid w:val="000105CD"/>
    <w:rsid w:val="00010646"/>
    <w:rsid w:val="00010F02"/>
    <w:rsid w:val="00011154"/>
    <w:rsid w:val="000111DC"/>
    <w:rsid w:val="0001130F"/>
    <w:rsid w:val="0001184F"/>
    <w:rsid w:val="00011862"/>
    <w:rsid w:val="00011C6C"/>
    <w:rsid w:val="00011D70"/>
    <w:rsid w:val="00011F09"/>
    <w:rsid w:val="00012096"/>
    <w:rsid w:val="00012153"/>
    <w:rsid w:val="00012208"/>
    <w:rsid w:val="000124C2"/>
    <w:rsid w:val="000127F8"/>
    <w:rsid w:val="000136C0"/>
    <w:rsid w:val="000137F8"/>
    <w:rsid w:val="00013A60"/>
    <w:rsid w:val="00013D92"/>
    <w:rsid w:val="00013E3D"/>
    <w:rsid w:val="0001419A"/>
    <w:rsid w:val="000142D7"/>
    <w:rsid w:val="000150C2"/>
    <w:rsid w:val="000152CA"/>
    <w:rsid w:val="00015383"/>
    <w:rsid w:val="000155EA"/>
    <w:rsid w:val="00015630"/>
    <w:rsid w:val="00015818"/>
    <w:rsid w:val="00015912"/>
    <w:rsid w:val="00015B93"/>
    <w:rsid w:val="00015C70"/>
    <w:rsid w:val="00015DAE"/>
    <w:rsid w:val="00015F62"/>
    <w:rsid w:val="000163E7"/>
    <w:rsid w:val="00016890"/>
    <w:rsid w:val="0001694D"/>
    <w:rsid w:val="00016956"/>
    <w:rsid w:val="00016E5C"/>
    <w:rsid w:val="0001702C"/>
    <w:rsid w:val="0001793B"/>
    <w:rsid w:val="00017A9B"/>
    <w:rsid w:val="0002030D"/>
    <w:rsid w:val="000209B8"/>
    <w:rsid w:val="00020C26"/>
    <w:rsid w:val="00020EED"/>
    <w:rsid w:val="000214D7"/>
    <w:rsid w:val="00021804"/>
    <w:rsid w:val="00021823"/>
    <w:rsid w:val="00021F06"/>
    <w:rsid w:val="00022143"/>
    <w:rsid w:val="00022D77"/>
    <w:rsid w:val="00022DBD"/>
    <w:rsid w:val="00022E5F"/>
    <w:rsid w:val="0002310F"/>
    <w:rsid w:val="000231E2"/>
    <w:rsid w:val="00023371"/>
    <w:rsid w:val="000237C4"/>
    <w:rsid w:val="00023828"/>
    <w:rsid w:val="00023C84"/>
    <w:rsid w:val="00023D8D"/>
    <w:rsid w:val="00023F39"/>
    <w:rsid w:val="00024283"/>
    <w:rsid w:val="00024798"/>
    <w:rsid w:val="00024810"/>
    <w:rsid w:val="000249B4"/>
    <w:rsid w:val="000249E9"/>
    <w:rsid w:val="00024A63"/>
    <w:rsid w:val="00024A6C"/>
    <w:rsid w:val="00024B63"/>
    <w:rsid w:val="00024B78"/>
    <w:rsid w:val="00025023"/>
    <w:rsid w:val="0002540F"/>
    <w:rsid w:val="00025483"/>
    <w:rsid w:val="000259D4"/>
    <w:rsid w:val="00025E63"/>
    <w:rsid w:val="000266EC"/>
    <w:rsid w:val="00026908"/>
    <w:rsid w:val="0002715D"/>
    <w:rsid w:val="00027422"/>
    <w:rsid w:val="00027851"/>
    <w:rsid w:val="00027B32"/>
    <w:rsid w:val="000300CC"/>
    <w:rsid w:val="0003065A"/>
    <w:rsid w:val="00030C93"/>
    <w:rsid w:val="00030D4C"/>
    <w:rsid w:val="00030E3D"/>
    <w:rsid w:val="00031554"/>
    <w:rsid w:val="00031EDE"/>
    <w:rsid w:val="00031F5E"/>
    <w:rsid w:val="00031FE2"/>
    <w:rsid w:val="000323EC"/>
    <w:rsid w:val="00032B50"/>
    <w:rsid w:val="00032E09"/>
    <w:rsid w:val="00033076"/>
    <w:rsid w:val="000331EA"/>
    <w:rsid w:val="000336E1"/>
    <w:rsid w:val="00033A5D"/>
    <w:rsid w:val="00033C75"/>
    <w:rsid w:val="00033D0A"/>
    <w:rsid w:val="00033EA8"/>
    <w:rsid w:val="0003424F"/>
    <w:rsid w:val="00034439"/>
    <w:rsid w:val="00034782"/>
    <w:rsid w:val="000348CA"/>
    <w:rsid w:val="000348FB"/>
    <w:rsid w:val="00034AD9"/>
    <w:rsid w:val="00034CF5"/>
    <w:rsid w:val="00034DEC"/>
    <w:rsid w:val="000351B2"/>
    <w:rsid w:val="0003520F"/>
    <w:rsid w:val="00035253"/>
    <w:rsid w:val="00035349"/>
    <w:rsid w:val="00035386"/>
    <w:rsid w:val="000353E1"/>
    <w:rsid w:val="00035456"/>
    <w:rsid w:val="000354ED"/>
    <w:rsid w:val="0003551A"/>
    <w:rsid w:val="00035C13"/>
    <w:rsid w:val="00035C6E"/>
    <w:rsid w:val="00035F84"/>
    <w:rsid w:val="000362BB"/>
    <w:rsid w:val="000363D2"/>
    <w:rsid w:val="00036609"/>
    <w:rsid w:val="000366A5"/>
    <w:rsid w:val="00036751"/>
    <w:rsid w:val="00036958"/>
    <w:rsid w:val="00036C12"/>
    <w:rsid w:val="00036D18"/>
    <w:rsid w:val="0003704B"/>
    <w:rsid w:val="00037192"/>
    <w:rsid w:val="00037870"/>
    <w:rsid w:val="000378D5"/>
    <w:rsid w:val="0004001C"/>
    <w:rsid w:val="000402A5"/>
    <w:rsid w:val="000407FE"/>
    <w:rsid w:val="00040921"/>
    <w:rsid w:val="00040938"/>
    <w:rsid w:val="000412A5"/>
    <w:rsid w:val="00041486"/>
    <w:rsid w:val="000414F2"/>
    <w:rsid w:val="00041C16"/>
    <w:rsid w:val="000423B5"/>
    <w:rsid w:val="000425F1"/>
    <w:rsid w:val="000425FD"/>
    <w:rsid w:val="000426B3"/>
    <w:rsid w:val="0004298D"/>
    <w:rsid w:val="00042A5A"/>
    <w:rsid w:val="00042A83"/>
    <w:rsid w:val="00042C6E"/>
    <w:rsid w:val="00042CDC"/>
    <w:rsid w:val="00042DB7"/>
    <w:rsid w:val="00042EDC"/>
    <w:rsid w:val="00043247"/>
    <w:rsid w:val="0004359A"/>
    <w:rsid w:val="0004381F"/>
    <w:rsid w:val="00043CA7"/>
    <w:rsid w:val="00044323"/>
    <w:rsid w:val="000443D3"/>
    <w:rsid w:val="00044455"/>
    <w:rsid w:val="0004483A"/>
    <w:rsid w:val="00044C40"/>
    <w:rsid w:val="00044DB2"/>
    <w:rsid w:val="000450F9"/>
    <w:rsid w:val="0004511F"/>
    <w:rsid w:val="0004520D"/>
    <w:rsid w:val="00045394"/>
    <w:rsid w:val="00045427"/>
    <w:rsid w:val="000454CA"/>
    <w:rsid w:val="000456ED"/>
    <w:rsid w:val="00045728"/>
    <w:rsid w:val="00045749"/>
    <w:rsid w:val="00045F76"/>
    <w:rsid w:val="00046101"/>
    <w:rsid w:val="000468F0"/>
    <w:rsid w:val="00046A8E"/>
    <w:rsid w:val="00046E28"/>
    <w:rsid w:val="000477FA"/>
    <w:rsid w:val="00047CC5"/>
    <w:rsid w:val="00047D36"/>
    <w:rsid w:val="00047D38"/>
    <w:rsid w:val="00050549"/>
    <w:rsid w:val="000507D2"/>
    <w:rsid w:val="000507EF"/>
    <w:rsid w:val="000507FD"/>
    <w:rsid w:val="00050821"/>
    <w:rsid w:val="00050965"/>
    <w:rsid w:val="00050BAD"/>
    <w:rsid w:val="00050C8B"/>
    <w:rsid w:val="00050ED0"/>
    <w:rsid w:val="0005127E"/>
    <w:rsid w:val="00051989"/>
    <w:rsid w:val="0005199A"/>
    <w:rsid w:val="00051B57"/>
    <w:rsid w:val="000522E7"/>
    <w:rsid w:val="00052609"/>
    <w:rsid w:val="00053039"/>
    <w:rsid w:val="0005397B"/>
    <w:rsid w:val="00053BCD"/>
    <w:rsid w:val="00053D37"/>
    <w:rsid w:val="00053ECB"/>
    <w:rsid w:val="00053F47"/>
    <w:rsid w:val="00054A53"/>
    <w:rsid w:val="00054EEA"/>
    <w:rsid w:val="000550D4"/>
    <w:rsid w:val="00055376"/>
    <w:rsid w:val="00055538"/>
    <w:rsid w:val="000555AC"/>
    <w:rsid w:val="00055E2E"/>
    <w:rsid w:val="00055F13"/>
    <w:rsid w:val="00056380"/>
    <w:rsid w:val="000567AF"/>
    <w:rsid w:val="00056F97"/>
    <w:rsid w:val="00056FD8"/>
    <w:rsid w:val="00057074"/>
    <w:rsid w:val="000571D9"/>
    <w:rsid w:val="000573BD"/>
    <w:rsid w:val="00057AD1"/>
    <w:rsid w:val="00057CBE"/>
    <w:rsid w:val="00060256"/>
    <w:rsid w:val="00060371"/>
    <w:rsid w:val="00060EFD"/>
    <w:rsid w:val="00061544"/>
    <w:rsid w:val="00061558"/>
    <w:rsid w:val="0006191D"/>
    <w:rsid w:val="00061B88"/>
    <w:rsid w:val="00061CD8"/>
    <w:rsid w:val="00061E52"/>
    <w:rsid w:val="00062016"/>
    <w:rsid w:val="000622A6"/>
    <w:rsid w:val="0006232C"/>
    <w:rsid w:val="00062468"/>
    <w:rsid w:val="00062795"/>
    <w:rsid w:val="00062819"/>
    <w:rsid w:val="00062CD2"/>
    <w:rsid w:val="00062EBB"/>
    <w:rsid w:val="0006333C"/>
    <w:rsid w:val="00063379"/>
    <w:rsid w:val="00063397"/>
    <w:rsid w:val="000633F4"/>
    <w:rsid w:val="0006341D"/>
    <w:rsid w:val="00065006"/>
    <w:rsid w:val="000650F2"/>
    <w:rsid w:val="00065152"/>
    <w:rsid w:val="000652A5"/>
    <w:rsid w:val="0006548A"/>
    <w:rsid w:val="0006576B"/>
    <w:rsid w:val="00065B63"/>
    <w:rsid w:val="00065D8C"/>
    <w:rsid w:val="00066574"/>
    <w:rsid w:val="000665BB"/>
    <w:rsid w:val="00066731"/>
    <w:rsid w:val="00066773"/>
    <w:rsid w:val="00066900"/>
    <w:rsid w:val="00066B5C"/>
    <w:rsid w:val="00067405"/>
    <w:rsid w:val="000702EF"/>
    <w:rsid w:val="00070C63"/>
    <w:rsid w:val="00070D85"/>
    <w:rsid w:val="0007116F"/>
    <w:rsid w:val="000714A3"/>
    <w:rsid w:val="00071719"/>
    <w:rsid w:val="00071856"/>
    <w:rsid w:val="00071B12"/>
    <w:rsid w:val="000722B9"/>
    <w:rsid w:val="000728D8"/>
    <w:rsid w:val="00072DFE"/>
    <w:rsid w:val="00072E01"/>
    <w:rsid w:val="00073046"/>
    <w:rsid w:val="00073678"/>
    <w:rsid w:val="00073B72"/>
    <w:rsid w:val="00073B77"/>
    <w:rsid w:val="00073F42"/>
    <w:rsid w:val="00074078"/>
    <w:rsid w:val="00074357"/>
    <w:rsid w:val="00074CAE"/>
    <w:rsid w:val="00074DFD"/>
    <w:rsid w:val="000751BE"/>
    <w:rsid w:val="00075927"/>
    <w:rsid w:val="00075A8B"/>
    <w:rsid w:val="0007649D"/>
    <w:rsid w:val="000764E2"/>
    <w:rsid w:val="00076B6D"/>
    <w:rsid w:val="00076FAB"/>
    <w:rsid w:val="000771FE"/>
    <w:rsid w:val="00077454"/>
    <w:rsid w:val="00077928"/>
    <w:rsid w:val="0008010C"/>
    <w:rsid w:val="000801D5"/>
    <w:rsid w:val="00080814"/>
    <w:rsid w:val="00080BFE"/>
    <w:rsid w:val="00081065"/>
    <w:rsid w:val="00081091"/>
    <w:rsid w:val="0008149D"/>
    <w:rsid w:val="00081719"/>
    <w:rsid w:val="00081884"/>
    <w:rsid w:val="00081C89"/>
    <w:rsid w:val="00082024"/>
    <w:rsid w:val="00082A2F"/>
    <w:rsid w:val="000830C3"/>
    <w:rsid w:val="00083139"/>
    <w:rsid w:val="00083DCC"/>
    <w:rsid w:val="0008431A"/>
    <w:rsid w:val="00084327"/>
    <w:rsid w:val="0008476A"/>
    <w:rsid w:val="0008480A"/>
    <w:rsid w:val="00085309"/>
    <w:rsid w:val="00085347"/>
    <w:rsid w:val="000853B4"/>
    <w:rsid w:val="00085409"/>
    <w:rsid w:val="000854DE"/>
    <w:rsid w:val="000858A1"/>
    <w:rsid w:val="000858AA"/>
    <w:rsid w:val="000858D8"/>
    <w:rsid w:val="00085976"/>
    <w:rsid w:val="000859CC"/>
    <w:rsid w:val="00085D19"/>
    <w:rsid w:val="00086015"/>
    <w:rsid w:val="00086333"/>
    <w:rsid w:val="00086423"/>
    <w:rsid w:val="00086BAE"/>
    <w:rsid w:val="00087128"/>
    <w:rsid w:val="00090020"/>
    <w:rsid w:val="00090062"/>
    <w:rsid w:val="0009045C"/>
    <w:rsid w:val="00090994"/>
    <w:rsid w:val="00090BE8"/>
    <w:rsid w:val="00090D02"/>
    <w:rsid w:val="00090DCD"/>
    <w:rsid w:val="00090F55"/>
    <w:rsid w:val="00091495"/>
    <w:rsid w:val="0009170A"/>
    <w:rsid w:val="00091A54"/>
    <w:rsid w:val="00091BCB"/>
    <w:rsid w:val="00091C96"/>
    <w:rsid w:val="00091CE7"/>
    <w:rsid w:val="00091E53"/>
    <w:rsid w:val="000920D9"/>
    <w:rsid w:val="0009267B"/>
    <w:rsid w:val="000928BB"/>
    <w:rsid w:val="00093708"/>
    <w:rsid w:val="0009412F"/>
    <w:rsid w:val="0009474A"/>
    <w:rsid w:val="0009482A"/>
    <w:rsid w:val="00094AE2"/>
    <w:rsid w:val="00094EFF"/>
    <w:rsid w:val="0009536D"/>
    <w:rsid w:val="00095E8A"/>
    <w:rsid w:val="000962FA"/>
    <w:rsid w:val="0009638D"/>
    <w:rsid w:val="000969E1"/>
    <w:rsid w:val="00096B91"/>
    <w:rsid w:val="00096C37"/>
    <w:rsid w:val="000970B8"/>
    <w:rsid w:val="00097269"/>
    <w:rsid w:val="0009745A"/>
    <w:rsid w:val="0009745C"/>
    <w:rsid w:val="0009779D"/>
    <w:rsid w:val="000977AE"/>
    <w:rsid w:val="00097938"/>
    <w:rsid w:val="000979C0"/>
    <w:rsid w:val="000A01A5"/>
    <w:rsid w:val="000A0279"/>
    <w:rsid w:val="000A04B1"/>
    <w:rsid w:val="000A0634"/>
    <w:rsid w:val="000A068F"/>
    <w:rsid w:val="000A119B"/>
    <w:rsid w:val="000A122F"/>
    <w:rsid w:val="000A12F5"/>
    <w:rsid w:val="000A1405"/>
    <w:rsid w:val="000A1408"/>
    <w:rsid w:val="000A1692"/>
    <w:rsid w:val="000A1C36"/>
    <w:rsid w:val="000A1CEE"/>
    <w:rsid w:val="000A2148"/>
    <w:rsid w:val="000A2B28"/>
    <w:rsid w:val="000A3134"/>
    <w:rsid w:val="000A3187"/>
    <w:rsid w:val="000A31C8"/>
    <w:rsid w:val="000A37E6"/>
    <w:rsid w:val="000A3972"/>
    <w:rsid w:val="000A3E80"/>
    <w:rsid w:val="000A412F"/>
    <w:rsid w:val="000A45C5"/>
    <w:rsid w:val="000A46C9"/>
    <w:rsid w:val="000A4976"/>
    <w:rsid w:val="000A50AE"/>
    <w:rsid w:val="000A510B"/>
    <w:rsid w:val="000A51BC"/>
    <w:rsid w:val="000A63C6"/>
    <w:rsid w:val="000A66FF"/>
    <w:rsid w:val="000A671D"/>
    <w:rsid w:val="000A6832"/>
    <w:rsid w:val="000A68F5"/>
    <w:rsid w:val="000A69B6"/>
    <w:rsid w:val="000A6F1B"/>
    <w:rsid w:val="000A6FE4"/>
    <w:rsid w:val="000A7295"/>
    <w:rsid w:val="000A7324"/>
    <w:rsid w:val="000A7AF6"/>
    <w:rsid w:val="000B0129"/>
    <w:rsid w:val="000B079E"/>
    <w:rsid w:val="000B0A26"/>
    <w:rsid w:val="000B0B2A"/>
    <w:rsid w:val="000B1CF6"/>
    <w:rsid w:val="000B1DC3"/>
    <w:rsid w:val="000B205E"/>
    <w:rsid w:val="000B2983"/>
    <w:rsid w:val="000B2E9F"/>
    <w:rsid w:val="000B2FF3"/>
    <w:rsid w:val="000B325A"/>
    <w:rsid w:val="000B3543"/>
    <w:rsid w:val="000B3D92"/>
    <w:rsid w:val="000B4170"/>
    <w:rsid w:val="000B423D"/>
    <w:rsid w:val="000B44D5"/>
    <w:rsid w:val="000B4584"/>
    <w:rsid w:val="000B4667"/>
    <w:rsid w:val="000B48E2"/>
    <w:rsid w:val="000B4A8D"/>
    <w:rsid w:val="000B4FB5"/>
    <w:rsid w:val="000B5215"/>
    <w:rsid w:val="000B53BC"/>
    <w:rsid w:val="000B563F"/>
    <w:rsid w:val="000B579F"/>
    <w:rsid w:val="000B61BB"/>
    <w:rsid w:val="000B62C7"/>
    <w:rsid w:val="000B65DA"/>
    <w:rsid w:val="000B6B1B"/>
    <w:rsid w:val="000B6EF1"/>
    <w:rsid w:val="000B72AD"/>
    <w:rsid w:val="000B786E"/>
    <w:rsid w:val="000B7A9D"/>
    <w:rsid w:val="000B7DE8"/>
    <w:rsid w:val="000B7FCE"/>
    <w:rsid w:val="000C00E8"/>
    <w:rsid w:val="000C012F"/>
    <w:rsid w:val="000C0553"/>
    <w:rsid w:val="000C0668"/>
    <w:rsid w:val="000C0B85"/>
    <w:rsid w:val="000C0D36"/>
    <w:rsid w:val="000C1148"/>
    <w:rsid w:val="000C116E"/>
    <w:rsid w:val="000C1260"/>
    <w:rsid w:val="000C15D3"/>
    <w:rsid w:val="000C1DC2"/>
    <w:rsid w:val="000C2035"/>
    <w:rsid w:val="000C2246"/>
    <w:rsid w:val="000C294E"/>
    <w:rsid w:val="000C32E6"/>
    <w:rsid w:val="000C33D4"/>
    <w:rsid w:val="000C3C52"/>
    <w:rsid w:val="000C411B"/>
    <w:rsid w:val="000C4935"/>
    <w:rsid w:val="000C4A7C"/>
    <w:rsid w:val="000C50B7"/>
    <w:rsid w:val="000C5115"/>
    <w:rsid w:val="000C52AF"/>
    <w:rsid w:val="000C53DA"/>
    <w:rsid w:val="000C593D"/>
    <w:rsid w:val="000C5B11"/>
    <w:rsid w:val="000C5BC6"/>
    <w:rsid w:val="000C5EBF"/>
    <w:rsid w:val="000C6343"/>
    <w:rsid w:val="000C679B"/>
    <w:rsid w:val="000C7465"/>
    <w:rsid w:val="000C7553"/>
    <w:rsid w:val="000C76CF"/>
    <w:rsid w:val="000C7CAA"/>
    <w:rsid w:val="000C7D90"/>
    <w:rsid w:val="000C7F9F"/>
    <w:rsid w:val="000D0331"/>
    <w:rsid w:val="000D0468"/>
    <w:rsid w:val="000D05EE"/>
    <w:rsid w:val="000D069F"/>
    <w:rsid w:val="000D0CE6"/>
    <w:rsid w:val="000D0E15"/>
    <w:rsid w:val="000D16C7"/>
    <w:rsid w:val="000D1889"/>
    <w:rsid w:val="000D1AFE"/>
    <w:rsid w:val="000D1E3C"/>
    <w:rsid w:val="000D2556"/>
    <w:rsid w:val="000D322B"/>
    <w:rsid w:val="000D35AB"/>
    <w:rsid w:val="000D397E"/>
    <w:rsid w:val="000D3BF3"/>
    <w:rsid w:val="000D41A0"/>
    <w:rsid w:val="000D44D6"/>
    <w:rsid w:val="000D47F0"/>
    <w:rsid w:val="000D49E7"/>
    <w:rsid w:val="000D4A98"/>
    <w:rsid w:val="000D4B8E"/>
    <w:rsid w:val="000D4C24"/>
    <w:rsid w:val="000D4CB9"/>
    <w:rsid w:val="000D4D74"/>
    <w:rsid w:val="000D4DBD"/>
    <w:rsid w:val="000D52F7"/>
    <w:rsid w:val="000D5483"/>
    <w:rsid w:val="000D5490"/>
    <w:rsid w:val="000D5760"/>
    <w:rsid w:val="000D5AFE"/>
    <w:rsid w:val="000D5B3E"/>
    <w:rsid w:val="000D5D57"/>
    <w:rsid w:val="000D6103"/>
    <w:rsid w:val="000D6129"/>
    <w:rsid w:val="000D6234"/>
    <w:rsid w:val="000D655D"/>
    <w:rsid w:val="000D6712"/>
    <w:rsid w:val="000D6933"/>
    <w:rsid w:val="000D6B97"/>
    <w:rsid w:val="000D6C08"/>
    <w:rsid w:val="000D6E2B"/>
    <w:rsid w:val="000D6E4C"/>
    <w:rsid w:val="000D6E57"/>
    <w:rsid w:val="000D74BC"/>
    <w:rsid w:val="000D7549"/>
    <w:rsid w:val="000D75E4"/>
    <w:rsid w:val="000D7B0A"/>
    <w:rsid w:val="000E05DB"/>
    <w:rsid w:val="000E05F2"/>
    <w:rsid w:val="000E077F"/>
    <w:rsid w:val="000E0A4F"/>
    <w:rsid w:val="000E1491"/>
    <w:rsid w:val="000E14B5"/>
    <w:rsid w:val="000E198C"/>
    <w:rsid w:val="000E19A2"/>
    <w:rsid w:val="000E1B57"/>
    <w:rsid w:val="000E1BA9"/>
    <w:rsid w:val="000E227F"/>
    <w:rsid w:val="000E237D"/>
    <w:rsid w:val="000E2523"/>
    <w:rsid w:val="000E285F"/>
    <w:rsid w:val="000E312C"/>
    <w:rsid w:val="000E3242"/>
    <w:rsid w:val="000E3B78"/>
    <w:rsid w:val="000E3F0A"/>
    <w:rsid w:val="000E4113"/>
    <w:rsid w:val="000E4D44"/>
    <w:rsid w:val="000E4FAD"/>
    <w:rsid w:val="000E543E"/>
    <w:rsid w:val="000E5629"/>
    <w:rsid w:val="000E5B13"/>
    <w:rsid w:val="000E5B90"/>
    <w:rsid w:val="000E6328"/>
    <w:rsid w:val="000E658B"/>
    <w:rsid w:val="000E665E"/>
    <w:rsid w:val="000E6907"/>
    <w:rsid w:val="000E6A9B"/>
    <w:rsid w:val="000E6E07"/>
    <w:rsid w:val="000E714E"/>
    <w:rsid w:val="000E7288"/>
    <w:rsid w:val="000E72E9"/>
    <w:rsid w:val="000E7780"/>
    <w:rsid w:val="000E7A5B"/>
    <w:rsid w:val="000F0140"/>
    <w:rsid w:val="000F01D1"/>
    <w:rsid w:val="000F07CA"/>
    <w:rsid w:val="000F091A"/>
    <w:rsid w:val="000F0E52"/>
    <w:rsid w:val="000F12D8"/>
    <w:rsid w:val="000F14F9"/>
    <w:rsid w:val="000F153B"/>
    <w:rsid w:val="000F1724"/>
    <w:rsid w:val="000F1EE6"/>
    <w:rsid w:val="000F1FB3"/>
    <w:rsid w:val="000F256B"/>
    <w:rsid w:val="000F299C"/>
    <w:rsid w:val="000F29FE"/>
    <w:rsid w:val="000F2ECD"/>
    <w:rsid w:val="000F3043"/>
    <w:rsid w:val="000F30A6"/>
    <w:rsid w:val="000F329F"/>
    <w:rsid w:val="000F3684"/>
    <w:rsid w:val="000F3A37"/>
    <w:rsid w:val="000F3E29"/>
    <w:rsid w:val="000F3FCF"/>
    <w:rsid w:val="000F4C3E"/>
    <w:rsid w:val="000F4C5C"/>
    <w:rsid w:val="000F515B"/>
    <w:rsid w:val="000F51B1"/>
    <w:rsid w:val="000F52E7"/>
    <w:rsid w:val="000F558A"/>
    <w:rsid w:val="000F56D3"/>
    <w:rsid w:val="000F598B"/>
    <w:rsid w:val="000F59DB"/>
    <w:rsid w:val="000F5A56"/>
    <w:rsid w:val="000F5C24"/>
    <w:rsid w:val="000F5D8B"/>
    <w:rsid w:val="000F5DDE"/>
    <w:rsid w:val="000F5FCE"/>
    <w:rsid w:val="000F61FB"/>
    <w:rsid w:val="000F6507"/>
    <w:rsid w:val="000F6517"/>
    <w:rsid w:val="000F67FD"/>
    <w:rsid w:val="000F6B65"/>
    <w:rsid w:val="000F7106"/>
    <w:rsid w:val="000F7286"/>
    <w:rsid w:val="000F7502"/>
    <w:rsid w:val="000F77A8"/>
    <w:rsid w:val="000F7AC2"/>
    <w:rsid w:val="00100174"/>
    <w:rsid w:val="00100310"/>
    <w:rsid w:val="001003E9"/>
    <w:rsid w:val="001009BD"/>
    <w:rsid w:val="00100BFD"/>
    <w:rsid w:val="00100E9D"/>
    <w:rsid w:val="001014AE"/>
    <w:rsid w:val="00101CD2"/>
    <w:rsid w:val="00101E21"/>
    <w:rsid w:val="00102257"/>
    <w:rsid w:val="001027CF"/>
    <w:rsid w:val="001034CC"/>
    <w:rsid w:val="0010358F"/>
    <w:rsid w:val="0010397F"/>
    <w:rsid w:val="00103B4D"/>
    <w:rsid w:val="0010436C"/>
    <w:rsid w:val="001044AE"/>
    <w:rsid w:val="00104576"/>
    <w:rsid w:val="001046FA"/>
    <w:rsid w:val="00104744"/>
    <w:rsid w:val="00104936"/>
    <w:rsid w:val="00104948"/>
    <w:rsid w:val="00104BC8"/>
    <w:rsid w:val="00104C1A"/>
    <w:rsid w:val="00104C26"/>
    <w:rsid w:val="0010514B"/>
    <w:rsid w:val="001053C5"/>
    <w:rsid w:val="0010592F"/>
    <w:rsid w:val="00105E5D"/>
    <w:rsid w:val="001060FB"/>
    <w:rsid w:val="001063AA"/>
    <w:rsid w:val="0010686A"/>
    <w:rsid w:val="0010717E"/>
    <w:rsid w:val="00107244"/>
    <w:rsid w:val="00107356"/>
    <w:rsid w:val="0010737D"/>
    <w:rsid w:val="001074B2"/>
    <w:rsid w:val="001077B6"/>
    <w:rsid w:val="00107935"/>
    <w:rsid w:val="001079C0"/>
    <w:rsid w:val="00107B28"/>
    <w:rsid w:val="00107E37"/>
    <w:rsid w:val="0011010C"/>
    <w:rsid w:val="001102A6"/>
    <w:rsid w:val="001107F1"/>
    <w:rsid w:val="00110E18"/>
    <w:rsid w:val="00111F44"/>
    <w:rsid w:val="00112611"/>
    <w:rsid w:val="001128F4"/>
    <w:rsid w:val="00112A58"/>
    <w:rsid w:val="00112C88"/>
    <w:rsid w:val="00112FBC"/>
    <w:rsid w:val="00113A07"/>
    <w:rsid w:val="00113CB1"/>
    <w:rsid w:val="00113D45"/>
    <w:rsid w:val="00113D4B"/>
    <w:rsid w:val="00114007"/>
    <w:rsid w:val="001141AF"/>
    <w:rsid w:val="001143B4"/>
    <w:rsid w:val="001147DD"/>
    <w:rsid w:val="00114B80"/>
    <w:rsid w:val="00114B8E"/>
    <w:rsid w:val="00115CF4"/>
    <w:rsid w:val="00116415"/>
    <w:rsid w:val="00116493"/>
    <w:rsid w:val="00116534"/>
    <w:rsid w:val="00116BE3"/>
    <w:rsid w:val="001172A1"/>
    <w:rsid w:val="00117485"/>
    <w:rsid w:val="00117D98"/>
    <w:rsid w:val="00120125"/>
    <w:rsid w:val="00120305"/>
    <w:rsid w:val="00120E14"/>
    <w:rsid w:val="001210B3"/>
    <w:rsid w:val="001210F3"/>
    <w:rsid w:val="0012153E"/>
    <w:rsid w:val="00121657"/>
    <w:rsid w:val="00121D04"/>
    <w:rsid w:val="00121EA9"/>
    <w:rsid w:val="0012209A"/>
    <w:rsid w:val="001222C1"/>
    <w:rsid w:val="001227E0"/>
    <w:rsid w:val="00122B73"/>
    <w:rsid w:val="00123542"/>
    <w:rsid w:val="00123B5A"/>
    <w:rsid w:val="00123D53"/>
    <w:rsid w:val="00124156"/>
    <w:rsid w:val="001241CA"/>
    <w:rsid w:val="00124687"/>
    <w:rsid w:val="001247A2"/>
    <w:rsid w:val="0012482C"/>
    <w:rsid w:val="00124972"/>
    <w:rsid w:val="00124C35"/>
    <w:rsid w:val="00124CB6"/>
    <w:rsid w:val="00124D94"/>
    <w:rsid w:val="00124E9A"/>
    <w:rsid w:val="00126376"/>
    <w:rsid w:val="00126972"/>
    <w:rsid w:val="001269D1"/>
    <w:rsid w:val="00126BBC"/>
    <w:rsid w:val="00126C71"/>
    <w:rsid w:val="00126C84"/>
    <w:rsid w:val="00126EEA"/>
    <w:rsid w:val="00127600"/>
    <w:rsid w:val="001278B4"/>
    <w:rsid w:val="00127BB9"/>
    <w:rsid w:val="00127DB7"/>
    <w:rsid w:val="00127EB7"/>
    <w:rsid w:val="001302BE"/>
    <w:rsid w:val="0013044B"/>
    <w:rsid w:val="0013075A"/>
    <w:rsid w:val="00130F99"/>
    <w:rsid w:val="0013115F"/>
    <w:rsid w:val="001311BC"/>
    <w:rsid w:val="001317EC"/>
    <w:rsid w:val="00131887"/>
    <w:rsid w:val="00131B05"/>
    <w:rsid w:val="0013211F"/>
    <w:rsid w:val="00132526"/>
    <w:rsid w:val="00132664"/>
    <w:rsid w:val="00132A88"/>
    <w:rsid w:val="00133B6D"/>
    <w:rsid w:val="0013400B"/>
    <w:rsid w:val="00134063"/>
    <w:rsid w:val="00134313"/>
    <w:rsid w:val="00134358"/>
    <w:rsid w:val="0013436E"/>
    <w:rsid w:val="001345A5"/>
    <w:rsid w:val="0013495E"/>
    <w:rsid w:val="00134C5B"/>
    <w:rsid w:val="00135291"/>
    <w:rsid w:val="00135378"/>
    <w:rsid w:val="001356C2"/>
    <w:rsid w:val="00135898"/>
    <w:rsid w:val="00135B9B"/>
    <w:rsid w:val="00135D31"/>
    <w:rsid w:val="00135EE4"/>
    <w:rsid w:val="0013676B"/>
    <w:rsid w:val="0013688C"/>
    <w:rsid w:val="001368A4"/>
    <w:rsid w:val="00136F71"/>
    <w:rsid w:val="001372B4"/>
    <w:rsid w:val="0013764F"/>
    <w:rsid w:val="001377AE"/>
    <w:rsid w:val="00137978"/>
    <w:rsid w:val="00137B41"/>
    <w:rsid w:val="00140B66"/>
    <w:rsid w:val="00140F42"/>
    <w:rsid w:val="001412CD"/>
    <w:rsid w:val="0014152B"/>
    <w:rsid w:val="001415B9"/>
    <w:rsid w:val="00141DD3"/>
    <w:rsid w:val="0014208B"/>
    <w:rsid w:val="00142314"/>
    <w:rsid w:val="001425AD"/>
    <w:rsid w:val="001425C5"/>
    <w:rsid w:val="00142903"/>
    <w:rsid w:val="00142C26"/>
    <w:rsid w:val="00142E87"/>
    <w:rsid w:val="001431AD"/>
    <w:rsid w:val="00143A5C"/>
    <w:rsid w:val="00143EA6"/>
    <w:rsid w:val="00144157"/>
    <w:rsid w:val="001442CB"/>
    <w:rsid w:val="00144B01"/>
    <w:rsid w:val="00144DE1"/>
    <w:rsid w:val="00144EAF"/>
    <w:rsid w:val="00145268"/>
    <w:rsid w:val="001452FB"/>
    <w:rsid w:val="00145FA5"/>
    <w:rsid w:val="001462E5"/>
    <w:rsid w:val="00146A99"/>
    <w:rsid w:val="00146B89"/>
    <w:rsid w:val="00146E1D"/>
    <w:rsid w:val="00147132"/>
    <w:rsid w:val="00147609"/>
    <w:rsid w:val="00147825"/>
    <w:rsid w:val="0014793E"/>
    <w:rsid w:val="00147C25"/>
    <w:rsid w:val="00147FF9"/>
    <w:rsid w:val="001506A4"/>
    <w:rsid w:val="001507DF"/>
    <w:rsid w:val="001507F3"/>
    <w:rsid w:val="00150D48"/>
    <w:rsid w:val="00150F0F"/>
    <w:rsid w:val="001513A8"/>
    <w:rsid w:val="0015144E"/>
    <w:rsid w:val="0015157F"/>
    <w:rsid w:val="00151DAD"/>
    <w:rsid w:val="00151E3F"/>
    <w:rsid w:val="00152A10"/>
    <w:rsid w:val="00152AF8"/>
    <w:rsid w:val="00152D6D"/>
    <w:rsid w:val="001531E2"/>
    <w:rsid w:val="0015327D"/>
    <w:rsid w:val="001532F8"/>
    <w:rsid w:val="001533D6"/>
    <w:rsid w:val="00154105"/>
    <w:rsid w:val="00154640"/>
    <w:rsid w:val="001547AB"/>
    <w:rsid w:val="00154F08"/>
    <w:rsid w:val="00155247"/>
    <w:rsid w:val="001553F9"/>
    <w:rsid w:val="0015575E"/>
    <w:rsid w:val="0015577D"/>
    <w:rsid w:val="00155941"/>
    <w:rsid w:val="0015615D"/>
    <w:rsid w:val="001562B5"/>
    <w:rsid w:val="00156635"/>
    <w:rsid w:val="00156698"/>
    <w:rsid w:val="0015699B"/>
    <w:rsid w:val="00156D55"/>
    <w:rsid w:val="00156EF3"/>
    <w:rsid w:val="0016006E"/>
    <w:rsid w:val="001600EC"/>
    <w:rsid w:val="00160227"/>
    <w:rsid w:val="00160425"/>
    <w:rsid w:val="001607E9"/>
    <w:rsid w:val="0016124B"/>
    <w:rsid w:val="001613AA"/>
    <w:rsid w:val="00161605"/>
    <w:rsid w:val="00161743"/>
    <w:rsid w:val="00161882"/>
    <w:rsid w:val="00161B87"/>
    <w:rsid w:val="00162186"/>
    <w:rsid w:val="00162250"/>
    <w:rsid w:val="00162251"/>
    <w:rsid w:val="00162E76"/>
    <w:rsid w:val="001630BA"/>
    <w:rsid w:val="00163404"/>
    <w:rsid w:val="00163DB4"/>
    <w:rsid w:val="00164546"/>
    <w:rsid w:val="001645BD"/>
    <w:rsid w:val="00164A43"/>
    <w:rsid w:val="00164C3C"/>
    <w:rsid w:val="00164EB1"/>
    <w:rsid w:val="00165220"/>
    <w:rsid w:val="0016540B"/>
    <w:rsid w:val="00165487"/>
    <w:rsid w:val="001654EF"/>
    <w:rsid w:val="0016557D"/>
    <w:rsid w:val="00165B07"/>
    <w:rsid w:val="00165B1E"/>
    <w:rsid w:val="00165CE6"/>
    <w:rsid w:val="001664C4"/>
    <w:rsid w:val="00167069"/>
    <w:rsid w:val="0016737D"/>
    <w:rsid w:val="001678A3"/>
    <w:rsid w:val="00167D94"/>
    <w:rsid w:val="0017016E"/>
    <w:rsid w:val="0017087A"/>
    <w:rsid w:val="00170BAB"/>
    <w:rsid w:val="00170ED0"/>
    <w:rsid w:val="001713CF"/>
    <w:rsid w:val="001713DA"/>
    <w:rsid w:val="00171A06"/>
    <w:rsid w:val="00171A3F"/>
    <w:rsid w:val="00172205"/>
    <w:rsid w:val="00172B6D"/>
    <w:rsid w:val="00172C0B"/>
    <w:rsid w:val="001732AC"/>
    <w:rsid w:val="00173606"/>
    <w:rsid w:val="00173E2C"/>
    <w:rsid w:val="001742A6"/>
    <w:rsid w:val="00174448"/>
    <w:rsid w:val="00174678"/>
    <w:rsid w:val="0017477A"/>
    <w:rsid w:val="001748FD"/>
    <w:rsid w:val="00174EE3"/>
    <w:rsid w:val="00175F24"/>
    <w:rsid w:val="0017612B"/>
    <w:rsid w:val="001763B0"/>
    <w:rsid w:val="00176405"/>
    <w:rsid w:val="0017647F"/>
    <w:rsid w:val="00176538"/>
    <w:rsid w:val="00176571"/>
    <w:rsid w:val="00176810"/>
    <w:rsid w:val="00176FAC"/>
    <w:rsid w:val="00177421"/>
    <w:rsid w:val="0017758C"/>
    <w:rsid w:val="00177E20"/>
    <w:rsid w:val="00180B7A"/>
    <w:rsid w:val="00180FD6"/>
    <w:rsid w:val="00181160"/>
    <w:rsid w:val="001813FE"/>
    <w:rsid w:val="001815F2"/>
    <w:rsid w:val="001819C4"/>
    <w:rsid w:val="00181E7C"/>
    <w:rsid w:val="00181E9B"/>
    <w:rsid w:val="001821A3"/>
    <w:rsid w:val="001825A8"/>
    <w:rsid w:val="00182801"/>
    <w:rsid w:val="0018299E"/>
    <w:rsid w:val="00182C7E"/>
    <w:rsid w:val="00182FC2"/>
    <w:rsid w:val="001831AB"/>
    <w:rsid w:val="0018397E"/>
    <w:rsid w:val="00183B23"/>
    <w:rsid w:val="00183D71"/>
    <w:rsid w:val="0018466C"/>
    <w:rsid w:val="0018468B"/>
    <w:rsid w:val="001846C7"/>
    <w:rsid w:val="00184890"/>
    <w:rsid w:val="00184DCC"/>
    <w:rsid w:val="00184EB8"/>
    <w:rsid w:val="00184EF6"/>
    <w:rsid w:val="001856D1"/>
    <w:rsid w:val="00185714"/>
    <w:rsid w:val="00186580"/>
    <w:rsid w:val="00186A43"/>
    <w:rsid w:val="00186B3F"/>
    <w:rsid w:val="00186BDA"/>
    <w:rsid w:val="00186EBE"/>
    <w:rsid w:val="00187108"/>
    <w:rsid w:val="001871BE"/>
    <w:rsid w:val="0018726E"/>
    <w:rsid w:val="001872FA"/>
    <w:rsid w:val="00187806"/>
    <w:rsid w:val="00187B9C"/>
    <w:rsid w:val="0019011C"/>
    <w:rsid w:val="0019033E"/>
    <w:rsid w:val="00190BFF"/>
    <w:rsid w:val="00190F58"/>
    <w:rsid w:val="001912CB"/>
    <w:rsid w:val="00191517"/>
    <w:rsid w:val="0019152C"/>
    <w:rsid w:val="001919C9"/>
    <w:rsid w:val="001919ED"/>
    <w:rsid w:val="00191D89"/>
    <w:rsid w:val="00191E09"/>
    <w:rsid w:val="00192163"/>
    <w:rsid w:val="0019216B"/>
    <w:rsid w:val="0019253D"/>
    <w:rsid w:val="0019313E"/>
    <w:rsid w:val="001933B0"/>
    <w:rsid w:val="001938FC"/>
    <w:rsid w:val="00193B97"/>
    <w:rsid w:val="00193CEB"/>
    <w:rsid w:val="00194036"/>
    <w:rsid w:val="001944DE"/>
    <w:rsid w:val="00194686"/>
    <w:rsid w:val="00194760"/>
    <w:rsid w:val="00194B05"/>
    <w:rsid w:val="00194E5B"/>
    <w:rsid w:val="0019520D"/>
    <w:rsid w:val="00195344"/>
    <w:rsid w:val="00195669"/>
    <w:rsid w:val="001959C3"/>
    <w:rsid w:val="00195A21"/>
    <w:rsid w:val="00195B68"/>
    <w:rsid w:val="00195E05"/>
    <w:rsid w:val="001962FD"/>
    <w:rsid w:val="00196331"/>
    <w:rsid w:val="00196803"/>
    <w:rsid w:val="00196BA7"/>
    <w:rsid w:val="00196BAB"/>
    <w:rsid w:val="00196F22"/>
    <w:rsid w:val="00197389"/>
    <w:rsid w:val="00197816"/>
    <w:rsid w:val="00197D54"/>
    <w:rsid w:val="001A0CF1"/>
    <w:rsid w:val="001A111F"/>
    <w:rsid w:val="001A125D"/>
    <w:rsid w:val="001A15E6"/>
    <w:rsid w:val="001A18E2"/>
    <w:rsid w:val="001A18E4"/>
    <w:rsid w:val="001A1CD6"/>
    <w:rsid w:val="001A24E6"/>
    <w:rsid w:val="001A25BC"/>
    <w:rsid w:val="001A25C9"/>
    <w:rsid w:val="001A2884"/>
    <w:rsid w:val="001A2B54"/>
    <w:rsid w:val="001A2F78"/>
    <w:rsid w:val="001A2FE1"/>
    <w:rsid w:val="001A30D2"/>
    <w:rsid w:val="001A33B2"/>
    <w:rsid w:val="001A3C97"/>
    <w:rsid w:val="001A40C6"/>
    <w:rsid w:val="001A426E"/>
    <w:rsid w:val="001A4270"/>
    <w:rsid w:val="001A46C8"/>
    <w:rsid w:val="001A4882"/>
    <w:rsid w:val="001A49D1"/>
    <w:rsid w:val="001A5413"/>
    <w:rsid w:val="001A542F"/>
    <w:rsid w:val="001A5545"/>
    <w:rsid w:val="001A5596"/>
    <w:rsid w:val="001A56DE"/>
    <w:rsid w:val="001A5C2F"/>
    <w:rsid w:val="001A5E16"/>
    <w:rsid w:val="001A600F"/>
    <w:rsid w:val="001A6153"/>
    <w:rsid w:val="001A6713"/>
    <w:rsid w:val="001A6730"/>
    <w:rsid w:val="001A695F"/>
    <w:rsid w:val="001A6B2D"/>
    <w:rsid w:val="001A6DE2"/>
    <w:rsid w:val="001A6F2E"/>
    <w:rsid w:val="001A71E7"/>
    <w:rsid w:val="001A7273"/>
    <w:rsid w:val="001A74E0"/>
    <w:rsid w:val="001A7809"/>
    <w:rsid w:val="001A7A33"/>
    <w:rsid w:val="001A7AF8"/>
    <w:rsid w:val="001A7CAE"/>
    <w:rsid w:val="001A7F06"/>
    <w:rsid w:val="001A7F82"/>
    <w:rsid w:val="001B0182"/>
    <w:rsid w:val="001B0856"/>
    <w:rsid w:val="001B0A55"/>
    <w:rsid w:val="001B14A6"/>
    <w:rsid w:val="001B1565"/>
    <w:rsid w:val="001B20B9"/>
    <w:rsid w:val="001B2379"/>
    <w:rsid w:val="001B24CD"/>
    <w:rsid w:val="001B24E3"/>
    <w:rsid w:val="001B27D2"/>
    <w:rsid w:val="001B29F0"/>
    <w:rsid w:val="001B2E1C"/>
    <w:rsid w:val="001B2F17"/>
    <w:rsid w:val="001B3011"/>
    <w:rsid w:val="001B310B"/>
    <w:rsid w:val="001B326D"/>
    <w:rsid w:val="001B32C5"/>
    <w:rsid w:val="001B32D4"/>
    <w:rsid w:val="001B38AF"/>
    <w:rsid w:val="001B3B64"/>
    <w:rsid w:val="001B3D13"/>
    <w:rsid w:val="001B3F6B"/>
    <w:rsid w:val="001B40C0"/>
    <w:rsid w:val="001B443A"/>
    <w:rsid w:val="001B4698"/>
    <w:rsid w:val="001B47A2"/>
    <w:rsid w:val="001B4A74"/>
    <w:rsid w:val="001B4B7D"/>
    <w:rsid w:val="001B4ED6"/>
    <w:rsid w:val="001B541C"/>
    <w:rsid w:val="001B58E8"/>
    <w:rsid w:val="001B5C04"/>
    <w:rsid w:val="001B5E83"/>
    <w:rsid w:val="001B62CF"/>
    <w:rsid w:val="001B6395"/>
    <w:rsid w:val="001B64E7"/>
    <w:rsid w:val="001B6771"/>
    <w:rsid w:val="001B6904"/>
    <w:rsid w:val="001B693C"/>
    <w:rsid w:val="001B6D96"/>
    <w:rsid w:val="001B6F14"/>
    <w:rsid w:val="001B72BD"/>
    <w:rsid w:val="001B77FC"/>
    <w:rsid w:val="001B79B7"/>
    <w:rsid w:val="001B7CF1"/>
    <w:rsid w:val="001B7EAF"/>
    <w:rsid w:val="001C00C8"/>
    <w:rsid w:val="001C03F4"/>
    <w:rsid w:val="001C058B"/>
    <w:rsid w:val="001C0CF1"/>
    <w:rsid w:val="001C0FBA"/>
    <w:rsid w:val="001C104C"/>
    <w:rsid w:val="001C1344"/>
    <w:rsid w:val="001C15DD"/>
    <w:rsid w:val="001C1C06"/>
    <w:rsid w:val="001C1C41"/>
    <w:rsid w:val="001C1CCD"/>
    <w:rsid w:val="001C1CE1"/>
    <w:rsid w:val="001C24C4"/>
    <w:rsid w:val="001C24D8"/>
    <w:rsid w:val="001C25CF"/>
    <w:rsid w:val="001C2920"/>
    <w:rsid w:val="001C2A4F"/>
    <w:rsid w:val="001C32CE"/>
    <w:rsid w:val="001C3591"/>
    <w:rsid w:val="001C367E"/>
    <w:rsid w:val="001C3DBE"/>
    <w:rsid w:val="001C43E3"/>
    <w:rsid w:val="001C466D"/>
    <w:rsid w:val="001C46E4"/>
    <w:rsid w:val="001C4C67"/>
    <w:rsid w:val="001C4E3D"/>
    <w:rsid w:val="001C4EF8"/>
    <w:rsid w:val="001C4F96"/>
    <w:rsid w:val="001C5188"/>
    <w:rsid w:val="001C51A2"/>
    <w:rsid w:val="001C51D2"/>
    <w:rsid w:val="001C51FD"/>
    <w:rsid w:val="001C55BC"/>
    <w:rsid w:val="001C5833"/>
    <w:rsid w:val="001C5C41"/>
    <w:rsid w:val="001C5E6A"/>
    <w:rsid w:val="001C6138"/>
    <w:rsid w:val="001C64C3"/>
    <w:rsid w:val="001C6773"/>
    <w:rsid w:val="001C67E9"/>
    <w:rsid w:val="001C7009"/>
    <w:rsid w:val="001C7076"/>
    <w:rsid w:val="001C743E"/>
    <w:rsid w:val="001C799C"/>
    <w:rsid w:val="001C7CC7"/>
    <w:rsid w:val="001D0B65"/>
    <w:rsid w:val="001D0C8F"/>
    <w:rsid w:val="001D111E"/>
    <w:rsid w:val="001D11E4"/>
    <w:rsid w:val="001D1212"/>
    <w:rsid w:val="001D12EC"/>
    <w:rsid w:val="001D147A"/>
    <w:rsid w:val="001D1612"/>
    <w:rsid w:val="001D1A33"/>
    <w:rsid w:val="001D1AD3"/>
    <w:rsid w:val="001D1AE1"/>
    <w:rsid w:val="001D1E68"/>
    <w:rsid w:val="001D20B0"/>
    <w:rsid w:val="001D2533"/>
    <w:rsid w:val="001D289A"/>
    <w:rsid w:val="001D2A3A"/>
    <w:rsid w:val="001D31F5"/>
    <w:rsid w:val="001D33ED"/>
    <w:rsid w:val="001D3587"/>
    <w:rsid w:val="001D3A31"/>
    <w:rsid w:val="001D3E9B"/>
    <w:rsid w:val="001D4311"/>
    <w:rsid w:val="001D4373"/>
    <w:rsid w:val="001D4934"/>
    <w:rsid w:val="001D4A0C"/>
    <w:rsid w:val="001D4A79"/>
    <w:rsid w:val="001D4AC1"/>
    <w:rsid w:val="001D51DB"/>
    <w:rsid w:val="001D5935"/>
    <w:rsid w:val="001D5BC5"/>
    <w:rsid w:val="001D6645"/>
    <w:rsid w:val="001D66F9"/>
    <w:rsid w:val="001D6848"/>
    <w:rsid w:val="001D6A7C"/>
    <w:rsid w:val="001D7295"/>
    <w:rsid w:val="001D787E"/>
    <w:rsid w:val="001D792D"/>
    <w:rsid w:val="001D7B6D"/>
    <w:rsid w:val="001E0292"/>
    <w:rsid w:val="001E02B3"/>
    <w:rsid w:val="001E0549"/>
    <w:rsid w:val="001E0609"/>
    <w:rsid w:val="001E073F"/>
    <w:rsid w:val="001E078E"/>
    <w:rsid w:val="001E07D5"/>
    <w:rsid w:val="001E0CFD"/>
    <w:rsid w:val="001E12C1"/>
    <w:rsid w:val="001E1349"/>
    <w:rsid w:val="001E197F"/>
    <w:rsid w:val="001E1A78"/>
    <w:rsid w:val="001E2316"/>
    <w:rsid w:val="001E23F9"/>
    <w:rsid w:val="001E2A87"/>
    <w:rsid w:val="001E2DB6"/>
    <w:rsid w:val="001E2E28"/>
    <w:rsid w:val="001E2FC9"/>
    <w:rsid w:val="001E329C"/>
    <w:rsid w:val="001E3571"/>
    <w:rsid w:val="001E3612"/>
    <w:rsid w:val="001E3946"/>
    <w:rsid w:val="001E3BCC"/>
    <w:rsid w:val="001E3F65"/>
    <w:rsid w:val="001E4208"/>
    <w:rsid w:val="001E49A7"/>
    <w:rsid w:val="001E4C82"/>
    <w:rsid w:val="001E4F10"/>
    <w:rsid w:val="001E55E2"/>
    <w:rsid w:val="001E56F3"/>
    <w:rsid w:val="001E5A56"/>
    <w:rsid w:val="001E5AF0"/>
    <w:rsid w:val="001E6404"/>
    <w:rsid w:val="001E66B5"/>
    <w:rsid w:val="001E697D"/>
    <w:rsid w:val="001E743A"/>
    <w:rsid w:val="001E780B"/>
    <w:rsid w:val="001E789E"/>
    <w:rsid w:val="001E7B17"/>
    <w:rsid w:val="001E7C2D"/>
    <w:rsid w:val="001E7F28"/>
    <w:rsid w:val="001F0635"/>
    <w:rsid w:val="001F077C"/>
    <w:rsid w:val="001F0FEC"/>
    <w:rsid w:val="001F15B5"/>
    <w:rsid w:val="001F1B8F"/>
    <w:rsid w:val="001F1BD7"/>
    <w:rsid w:val="001F1CC2"/>
    <w:rsid w:val="001F2084"/>
    <w:rsid w:val="001F24A3"/>
    <w:rsid w:val="001F2B36"/>
    <w:rsid w:val="001F2B54"/>
    <w:rsid w:val="001F2CA2"/>
    <w:rsid w:val="001F2D57"/>
    <w:rsid w:val="001F41AF"/>
    <w:rsid w:val="001F4209"/>
    <w:rsid w:val="001F45B3"/>
    <w:rsid w:val="001F46B3"/>
    <w:rsid w:val="001F5142"/>
    <w:rsid w:val="001F5184"/>
    <w:rsid w:val="001F56C9"/>
    <w:rsid w:val="001F57C0"/>
    <w:rsid w:val="001F5A7E"/>
    <w:rsid w:val="001F5D59"/>
    <w:rsid w:val="001F5DF7"/>
    <w:rsid w:val="001F60C6"/>
    <w:rsid w:val="001F69C5"/>
    <w:rsid w:val="001F6CBB"/>
    <w:rsid w:val="001F700F"/>
    <w:rsid w:val="001F70A3"/>
    <w:rsid w:val="001F72BA"/>
    <w:rsid w:val="002001A3"/>
    <w:rsid w:val="00200563"/>
    <w:rsid w:val="00200627"/>
    <w:rsid w:val="002007E2"/>
    <w:rsid w:val="002009D9"/>
    <w:rsid w:val="00200D9C"/>
    <w:rsid w:val="00200F9B"/>
    <w:rsid w:val="002010BC"/>
    <w:rsid w:val="00201184"/>
    <w:rsid w:val="002011E2"/>
    <w:rsid w:val="00201515"/>
    <w:rsid w:val="002015B7"/>
    <w:rsid w:val="002019B7"/>
    <w:rsid w:val="00201B00"/>
    <w:rsid w:val="00201CAC"/>
    <w:rsid w:val="00201F7B"/>
    <w:rsid w:val="00202124"/>
    <w:rsid w:val="0020293D"/>
    <w:rsid w:val="002029EE"/>
    <w:rsid w:val="00202A78"/>
    <w:rsid w:val="00202B62"/>
    <w:rsid w:val="00202F9F"/>
    <w:rsid w:val="00203358"/>
    <w:rsid w:val="002038B1"/>
    <w:rsid w:val="00203B6A"/>
    <w:rsid w:val="00203D5B"/>
    <w:rsid w:val="002040CB"/>
    <w:rsid w:val="0020411E"/>
    <w:rsid w:val="0020498F"/>
    <w:rsid w:val="00204A01"/>
    <w:rsid w:val="00204EC8"/>
    <w:rsid w:val="0020507F"/>
    <w:rsid w:val="00205154"/>
    <w:rsid w:val="002052AA"/>
    <w:rsid w:val="00205591"/>
    <w:rsid w:val="00205F4A"/>
    <w:rsid w:val="00205FC2"/>
    <w:rsid w:val="002060AA"/>
    <w:rsid w:val="00206300"/>
    <w:rsid w:val="0020663B"/>
    <w:rsid w:val="00206970"/>
    <w:rsid w:val="00206BAA"/>
    <w:rsid w:val="00207103"/>
    <w:rsid w:val="00207377"/>
    <w:rsid w:val="002075C5"/>
    <w:rsid w:val="00207A0D"/>
    <w:rsid w:val="002103F1"/>
    <w:rsid w:val="00210BC7"/>
    <w:rsid w:val="00210DD4"/>
    <w:rsid w:val="00210EC8"/>
    <w:rsid w:val="00210F38"/>
    <w:rsid w:val="00211033"/>
    <w:rsid w:val="00211242"/>
    <w:rsid w:val="00211774"/>
    <w:rsid w:val="00211DAB"/>
    <w:rsid w:val="00212086"/>
    <w:rsid w:val="002120F6"/>
    <w:rsid w:val="00212443"/>
    <w:rsid w:val="0021281A"/>
    <w:rsid w:val="00213411"/>
    <w:rsid w:val="0021380B"/>
    <w:rsid w:val="00213895"/>
    <w:rsid w:val="00213B19"/>
    <w:rsid w:val="00213B72"/>
    <w:rsid w:val="00213B9C"/>
    <w:rsid w:val="00214274"/>
    <w:rsid w:val="002142E2"/>
    <w:rsid w:val="00214300"/>
    <w:rsid w:val="00214700"/>
    <w:rsid w:val="00214BBD"/>
    <w:rsid w:val="00214CCC"/>
    <w:rsid w:val="002151CA"/>
    <w:rsid w:val="00215296"/>
    <w:rsid w:val="0021549D"/>
    <w:rsid w:val="00215646"/>
    <w:rsid w:val="0021567B"/>
    <w:rsid w:val="00215A12"/>
    <w:rsid w:val="00215C48"/>
    <w:rsid w:val="00215CE4"/>
    <w:rsid w:val="00215FB5"/>
    <w:rsid w:val="00216303"/>
    <w:rsid w:val="00216793"/>
    <w:rsid w:val="00217473"/>
    <w:rsid w:val="002174DB"/>
    <w:rsid w:val="002176FC"/>
    <w:rsid w:val="00217E0B"/>
    <w:rsid w:val="00220164"/>
    <w:rsid w:val="00220B5C"/>
    <w:rsid w:val="00220C5F"/>
    <w:rsid w:val="0022113E"/>
    <w:rsid w:val="0022124B"/>
    <w:rsid w:val="002212A6"/>
    <w:rsid w:val="00221696"/>
    <w:rsid w:val="00221945"/>
    <w:rsid w:val="00221C8A"/>
    <w:rsid w:val="00221CD7"/>
    <w:rsid w:val="00221D99"/>
    <w:rsid w:val="00221EC4"/>
    <w:rsid w:val="00221F73"/>
    <w:rsid w:val="00222084"/>
    <w:rsid w:val="002224FA"/>
    <w:rsid w:val="002227EF"/>
    <w:rsid w:val="00222D8F"/>
    <w:rsid w:val="0022319F"/>
    <w:rsid w:val="00223547"/>
    <w:rsid w:val="00223548"/>
    <w:rsid w:val="002238BD"/>
    <w:rsid w:val="00223E19"/>
    <w:rsid w:val="0022430A"/>
    <w:rsid w:val="002244D9"/>
    <w:rsid w:val="00224CB1"/>
    <w:rsid w:val="00224D63"/>
    <w:rsid w:val="002257BC"/>
    <w:rsid w:val="00225F67"/>
    <w:rsid w:val="00226012"/>
    <w:rsid w:val="0022653C"/>
    <w:rsid w:val="002265B7"/>
    <w:rsid w:val="00226707"/>
    <w:rsid w:val="00226789"/>
    <w:rsid w:val="00226918"/>
    <w:rsid w:val="00226927"/>
    <w:rsid w:val="00226B22"/>
    <w:rsid w:val="00226B45"/>
    <w:rsid w:val="00226CA3"/>
    <w:rsid w:val="00227003"/>
    <w:rsid w:val="002277F0"/>
    <w:rsid w:val="0022783A"/>
    <w:rsid w:val="002278C1"/>
    <w:rsid w:val="00227B2A"/>
    <w:rsid w:val="002302F5"/>
    <w:rsid w:val="00230405"/>
    <w:rsid w:val="002305B5"/>
    <w:rsid w:val="00230A43"/>
    <w:rsid w:val="00230AD6"/>
    <w:rsid w:val="00230FE5"/>
    <w:rsid w:val="0023117D"/>
    <w:rsid w:val="00231186"/>
    <w:rsid w:val="002311BF"/>
    <w:rsid w:val="0023157F"/>
    <w:rsid w:val="00231620"/>
    <w:rsid w:val="0023178A"/>
    <w:rsid w:val="00231EEC"/>
    <w:rsid w:val="0023215C"/>
    <w:rsid w:val="0023229F"/>
    <w:rsid w:val="00232AD0"/>
    <w:rsid w:val="00232CC9"/>
    <w:rsid w:val="00232F42"/>
    <w:rsid w:val="0023329F"/>
    <w:rsid w:val="00233486"/>
    <w:rsid w:val="0023378C"/>
    <w:rsid w:val="002337F8"/>
    <w:rsid w:val="0023426F"/>
    <w:rsid w:val="0023451A"/>
    <w:rsid w:val="00234C22"/>
    <w:rsid w:val="0023535B"/>
    <w:rsid w:val="00235529"/>
    <w:rsid w:val="0023552C"/>
    <w:rsid w:val="002356E0"/>
    <w:rsid w:val="002358F3"/>
    <w:rsid w:val="00235A7B"/>
    <w:rsid w:val="00235C96"/>
    <w:rsid w:val="00235CC0"/>
    <w:rsid w:val="00235CC3"/>
    <w:rsid w:val="00235D08"/>
    <w:rsid w:val="002364CD"/>
    <w:rsid w:val="0023650F"/>
    <w:rsid w:val="00236637"/>
    <w:rsid w:val="002367EB"/>
    <w:rsid w:val="00236870"/>
    <w:rsid w:val="00236B6B"/>
    <w:rsid w:val="00236C7D"/>
    <w:rsid w:val="00236C93"/>
    <w:rsid w:val="00237325"/>
    <w:rsid w:val="00237ABD"/>
    <w:rsid w:val="00237B77"/>
    <w:rsid w:val="00240281"/>
    <w:rsid w:val="0024074D"/>
    <w:rsid w:val="0024088D"/>
    <w:rsid w:val="00241144"/>
    <w:rsid w:val="00241D01"/>
    <w:rsid w:val="00241DDF"/>
    <w:rsid w:val="00241EE9"/>
    <w:rsid w:val="00241EEA"/>
    <w:rsid w:val="002420E1"/>
    <w:rsid w:val="002423A4"/>
    <w:rsid w:val="002426F1"/>
    <w:rsid w:val="0024275E"/>
    <w:rsid w:val="00242A4C"/>
    <w:rsid w:val="00242DF3"/>
    <w:rsid w:val="002434DC"/>
    <w:rsid w:val="00243884"/>
    <w:rsid w:val="00243A2F"/>
    <w:rsid w:val="00243A67"/>
    <w:rsid w:val="00243D2E"/>
    <w:rsid w:val="00243EAA"/>
    <w:rsid w:val="00243FE0"/>
    <w:rsid w:val="002441D8"/>
    <w:rsid w:val="00244297"/>
    <w:rsid w:val="00244646"/>
    <w:rsid w:val="002446BC"/>
    <w:rsid w:val="0024486B"/>
    <w:rsid w:val="00244E97"/>
    <w:rsid w:val="002451F9"/>
    <w:rsid w:val="0024532D"/>
    <w:rsid w:val="00245650"/>
    <w:rsid w:val="00245FD6"/>
    <w:rsid w:val="0024646B"/>
    <w:rsid w:val="002465C1"/>
    <w:rsid w:val="0024710A"/>
    <w:rsid w:val="00247215"/>
    <w:rsid w:val="0024736D"/>
    <w:rsid w:val="002479ED"/>
    <w:rsid w:val="00247DA6"/>
    <w:rsid w:val="00247FA5"/>
    <w:rsid w:val="0025000F"/>
    <w:rsid w:val="00250039"/>
    <w:rsid w:val="00250231"/>
    <w:rsid w:val="0025058A"/>
    <w:rsid w:val="00250848"/>
    <w:rsid w:val="0025086B"/>
    <w:rsid w:val="002508CC"/>
    <w:rsid w:val="00250A20"/>
    <w:rsid w:val="00250F97"/>
    <w:rsid w:val="0025104D"/>
    <w:rsid w:val="00251530"/>
    <w:rsid w:val="002518AF"/>
    <w:rsid w:val="00251901"/>
    <w:rsid w:val="00251A53"/>
    <w:rsid w:val="00251A7B"/>
    <w:rsid w:val="0025272F"/>
    <w:rsid w:val="00252B96"/>
    <w:rsid w:val="00252D0E"/>
    <w:rsid w:val="00252D35"/>
    <w:rsid w:val="00252D82"/>
    <w:rsid w:val="00252FAB"/>
    <w:rsid w:val="00253132"/>
    <w:rsid w:val="00253478"/>
    <w:rsid w:val="00253681"/>
    <w:rsid w:val="00253C20"/>
    <w:rsid w:val="00253C94"/>
    <w:rsid w:val="00253FCA"/>
    <w:rsid w:val="002540BA"/>
    <w:rsid w:val="002541A1"/>
    <w:rsid w:val="00254374"/>
    <w:rsid w:val="0025466C"/>
    <w:rsid w:val="002548F3"/>
    <w:rsid w:val="00254E0C"/>
    <w:rsid w:val="002552BB"/>
    <w:rsid w:val="002558AE"/>
    <w:rsid w:val="00255FCF"/>
    <w:rsid w:val="00256005"/>
    <w:rsid w:val="00256048"/>
    <w:rsid w:val="00256169"/>
    <w:rsid w:val="002572AD"/>
    <w:rsid w:val="00257B5F"/>
    <w:rsid w:val="00257B83"/>
    <w:rsid w:val="0026041E"/>
    <w:rsid w:val="00260E8D"/>
    <w:rsid w:val="002610EE"/>
    <w:rsid w:val="0026112B"/>
    <w:rsid w:val="002617E0"/>
    <w:rsid w:val="00261AD6"/>
    <w:rsid w:val="00261B24"/>
    <w:rsid w:val="00261BB2"/>
    <w:rsid w:val="00261DD7"/>
    <w:rsid w:val="0026223A"/>
    <w:rsid w:val="00262ADB"/>
    <w:rsid w:val="00262BED"/>
    <w:rsid w:val="00262C9D"/>
    <w:rsid w:val="00262D67"/>
    <w:rsid w:val="0026310C"/>
    <w:rsid w:val="00263A9C"/>
    <w:rsid w:val="00263BB3"/>
    <w:rsid w:val="00264048"/>
    <w:rsid w:val="00264158"/>
    <w:rsid w:val="00264163"/>
    <w:rsid w:val="002644D9"/>
    <w:rsid w:val="00264678"/>
    <w:rsid w:val="00264B64"/>
    <w:rsid w:val="00264CEC"/>
    <w:rsid w:val="00264FD4"/>
    <w:rsid w:val="00265213"/>
    <w:rsid w:val="002667EF"/>
    <w:rsid w:val="00266CE4"/>
    <w:rsid w:val="00266E24"/>
    <w:rsid w:val="00267160"/>
    <w:rsid w:val="00267201"/>
    <w:rsid w:val="002672AF"/>
    <w:rsid w:val="00267991"/>
    <w:rsid w:val="00267D60"/>
    <w:rsid w:val="00267EE9"/>
    <w:rsid w:val="002701C6"/>
    <w:rsid w:val="0027039E"/>
    <w:rsid w:val="00270C30"/>
    <w:rsid w:val="00270E39"/>
    <w:rsid w:val="0027119F"/>
    <w:rsid w:val="002711C3"/>
    <w:rsid w:val="002715D8"/>
    <w:rsid w:val="0027192E"/>
    <w:rsid w:val="00271C65"/>
    <w:rsid w:val="00271D41"/>
    <w:rsid w:val="00271F67"/>
    <w:rsid w:val="00272328"/>
    <w:rsid w:val="0027320A"/>
    <w:rsid w:val="0027345C"/>
    <w:rsid w:val="002738E9"/>
    <w:rsid w:val="00273ACB"/>
    <w:rsid w:val="00273ACE"/>
    <w:rsid w:val="00273E0A"/>
    <w:rsid w:val="00274233"/>
    <w:rsid w:val="0027423B"/>
    <w:rsid w:val="002746C4"/>
    <w:rsid w:val="002748A0"/>
    <w:rsid w:val="002749EF"/>
    <w:rsid w:val="00274BAF"/>
    <w:rsid w:val="00274EA1"/>
    <w:rsid w:val="0027537A"/>
    <w:rsid w:val="00275435"/>
    <w:rsid w:val="0027586F"/>
    <w:rsid w:val="0027598C"/>
    <w:rsid w:val="00275E76"/>
    <w:rsid w:val="002760BD"/>
    <w:rsid w:val="00276525"/>
    <w:rsid w:val="002766DF"/>
    <w:rsid w:val="00276787"/>
    <w:rsid w:val="00276D2D"/>
    <w:rsid w:val="00277407"/>
    <w:rsid w:val="00277835"/>
    <w:rsid w:val="002778BA"/>
    <w:rsid w:val="00277C0F"/>
    <w:rsid w:val="00277D73"/>
    <w:rsid w:val="00277F21"/>
    <w:rsid w:val="002800E5"/>
    <w:rsid w:val="002804A9"/>
    <w:rsid w:val="002807B9"/>
    <w:rsid w:val="002807D8"/>
    <w:rsid w:val="0028107C"/>
    <w:rsid w:val="00281593"/>
    <w:rsid w:val="002815F2"/>
    <w:rsid w:val="00281797"/>
    <w:rsid w:val="00281800"/>
    <w:rsid w:val="00281AB6"/>
    <w:rsid w:val="00281C3B"/>
    <w:rsid w:val="00281C8C"/>
    <w:rsid w:val="00281D97"/>
    <w:rsid w:val="00282301"/>
    <w:rsid w:val="00282352"/>
    <w:rsid w:val="00282406"/>
    <w:rsid w:val="00282464"/>
    <w:rsid w:val="002825EF"/>
    <w:rsid w:val="00282655"/>
    <w:rsid w:val="0028281D"/>
    <w:rsid w:val="00282877"/>
    <w:rsid w:val="00282EE7"/>
    <w:rsid w:val="00282F06"/>
    <w:rsid w:val="00283626"/>
    <w:rsid w:val="00284426"/>
    <w:rsid w:val="002844E4"/>
    <w:rsid w:val="00284907"/>
    <w:rsid w:val="00284917"/>
    <w:rsid w:val="00284973"/>
    <w:rsid w:val="00284A8D"/>
    <w:rsid w:val="00284BA3"/>
    <w:rsid w:val="00284E0C"/>
    <w:rsid w:val="00284E87"/>
    <w:rsid w:val="0028511E"/>
    <w:rsid w:val="00285394"/>
    <w:rsid w:val="002859A8"/>
    <w:rsid w:val="002861E3"/>
    <w:rsid w:val="002864FF"/>
    <w:rsid w:val="0028653E"/>
    <w:rsid w:val="00286579"/>
    <w:rsid w:val="00286CDE"/>
    <w:rsid w:val="00286CEF"/>
    <w:rsid w:val="00286DFD"/>
    <w:rsid w:val="002874DA"/>
    <w:rsid w:val="002878E6"/>
    <w:rsid w:val="00287E29"/>
    <w:rsid w:val="00290179"/>
    <w:rsid w:val="0029033A"/>
    <w:rsid w:val="0029187B"/>
    <w:rsid w:val="00291BAD"/>
    <w:rsid w:val="00291E4A"/>
    <w:rsid w:val="00291F02"/>
    <w:rsid w:val="00292330"/>
    <w:rsid w:val="00292481"/>
    <w:rsid w:val="00292605"/>
    <w:rsid w:val="00292A59"/>
    <w:rsid w:val="0029320E"/>
    <w:rsid w:val="002935E1"/>
    <w:rsid w:val="00293AC1"/>
    <w:rsid w:val="00294065"/>
    <w:rsid w:val="00294182"/>
    <w:rsid w:val="0029448A"/>
    <w:rsid w:val="002944FF"/>
    <w:rsid w:val="0029453D"/>
    <w:rsid w:val="00294657"/>
    <w:rsid w:val="00294B26"/>
    <w:rsid w:val="00295156"/>
    <w:rsid w:val="00295219"/>
    <w:rsid w:val="0029594B"/>
    <w:rsid w:val="002959C0"/>
    <w:rsid w:val="00295D43"/>
    <w:rsid w:val="00296019"/>
    <w:rsid w:val="002965A2"/>
    <w:rsid w:val="00296D86"/>
    <w:rsid w:val="002971D5"/>
    <w:rsid w:val="0029777B"/>
    <w:rsid w:val="00297904"/>
    <w:rsid w:val="00297BF0"/>
    <w:rsid w:val="00297D9F"/>
    <w:rsid w:val="002A0120"/>
    <w:rsid w:val="002A02CB"/>
    <w:rsid w:val="002A04FC"/>
    <w:rsid w:val="002A0501"/>
    <w:rsid w:val="002A0693"/>
    <w:rsid w:val="002A08A8"/>
    <w:rsid w:val="002A092C"/>
    <w:rsid w:val="002A0A2B"/>
    <w:rsid w:val="002A0A88"/>
    <w:rsid w:val="002A0CF0"/>
    <w:rsid w:val="002A1437"/>
    <w:rsid w:val="002A16E7"/>
    <w:rsid w:val="002A174F"/>
    <w:rsid w:val="002A1A88"/>
    <w:rsid w:val="002A1CDB"/>
    <w:rsid w:val="002A1EC0"/>
    <w:rsid w:val="002A25D4"/>
    <w:rsid w:val="002A265D"/>
    <w:rsid w:val="002A2EE2"/>
    <w:rsid w:val="002A2FB2"/>
    <w:rsid w:val="002A3146"/>
    <w:rsid w:val="002A31ED"/>
    <w:rsid w:val="002A32BA"/>
    <w:rsid w:val="002A3450"/>
    <w:rsid w:val="002A34BD"/>
    <w:rsid w:val="002A354E"/>
    <w:rsid w:val="002A3BD1"/>
    <w:rsid w:val="002A3FDC"/>
    <w:rsid w:val="002A4424"/>
    <w:rsid w:val="002A4829"/>
    <w:rsid w:val="002A4A7D"/>
    <w:rsid w:val="002A4E2F"/>
    <w:rsid w:val="002A4F8F"/>
    <w:rsid w:val="002A5418"/>
    <w:rsid w:val="002A5702"/>
    <w:rsid w:val="002A5DF0"/>
    <w:rsid w:val="002A5E7E"/>
    <w:rsid w:val="002A6613"/>
    <w:rsid w:val="002A661E"/>
    <w:rsid w:val="002A697D"/>
    <w:rsid w:val="002A6AB3"/>
    <w:rsid w:val="002A6BC7"/>
    <w:rsid w:val="002A739F"/>
    <w:rsid w:val="002A746D"/>
    <w:rsid w:val="002A7650"/>
    <w:rsid w:val="002A7D24"/>
    <w:rsid w:val="002A7D91"/>
    <w:rsid w:val="002B0038"/>
    <w:rsid w:val="002B0089"/>
    <w:rsid w:val="002B061F"/>
    <w:rsid w:val="002B07AB"/>
    <w:rsid w:val="002B096E"/>
    <w:rsid w:val="002B0A91"/>
    <w:rsid w:val="002B0CF0"/>
    <w:rsid w:val="002B1226"/>
    <w:rsid w:val="002B1393"/>
    <w:rsid w:val="002B2084"/>
    <w:rsid w:val="002B2670"/>
    <w:rsid w:val="002B271C"/>
    <w:rsid w:val="002B287A"/>
    <w:rsid w:val="002B2AC0"/>
    <w:rsid w:val="002B2D87"/>
    <w:rsid w:val="002B30D3"/>
    <w:rsid w:val="002B3389"/>
    <w:rsid w:val="002B34E5"/>
    <w:rsid w:val="002B3C4D"/>
    <w:rsid w:val="002B3DCB"/>
    <w:rsid w:val="002B3EEE"/>
    <w:rsid w:val="002B4176"/>
    <w:rsid w:val="002B42E9"/>
    <w:rsid w:val="002B4910"/>
    <w:rsid w:val="002B4C2A"/>
    <w:rsid w:val="002B4CD8"/>
    <w:rsid w:val="002B5313"/>
    <w:rsid w:val="002B53D5"/>
    <w:rsid w:val="002B5870"/>
    <w:rsid w:val="002B58D7"/>
    <w:rsid w:val="002B58F9"/>
    <w:rsid w:val="002B6586"/>
    <w:rsid w:val="002B673A"/>
    <w:rsid w:val="002B6CF7"/>
    <w:rsid w:val="002B6D09"/>
    <w:rsid w:val="002B6D50"/>
    <w:rsid w:val="002B7106"/>
    <w:rsid w:val="002B7877"/>
    <w:rsid w:val="002B79B9"/>
    <w:rsid w:val="002C035E"/>
    <w:rsid w:val="002C05DC"/>
    <w:rsid w:val="002C0B4D"/>
    <w:rsid w:val="002C0B9C"/>
    <w:rsid w:val="002C0BDF"/>
    <w:rsid w:val="002C0C37"/>
    <w:rsid w:val="002C0E1F"/>
    <w:rsid w:val="002C0E68"/>
    <w:rsid w:val="002C0ED0"/>
    <w:rsid w:val="002C1080"/>
    <w:rsid w:val="002C11D2"/>
    <w:rsid w:val="002C1688"/>
    <w:rsid w:val="002C178C"/>
    <w:rsid w:val="002C197B"/>
    <w:rsid w:val="002C19D7"/>
    <w:rsid w:val="002C1A0A"/>
    <w:rsid w:val="002C1D15"/>
    <w:rsid w:val="002C1D5A"/>
    <w:rsid w:val="002C1DFE"/>
    <w:rsid w:val="002C1E6B"/>
    <w:rsid w:val="002C1EE4"/>
    <w:rsid w:val="002C23D2"/>
    <w:rsid w:val="002C2414"/>
    <w:rsid w:val="002C275F"/>
    <w:rsid w:val="002C297C"/>
    <w:rsid w:val="002C29E5"/>
    <w:rsid w:val="002C2D41"/>
    <w:rsid w:val="002C2E42"/>
    <w:rsid w:val="002C2ECE"/>
    <w:rsid w:val="002C378A"/>
    <w:rsid w:val="002C3976"/>
    <w:rsid w:val="002C3D1E"/>
    <w:rsid w:val="002C3EA4"/>
    <w:rsid w:val="002C3F54"/>
    <w:rsid w:val="002C3FC0"/>
    <w:rsid w:val="002C414E"/>
    <w:rsid w:val="002C415B"/>
    <w:rsid w:val="002C45E7"/>
    <w:rsid w:val="002C46C8"/>
    <w:rsid w:val="002C5314"/>
    <w:rsid w:val="002C542D"/>
    <w:rsid w:val="002C5527"/>
    <w:rsid w:val="002C5AEF"/>
    <w:rsid w:val="002C6209"/>
    <w:rsid w:val="002C6226"/>
    <w:rsid w:val="002C67A0"/>
    <w:rsid w:val="002C68B6"/>
    <w:rsid w:val="002C6B42"/>
    <w:rsid w:val="002C6C6F"/>
    <w:rsid w:val="002C6E6D"/>
    <w:rsid w:val="002C74B5"/>
    <w:rsid w:val="002C7620"/>
    <w:rsid w:val="002C7899"/>
    <w:rsid w:val="002C78D6"/>
    <w:rsid w:val="002C79D9"/>
    <w:rsid w:val="002C7A8F"/>
    <w:rsid w:val="002C7BBF"/>
    <w:rsid w:val="002C7CB3"/>
    <w:rsid w:val="002D010E"/>
    <w:rsid w:val="002D0B16"/>
    <w:rsid w:val="002D0C68"/>
    <w:rsid w:val="002D0E3E"/>
    <w:rsid w:val="002D1AEC"/>
    <w:rsid w:val="002D1C7B"/>
    <w:rsid w:val="002D1EF7"/>
    <w:rsid w:val="002D203A"/>
    <w:rsid w:val="002D20D8"/>
    <w:rsid w:val="002D22E2"/>
    <w:rsid w:val="002D2372"/>
    <w:rsid w:val="002D277F"/>
    <w:rsid w:val="002D29C6"/>
    <w:rsid w:val="002D2D2F"/>
    <w:rsid w:val="002D2F6E"/>
    <w:rsid w:val="002D2F9E"/>
    <w:rsid w:val="002D31E6"/>
    <w:rsid w:val="002D3284"/>
    <w:rsid w:val="002D3606"/>
    <w:rsid w:val="002D36D2"/>
    <w:rsid w:val="002D3949"/>
    <w:rsid w:val="002D39A8"/>
    <w:rsid w:val="002D3E07"/>
    <w:rsid w:val="002D3EAA"/>
    <w:rsid w:val="002D3F1D"/>
    <w:rsid w:val="002D4025"/>
    <w:rsid w:val="002D414F"/>
    <w:rsid w:val="002D438B"/>
    <w:rsid w:val="002D486F"/>
    <w:rsid w:val="002D4AA6"/>
    <w:rsid w:val="002D500B"/>
    <w:rsid w:val="002D525D"/>
    <w:rsid w:val="002D5811"/>
    <w:rsid w:val="002D624B"/>
    <w:rsid w:val="002D62D7"/>
    <w:rsid w:val="002D6D30"/>
    <w:rsid w:val="002D6FBA"/>
    <w:rsid w:val="002D7363"/>
    <w:rsid w:val="002D748D"/>
    <w:rsid w:val="002D7507"/>
    <w:rsid w:val="002D7850"/>
    <w:rsid w:val="002D7AAB"/>
    <w:rsid w:val="002D7C53"/>
    <w:rsid w:val="002D7D6C"/>
    <w:rsid w:val="002D7F15"/>
    <w:rsid w:val="002D7FBB"/>
    <w:rsid w:val="002E019B"/>
    <w:rsid w:val="002E025B"/>
    <w:rsid w:val="002E02E5"/>
    <w:rsid w:val="002E06B7"/>
    <w:rsid w:val="002E0AA1"/>
    <w:rsid w:val="002E0D1C"/>
    <w:rsid w:val="002E12BF"/>
    <w:rsid w:val="002E1576"/>
    <w:rsid w:val="002E1579"/>
    <w:rsid w:val="002E17AC"/>
    <w:rsid w:val="002E192D"/>
    <w:rsid w:val="002E198B"/>
    <w:rsid w:val="002E19DC"/>
    <w:rsid w:val="002E1A67"/>
    <w:rsid w:val="002E1C05"/>
    <w:rsid w:val="002E1C40"/>
    <w:rsid w:val="002E1D30"/>
    <w:rsid w:val="002E1F0C"/>
    <w:rsid w:val="002E21DE"/>
    <w:rsid w:val="002E2AD5"/>
    <w:rsid w:val="002E3349"/>
    <w:rsid w:val="002E34EE"/>
    <w:rsid w:val="002E3A52"/>
    <w:rsid w:val="002E3B2C"/>
    <w:rsid w:val="002E3E6A"/>
    <w:rsid w:val="002E3FCA"/>
    <w:rsid w:val="002E4603"/>
    <w:rsid w:val="002E46F3"/>
    <w:rsid w:val="002E49EA"/>
    <w:rsid w:val="002E4A53"/>
    <w:rsid w:val="002E53BB"/>
    <w:rsid w:val="002E5682"/>
    <w:rsid w:val="002E594D"/>
    <w:rsid w:val="002E5950"/>
    <w:rsid w:val="002E5ABD"/>
    <w:rsid w:val="002E5AD9"/>
    <w:rsid w:val="002E5D82"/>
    <w:rsid w:val="002E6398"/>
    <w:rsid w:val="002E6FDD"/>
    <w:rsid w:val="002E70EA"/>
    <w:rsid w:val="002E711C"/>
    <w:rsid w:val="002E7D02"/>
    <w:rsid w:val="002F04D1"/>
    <w:rsid w:val="002F10B2"/>
    <w:rsid w:val="002F114D"/>
    <w:rsid w:val="002F1732"/>
    <w:rsid w:val="002F17F2"/>
    <w:rsid w:val="002F1B90"/>
    <w:rsid w:val="002F1BAE"/>
    <w:rsid w:val="002F2A76"/>
    <w:rsid w:val="002F2DA2"/>
    <w:rsid w:val="002F309C"/>
    <w:rsid w:val="002F3219"/>
    <w:rsid w:val="002F32FB"/>
    <w:rsid w:val="002F351A"/>
    <w:rsid w:val="002F3791"/>
    <w:rsid w:val="002F3EE5"/>
    <w:rsid w:val="002F43DF"/>
    <w:rsid w:val="002F48ED"/>
    <w:rsid w:val="002F49DA"/>
    <w:rsid w:val="002F4AFB"/>
    <w:rsid w:val="002F51FA"/>
    <w:rsid w:val="002F5380"/>
    <w:rsid w:val="002F5790"/>
    <w:rsid w:val="002F58FE"/>
    <w:rsid w:val="002F6106"/>
    <w:rsid w:val="002F6613"/>
    <w:rsid w:val="002F6ACF"/>
    <w:rsid w:val="002F6B1D"/>
    <w:rsid w:val="002F6FDC"/>
    <w:rsid w:val="002F7826"/>
    <w:rsid w:val="002F7A29"/>
    <w:rsid w:val="002F7D51"/>
    <w:rsid w:val="003002DA"/>
    <w:rsid w:val="003003B7"/>
    <w:rsid w:val="003005AE"/>
    <w:rsid w:val="00300AEC"/>
    <w:rsid w:val="00300E08"/>
    <w:rsid w:val="00301030"/>
    <w:rsid w:val="003012A5"/>
    <w:rsid w:val="00301646"/>
    <w:rsid w:val="0030190E"/>
    <w:rsid w:val="00301955"/>
    <w:rsid w:val="00301DA0"/>
    <w:rsid w:val="00301F3E"/>
    <w:rsid w:val="003023A5"/>
    <w:rsid w:val="003028BA"/>
    <w:rsid w:val="00302911"/>
    <w:rsid w:val="0030294F"/>
    <w:rsid w:val="00302D89"/>
    <w:rsid w:val="00302E46"/>
    <w:rsid w:val="0030339F"/>
    <w:rsid w:val="00303517"/>
    <w:rsid w:val="00303BBF"/>
    <w:rsid w:val="00303E3A"/>
    <w:rsid w:val="00303EC0"/>
    <w:rsid w:val="003041D0"/>
    <w:rsid w:val="00304300"/>
    <w:rsid w:val="003049B8"/>
    <w:rsid w:val="00304AFF"/>
    <w:rsid w:val="00304B7C"/>
    <w:rsid w:val="00304FD7"/>
    <w:rsid w:val="0030522D"/>
    <w:rsid w:val="0030547C"/>
    <w:rsid w:val="0030568D"/>
    <w:rsid w:val="00305788"/>
    <w:rsid w:val="00305AB8"/>
    <w:rsid w:val="00305CD6"/>
    <w:rsid w:val="00305D47"/>
    <w:rsid w:val="00305F8E"/>
    <w:rsid w:val="00305FFE"/>
    <w:rsid w:val="00306588"/>
    <w:rsid w:val="003066F0"/>
    <w:rsid w:val="00306702"/>
    <w:rsid w:val="0030690C"/>
    <w:rsid w:val="00306963"/>
    <w:rsid w:val="00306E4E"/>
    <w:rsid w:val="00307694"/>
    <w:rsid w:val="003076F8"/>
    <w:rsid w:val="00307C02"/>
    <w:rsid w:val="00307E4C"/>
    <w:rsid w:val="00310695"/>
    <w:rsid w:val="003108EB"/>
    <w:rsid w:val="00310A44"/>
    <w:rsid w:val="00310A5C"/>
    <w:rsid w:val="00310BE4"/>
    <w:rsid w:val="00310CB5"/>
    <w:rsid w:val="00311060"/>
    <w:rsid w:val="00311611"/>
    <w:rsid w:val="003117BE"/>
    <w:rsid w:val="00311A2B"/>
    <w:rsid w:val="00311BF3"/>
    <w:rsid w:val="00311CE2"/>
    <w:rsid w:val="003127E5"/>
    <w:rsid w:val="0031282D"/>
    <w:rsid w:val="00312C00"/>
    <w:rsid w:val="00312CDC"/>
    <w:rsid w:val="00313068"/>
    <w:rsid w:val="00313184"/>
    <w:rsid w:val="0031358B"/>
    <w:rsid w:val="00313A57"/>
    <w:rsid w:val="00313DFA"/>
    <w:rsid w:val="00313FF2"/>
    <w:rsid w:val="0031417D"/>
    <w:rsid w:val="00314D79"/>
    <w:rsid w:val="003150B8"/>
    <w:rsid w:val="00315341"/>
    <w:rsid w:val="00315416"/>
    <w:rsid w:val="0031569C"/>
    <w:rsid w:val="00315743"/>
    <w:rsid w:val="00315A83"/>
    <w:rsid w:val="00315C69"/>
    <w:rsid w:val="003164F1"/>
    <w:rsid w:val="003167BF"/>
    <w:rsid w:val="00316F67"/>
    <w:rsid w:val="003170D5"/>
    <w:rsid w:val="00317257"/>
    <w:rsid w:val="0031746D"/>
    <w:rsid w:val="003176D6"/>
    <w:rsid w:val="00317744"/>
    <w:rsid w:val="003179E5"/>
    <w:rsid w:val="00317C32"/>
    <w:rsid w:val="00317C92"/>
    <w:rsid w:val="00317CB0"/>
    <w:rsid w:val="00317CF6"/>
    <w:rsid w:val="00317EF3"/>
    <w:rsid w:val="003200D7"/>
    <w:rsid w:val="00320326"/>
    <w:rsid w:val="003204B4"/>
    <w:rsid w:val="0032082C"/>
    <w:rsid w:val="003209C8"/>
    <w:rsid w:val="00320A06"/>
    <w:rsid w:val="003215F1"/>
    <w:rsid w:val="00321FB0"/>
    <w:rsid w:val="00322093"/>
    <w:rsid w:val="00322263"/>
    <w:rsid w:val="0032242E"/>
    <w:rsid w:val="00322BC4"/>
    <w:rsid w:val="00322E46"/>
    <w:rsid w:val="00323205"/>
    <w:rsid w:val="0032326C"/>
    <w:rsid w:val="00323B8C"/>
    <w:rsid w:val="00323CDA"/>
    <w:rsid w:val="00323DD7"/>
    <w:rsid w:val="003241EB"/>
    <w:rsid w:val="003248DC"/>
    <w:rsid w:val="0032492E"/>
    <w:rsid w:val="00324C6A"/>
    <w:rsid w:val="00325181"/>
    <w:rsid w:val="0032585C"/>
    <w:rsid w:val="0032587C"/>
    <w:rsid w:val="00325A50"/>
    <w:rsid w:val="00325C3E"/>
    <w:rsid w:val="00325D34"/>
    <w:rsid w:val="00325E6D"/>
    <w:rsid w:val="00325F1D"/>
    <w:rsid w:val="0032693A"/>
    <w:rsid w:val="00326952"/>
    <w:rsid w:val="003269BA"/>
    <w:rsid w:val="00326B1A"/>
    <w:rsid w:val="00326D05"/>
    <w:rsid w:val="00327556"/>
    <w:rsid w:val="00327DDC"/>
    <w:rsid w:val="00327DEF"/>
    <w:rsid w:val="00327FD3"/>
    <w:rsid w:val="003300B4"/>
    <w:rsid w:val="0033055F"/>
    <w:rsid w:val="003307B7"/>
    <w:rsid w:val="00330FAA"/>
    <w:rsid w:val="00331340"/>
    <w:rsid w:val="003313E6"/>
    <w:rsid w:val="00331411"/>
    <w:rsid w:val="0033141D"/>
    <w:rsid w:val="003315F7"/>
    <w:rsid w:val="00331673"/>
    <w:rsid w:val="00331971"/>
    <w:rsid w:val="00331CDC"/>
    <w:rsid w:val="00331F4D"/>
    <w:rsid w:val="00332545"/>
    <w:rsid w:val="00332695"/>
    <w:rsid w:val="003328F8"/>
    <w:rsid w:val="003329C1"/>
    <w:rsid w:val="00332A10"/>
    <w:rsid w:val="00332CBE"/>
    <w:rsid w:val="0033312B"/>
    <w:rsid w:val="003333EE"/>
    <w:rsid w:val="003334CE"/>
    <w:rsid w:val="00333A90"/>
    <w:rsid w:val="00333C2C"/>
    <w:rsid w:val="00333D4A"/>
    <w:rsid w:val="003343E3"/>
    <w:rsid w:val="00334618"/>
    <w:rsid w:val="0033463E"/>
    <w:rsid w:val="0033484A"/>
    <w:rsid w:val="00334956"/>
    <w:rsid w:val="00334DC4"/>
    <w:rsid w:val="0033507B"/>
    <w:rsid w:val="00335260"/>
    <w:rsid w:val="003352C4"/>
    <w:rsid w:val="003352F5"/>
    <w:rsid w:val="00335354"/>
    <w:rsid w:val="003360F9"/>
    <w:rsid w:val="00336334"/>
    <w:rsid w:val="0033653E"/>
    <w:rsid w:val="00336679"/>
    <w:rsid w:val="003369F9"/>
    <w:rsid w:val="0033751B"/>
    <w:rsid w:val="00337CA3"/>
    <w:rsid w:val="003401A0"/>
    <w:rsid w:val="00341137"/>
    <w:rsid w:val="00341297"/>
    <w:rsid w:val="00341B68"/>
    <w:rsid w:val="00341CCB"/>
    <w:rsid w:val="00342259"/>
    <w:rsid w:val="003423A7"/>
    <w:rsid w:val="003424EC"/>
    <w:rsid w:val="0034273A"/>
    <w:rsid w:val="00342D95"/>
    <w:rsid w:val="00343015"/>
    <w:rsid w:val="00343111"/>
    <w:rsid w:val="0034341B"/>
    <w:rsid w:val="00343872"/>
    <w:rsid w:val="00343AC4"/>
    <w:rsid w:val="00343C9F"/>
    <w:rsid w:val="00343F15"/>
    <w:rsid w:val="00344082"/>
    <w:rsid w:val="0034462D"/>
    <w:rsid w:val="0034463F"/>
    <w:rsid w:val="00344B73"/>
    <w:rsid w:val="00344BBE"/>
    <w:rsid w:val="0034514C"/>
    <w:rsid w:val="003452F4"/>
    <w:rsid w:val="003453FE"/>
    <w:rsid w:val="003454D4"/>
    <w:rsid w:val="003457C3"/>
    <w:rsid w:val="00345AAC"/>
    <w:rsid w:val="00345C31"/>
    <w:rsid w:val="00345CA5"/>
    <w:rsid w:val="00346104"/>
    <w:rsid w:val="00346AB3"/>
    <w:rsid w:val="00346CA2"/>
    <w:rsid w:val="00346EBD"/>
    <w:rsid w:val="00347F6C"/>
    <w:rsid w:val="00350698"/>
    <w:rsid w:val="003508A0"/>
    <w:rsid w:val="00350C45"/>
    <w:rsid w:val="00350D70"/>
    <w:rsid w:val="00350E0F"/>
    <w:rsid w:val="00351423"/>
    <w:rsid w:val="003516AF"/>
    <w:rsid w:val="003516ED"/>
    <w:rsid w:val="00352212"/>
    <w:rsid w:val="00352A0A"/>
    <w:rsid w:val="00352DB2"/>
    <w:rsid w:val="00352FC9"/>
    <w:rsid w:val="0035306E"/>
    <w:rsid w:val="00353648"/>
    <w:rsid w:val="0035398B"/>
    <w:rsid w:val="00353A6F"/>
    <w:rsid w:val="00353BDC"/>
    <w:rsid w:val="00353D9C"/>
    <w:rsid w:val="00353E04"/>
    <w:rsid w:val="00353EAE"/>
    <w:rsid w:val="00353ECE"/>
    <w:rsid w:val="00353F29"/>
    <w:rsid w:val="0035427D"/>
    <w:rsid w:val="003542DA"/>
    <w:rsid w:val="00354357"/>
    <w:rsid w:val="0035436F"/>
    <w:rsid w:val="00354BDD"/>
    <w:rsid w:val="00354C1A"/>
    <w:rsid w:val="00354CB9"/>
    <w:rsid w:val="00354CFC"/>
    <w:rsid w:val="00355083"/>
    <w:rsid w:val="00355CB4"/>
    <w:rsid w:val="00355CC0"/>
    <w:rsid w:val="00356294"/>
    <w:rsid w:val="003568C5"/>
    <w:rsid w:val="003568EA"/>
    <w:rsid w:val="00356BB9"/>
    <w:rsid w:val="00356ED5"/>
    <w:rsid w:val="0035708A"/>
    <w:rsid w:val="00357783"/>
    <w:rsid w:val="003578B7"/>
    <w:rsid w:val="00357989"/>
    <w:rsid w:val="00357A37"/>
    <w:rsid w:val="00357CE7"/>
    <w:rsid w:val="00357E80"/>
    <w:rsid w:val="003601CD"/>
    <w:rsid w:val="00360406"/>
    <w:rsid w:val="00360438"/>
    <w:rsid w:val="00360507"/>
    <w:rsid w:val="00360A7C"/>
    <w:rsid w:val="00361291"/>
    <w:rsid w:val="003613C7"/>
    <w:rsid w:val="0036171B"/>
    <w:rsid w:val="00361933"/>
    <w:rsid w:val="003619BB"/>
    <w:rsid w:val="00361ABB"/>
    <w:rsid w:val="00361DAE"/>
    <w:rsid w:val="00362171"/>
    <w:rsid w:val="003622F7"/>
    <w:rsid w:val="0036235A"/>
    <w:rsid w:val="00362772"/>
    <w:rsid w:val="003627F4"/>
    <w:rsid w:val="00362958"/>
    <w:rsid w:val="00362FF0"/>
    <w:rsid w:val="00363666"/>
    <w:rsid w:val="003636A4"/>
    <w:rsid w:val="003636F6"/>
    <w:rsid w:val="00363A3A"/>
    <w:rsid w:val="00363A64"/>
    <w:rsid w:val="00363A81"/>
    <w:rsid w:val="003640B9"/>
    <w:rsid w:val="00364258"/>
    <w:rsid w:val="0036432C"/>
    <w:rsid w:val="0036451C"/>
    <w:rsid w:val="00364799"/>
    <w:rsid w:val="00364BE6"/>
    <w:rsid w:val="00365551"/>
    <w:rsid w:val="00365BC1"/>
    <w:rsid w:val="00365FA8"/>
    <w:rsid w:val="00366021"/>
    <w:rsid w:val="00366138"/>
    <w:rsid w:val="003662EF"/>
    <w:rsid w:val="0036680A"/>
    <w:rsid w:val="00366A7C"/>
    <w:rsid w:val="00366BFE"/>
    <w:rsid w:val="00366FBB"/>
    <w:rsid w:val="003671C9"/>
    <w:rsid w:val="00367356"/>
    <w:rsid w:val="00367779"/>
    <w:rsid w:val="00367F8C"/>
    <w:rsid w:val="00370276"/>
    <w:rsid w:val="00370429"/>
    <w:rsid w:val="00370442"/>
    <w:rsid w:val="00370C08"/>
    <w:rsid w:val="00370D4E"/>
    <w:rsid w:val="00371080"/>
    <w:rsid w:val="00371096"/>
    <w:rsid w:val="003715C4"/>
    <w:rsid w:val="00371A88"/>
    <w:rsid w:val="00372081"/>
    <w:rsid w:val="003720B6"/>
    <w:rsid w:val="003720F7"/>
    <w:rsid w:val="0037220F"/>
    <w:rsid w:val="003725BB"/>
    <w:rsid w:val="00372B2D"/>
    <w:rsid w:val="00373334"/>
    <w:rsid w:val="0037358D"/>
    <w:rsid w:val="00373A03"/>
    <w:rsid w:val="00373A39"/>
    <w:rsid w:val="00374C9C"/>
    <w:rsid w:val="00374DBC"/>
    <w:rsid w:val="00374F8E"/>
    <w:rsid w:val="00375912"/>
    <w:rsid w:val="00375942"/>
    <w:rsid w:val="00375B84"/>
    <w:rsid w:val="00375DED"/>
    <w:rsid w:val="00375EEE"/>
    <w:rsid w:val="00376502"/>
    <w:rsid w:val="00376BD0"/>
    <w:rsid w:val="00376D9F"/>
    <w:rsid w:val="00376E3F"/>
    <w:rsid w:val="00376FF9"/>
    <w:rsid w:val="003772DD"/>
    <w:rsid w:val="00377408"/>
    <w:rsid w:val="0038026C"/>
    <w:rsid w:val="00380736"/>
    <w:rsid w:val="0038094C"/>
    <w:rsid w:val="00380988"/>
    <w:rsid w:val="003825F9"/>
    <w:rsid w:val="00382713"/>
    <w:rsid w:val="00382906"/>
    <w:rsid w:val="0038293F"/>
    <w:rsid w:val="00382C99"/>
    <w:rsid w:val="00382D09"/>
    <w:rsid w:val="00382DAE"/>
    <w:rsid w:val="00382E67"/>
    <w:rsid w:val="003832E4"/>
    <w:rsid w:val="003834A6"/>
    <w:rsid w:val="00383750"/>
    <w:rsid w:val="0038383D"/>
    <w:rsid w:val="00384323"/>
    <w:rsid w:val="00384C4C"/>
    <w:rsid w:val="003850D1"/>
    <w:rsid w:val="00385549"/>
    <w:rsid w:val="003858BC"/>
    <w:rsid w:val="00385AB5"/>
    <w:rsid w:val="00385C5D"/>
    <w:rsid w:val="00385E98"/>
    <w:rsid w:val="003863AD"/>
    <w:rsid w:val="003868AD"/>
    <w:rsid w:val="00386B9D"/>
    <w:rsid w:val="0038704C"/>
    <w:rsid w:val="003871C6"/>
    <w:rsid w:val="003874E0"/>
    <w:rsid w:val="00387559"/>
    <w:rsid w:val="003879F7"/>
    <w:rsid w:val="00387C7B"/>
    <w:rsid w:val="00387D4D"/>
    <w:rsid w:val="00387F61"/>
    <w:rsid w:val="0039042E"/>
    <w:rsid w:val="00390587"/>
    <w:rsid w:val="003905E1"/>
    <w:rsid w:val="003909C2"/>
    <w:rsid w:val="00390C0E"/>
    <w:rsid w:val="00390CED"/>
    <w:rsid w:val="00390DBC"/>
    <w:rsid w:val="00390FB4"/>
    <w:rsid w:val="00391088"/>
    <w:rsid w:val="00391343"/>
    <w:rsid w:val="0039136A"/>
    <w:rsid w:val="00391FD8"/>
    <w:rsid w:val="00392135"/>
    <w:rsid w:val="003921B1"/>
    <w:rsid w:val="00392E2C"/>
    <w:rsid w:val="0039319C"/>
    <w:rsid w:val="00393722"/>
    <w:rsid w:val="003937AB"/>
    <w:rsid w:val="00393F05"/>
    <w:rsid w:val="003949B5"/>
    <w:rsid w:val="00394CA0"/>
    <w:rsid w:val="00394E73"/>
    <w:rsid w:val="0039508C"/>
    <w:rsid w:val="00395721"/>
    <w:rsid w:val="003959C4"/>
    <w:rsid w:val="00395AF8"/>
    <w:rsid w:val="00395B2D"/>
    <w:rsid w:val="00395BA1"/>
    <w:rsid w:val="00395BC8"/>
    <w:rsid w:val="003962B8"/>
    <w:rsid w:val="003964B3"/>
    <w:rsid w:val="00396557"/>
    <w:rsid w:val="00396755"/>
    <w:rsid w:val="00396A77"/>
    <w:rsid w:val="00396A9F"/>
    <w:rsid w:val="00396EB8"/>
    <w:rsid w:val="00396F73"/>
    <w:rsid w:val="0039749A"/>
    <w:rsid w:val="00397606"/>
    <w:rsid w:val="0039766C"/>
    <w:rsid w:val="003979E7"/>
    <w:rsid w:val="00397B13"/>
    <w:rsid w:val="00397F8A"/>
    <w:rsid w:val="00397FD2"/>
    <w:rsid w:val="003A05A9"/>
    <w:rsid w:val="003A06B0"/>
    <w:rsid w:val="003A0A60"/>
    <w:rsid w:val="003A1570"/>
    <w:rsid w:val="003A1EEC"/>
    <w:rsid w:val="003A237D"/>
    <w:rsid w:val="003A23A5"/>
    <w:rsid w:val="003A246B"/>
    <w:rsid w:val="003A24E6"/>
    <w:rsid w:val="003A24EB"/>
    <w:rsid w:val="003A2808"/>
    <w:rsid w:val="003A2915"/>
    <w:rsid w:val="003A2BB5"/>
    <w:rsid w:val="003A2D62"/>
    <w:rsid w:val="003A2FA9"/>
    <w:rsid w:val="003A3006"/>
    <w:rsid w:val="003A35E9"/>
    <w:rsid w:val="003A3EC3"/>
    <w:rsid w:val="003A3EE8"/>
    <w:rsid w:val="003A3FDC"/>
    <w:rsid w:val="003A4092"/>
    <w:rsid w:val="003A45E7"/>
    <w:rsid w:val="003A4712"/>
    <w:rsid w:val="003A4EAD"/>
    <w:rsid w:val="003A55C8"/>
    <w:rsid w:val="003A5695"/>
    <w:rsid w:val="003A57E2"/>
    <w:rsid w:val="003A595A"/>
    <w:rsid w:val="003A59C2"/>
    <w:rsid w:val="003A5DA4"/>
    <w:rsid w:val="003A62B6"/>
    <w:rsid w:val="003A6332"/>
    <w:rsid w:val="003A6506"/>
    <w:rsid w:val="003A6854"/>
    <w:rsid w:val="003A6A04"/>
    <w:rsid w:val="003A6BDD"/>
    <w:rsid w:val="003A723A"/>
    <w:rsid w:val="003A795D"/>
    <w:rsid w:val="003A7A51"/>
    <w:rsid w:val="003B029C"/>
    <w:rsid w:val="003B0572"/>
    <w:rsid w:val="003B0A6E"/>
    <w:rsid w:val="003B12D8"/>
    <w:rsid w:val="003B13B1"/>
    <w:rsid w:val="003B15BC"/>
    <w:rsid w:val="003B1701"/>
    <w:rsid w:val="003B17D8"/>
    <w:rsid w:val="003B184B"/>
    <w:rsid w:val="003B1ACD"/>
    <w:rsid w:val="003B2264"/>
    <w:rsid w:val="003B2538"/>
    <w:rsid w:val="003B28F8"/>
    <w:rsid w:val="003B32F4"/>
    <w:rsid w:val="003B3C92"/>
    <w:rsid w:val="003B49CD"/>
    <w:rsid w:val="003B4E63"/>
    <w:rsid w:val="003B4F42"/>
    <w:rsid w:val="003B4F92"/>
    <w:rsid w:val="003B544E"/>
    <w:rsid w:val="003B5C33"/>
    <w:rsid w:val="003B5DAC"/>
    <w:rsid w:val="003B60C5"/>
    <w:rsid w:val="003B6182"/>
    <w:rsid w:val="003B6548"/>
    <w:rsid w:val="003B685D"/>
    <w:rsid w:val="003B68AE"/>
    <w:rsid w:val="003B69A5"/>
    <w:rsid w:val="003B6A15"/>
    <w:rsid w:val="003B6BAE"/>
    <w:rsid w:val="003B6CCF"/>
    <w:rsid w:val="003B6D4C"/>
    <w:rsid w:val="003B6D56"/>
    <w:rsid w:val="003B72DC"/>
    <w:rsid w:val="003B7A2C"/>
    <w:rsid w:val="003B7B38"/>
    <w:rsid w:val="003B7D4D"/>
    <w:rsid w:val="003B7EC4"/>
    <w:rsid w:val="003B7F08"/>
    <w:rsid w:val="003B7F58"/>
    <w:rsid w:val="003B7F89"/>
    <w:rsid w:val="003C00E9"/>
    <w:rsid w:val="003C0225"/>
    <w:rsid w:val="003C033C"/>
    <w:rsid w:val="003C04D3"/>
    <w:rsid w:val="003C0526"/>
    <w:rsid w:val="003C0772"/>
    <w:rsid w:val="003C07C5"/>
    <w:rsid w:val="003C0CBB"/>
    <w:rsid w:val="003C1320"/>
    <w:rsid w:val="003C13E5"/>
    <w:rsid w:val="003C16EE"/>
    <w:rsid w:val="003C1931"/>
    <w:rsid w:val="003C1A98"/>
    <w:rsid w:val="003C1CD9"/>
    <w:rsid w:val="003C1F06"/>
    <w:rsid w:val="003C226C"/>
    <w:rsid w:val="003C23DF"/>
    <w:rsid w:val="003C2E22"/>
    <w:rsid w:val="003C35FE"/>
    <w:rsid w:val="003C38B8"/>
    <w:rsid w:val="003C3D55"/>
    <w:rsid w:val="003C3F5A"/>
    <w:rsid w:val="003C42D4"/>
    <w:rsid w:val="003C43A2"/>
    <w:rsid w:val="003C4454"/>
    <w:rsid w:val="003C4737"/>
    <w:rsid w:val="003C4860"/>
    <w:rsid w:val="003C496B"/>
    <w:rsid w:val="003C4DC2"/>
    <w:rsid w:val="003C52D0"/>
    <w:rsid w:val="003C52F5"/>
    <w:rsid w:val="003C56BE"/>
    <w:rsid w:val="003C6223"/>
    <w:rsid w:val="003C67BB"/>
    <w:rsid w:val="003C693D"/>
    <w:rsid w:val="003C6BDA"/>
    <w:rsid w:val="003C6FCC"/>
    <w:rsid w:val="003C72CE"/>
    <w:rsid w:val="003C72EA"/>
    <w:rsid w:val="003C741D"/>
    <w:rsid w:val="003C7B0B"/>
    <w:rsid w:val="003C7BBD"/>
    <w:rsid w:val="003C7FF7"/>
    <w:rsid w:val="003D0404"/>
    <w:rsid w:val="003D04D9"/>
    <w:rsid w:val="003D08EC"/>
    <w:rsid w:val="003D0CB9"/>
    <w:rsid w:val="003D0D88"/>
    <w:rsid w:val="003D0DBA"/>
    <w:rsid w:val="003D0FDC"/>
    <w:rsid w:val="003D1290"/>
    <w:rsid w:val="003D180B"/>
    <w:rsid w:val="003D18BA"/>
    <w:rsid w:val="003D1D0E"/>
    <w:rsid w:val="003D1DBA"/>
    <w:rsid w:val="003D1F39"/>
    <w:rsid w:val="003D2182"/>
    <w:rsid w:val="003D22C1"/>
    <w:rsid w:val="003D2B5D"/>
    <w:rsid w:val="003D2F00"/>
    <w:rsid w:val="003D3309"/>
    <w:rsid w:val="003D3B98"/>
    <w:rsid w:val="003D3EA8"/>
    <w:rsid w:val="003D4095"/>
    <w:rsid w:val="003D42DB"/>
    <w:rsid w:val="003D4393"/>
    <w:rsid w:val="003D43EE"/>
    <w:rsid w:val="003D4453"/>
    <w:rsid w:val="003D4743"/>
    <w:rsid w:val="003D4CC0"/>
    <w:rsid w:val="003D4CF4"/>
    <w:rsid w:val="003D4F26"/>
    <w:rsid w:val="003D50F8"/>
    <w:rsid w:val="003D5666"/>
    <w:rsid w:val="003D571F"/>
    <w:rsid w:val="003D589F"/>
    <w:rsid w:val="003D5ADE"/>
    <w:rsid w:val="003D5CB9"/>
    <w:rsid w:val="003D6475"/>
    <w:rsid w:val="003D69BC"/>
    <w:rsid w:val="003D6C7E"/>
    <w:rsid w:val="003D6CF4"/>
    <w:rsid w:val="003D72FC"/>
    <w:rsid w:val="003E01BF"/>
    <w:rsid w:val="003E0441"/>
    <w:rsid w:val="003E0A10"/>
    <w:rsid w:val="003E0ACC"/>
    <w:rsid w:val="003E109D"/>
    <w:rsid w:val="003E1688"/>
    <w:rsid w:val="003E1825"/>
    <w:rsid w:val="003E2ADC"/>
    <w:rsid w:val="003E2E0E"/>
    <w:rsid w:val="003E3100"/>
    <w:rsid w:val="003E316B"/>
    <w:rsid w:val="003E3353"/>
    <w:rsid w:val="003E3974"/>
    <w:rsid w:val="003E3B19"/>
    <w:rsid w:val="003E3CA4"/>
    <w:rsid w:val="003E3D30"/>
    <w:rsid w:val="003E4233"/>
    <w:rsid w:val="003E432A"/>
    <w:rsid w:val="003E462C"/>
    <w:rsid w:val="003E4CF9"/>
    <w:rsid w:val="003E4F76"/>
    <w:rsid w:val="003E5357"/>
    <w:rsid w:val="003E5612"/>
    <w:rsid w:val="003E5675"/>
    <w:rsid w:val="003E5DAC"/>
    <w:rsid w:val="003E5EE2"/>
    <w:rsid w:val="003E5EE9"/>
    <w:rsid w:val="003E6119"/>
    <w:rsid w:val="003E6382"/>
    <w:rsid w:val="003E648F"/>
    <w:rsid w:val="003E6716"/>
    <w:rsid w:val="003E6761"/>
    <w:rsid w:val="003E72A6"/>
    <w:rsid w:val="003E7340"/>
    <w:rsid w:val="003E7657"/>
    <w:rsid w:val="003E7B29"/>
    <w:rsid w:val="003E7F97"/>
    <w:rsid w:val="003F083A"/>
    <w:rsid w:val="003F09AC"/>
    <w:rsid w:val="003F0C1C"/>
    <w:rsid w:val="003F10C7"/>
    <w:rsid w:val="003F185D"/>
    <w:rsid w:val="003F196A"/>
    <w:rsid w:val="003F1C1C"/>
    <w:rsid w:val="003F1E54"/>
    <w:rsid w:val="003F2135"/>
    <w:rsid w:val="003F27B6"/>
    <w:rsid w:val="003F28CF"/>
    <w:rsid w:val="003F28DB"/>
    <w:rsid w:val="003F2960"/>
    <w:rsid w:val="003F297A"/>
    <w:rsid w:val="003F2CCE"/>
    <w:rsid w:val="003F2D2B"/>
    <w:rsid w:val="003F2E8A"/>
    <w:rsid w:val="003F3080"/>
    <w:rsid w:val="003F341F"/>
    <w:rsid w:val="003F3816"/>
    <w:rsid w:val="003F39D7"/>
    <w:rsid w:val="003F3A85"/>
    <w:rsid w:val="003F3AE4"/>
    <w:rsid w:val="003F3C42"/>
    <w:rsid w:val="003F4ADA"/>
    <w:rsid w:val="003F4B3A"/>
    <w:rsid w:val="003F4B4B"/>
    <w:rsid w:val="003F5033"/>
    <w:rsid w:val="003F562A"/>
    <w:rsid w:val="003F6364"/>
    <w:rsid w:val="003F6368"/>
    <w:rsid w:val="003F64EE"/>
    <w:rsid w:val="003F6669"/>
    <w:rsid w:val="003F67F0"/>
    <w:rsid w:val="003F72B1"/>
    <w:rsid w:val="003F7508"/>
    <w:rsid w:val="003F7882"/>
    <w:rsid w:val="003F7A71"/>
    <w:rsid w:val="003F7E60"/>
    <w:rsid w:val="003F7FBE"/>
    <w:rsid w:val="00400204"/>
    <w:rsid w:val="004007D6"/>
    <w:rsid w:val="00400A96"/>
    <w:rsid w:val="00400A98"/>
    <w:rsid w:val="004012CD"/>
    <w:rsid w:val="004012E6"/>
    <w:rsid w:val="00401976"/>
    <w:rsid w:val="00401B2A"/>
    <w:rsid w:val="00401B74"/>
    <w:rsid w:val="00402331"/>
    <w:rsid w:val="0040252C"/>
    <w:rsid w:val="0040266F"/>
    <w:rsid w:val="00402785"/>
    <w:rsid w:val="00402909"/>
    <w:rsid w:val="00402935"/>
    <w:rsid w:val="00402A2D"/>
    <w:rsid w:val="00402C74"/>
    <w:rsid w:val="004041F4"/>
    <w:rsid w:val="00404725"/>
    <w:rsid w:val="004048E0"/>
    <w:rsid w:val="00404955"/>
    <w:rsid w:val="00404D8E"/>
    <w:rsid w:val="00404E2E"/>
    <w:rsid w:val="00404F00"/>
    <w:rsid w:val="0040505B"/>
    <w:rsid w:val="0040532E"/>
    <w:rsid w:val="00405483"/>
    <w:rsid w:val="00405F10"/>
    <w:rsid w:val="00406126"/>
    <w:rsid w:val="00406322"/>
    <w:rsid w:val="00406B18"/>
    <w:rsid w:val="00406D00"/>
    <w:rsid w:val="00407189"/>
    <w:rsid w:val="00407273"/>
    <w:rsid w:val="004072AF"/>
    <w:rsid w:val="00407898"/>
    <w:rsid w:val="00407F99"/>
    <w:rsid w:val="00410706"/>
    <w:rsid w:val="004107CB"/>
    <w:rsid w:val="00410A2D"/>
    <w:rsid w:val="00410B3D"/>
    <w:rsid w:val="00410BA9"/>
    <w:rsid w:val="00410ED6"/>
    <w:rsid w:val="00411097"/>
    <w:rsid w:val="004110DF"/>
    <w:rsid w:val="004111A0"/>
    <w:rsid w:val="004111AD"/>
    <w:rsid w:val="0041123D"/>
    <w:rsid w:val="004113AA"/>
    <w:rsid w:val="00411414"/>
    <w:rsid w:val="00411957"/>
    <w:rsid w:val="00411965"/>
    <w:rsid w:val="00411B8A"/>
    <w:rsid w:val="00411CB8"/>
    <w:rsid w:val="004126FF"/>
    <w:rsid w:val="004127C5"/>
    <w:rsid w:val="00412C12"/>
    <w:rsid w:val="00412CB6"/>
    <w:rsid w:val="00413089"/>
    <w:rsid w:val="00413C34"/>
    <w:rsid w:val="00413D12"/>
    <w:rsid w:val="00413E62"/>
    <w:rsid w:val="00413F7E"/>
    <w:rsid w:val="00413FDD"/>
    <w:rsid w:val="00414205"/>
    <w:rsid w:val="00414457"/>
    <w:rsid w:val="00414E01"/>
    <w:rsid w:val="00414F48"/>
    <w:rsid w:val="004150FD"/>
    <w:rsid w:val="0041533F"/>
    <w:rsid w:val="00415343"/>
    <w:rsid w:val="0041563D"/>
    <w:rsid w:val="0041573E"/>
    <w:rsid w:val="0041588F"/>
    <w:rsid w:val="00415BB4"/>
    <w:rsid w:val="00416096"/>
    <w:rsid w:val="004160EC"/>
    <w:rsid w:val="00416533"/>
    <w:rsid w:val="00416576"/>
    <w:rsid w:val="00416AAD"/>
    <w:rsid w:val="00416C86"/>
    <w:rsid w:val="00416EF7"/>
    <w:rsid w:val="00417062"/>
    <w:rsid w:val="0041762A"/>
    <w:rsid w:val="004176F2"/>
    <w:rsid w:val="004178A7"/>
    <w:rsid w:val="004179CC"/>
    <w:rsid w:val="00417D13"/>
    <w:rsid w:val="00417EFF"/>
    <w:rsid w:val="00417F06"/>
    <w:rsid w:val="00417FD3"/>
    <w:rsid w:val="004201DD"/>
    <w:rsid w:val="004203FF"/>
    <w:rsid w:val="004204CE"/>
    <w:rsid w:val="004204D2"/>
    <w:rsid w:val="00420635"/>
    <w:rsid w:val="00420AF3"/>
    <w:rsid w:val="00420D95"/>
    <w:rsid w:val="00420EA0"/>
    <w:rsid w:val="004216F7"/>
    <w:rsid w:val="0042171A"/>
    <w:rsid w:val="00422260"/>
    <w:rsid w:val="004223CA"/>
    <w:rsid w:val="0042292A"/>
    <w:rsid w:val="00422D59"/>
    <w:rsid w:val="00423B4A"/>
    <w:rsid w:val="00423C59"/>
    <w:rsid w:val="00423C65"/>
    <w:rsid w:val="004242AC"/>
    <w:rsid w:val="004242B2"/>
    <w:rsid w:val="00424AE8"/>
    <w:rsid w:val="00424F57"/>
    <w:rsid w:val="00425435"/>
    <w:rsid w:val="00425463"/>
    <w:rsid w:val="0042562D"/>
    <w:rsid w:val="0042568D"/>
    <w:rsid w:val="00425D9E"/>
    <w:rsid w:val="004260FB"/>
    <w:rsid w:val="00426200"/>
    <w:rsid w:val="0042696E"/>
    <w:rsid w:val="00426B02"/>
    <w:rsid w:val="00426B23"/>
    <w:rsid w:val="00427041"/>
    <w:rsid w:val="004275B5"/>
    <w:rsid w:val="004275F2"/>
    <w:rsid w:val="0042763C"/>
    <w:rsid w:val="004276F8"/>
    <w:rsid w:val="00427757"/>
    <w:rsid w:val="004279F3"/>
    <w:rsid w:val="00427F96"/>
    <w:rsid w:val="004303E1"/>
    <w:rsid w:val="00430711"/>
    <w:rsid w:val="004307CC"/>
    <w:rsid w:val="00430B08"/>
    <w:rsid w:val="00430B51"/>
    <w:rsid w:val="00430F21"/>
    <w:rsid w:val="00431CE7"/>
    <w:rsid w:val="00431F4B"/>
    <w:rsid w:val="0043211D"/>
    <w:rsid w:val="004323AB"/>
    <w:rsid w:val="00432581"/>
    <w:rsid w:val="004326A2"/>
    <w:rsid w:val="00432823"/>
    <w:rsid w:val="00433124"/>
    <w:rsid w:val="00433156"/>
    <w:rsid w:val="0043350F"/>
    <w:rsid w:val="0043390E"/>
    <w:rsid w:val="0043464E"/>
    <w:rsid w:val="00434C65"/>
    <w:rsid w:val="00434E27"/>
    <w:rsid w:val="004358DF"/>
    <w:rsid w:val="00435A1C"/>
    <w:rsid w:val="00435BE5"/>
    <w:rsid w:val="00435F5E"/>
    <w:rsid w:val="0043628A"/>
    <w:rsid w:val="004363DE"/>
    <w:rsid w:val="00436578"/>
    <w:rsid w:val="00436FE3"/>
    <w:rsid w:val="00437824"/>
    <w:rsid w:val="004379EB"/>
    <w:rsid w:val="00437ABA"/>
    <w:rsid w:val="00437C3F"/>
    <w:rsid w:val="00437CD2"/>
    <w:rsid w:val="00437EB2"/>
    <w:rsid w:val="00440419"/>
    <w:rsid w:val="00440676"/>
    <w:rsid w:val="00440737"/>
    <w:rsid w:val="00440B13"/>
    <w:rsid w:val="004410CA"/>
    <w:rsid w:val="0044120A"/>
    <w:rsid w:val="00441272"/>
    <w:rsid w:val="00441586"/>
    <w:rsid w:val="0044178E"/>
    <w:rsid w:val="00441FE1"/>
    <w:rsid w:val="004420D5"/>
    <w:rsid w:val="00442167"/>
    <w:rsid w:val="004421C2"/>
    <w:rsid w:val="0044227D"/>
    <w:rsid w:val="00442B16"/>
    <w:rsid w:val="00442F6C"/>
    <w:rsid w:val="00443519"/>
    <w:rsid w:val="00443631"/>
    <w:rsid w:val="00443FE6"/>
    <w:rsid w:val="004440FE"/>
    <w:rsid w:val="00444507"/>
    <w:rsid w:val="004448F1"/>
    <w:rsid w:val="00444BB3"/>
    <w:rsid w:val="00445216"/>
    <w:rsid w:val="00445C24"/>
    <w:rsid w:val="00445C8C"/>
    <w:rsid w:val="00445DA2"/>
    <w:rsid w:val="00445DBA"/>
    <w:rsid w:val="00446037"/>
    <w:rsid w:val="004466D1"/>
    <w:rsid w:val="00446B6F"/>
    <w:rsid w:val="00446E4D"/>
    <w:rsid w:val="00446F5B"/>
    <w:rsid w:val="004474C2"/>
    <w:rsid w:val="00447B3B"/>
    <w:rsid w:val="004501AC"/>
    <w:rsid w:val="004501F4"/>
    <w:rsid w:val="0045080B"/>
    <w:rsid w:val="00450845"/>
    <w:rsid w:val="00450B84"/>
    <w:rsid w:val="00450BC5"/>
    <w:rsid w:val="00450CF5"/>
    <w:rsid w:val="00451034"/>
    <w:rsid w:val="004511F7"/>
    <w:rsid w:val="0045146C"/>
    <w:rsid w:val="004515A3"/>
    <w:rsid w:val="00451A55"/>
    <w:rsid w:val="00451F78"/>
    <w:rsid w:val="00452098"/>
    <w:rsid w:val="004520B3"/>
    <w:rsid w:val="004520B4"/>
    <w:rsid w:val="00452547"/>
    <w:rsid w:val="00452A02"/>
    <w:rsid w:val="00454898"/>
    <w:rsid w:val="004548B9"/>
    <w:rsid w:val="004548D1"/>
    <w:rsid w:val="00454BB4"/>
    <w:rsid w:val="00454EFF"/>
    <w:rsid w:val="00455034"/>
    <w:rsid w:val="00455228"/>
    <w:rsid w:val="0045539B"/>
    <w:rsid w:val="0045541C"/>
    <w:rsid w:val="00455943"/>
    <w:rsid w:val="00455C19"/>
    <w:rsid w:val="00455FB0"/>
    <w:rsid w:val="00456269"/>
    <w:rsid w:val="0045626F"/>
    <w:rsid w:val="00457072"/>
    <w:rsid w:val="0045708A"/>
    <w:rsid w:val="004571CF"/>
    <w:rsid w:val="00457556"/>
    <w:rsid w:val="004575C2"/>
    <w:rsid w:val="00457A71"/>
    <w:rsid w:val="00460156"/>
    <w:rsid w:val="00460274"/>
    <w:rsid w:val="004608F6"/>
    <w:rsid w:val="0046092C"/>
    <w:rsid w:val="00461183"/>
    <w:rsid w:val="00461296"/>
    <w:rsid w:val="00461520"/>
    <w:rsid w:val="004616EE"/>
    <w:rsid w:val="00461825"/>
    <w:rsid w:val="0046220C"/>
    <w:rsid w:val="0046226B"/>
    <w:rsid w:val="00462738"/>
    <w:rsid w:val="00462951"/>
    <w:rsid w:val="004635CF"/>
    <w:rsid w:val="004637FF"/>
    <w:rsid w:val="00463FE6"/>
    <w:rsid w:val="00464248"/>
    <w:rsid w:val="00464423"/>
    <w:rsid w:val="004646C7"/>
    <w:rsid w:val="004648A1"/>
    <w:rsid w:val="004652D4"/>
    <w:rsid w:val="004654F3"/>
    <w:rsid w:val="004655CB"/>
    <w:rsid w:val="004656F1"/>
    <w:rsid w:val="00465842"/>
    <w:rsid w:val="004662F3"/>
    <w:rsid w:val="00466425"/>
    <w:rsid w:val="00466A5E"/>
    <w:rsid w:val="00466E47"/>
    <w:rsid w:val="00467081"/>
    <w:rsid w:val="00467CDC"/>
    <w:rsid w:val="00467D62"/>
    <w:rsid w:val="00467E02"/>
    <w:rsid w:val="00470136"/>
    <w:rsid w:val="00471348"/>
    <w:rsid w:val="0047186F"/>
    <w:rsid w:val="004719A5"/>
    <w:rsid w:val="00471A5A"/>
    <w:rsid w:val="00471B7F"/>
    <w:rsid w:val="00471D27"/>
    <w:rsid w:val="00472667"/>
    <w:rsid w:val="00472BF3"/>
    <w:rsid w:val="00472CD7"/>
    <w:rsid w:val="00472EB8"/>
    <w:rsid w:val="004739CA"/>
    <w:rsid w:val="00473B65"/>
    <w:rsid w:val="00473C24"/>
    <w:rsid w:val="00473F4D"/>
    <w:rsid w:val="00474533"/>
    <w:rsid w:val="00474F69"/>
    <w:rsid w:val="00475052"/>
    <w:rsid w:val="00475061"/>
    <w:rsid w:val="004751A4"/>
    <w:rsid w:val="00475260"/>
    <w:rsid w:val="004754DC"/>
    <w:rsid w:val="00475701"/>
    <w:rsid w:val="0047592A"/>
    <w:rsid w:val="00475D3C"/>
    <w:rsid w:val="00475E6E"/>
    <w:rsid w:val="00475F1A"/>
    <w:rsid w:val="00476328"/>
    <w:rsid w:val="0047645A"/>
    <w:rsid w:val="00476484"/>
    <w:rsid w:val="0047651F"/>
    <w:rsid w:val="004769A4"/>
    <w:rsid w:val="00476BB0"/>
    <w:rsid w:val="00476DD9"/>
    <w:rsid w:val="004773EA"/>
    <w:rsid w:val="00477591"/>
    <w:rsid w:val="0047761C"/>
    <w:rsid w:val="00477B55"/>
    <w:rsid w:val="00477D67"/>
    <w:rsid w:val="004800BA"/>
    <w:rsid w:val="004801AB"/>
    <w:rsid w:val="00480223"/>
    <w:rsid w:val="00480796"/>
    <w:rsid w:val="00480846"/>
    <w:rsid w:val="00480A95"/>
    <w:rsid w:val="00480D71"/>
    <w:rsid w:val="00481533"/>
    <w:rsid w:val="00481CFF"/>
    <w:rsid w:val="00481D23"/>
    <w:rsid w:val="00481D3F"/>
    <w:rsid w:val="00482290"/>
    <w:rsid w:val="0048262C"/>
    <w:rsid w:val="00482A20"/>
    <w:rsid w:val="00482BD1"/>
    <w:rsid w:val="004833FB"/>
    <w:rsid w:val="0048348A"/>
    <w:rsid w:val="004836EF"/>
    <w:rsid w:val="00483B15"/>
    <w:rsid w:val="00483E35"/>
    <w:rsid w:val="00483F5D"/>
    <w:rsid w:val="00484324"/>
    <w:rsid w:val="004849D2"/>
    <w:rsid w:val="00484C82"/>
    <w:rsid w:val="004853DB"/>
    <w:rsid w:val="004854F6"/>
    <w:rsid w:val="004854FF"/>
    <w:rsid w:val="00485636"/>
    <w:rsid w:val="0048598F"/>
    <w:rsid w:val="00485A79"/>
    <w:rsid w:val="0048625D"/>
    <w:rsid w:val="00486764"/>
    <w:rsid w:val="00486B8E"/>
    <w:rsid w:val="00486CDC"/>
    <w:rsid w:val="00486D2F"/>
    <w:rsid w:val="00486E6E"/>
    <w:rsid w:val="0048766F"/>
    <w:rsid w:val="00487911"/>
    <w:rsid w:val="00487BCE"/>
    <w:rsid w:val="0049025F"/>
    <w:rsid w:val="00490408"/>
    <w:rsid w:val="00490ED5"/>
    <w:rsid w:val="0049131E"/>
    <w:rsid w:val="0049142F"/>
    <w:rsid w:val="004919D6"/>
    <w:rsid w:val="00491D35"/>
    <w:rsid w:val="00491E8F"/>
    <w:rsid w:val="00491E98"/>
    <w:rsid w:val="0049228B"/>
    <w:rsid w:val="004927D7"/>
    <w:rsid w:val="0049282D"/>
    <w:rsid w:val="00492BED"/>
    <w:rsid w:val="00492C8E"/>
    <w:rsid w:val="00492EB2"/>
    <w:rsid w:val="00493049"/>
    <w:rsid w:val="00493164"/>
    <w:rsid w:val="00493332"/>
    <w:rsid w:val="00493A4C"/>
    <w:rsid w:val="00493C05"/>
    <w:rsid w:val="00493C3F"/>
    <w:rsid w:val="00493EBC"/>
    <w:rsid w:val="0049412F"/>
    <w:rsid w:val="00494420"/>
    <w:rsid w:val="004945D9"/>
    <w:rsid w:val="004947CC"/>
    <w:rsid w:val="00494870"/>
    <w:rsid w:val="00494BCF"/>
    <w:rsid w:val="00494D6F"/>
    <w:rsid w:val="00494E5A"/>
    <w:rsid w:val="004951C1"/>
    <w:rsid w:val="004955C4"/>
    <w:rsid w:val="004955E3"/>
    <w:rsid w:val="00495B4F"/>
    <w:rsid w:val="00495C92"/>
    <w:rsid w:val="00496500"/>
    <w:rsid w:val="00496513"/>
    <w:rsid w:val="00496819"/>
    <w:rsid w:val="00496A3B"/>
    <w:rsid w:val="00496A59"/>
    <w:rsid w:val="00496D69"/>
    <w:rsid w:val="00496D72"/>
    <w:rsid w:val="00496EC3"/>
    <w:rsid w:val="00497171"/>
    <w:rsid w:val="004A083C"/>
    <w:rsid w:val="004A0DA2"/>
    <w:rsid w:val="004A0FA5"/>
    <w:rsid w:val="004A0FF9"/>
    <w:rsid w:val="004A11D2"/>
    <w:rsid w:val="004A1273"/>
    <w:rsid w:val="004A141D"/>
    <w:rsid w:val="004A16B6"/>
    <w:rsid w:val="004A1B25"/>
    <w:rsid w:val="004A1D6C"/>
    <w:rsid w:val="004A20F1"/>
    <w:rsid w:val="004A2133"/>
    <w:rsid w:val="004A2D08"/>
    <w:rsid w:val="004A2D4F"/>
    <w:rsid w:val="004A2E7E"/>
    <w:rsid w:val="004A2F17"/>
    <w:rsid w:val="004A3E08"/>
    <w:rsid w:val="004A3E1A"/>
    <w:rsid w:val="004A4085"/>
    <w:rsid w:val="004A42F6"/>
    <w:rsid w:val="004A4743"/>
    <w:rsid w:val="004A4803"/>
    <w:rsid w:val="004A5007"/>
    <w:rsid w:val="004A5060"/>
    <w:rsid w:val="004A542B"/>
    <w:rsid w:val="004A5536"/>
    <w:rsid w:val="004A564B"/>
    <w:rsid w:val="004A5A18"/>
    <w:rsid w:val="004A5E90"/>
    <w:rsid w:val="004A605F"/>
    <w:rsid w:val="004A6063"/>
    <w:rsid w:val="004A6070"/>
    <w:rsid w:val="004A62D2"/>
    <w:rsid w:val="004A667E"/>
    <w:rsid w:val="004A6D0A"/>
    <w:rsid w:val="004A6DCE"/>
    <w:rsid w:val="004A7322"/>
    <w:rsid w:val="004A79F5"/>
    <w:rsid w:val="004A7D37"/>
    <w:rsid w:val="004A7F92"/>
    <w:rsid w:val="004B0309"/>
    <w:rsid w:val="004B0464"/>
    <w:rsid w:val="004B06C3"/>
    <w:rsid w:val="004B0CAB"/>
    <w:rsid w:val="004B1225"/>
    <w:rsid w:val="004B171D"/>
    <w:rsid w:val="004B1B55"/>
    <w:rsid w:val="004B1DAD"/>
    <w:rsid w:val="004B2CB3"/>
    <w:rsid w:val="004B2D89"/>
    <w:rsid w:val="004B3253"/>
    <w:rsid w:val="004B332D"/>
    <w:rsid w:val="004B3332"/>
    <w:rsid w:val="004B3746"/>
    <w:rsid w:val="004B3896"/>
    <w:rsid w:val="004B39C0"/>
    <w:rsid w:val="004B39C6"/>
    <w:rsid w:val="004B3D77"/>
    <w:rsid w:val="004B4109"/>
    <w:rsid w:val="004B4748"/>
    <w:rsid w:val="004B4868"/>
    <w:rsid w:val="004B49EE"/>
    <w:rsid w:val="004B538A"/>
    <w:rsid w:val="004B538B"/>
    <w:rsid w:val="004B562C"/>
    <w:rsid w:val="004B58BB"/>
    <w:rsid w:val="004B5C48"/>
    <w:rsid w:val="004B5D8E"/>
    <w:rsid w:val="004B5DA0"/>
    <w:rsid w:val="004B6214"/>
    <w:rsid w:val="004B672F"/>
    <w:rsid w:val="004B6734"/>
    <w:rsid w:val="004B67E2"/>
    <w:rsid w:val="004B6945"/>
    <w:rsid w:val="004B71CA"/>
    <w:rsid w:val="004B740F"/>
    <w:rsid w:val="004B77DC"/>
    <w:rsid w:val="004B7CD9"/>
    <w:rsid w:val="004B7D82"/>
    <w:rsid w:val="004B7DEF"/>
    <w:rsid w:val="004C011D"/>
    <w:rsid w:val="004C02C5"/>
    <w:rsid w:val="004C039D"/>
    <w:rsid w:val="004C0A69"/>
    <w:rsid w:val="004C0C0F"/>
    <w:rsid w:val="004C0EBF"/>
    <w:rsid w:val="004C121C"/>
    <w:rsid w:val="004C1855"/>
    <w:rsid w:val="004C1F89"/>
    <w:rsid w:val="004C2011"/>
    <w:rsid w:val="004C2416"/>
    <w:rsid w:val="004C2651"/>
    <w:rsid w:val="004C2991"/>
    <w:rsid w:val="004C2E05"/>
    <w:rsid w:val="004C31C3"/>
    <w:rsid w:val="004C31FD"/>
    <w:rsid w:val="004C3322"/>
    <w:rsid w:val="004C3380"/>
    <w:rsid w:val="004C35BA"/>
    <w:rsid w:val="004C392E"/>
    <w:rsid w:val="004C3A58"/>
    <w:rsid w:val="004C3D2D"/>
    <w:rsid w:val="004C4374"/>
    <w:rsid w:val="004C4690"/>
    <w:rsid w:val="004C4888"/>
    <w:rsid w:val="004C4A4A"/>
    <w:rsid w:val="004C4ACA"/>
    <w:rsid w:val="004C4D80"/>
    <w:rsid w:val="004C5D50"/>
    <w:rsid w:val="004C625F"/>
    <w:rsid w:val="004C6719"/>
    <w:rsid w:val="004C6D23"/>
    <w:rsid w:val="004C7366"/>
    <w:rsid w:val="004C74B6"/>
    <w:rsid w:val="004C78DC"/>
    <w:rsid w:val="004C7906"/>
    <w:rsid w:val="004C79C4"/>
    <w:rsid w:val="004D013D"/>
    <w:rsid w:val="004D035F"/>
    <w:rsid w:val="004D04D1"/>
    <w:rsid w:val="004D0D62"/>
    <w:rsid w:val="004D11B9"/>
    <w:rsid w:val="004D1555"/>
    <w:rsid w:val="004D15F2"/>
    <w:rsid w:val="004D173B"/>
    <w:rsid w:val="004D1BC9"/>
    <w:rsid w:val="004D1E86"/>
    <w:rsid w:val="004D20DF"/>
    <w:rsid w:val="004D24C8"/>
    <w:rsid w:val="004D2511"/>
    <w:rsid w:val="004D2666"/>
    <w:rsid w:val="004D28EE"/>
    <w:rsid w:val="004D2964"/>
    <w:rsid w:val="004D2969"/>
    <w:rsid w:val="004D2AFA"/>
    <w:rsid w:val="004D2B4D"/>
    <w:rsid w:val="004D2DA9"/>
    <w:rsid w:val="004D31B6"/>
    <w:rsid w:val="004D34CF"/>
    <w:rsid w:val="004D36BB"/>
    <w:rsid w:val="004D371C"/>
    <w:rsid w:val="004D3E73"/>
    <w:rsid w:val="004D3FC8"/>
    <w:rsid w:val="004D407C"/>
    <w:rsid w:val="004D4259"/>
    <w:rsid w:val="004D4484"/>
    <w:rsid w:val="004D49D9"/>
    <w:rsid w:val="004D50DB"/>
    <w:rsid w:val="004D5167"/>
    <w:rsid w:val="004D5327"/>
    <w:rsid w:val="004D56A3"/>
    <w:rsid w:val="004D57A1"/>
    <w:rsid w:val="004D5B0B"/>
    <w:rsid w:val="004D605C"/>
    <w:rsid w:val="004D6397"/>
    <w:rsid w:val="004D63CD"/>
    <w:rsid w:val="004D661B"/>
    <w:rsid w:val="004D7351"/>
    <w:rsid w:val="004D751E"/>
    <w:rsid w:val="004D7F72"/>
    <w:rsid w:val="004E00E4"/>
    <w:rsid w:val="004E07E0"/>
    <w:rsid w:val="004E09F5"/>
    <w:rsid w:val="004E0B69"/>
    <w:rsid w:val="004E1014"/>
    <w:rsid w:val="004E115F"/>
    <w:rsid w:val="004E1C77"/>
    <w:rsid w:val="004E2003"/>
    <w:rsid w:val="004E2EF3"/>
    <w:rsid w:val="004E2EFB"/>
    <w:rsid w:val="004E3469"/>
    <w:rsid w:val="004E3542"/>
    <w:rsid w:val="004E37E6"/>
    <w:rsid w:val="004E38AB"/>
    <w:rsid w:val="004E3A0C"/>
    <w:rsid w:val="004E3B2A"/>
    <w:rsid w:val="004E4627"/>
    <w:rsid w:val="004E4D48"/>
    <w:rsid w:val="004E504B"/>
    <w:rsid w:val="004E5235"/>
    <w:rsid w:val="004E52EF"/>
    <w:rsid w:val="004E5431"/>
    <w:rsid w:val="004E60CB"/>
    <w:rsid w:val="004E6624"/>
    <w:rsid w:val="004E67E1"/>
    <w:rsid w:val="004E6B22"/>
    <w:rsid w:val="004E6C64"/>
    <w:rsid w:val="004E6EE4"/>
    <w:rsid w:val="004E7002"/>
    <w:rsid w:val="004E7046"/>
    <w:rsid w:val="004E706E"/>
    <w:rsid w:val="004E74B3"/>
    <w:rsid w:val="004E779B"/>
    <w:rsid w:val="004E782C"/>
    <w:rsid w:val="004E7B55"/>
    <w:rsid w:val="004E7F0A"/>
    <w:rsid w:val="004F034D"/>
    <w:rsid w:val="004F0408"/>
    <w:rsid w:val="004F052B"/>
    <w:rsid w:val="004F0656"/>
    <w:rsid w:val="004F06B6"/>
    <w:rsid w:val="004F07ED"/>
    <w:rsid w:val="004F0A15"/>
    <w:rsid w:val="004F15DD"/>
    <w:rsid w:val="004F1662"/>
    <w:rsid w:val="004F193A"/>
    <w:rsid w:val="004F1979"/>
    <w:rsid w:val="004F1E90"/>
    <w:rsid w:val="004F2C1C"/>
    <w:rsid w:val="004F2E3B"/>
    <w:rsid w:val="004F32F7"/>
    <w:rsid w:val="004F34E6"/>
    <w:rsid w:val="004F364E"/>
    <w:rsid w:val="004F36CF"/>
    <w:rsid w:val="004F3976"/>
    <w:rsid w:val="004F3995"/>
    <w:rsid w:val="004F4684"/>
    <w:rsid w:val="004F4CDD"/>
    <w:rsid w:val="004F5285"/>
    <w:rsid w:val="004F5768"/>
    <w:rsid w:val="004F5FCB"/>
    <w:rsid w:val="004F6206"/>
    <w:rsid w:val="004F6423"/>
    <w:rsid w:val="004F6727"/>
    <w:rsid w:val="004F68DB"/>
    <w:rsid w:val="004F6C39"/>
    <w:rsid w:val="004F6F32"/>
    <w:rsid w:val="004F75A7"/>
    <w:rsid w:val="004F77E2"/>
    <w:rsid w:val="004F7B60"/>
    <w:rsid w:val="004F7D37"/>
    <w:rsid w:val="005001E3"/>
    <w:rsid w:val="005005FB"/>
    <w:rsid w:val="00500767"/>
    <w:rsid w:val="005007BA"/>
    <w:rsid w:val="00500897"/>
    <w:rsid w:val="0050153A"/>
    <w:rsid w:val="005017A7"/>
    <w:rsid w:val="00501B77"/>
    <w:rsid w:val="00501BDD"/>
    <w:rsid w:val="00502113"/>
    <w:rsid w:val="00502658"/>
    <w:rsid w:val="0050277A"/>
    <w:rsid w:val="00503276"/>
    <w:rsid w:val="00503C94"/>
    <w:rsid w:val="00503D48"/>
    <w:rsid w:val="005041A4"/>
    <w:rsid w:val="00504948"/>
    <w:rsid w:val="00504B6C"/>
    <w:rsid w:val="00504F0A"/>
    <w:rsid w:val="00505DF1"/>
    <w:rsid w:val="00505FAD"/>
    <w:rsid w:val="005065F7"/>
    <w:rsid w:val="0050681C"/>
    <w:rsid w:val="0050692E"/>
    <w:rsid w:val="005069CF"/>
    <w:rsid w:val="00506A3B"/>
    <w:rsid w:val="00507AA6"/>
    <w:rsid w:val="00507B52"/>
    <w:rsid w:val="00510101"/>
    <w:rsid w:val="0051058D"/>
    <w:rsid w:val="00510794"/>
    <w:rsid w:val="00510C7E"/>
    <w:rsid w:val="00511035"/>
    <w:rsid w:val="0051155A"/>
    <w:rsid w:val="005121A3"/>
    <w:rsid w:val="00512221"/>
    <w:rsid w:val="00512E2D"/>
    <w:rsid w:val="005135BC"/>
    <w:rsid w:val="0051373F"/>
    <w:rsid w:val="00513AE3"/>
    <w:rsid w:val="00513BC5"/>
    <w:rsid w:val="00513E38"/>
    <w:rsid w:val="00513F66"/>
    <w:rsid w:val="00513F7D"/>
    <w:rsid w:val="00514BE2"/>
    <w:rsid w:val="005152CC"/>
    <w:rsid w:val="00515604"/>
    <w:rsid w:val="0051641E"/>
    <w:rsid w:val="00516912"/>
    <w:rsid w:val="00516B21"/>
    <w:rsid w:val="00516CEF"/>
    <w:rsid w:val="00516DC2"/>
    <w:rsid w:val="00517025"/>
    <w:rsid w:val="005171AD"/>
    <w:rsid w:val="005177A9"/>
    <w:rsid w:val="00517BCE"/>
    <w:rsid w:val="00517D84"/>
    <w:rsid w:val="005203BF"/>
    <w:rsid w:val="005204B5"/>
    <w:rsid w:val="00520B09"/>
    <w:rsid w:val="00521020"/>
    <w:rsid w:val="0052122F"/>
    <w:rsid w:val="005216A0"/>
    <w:rsid w:val="00521A73"/>
    <w:rsid w:val="00521BEB"/>
    <w:rsid w:val="00521DED"/>
    <w:rsid w:val="00521F53"/>
    <w:rsid w:val="00521FC8"/>
    <w:rsid w:val="00522089"/>
    <w:rsid w:val="0052218B"/>
    <w:rsid w:val="0052252E"/>
    <w:rsid w:val="005225BD"/>
    <w:rsid w:val="0052386D"/>
    <w:rsid w:val="00523926"/>
    <w:rsid w:val="0052414A"/>
    <w:rsid w:val="005242F7"/>
    <w:rsid w:val="005246D8"/>
    <w:rsid w:val="00524B41"/>
    <w:rsid w:val="00524F7C"/>
    <w:rsid w:val="0052510E"/>
    <w:rsid w:val="005257A2"/>
    <w:rsid w:val="0052588A"/>
    <w:rsid w:val="005259CD"/>
    <w:rsid w:val="00525BFE"/>
    <w:rsid w:val="00526675"/>
    <w:rsid w:val="005267D7"/>
    <w:rsid w:val="00526A40"/>
    <w:rsid w:val="00526A85"/>
    <w:rsid w:val="00526BAC"/>
    <w:rsid w:val="00526F0B"/>
    <w:rsid w:val="0052706E"/>
    <w:rsid w:val="0052720F"/>
    <w:rsid w:val="00527588"/>
    <w:rsid w:val="005276F9"/>
    <w:rsid w:val="00527746"/>
    <w:rsid w:val="00527864"/>
    <w:rsid w:val="005278C2"/>
    <w:rsid w:val="00527DF5"/>
    <w:rsid w:val="00530142"/>
    <w:rsid w:val="0053021F"/>
    <w:rsid w:val="005312CF"/>
    <w:rsid w:val="00531846"/>
    <w:rsid w:val="00531A8D"/>
    <w:rsid w:val="00531DDF"/>
    <w:rsid w:val="00531DE6"/>
    <w:rsid w:val="00531E41"/>
    <w:rsid w:val="00532323"/>
    <w:rsid w:val="0053238C"/>
    <w:rsid w:val="00532653"/>
    <w:rsid w:val="00532858"/>
    <w:rsid w:val="00532DB6"/>
    <w:rsid w:val="00532DBA"/>
    <w:rsid w:val="00532DD7"/>
    <w:rsid w:val="00532E0D"/>
    <w:rsid w:val="00532F1B"/>
    <w:rsid w:val="00532F42"/>
    <w:rsid w:val="00533115"/>
    <w:rsid w:val="00533198"/>
    <w:rsid w:val="0053337A"/>
    <w:rsid w:val="005335B4"/>
    <w:rsid w:val="00533662"/>
    <w:rsid w:val="005338FC"/>
    <w:rsid w:val="00533D55"/>
    <w:rsid w:val="005340DA"/>
    <w:rsid w:val="005347A2"/>
    <w:rsid w:val="00534E46"/>
    <w:rsid w:val="0053546E"/>
    <w:rsid w:val="0053564E"/>
    <w:rsid w:val="005356B3"/>
    <w:rsid w:val="005356DF"/>
    <w:rsid w:val="00535D98"/>
    <w:rsid w:val="0053619C"/>
    <w:rsid w:val="0053624C"/>
    <w:rsid w:val="00536412"/>
    <w:rsid w:val="005365F5"/>
    <w:rsid w:val="005369C1"/>
    <w:rsid w:val="00536A18"/>
    <w:rsid w:val="00536FA7"/>
    <w:rsid w:val="0053701F"/>
    <w:rsid w:val="005379A7"/>
    <w:rsid w:val="00537D46"/>
    <w:rsid w:val="005402BD"/>
    <w:rsid w:val="0054047A"/>
    <w:rsid w:val="0054053F"/>
    <w:rsid w:val="00540977"/>
    <w:rsid w:val="005409C9"/>
    <w:rsid w:val="00540C56"/>
    <w:rsid w:val="00540CB8"/>
    <w:rsid w:val="005412F3"/>
    <w:rsid w:val="00541451"/>
    <w:rsid w:val="0054146A"/>
    <w:rsid w:val="00541A85"/>
    <w:rsid w:val="00541C19"/>
    <w:rsid w:val="00541E26"/>
    <w:rsid w:val="00542586"/>
    <w:rsid w:val="0054265B"/>
    <w:rsid w:val="005426A9"/>
    <w:rsid w:val="00542951"/>
    <w:rsid w:val="00542A78"/>
    <w:rsid w:val="00542D2C"/>
    <w:rsid w:val="00542DB1"/>
    <w:rsid w:val="00542F54"/>
    <w:rsid w:val="00543169"/>
    <w:rsid w:val="005432A2"/>
    <w:rsid w:val="005435E4"/>
    <w:rsid w:val="005436F0"/>
    <w:rsid w:val="00543A0B"/>
    <w:rsid w:val="00543D56"/>
    <w:rsid w:val="00543DE5"/>
    <w:rsid w:val="00544511"/>
    <w:rsid w:val="0054456B"/>
    <w:rsid w:val="0054475B"/>
    <w:rsid w:val="00544881"/>
    <w:rsid w:val="00544ECA"/>
    <w:rsid w:val="00544FA1"/>
    <w:rsid w:val="00545098"/>
    <w:rsid w:val="00545559"/>
    <w:rsid w:val="00545604"/>
    <w:rsid w:val="00545762"/>
    <w:rsid w:val="00545BF1"/>
    <w:rsid w:val="00545C32"/>
    <w:rsid w:val="00545C85"/>
    <w:rsid w:val="00545D22"/>
    <w:rsid w:val="00545E18"/>
    <w:rsid w:val="00545F4D"/>
    <w:rsid w:val="00546046"/>
    <w:rsid w:val="005460A7"/>
    <w:rsid w:val="0054612F"/>
    <w:rsid w:val="0054645D"/>
    <w:rsid w:val="0054652F"/>
    <w:rsid w:val="005467C5"/>
    <w:rsid w:val="005468D8"/>
    <w:rsid w:val="005469C5"/>
    <w:rsid w:val="00546BE3"/>
    <w:rsid w:val="00546F24"/>
    <w:rsid w:val="0054709B"/>
    <w:rsid w:val="005472B2"/>
    <w:rsid w:val="0054743A"/>
    <w:rsid w:val="0054772B"/>
    <w:rsid w:val="0054776D"/>
    <w:rsid w:val="0054793F"/>
    <w:rsid w:val="0054797E"/>
    <w:rsid w:val="005501D2"/>
    <w:rsid w:val="005507AA"/>
    <w:rsid w:val="005514DA"/>
    <w:rsid w:val="005518CC"/>
    <w:rsid w:val="00552007"/>
    <w:rsid w:val="0055249F"/>
    <w:rsid w:val="00552D51"/>
    <w:rsid w:val="00553730"/>
    <w:rsid w:val="00553BFC"/>
    <w:rsid w:val="00553D01"/>
    <w:rsid w:val="00554573"/>
    <w:rsid w:val="00554981"/>
    <w:rsid w:val="00554B87"/>
    <w:rsid w:val="00554C63"/>
    <w:rsid w:val="00554E38"/>
    <w:rsid w:val="00555100"/>
    <w:rsid w:val="00556815"/>
    <w:rsid w:val="00556C60"/>
    <w:rsid w:val="00556D3E"/>
    <w:rsid w:val="00556E09"/>
    <w:rsid w:val="00556F05"/>
    <w:rsid w:val="00556F37"/>
    <w:rsid w:val="00556F76"/>
    <w:rsid w:val="0055714E"/>
    <w:rsid w:val="00557217"/>
    <w:rsid w:val="005576CD"/>
    <w:rsid w:val="00557A91"/>
    <w:rsid w:val="00557AB3"/>
    <w:rsid w:val="00557D9F"/>
    <w:rsid w:val="00557FA7"/>
    <w:rsid w:val="0056016B"/>
    <w:rsid w:val="005602AE"/>
    <w:rsid w:val="00560424"/>
    <w:rsid w:val="005608CF"/>
    <w:rsid w:val="00560B08"/>
    <w:rsid w:val="00560B49"/>
    <w:rsid w:val="00560C2D"/>
    <w:rsid w:val="00560C95"/>
    <w:rsid w:val="00560F2E"/>
    <w:rsid w:val="00561186"/>
    <w:rsid w:val="0056128B"/>
    <w:rsid w:val="0056140A"/>
    <w:rsid w:val="00561527"/>
    <w:rsid w:val="005616F9"/>
    <w:rsid w:val="00561B92"/>
    <w:rsid w:val="00562100"/>
    <w:rsid w:val="005623B2"/>
    <w:rsid w:val="00562518"/>
    <w:rsid w:val="005628AB"/>
    <w:rsid w:val="00562AC7"/>
    <w:rsid w:val="005631FA"/>
    <w:rsid w:val="0056347A"/>
    <w:rsid w:val="005634FD"/>
    <w:rsid w:val="00563630"/>
    <w:rsid w:val="005638FF"/>
    <w:rsid w:val="00563B20"/>
    <w:rsid w:val="00563D7F"/>
    <w:rsid w:val="00563DCF"/>
    <w:rsid w:val="00564496"/>
    <w:rsid w:val="0056449B"/>
    <w:rsid w:val="00564B9F"/>
    <w:rsid w:val="00564C16"/>
    <w:rsid w:val="005652FA"/>
    <w:rsid w:val="005658A4"/>
    <w:rsid w:val="005659A6"/>
    <w:rsid w:val="00565E2F"/>
    <w:rsid w:val="00565F41"/>
    <w:rsid w:val="0056621C"/>
    <w:rsid w:val="00566277"/>
    <w:rsid w:val="005663AB"/>
    <w:rsid w:val="00566731"/>
    <w:rsid w:val="005669B6"/>
    <w:rsid w:val="00566A29"/>
    <w:rsid w:val="00566A3C"/>
    <w:rsid w:val="00566F17"/>
    <w:rsid w:val="005670E5"/>
    <w:rsid w:val="0056731C"/>
    <w:rsid w:val="00567342"/>
    <w:rsid w:val="00567E3C"/>
    <w:rsid w:val="00570A97"/>
    <w:rsid w:val="00571044"/>
    <w:rsid w:val="00571058"/>
    <w:rsid w:val="005716DF"/>
    <w:rsid w:val="00571B4B"/>
    <w:rsid w:val="00572350"/>
    <w:rsid w:val="00572762"/>
    <w:rsid w:val="00572922"/>
    <w:rsid w:val="00572CC6"/>
    <w:rsid w:val="00572CE8"/>
    <w:rsid w:val="00573013"/>
    <w:rsid w:val="005731A5"/>
    <w:rsid w:val="005734E5"/>
    <w:rsid w:val="00573BE2"/>
    <w:rsid w:val="00573E66"/>
    <w:rsid w:val="00574051"/>
    <w:rsid w:val="00574056"/>
    <w:rsid w:val="00574132"/>
    <w:rsid w:val="005743A1"/>
    <w:rsid w:val="0057445F"/>
    <w:rsid w:val="00574651"/>
    <w:rsid w:val="00574898"/>
    <w:rsid w:val="005751D9"/>
    <w:rsid w:val="005751EF"/>
    <w:rsid w:val="005754C8"/>
    <w:rsid w:val="0057556E"/>
    <w:rsid w:val="00575D9F"/>
    <w:rsid w:val="00575E56"/>
    <w:rsid w:val="005761C0"/>
    <w:rsid w:val="0057661C"/>
    <w:rsid w:val="005768C2"/>
    <w:rsid w:val="00576C11"/>
    <w:rsid w:val="00577220"/>
    <w:rsid w:val="005779E8"/>
    <w:rsid w:val="00577CAA"/>
    <w:rsid w:val="00577E21"/>
    <w:rsid w:val="0058008C"/>
    <w:rsid w:val="005801AC"/>
    <w:rsid w:val="005808D4"/>
    <w:rsid w:val="00580AD2"/>
    <w:rsid w:val="00580BBF"/>
    <w:rsid w:val="00580E5A"/>
    <w:rsid w:val="0058109F"/>
    <w:rsid w:val="005813B2"/>
    <w:rsid w:val="0058140B"/>
    <w:rsid w:val="0058146A"/>
    <w:rsid w:val="00581480"/>
    <w:rsid w:val="00581687"/>
    <w:rsid w:val="00581D6D"/>
    <w:rsid w:val="00581E57"/>
    <w:rsid w:val="00581E7B"/>
    <w:rsid w:val="00581E8F"/>
    <w:rsid w:val="00582275"/>
    <w:rsid w:val="005822DD"/>
    <w:rsid w:val="00582354"/>
    <w:rsid w:val="005828A3"/>
    <w:rsid w:val="00582999"/>
    <w:rsid w:val="00582A21"/>
    <w:rsid w:val="00582BA0"/>
    <w:rsid w:val="00582D27"/>
    <w:rsid w:val="0058327E"/>
    <w:rsid w:val="00583383"/>
    <w:rsid w:val="00583641"/>
    <w:rsid w:val="0058397B"/>
    <w:rsid w:val="005841F8"/>
    <w:rsid w:val="00584335"/>
    <w:rsid w:val="00584452"/>
    <w:rsid w:val="005849D4"/>
    <w:rsid w:val="00584BF1"/>
    <w:rsid w:val="00584DCD"/>
    <w:rsid w:val="00584F8C"/>
    <w:rsid w:val="00584F9D"/>
    <w:rsid w:val="0058507C"/>
    <w:rsid w:val="005852ED"/>
    <w:rsid w:val="005859DA"/>
    <w:rsid w:val="00585A3F"/>
    <w:rsid w:val="00585B5E"/>
    <w:rsid w:val="00586110"/>
    <w:rsid w:val="00586321"/>
    <w:rsid w:val="00586998"/>
    <w:rsid w:val="005869F7"/>
    <w:rsid w:val="00586B64"/>
    <w:rsid w:val="00586DAC"/>
    <w:rsid w:val="00586E84"/>
    <w:rsid w:val="005871B2"/>
    <w:rsid w:val="00587248"/>
    <w:rsid w:val="005873B7"/>
    <w:rsid w:val="005873E6"/>
    <w:rsid w:val="005878CC"/>
    <w:rsid w:val="00587BE9"/>
    <w:rsid w:val="00587BF5"/>
    <w:rsid w:val="00587D82"/>
    <w:rsid w:val="00587DEF"/>
    <w:rsid w:val="00587E88"/>
    <w:rsid w:val="00587F5D"/>
    <w:rsid w:val="0059051E"/>
    <w:rsid w:val="00590856"/>
    <w:rsid w:val="005909D1"/>
    <w:rsid w:val="00590C88"/>
    <w:rsid w:val="005911F2"/>
    <w:rsid w:val="00591204"/>
    <w:rsid w:val="00591330"/>
    <w:rsid w:val="005913E5"/>
    <w:rsid w:val="005917FE"/>
    <w:rsid w:val="005924D6"/>
    <w:rsid w:val="00592575"/>
    <w:rsid w:val="00592C87"/>
    <w:rsid w:val="00592D39"/>
    <w:rsid w:val="00592D6C"/>
    <w:rsid w:val="00592F47"/>
    <w:rsid w:val="005931C7"/>
    <w:rsid w:val="0059328A"/>
    <w:rsid w:val="00593354"/>
    <w:rsid w:val="00593483"/>
    <w:rsid w:val="00593585"/>
    <w:rsid w:val="00593633"/>
    <w:rsid w:val="00593713"/>
    <w:rsid w:val="00593C69"/>
    <w:rsid w:val="00593DA6"/>
    <w:rsid w:val="005942F3"/>
    <w:rsid w:val="005943CF"/>
    <w:rsid w:val="005945B1"/>
    <w:rsid w:val="005945EE"/>
    <w:rsid w:val="00594731"/>
    <w:rsid w:val="0059528E"/>
    <w:rsid w:val="005952A2"/>
    <w:rsid w:val="005958AE"/>
    <w:rsid w:val="00596072"/>
    <w:rsid w:val="005962AA"/>
    <w:rsid w:val="00596326"/>
    <w:rsid w:val="005963ED"/>
    <w:rsid w:val="0059644B"/>
    <w:rsid w:val="005965FE"/>
    <w:rsid w:val="0059660D"/>
    <w:rsid w:val="00596854"/>
    <w:rsid w:val="00596C82"/>
    <w:rsid w:val="0059708E"/>
    <w:rsid w:val="00597138"/>
    <w:rsid w:val="00597234"/>
    <w:rsid w:val="00597294"/>
    <w:rsid w:val="00597ABB"/>
    <w:rsid w:val="00597D2D"/>
    <w:rsid w:val="00597D48"/>
    <w:rsid w:val="00597D8D"/>
    <w:rsid w:val="005A0045"/>
    <w:rsid w:val="005A0188"/>
    <w:rsid w:val="005A0447"/>
    <w:rsid w:val="005A0A53"/>
    <w:rsid w:val="005A0BCD"/>
    <w:rsid w:val="005A0EA0"/>
    <w:rsid w:val="005A1101"/>
    <w:rsid w:val="005A11DB"/>
    <w:rsid w:val="005A1815"/>
    <w:rsid w:val="005A1C92"/>
    <w:rsid w:val="005A1FE4"/>
    <w:rsid w:val="005A2297"/>
    <w:rsid w:val="005A2711"/>
    <w:rsid w:val="005A2777"/>
    <w:rsid w:val="005A2BC9"/>
    <w:rsid w:val="005A2BF5"/>
    <w:rsid w:val="005A2F9A"/>
    <w:rsid w:val="005A3095"/>
    <w:rsid w:val="005A35BC"/>
    <w:rsid w:val="005A3BFA"/>
    <w:rsid w:val="005A42D0"/>
    <w:rsid w:val="005A4331"/>
    <w:rsid w:val="005A43D1"/>
    <w:rsid w:val="005A44CC"/>
    <w:rsid w:val="005A4700"/>
    <w:rsid w:val="005A4F70"/>
    <w:rsid w:val="005A509E"/>
    <w:rsid w:val="005A5710"/>
    <w:rsid w:val="005A5E83"/>
    <w:rsid w:val="005A5EC5"/>
    <w:rsid w:val="005A6286"/>
    <w:rsid w:val="005A651B"/>
    <w:rsid w:val="005A65CE"/>
    <w:rsid w:val="005A6C70"/>
    <w:rsid w:val="005A6D91"/>
    <w:rsid w:val="005A7031"/>
    <w:rsid w:val="005A711B"/>
    <w:rsid w:val="005A7302"/>
    <w:rsid w:val="005A73F1"/>
    <w:rsid w:val="005B0293"/>
    <w:rsid w:val="005B05BF"/>
    <w:rsid w:val="005B07A5"/>
    <w:rsid w:val="005B0893"/>
    <w:rsid w:val="005B092F"/>
    <w:rsid w:val="005B0B33"/>
    <w:rsid w:val="005B117C"/>
    <w:rsid w:val="005B148A"/>
    <w:rsid w:val="005B255C"/>
    <w:rsid w:val="005B255F"/>
    <w:rsid w:val="005B259F"/>
    <w:rsid w:val="005B25F8"/>
    <w:rsid w:val="005B29B6"/>
    <w:rsid w:val="005B2B1C"/>
    <w:rsid w:val="005B2E05"/>
    <w:rsid w:val="005B2F8F"/>
    <w:rsid w:val="005B3CA0"/>
    <w:rsid w:val="005B3CE3"/>
    <w:rsid w:val="005B42C3"/>
    <w:rsid w:val="005B44C5"/>
    <w:rsid w:val="005B46D0"/>
    <w:rsid w:val="005B47C8"/>
    <w:rsid w:val="005B47CB"/>
    <w:rsid w:val="005B4C6D"/>
    <w:rsid w:val="005B4CF5"/>
    <w:rsid w:val="005B4DDC"/>
    <w:rsid w:val="005B50FD"/>
    <w:rsid w:val="005B5804"/>
    <w:rsid w:val="005B5A84"/>
    <w:rsid w:val="005B61EE"/>
    <w:rsid w:val="005B62E9"/>
    <w:rsid w:val="005B665C"/>
    <w:rsid w:val="005B6708"/>
    <w:rsid w:val="005B684F"/>
    <w:rsid w:val="005B686A"/>
    <w:rsid w:val="005B68F9"/>
    <w:rsid w:val="005B6A48"/>
    <w:rsid w:val="005B6B4C"/>
    <w:rsid w:val="005B6D51"/>
    <w:rsid w:val="005B6D86"/>
    <w:rsid w:val="005B716C"/>
    <w:rsid w:val="005C0270"/>
    <w:rsid w:val="005C0B6A"/>
    <w:rsid w:val="005C0E2A"/>
    <w:rsid w:val="005C1443"/>
    <w:rsid w:val="005C165D"/>
    <w:rsid w:val="005C1751"/>
    <w:rsid w:val="005C1BB2"/>
    <w:rsid w:val="005C241F"/>
    <w:rsid w:val="005C29DF"/>
    <w:rsid w:val="005C2D11"/>
    <w:rsid w:val="005C2F10"/>
    <w:rsid w:val="005C3235"/>
    <w:rsid w:val="005C3457"/>
    <w:rsid w:val="005C352F"/>
    <w:rsid w:val="005C36EB"/>
    <w:rsid w:val="005C3D16"/>
    <w:rsid w:val="005C3D5C"/>
    <w:rsid w:val="005C3FDD"/>
    <w:rsid w:val="005C4221"/>
    <w:rsid w:val="005C4384"/>
    <w:rsid w:val="005C46A9"/>
    <w:rsid w:val="005C470E"/>
    <w:rsid w:val="005C4B39"/>
    <w:rsid w:val="005C4C86"/>
    <w:rsid w:val="005C5475"/>
    <w:rsid w:val="005C557B"/>
    <w:rsid w:val="005C5609"/>
    <w:rsid w:val="005C56A3"/>
    <w:rsid w:val="005C56C6"/>
    <w:rsid w:val="005C588C"/>
    <w:rsid w:val="005C5C35"/>
    <w:rsid w:val="005C5EAE"/>
    <w:rsid w:val="005C6099"/>
    <w:rsid w:val="005C63E4"/>
    <w:rsid w:val="005C6A83"/>
    <w:rsid w:val="005C6DE9"/>
    <w:rsid w:val="005C72D0"/>
    <w:rsid w:val="005C730B"/>
    <w:rsid w:val="005C73CD"/>
    <w:rsid w:val="005C7419"/>
    <w:rsid w:val="005C754A"/>
    <w:rsid w:val="005C765A"/>
    <w:rsid w:val="005C79F4"/>
    <w:rsid w:val="005C7B51"/>
    <w:rsid w:val="005C7DA3"/>
    <w:rsid w:val="005C7EB3"/>
    <w:rsid w:val="005D0156"/>
    <w:rsid w:val="005D099F"/>
    <w:rsid w:val="005D0A40"/>
    <w:rsid w:val="005D0A5A"/>
    <w:rsid w:val="005D1264"/>
    <w:rsid w:val="005D1FA7"/>
    <w:rsid w:val="005D1FCB"/>
    <w:rsid w:val="005D2016"/>
    <w:rsid w:val="005D2078"/>
    <w:rsid w:val="005D2458"/>
    <w:rsid w:val="005D27DA"/>
    <w:rsid w:val="005D281C"/>
    <w:rsid w:val="005D2920"/>
    <w:rsid w:val="005D2AE1"/>
    <w:rsid w:val="005D2BC0"/>
    <w:rsid w:val="005D307A"/>
    <w:rsid w:val="005D3413"/>
    <w:rsid w:val="005D3426"/>
    <w:rsid w:val="005D37DB"/>
    <w:rsid w:val="005D3B44"/>
    <w:rsid w:val="005D41AD"/>
    <w:rsid w:val="005D42F3"/>
    <w:rsid w:val="005D4371"/>
    <w:rsid w:val="005D4402"/>
    <w:rsid w:val="005D48EF"/>
    <w:rsid w:val="005D4C61"/>
    <w:rsid w:val="005D4CC6"/>
    <w:rsid w:val="005D4CF3"/>
    <w:rsid w:val="005D4E04"/>
    <w:rsid w:val="005D5075"/>
    <w:rsid w:val="005D5192"/>
    <w:rsid w:val="005D5499"/>
    <w:rsid w:val="005D564E"/>
    <w:rsid w:val="005D5CB2"/>
    <w:rsid w:val="005D5E4A"/>
    <w:rsid w:val="005D5FBF"/>
    <w:rsid w:val="005D60C3"/>
    <w:rsid w:val="005D6155"/>
    <w:rsid w:val="005D65A7"/>
    <w:rsid w:val="005D6C88"/>
    <w:rsid w:val="005D6D57"/>
    <w:rsid w:val="005D72C8"/>
    <w:rsid w:val="005D7741"/>
    <w:rsid w:val="005D7C30"/>
    <w:rsid w:val="005D7EFE"/>
    <w:rsid w:val="005D7F7C"/>
    <w:rsid w:val="005E0320"/>
    <w:rsid w:val="005E0DFC"/>
    <w:rsid w:val="005E1263"/>
    <w:rsid w:val="005E147F"/>
    <w:rsid w:val="005E1F21"/>
    <w:rsid w:val="005E1F30"/>
    <w:rsid w:val="005E1FAC"/>
    <w:rsid w:val="005E2267"/>
    <w:rsid w:val="005E26AC"/>
    <w:rsid w:val="005E26BB"/>
    <w:rsid w:val="005E2867"/>
    <w:rsid w:val="005E299E"/>
    <w:rsid w:val="005E2B35"/>
    <w:rsid w:val="005E2F23"/>
    <w:rsid w:val="005E30F9"/>
    <w:rsid w:val="005E37B3"/>
    <w:rsid w:val="005E3DC1"/>
    <w:rsid w:val="005E3F3E"/>
    <w:rsid w:val="005E440D"/>
    <w:rsid w:val="005E4602"/>
    <w:rsid w:val="005E47C0"/>
    <w:rsid w:val="005E47DD"/>
    <w:rsid w:val="005E490D"/>
    <w:rsid w:val="005E4950"/>
    <w:rsid w:val="005E4C9B"/>
    <w:rsid w:val="005E4E02"/>
    <w:rsid w:val="005E52E8"/>
    <w:rsid w:val="005E564A"/>
    <w:rsid w:val="005E5654"/>
    <w:rsid w:val="005E5808"/>
    <w:rsid w:val="005E62F5"/>
    <w:rsid w:val="005E69B1"/>
    <w:rsid w:val="005E7127"/>
    <w:rsid w:val="005E7857"/>
    <w:rsid w:val="005E7EFD"/>
    <w:rsid w:val="005F07AC"/>
    <w:rsid w:val="005F07E7"/>
    <w:rsid w:val="005F0B3D"/>
    <w:rsid w:val="005F0EB9"/>
    <w:rsid w:val="005F1091"/>
    <w:rsid w:val="005F109B"/>
    <w:rsid w:val="005F128B"/>
    <w:rsid w:val="005F12E4"/>
    <w:rsid w:val="005F1379"/>
    <w:rsid w:val="005F1941"/>
    <w:rsid w:val="005F1AE0"/>
    <w:rsid w:val="005F1B2B"/>
    <w:rsid w:val="005F1E49"/>
    <w:rsid w:val="005F20AC"/>
    <w:rsid w:val="005F2520"/>
    <w:rsid w:val="005F2941"/>
    <w:rsid w:val="005F2A42"/>
    <w:rsid w:val="005F2E15"/>
    <w:rsid w:val="005F324C"/>
    <w:rsid w:val="005F32A5"/>
    <w:rsid w:val="005F3D1D"/>
    <w:rsid w:val="005F41CD"/>
    <w:rsid w:val="005F45F8"/>
    <w:rsid w:val="005F4BC2"/>
    <w:rsid w:val="005F4BFA"/>
    <w:rsid w:val="005F4C96"/>
    <w:rsid w:val="005F4E51"/>
    <w:rsid w:val="005F4F75"/>
    <w:rsid w:val="005F5055"/>
    <w:rsid w:val="005F50B5"/>
    <w:rsid w:val="005F51E8"/>
    <w:rsid w:val="005F541F"/>
    <w:rsid w:val="005F5496"/>
    <w:rsid w:val="005F54AB"/>
    <w:rsid w:val="005F5663"/>
    <w:rsid w:val="005F57CD"/>
    <w:rsid w:val="005F5906"/>
    <w:rsid w:val="005F5A2B"/>
    <w:rsid w:val="005F5B0F"/>
    <w:rsid w:val="005F6547"/>
    <w:rsid w:val="005F6ACD"/>
    <w:rsid w:val="005F6CD2"/>
    <w:rsid w:val="005F6D4A"/>
    <w:rsid w:val="005F752E"/>
    <w:rsid w:val="005F7833"/>
    <w:rsid w:val="005F787E"/>
    <w:rsid w:val="005F7998"/>
    <w:rsid w:val="00600688"/>
    <w:rsid w:val="00600739"/>
    <w:rsid w:val="00600B82"/>
    <w:rsid w:val="006015DD"/>
    <w:rsid w:val="0060179F"/>
    <w:rsid w:val="00601B3E"/>
    <w:rsid w:val="00601ECC"/>
    <w:rsid w:val="00602037"/>
    <w:rsid w:val="00602264"/>
    <w:rsid w:val="00602276"/>
    <w:rsid w:val="006022E1"/>
    <w:rsid w:val="006027EE"/>
    <w:rsid w:val="006028F7"/>
    <w:rsid w:val="006028FF"/>
    <w:rsid w:val="00602934"/>
    <w:rsid w:val="00602A4D"/>
    <w:rsid w:val="00602D07"/>
    <w:rsid w:val="00602ED6"/>
    <w:rsid w:val="006031C5"/>
    <w:rsid w:val="006031EC"/>
    <w:rsid w:val="006032C2"/>
    <w:rsid w:val="00603519"/>
    <w:rsid w:val="006038F3"/>
    <w:rsid w:val="00603A61"/>
    <w:rsid w:val="00603BF3"/>
    <w:rsid w:val="0060419E"/>
    <w:rsid w:val="006044B2"/>
    <w:rsid w:val="00604F85"/>
    <w:rsid w:val="0060516F"/>
    <w:rsid w:val="00605303"/>
    <w:rsid w:val="006057F1"/>
    <w:rsid w:val="006058EA"/>
    <w:rsid w:val="00605A91"/>
    <w:rsid w:val="00605CAB"/>
    <w:rsid w:val="00605E84"/>
    <w:rsid w:val="006060FB"/>
    <w:rsid w:val="006060FF"/>
    <w:rsid w:val="0060658B"/>
    <w:rsid w:val="00606B48"/>
    <w:rsid w:val="00606BA3"/>
    <w:rsid w:val="00606F84"/>
    <w:rsid w:val="006073B6"/>
    <w:rsid w:val="00607702"/>
    <w:rsid w:val="00607F82"/>
    <w:rsid w:val="00610428"/>
    <w:rsid w:val="0061089E"/>
    <w:rsid w:val="006108A5"/>
    <w:rsid w:val="00610AA9"/>
    <w:rsid w:val="00610C31"/>
    <w:rsid w:val="006111A5"/>
    <w:rsid w:val="00611297"/>
    <w:rsid w:val="0061162D"/>
    <w:rsid w:val="006116BC"/>
    <w:rsid w:val="006121FF"/>
    <w:rsid w:val="006126FF"/>
    <w:rsid w:val="0061286B"/>
    <w:rsid w:val="00612BAA"/>
    <w:rsid w:val="00612C49"/>
    <w:rsid w:val="00612E2A"/>
    <w:rsid w:val="0061301D"/>
    <w:rsid w:val="006131FC"/>
    <w:rsid w:val="006134BB"/>
    <w:rsid w:val="00613A1E"/>
    <w:rsid w:val="00613A9E"/>
    <w:rsid w:val="00613FE1"/>
    <w:rsid w:val="0061449F"/>
    <w:rsid w:val="00614653"/>
    <w:rsid w:val="006149A4"/>
    <w:rsid w:val="00614D99"/>
    <w:rsid w:val="00614E6A"/>
    <w:rsid w:val="00614F6C"/>
    <w:rsid w:val="00615CD7"/>
    <w:rsid w:val="00615CE4"/>
    <w:rsid w:val="00615D2B"/>
    <w:rsid w:val="00616237"/>
    <w:rsid w:val="00616457"/>
    <w:rsid w:val="006165B2"/>
    <w:rsid w:val="006167FC"/>
    <w:rsid w:val="00616D78"/>
    <w:rsid w:val="00616D96"/>
    <w:rsid w:val="00616FE3"/>
    <w:rsid w:val="00617365"/>
    <w:rsid w:val="006176D4"/>
    <w:rsid w:val="006176E0"/>
    <w:rsid w:val="006176F3"/>
    <w:rsid w:val="00617836"/>
    <w:rsid w:val="00617A68"/>
    <w:rsid w:val="00617CBA"/>
    <w:rsid w:val="00617ED5"/>
    <w:rsid w:val="00617FBE"/>
    <w:rsid w:val="00620089"/>
    <w:rsid w:val="0062081A"/>
    <w:rsid w:val="00620FCD"/>
    <w:rsid w:val="0062133F"/>
    <w:rsid w:val="00621A46"/>
    <w:rsid w:val="00621E05"/>
    <w:rsid w:val="0062219C"/>
    <w:rsid w:val="00622549"/>
    <w:rsid w:val="00622B42"/>
    <w:rsid w:val="00623124"/>
    <w:rsid w:val="006232CD"/>
    <w:rsid w:val="00623372"/>
    <w:rsid w:val="006234F3"/>
    <w:rsid w:val="00623730"/>
    <w:rsid w:val="00623793"/>
    <w:rsid w:val="006238B8"/>
    <w:rsid w:val="00623BDB"/>
    <w:rsid w:val="006240D5"/>
    <w:rsid w:val="0062437A"/>
    <w:rsid w:val="00624452"/>
    <w:rsid w:val="00624647"/>
    <w:rsid w:val="00624965"/>
    <w:rsid w:val="00625347"/>
    <w:rsid w:val="0062544A"/>
    <w:rsid w:val="00625DA9"/>
    <w:rsid w:val="0062648B"/>
    <w:rsid w:val="00626E3E"/>
    <w:rsid w:val="00626FFD"/>
    <w:rsid w:val="00627378"/>
    <w:rsid w:val="00627585"/>
    <w:rsid w:val="00627AF3"/>
    <w:rsid w:val="0063050E"/>
    <w:rsid w:val="00630B7A"/>
    <w:rsid w:val="00630D1E"/>
    <w:rsid w:val="006310E0"/>
    <w:rsid w:val="00631456"/>
    <w:rsid w:val="00631502"/>
    <w:rsid w:val="0063186F"/>
    <w:rsid w:val="00631C7B"/>
    <w:rsid w:val="006324D2"/>
    <w:rsid w:val="006328C7"/>
    <w:rsid w:val="00632BDC"/>
    <w:rsid w:val="00632C5F"/>
    <w:rsid w:val="00633409"/>
    <w:rsid w:val="00633923"/>
    <w:rsid w:val="00633A26"/>
    <w:rsid w:val="00633B39"/>
    <w:rsid w:val="00633CC9"/>
    <w:rsid w:val="00634357"/>
    <w:rsid w:val="00634AB3"/>
    <w:rsid w:val="00634B66"/>
    <w:rsid w:val="00634B7D"/>
    <w:rsid w:val="00634D34"/>
    <w:rsid w:val="006351E0"/>
    <w:rsid w:val="0063520B"/>
    <w:rsid w:val="00635E0F"/>
    <w:rsid w:val="006360FA"/>
    <w:rsid w:val="00636181"/>
    <w:rsid w:val="006366B8"/>
    <w:rsid w:val="00636741"/>
    <w:rsid w:val="00636898"/>
    <w:rsid w:val="00636BDA"/>
    <w:rsid w:val="00636DAE"/>
    <w:rsid w:val="006371EA"/>
    <w:rsid w:val="006377E9"/>
    <w:rsid w:val="00637B1D"/>
    <w:rsid w:val="00637EAC"/>
    <w:rsid w:val="00640031"/>
    <w:rsid w:val="006401C3"/>
    <w:rsid w:val="006403DA"/>
    <w:rsid w:val="0064061B"/>
    <w:rsid w:val="006407F0"/>
    <w:rsid w:val="006409CF"/>
    <w:rsid w:val="00640B0E"/>
    <w:rsid w:val="00640DF8"/>
    <w:rsid w:val="00640F88"/>
    <w:rsid w:val="006412EE"/>
    <w:rsid w:val="00641312"/>
    <w:rsid w:val="00641396"/>
    <w:rsid w:val="00641AF5"/>
    <w:rsid w:val="00641AF6"/>
    <w:rsid w:val="00641EB9"/>
    <w:rsid w:val="00642197"/>
    <w:rsid w:val="00642271"/>
    <w:rsid w:val="00642710"/>
    <w:rsid w:val="00642777"/>
    <w:rsid w:val="0064287C"/>
    <w:rsid w:val="00642E38"/>
    <w:rsid w:val="00642EEC"/>
    <w:rsid w:val="00643075"/>
    <w:rsid w:val="006434E5"/>
    <w:rsid w:val="00643DB7"/>
    <w:rsid w:val="00643E13"/>
    <w:rsid w:val="00644883"/>
    <w:rsid w:val="006448A1"/>
    <w:rsid w:val="00644954"/>
    <w:rsid w:val="006449F8"/>
    <w:rsid w:val="00644C33"/>
    <w:rsid w:val="00644E90"/>
    <w:rsid w:val="00645088"/>
    <w:rsid w:val="00645CF1"/>
    <w:rsid w:val="00646784"/>
    <w:rsid w:val="0064684E"/>
    <w:rsid w:val="00646D58"/>
    <w:rsid w:val="00646EDA"/>
    <w:rsid w:val="006470AE"/>
    <w:rsid w:val="00647400"/>
    <w:rsid w:val="0064759A"/>
    <w:rsid w:val="0064796F"/>
    <w:rsid w:val="00650315"/>
    <w:rsid w:val="00650750"/>
    <w:rsid w:val="00650C6D"/>
    <w:rsid w:val="00650F4B"/>
    <w:rsid w:val="00651076"/>
    <w:rsid w:val="006512F2"/>
    <w:rsid w:val="0065193F"/>
    <w:rsid w:val="00651B98"/>
    <w:rsid w:val="00651BDC"/>
    <w:rsid w:val="00651CC0"/>
    <w:rsid w:val="00651CF8"/>
    <w:rsid w:val="00651FEC"/>
    <w:rsid w:val="00652079"/>
    <w:rsid w:val="00652D9D"/>
    <w:rsid w:val="00653070"/>
    <w:rsid w:val="00653462"/>
    <w:rsid w:val="00653AAE"/>
    <w:rsid w:val="00653C47"/>
    <w:rsid w:val="00653E05"/>
    <w:rsid w:val="00654873"/>
    <w:rsid w:val="006550AA"/>
    <w:rsid w:val="00655298"/>
    <w:rsid w:val="006553B1"/>
    <w:rsid w:val="006554FC"/>
    <w:rsid w:val="00655563"/>
    <w:rsid w:val="0065590C"/>
    <w:rsid w:val="00655C16"/>
    <w:rsid w:val="0065618A"/>
    <w:rsid w:val="006562C3"/>
    <w:rsid w:val="0065662A"/>
    <w:rsid w:val="0065670B"/>
    <w:rsid w:val="00656A30"/>
    <w:rsid w:val="00656EB5"/>
    <w:rsid w:val="00657342"/>
    <w:rsid w:val="0065774A"/>
    <w:rsid w:val="00657CB0"/>
    <w:rsid w:val="00657D4D"/>
    <w:rsid w:val="00660041"/>
    <w:rsid w:val="0066035D"/>
    <w:rsid w:val="00660927"/>
    <w:rsid w:val="006612DC"/>
    <w:rsid w:val="00661393"/>
    <w:rsid w:val="0066146A"/>
    <w:rsid w:val="00661E31"/>
    <w:rsid w:val="00662360"/>
    <w:rsid w:val="00662882"/>
    <w:rsid w:val="00663B04"/>
    <w:rsid w:val="00663E1B"/>
    <w:rsid w:val="006643F3"/>
    <w:rsid w:val="00664473"/>
    <w:rsid w:val="00664B44"/>
    <w:rsid w:val="006654A3"/>
    <w:rsid w:val="00665526"/>
    <w:rsid w:val="00665878"/>
    <w:rsid w:val="006658A1"/>
    <w:rsid w:val="00665D30"/>
    <w:rsid w:val="00665E87"/>
    <w:rsid w:val="0066638C"/>
    <w:rsid w:val="0066691C"/>
    <w:rsid w:val="00666CC8"/>
    <w:rsid w:val="00666E38"/>
    <w:rsid w:val="00667460"/>
    <w:rsid w:val="006674C8"/>
    <w:rsid w:val="0066788A"/>
    <w:rsid w:val="00667B24"/>
    <w:rsid w:val="00667B56"/>
    <w:rsid w:val="00667B76"/>
    <w:rsid w:val="0067041A"/>
    <w:rsid w:val="006704FD"/>
    <w:rsid w:val="00670706"/>
    <w:rsid w:val="006707FE"/>
    <w:rsid w:val="00670A6A"/>
    <w:rsid w:val="00670D61"/>
    <w:rsid w:val="00670FFE"/>
    <w:rsid w:val="0067121A"/>
    <w:rsid w:val="0067138C"/>
    <w:rsid w:val="006713D6"/>
    <w:rsid w:val="006717DE"/>
    <w:rsid w:val="00672A87"/>
    <w:rsid w:val="00672AFD"/>
    <w:rsid w:val="00672D42"/>
    <w:rsid w:val="0067331A"/>
    <w:rsid w:val="00673346"/>
    <w:rsid w:val="006735EF"/>
    <w:rsid w:val="00673897"/>
    <w:rsid w:val="00673C21"/>
    <w:rsid w:val="006747DE"/>
    <w:rsid w:val="00675AAE"/>
    <w:rsid w:val="006760BF"/>
    <w:rsid w:val="0067618F"/>
    <w:rsid w:val="0067646B"/>
    <w:rsid w:val="006764C7"/>
    <w:rsid w:val="00676595"/>
    <w:rsid w:val="006767B4"/>
    <w:rsid w:val="00676D88"/>
    <w:rsid w:val="00676D8F"/>
    <w:rsid w:val="00676F94"/>
    <w:rsid w:val="00677607"/>
    <w:rsid w:val="00677858"/>
    <w:rsid w:val="00677EFD"/>
    <w:rsid w:val="0068014A"/>
    <w:rsid w:val="0068016E"/>
    <w:rsid w:val="006807A0"/>
    <w:rsid w:val="00680970"/>
    <w:rsid w:val="00681080"/>
    <w:rsid w:val="006811B1"/>
    <w:rsid w:val="006811E5"/>
    <w:rsid w:val="006814A0"/>
    <w:rsid w:val="00681AF7"/>
    <w:rsid w:val="0068206D"/>
    <w:rsid w:val="006820EF"/>
    <w:rsid w:val="00682A7F"/>
    <w:rsid w:val="00682E7A"/>
    <w:rsid w:val="00683071"/>
    <w:rsid w:val="00683125"/>
    <w:rsid w:val="00683B6B"/>
    <w:rsid w:val="00683DED"/>
    <w:rsid w:val="006840CB"/>
    <w:rsid w:val="006842FB"/>
    <w:rsid w:val="0068483B"/>
    <w:rsid w:val="00684969"/>
    <w:rsid w:val="00684A5C"/>
    <w:rsid w:val="006852A6"/>
    <w:rsid w:val="00685687"/>
    <w:rsid w:val="006859E9"/>
    <w:rsid w:val="00685B7D"/>
    <w:rsid w:val="006863C9"/>
    <w:rsid w:val="00686AE3"/>
    <w:rsid w:val="00687D6E"/>
    <w:rsid w:val="00690317"/>
    <w:rsid w:val="006905DC"/>
    <w:rsid w:val="006906E1"/>
    <w:rsid w:val="00690789"/>
    <w:rsid w:val="00690859"/>
    <w:rsid w:val="00690D05"/>
    <w:rsid w:val="00690F55"/>
    <w:rsid w:val="006910D7"/>
    <w:rsid w:val="00691739"/>
    <w:rsid w:val="00691CBF"/>
    <w:rsid w:val="00691DBE"/>
    <w:rsid w:val="006921A2"/>
    <w:rsid w:val="00692614"/>
    <w:rsid w:val="0069337C"/>
    <w:rsid w:val="0069342E"/>
    <w:rsid w:val="00693540"/>
    <w:rsid w:val="006937A7"/>
    <w:rsid w:val="006938C6"/>
    <w:rsid w:val="0069447E"/>
    <w:rsid w:val="00694609"/>
    <w:rsid w:val="0069464D"/>
    <w:rsid w:val="00694F95"/>
    <w:rsid w:val="00695227"/>
    <w:rsid w:val="0069525F"/>
    <w:rsid w:val="006955B3"/>
    <w:rsid w:val="006956F1"/>
    <w:rsid w:val="00695995"/>
    <w:rsid w:val="006959FD"/>
    <w:rsid w:val="00695A79"/>
    <w:rsid w:val="00695B21"/>
    <w:rsid w:val="00695B85"/>
    <w:rsid w:val="00695BC1"/>
    <w:rsid w:val="0069638C"/>
    <w:rsid w:val="006965BA"/>
    <w:rsid w:val="006970FF"/>
    <w:rsid w:val="0069743F"/>
    <w:rsid w:val="00697741"/>
    <w:rsid w:val="00697D5B"/>
    <w:rsid w:val="00697EFA"/>
    <w:rsid w:val="00697FAC"/>
    <w:rsid w:val="006A00D1"/>
    <w:rsid w:val="006A0133"/>
    <w:rsid w:val="006A027A"/>
    <w:rsid w:val="006A049F"/>
    <w:rsid w:val="006A051B"/>
    <w:rsid w:val="006A05E4"/>
    <w:rsid w:val="006A0AE4"/>
    <w:rsid w:val="006A123C"/>
    <w:rsid w:val="006A1609"/>
    <w:rsid w:val="006A17EE"/>
    <w:rsid w:val="006A19D8"/>
    <w:rsid w:val="006A1E07"/>
    <w:rsid w:val="006A2061"/>
    <w:rsid w:val="006A225F"/>
    <w:rsid w:val="006A2306"/>
    <w:rsid w:val="006A270A"/>
    <w:rsid w:val="006A2EFD"/>
    <w:rsid w:val="006A32E9"/>
    <w:rsid w:val="006A368C"/>
    <w:rsid w:val="006A3937"/>
    <w:rsid w:val="006A3EDA"/>
    <w:rsid w:val="006A3EF2"/>
    <w:rsid w:val="006A4017"/>
    <w:rsid w:val="006A4080"/>
    <w:rsid w:val="006A4648"/>
    <w:rsid w:val="006A4808"/>
    <w:rsid w:val="006A4B54"/>
    <w:rsid w:val="006A554F"/>
    <w:rsid w:val="006A55BF"/>
    <w:rsid w:val="006A56C7"/>
    <w:rsid w:val="006A57EE"/>
    <w:rsid w:val="006A63D2"/>
    <w:rsid w:val="006A67E6"/>
    <w:rsid w:val="006A6B34"/>
    <w:rsid w:val="006A6BF1"/>
    <w:rsid w:val="006A71A5"/>
    <w:rsid w:val="006A743E"/>
    <w:rsid w:val="006A7540"/>
    <w:rsid w:val="006A7B6F"/>
    <w:rsid w:val="006B0127"/>
    <w:rsid w:val="006B09D1"/>
    <w:rsid w:val="006B0A0E"/>
    <w:rsid w:val="006B0A22"/>
    <w:rsid w:val="006B0EFA"/>
    <w:rsid w:val="006B1096"/>
    <w:rsid w:val="006B1680"/>
    <w:rsid w:val="006B2092"/>
    <w:rsid w:val="006B217A"/>
    <w:rsid w:val="006B25DE"/>
    <w:rsid w:val="006B296D"/>
    <w:rsid w:val="006B299B"/>
    <w:rsid w:val="006B2A9B"/>
    <w:rsid w:val="006B2D3D"/>
    <w:rsid w:val="006B2F74"/>
    <w:rsid w:val="006B36BE"/>
    <w:rsid w:val="006B38D9"/>
    <w:rsid w:val="006B3ADB"/>
    <w:rsid w:val="006B3F83"/>
    <w:rsid w:val="006B4012"/>
    <w:rsid w:val="006B436B"/>
    <w:rsid w:val="006B47C5"/>
    <w:rsid w:val="006B5226"/>
    <w:rsid w:val="006B52C8"/>
    <w:rsid w:val="006B54C1"/>
    <w:rsid w:val="006B5588"/>
    <w:rsid w:val="006B58A5"/>
    <w:rsid w:val="006B58BD"/>
    <w:rsid w:val="006B5A1D"/>
    <w:rsid w:val="006B5FEC"/>
    <w:rsid w:val="006B600E"/>
    <w:rsid w:val="006B603E"/>
    <w:rsid w:val="006B6689"/>
    <w:rsid w:val="006B68EC"/>
    <w:rsid w:val="006B6D8C"/>
    <w:rsid w:val="006B6EF2"/>
    <w:rsid w:val="006B7078"/>
    <w:rsid w:val="006B7512"/>
    <w:rsid w:val="006B7DD4"/>
    <w:rsid w:val="006C0305"/>
    <w:rsid w:val="006C0716"/>
    <w:rsid w:val="006C081D"/>
    <w:rsid w:val="006C0AC9"/>
    <w:rsid w:val="006C0C48"/>
    <w:rsid w:val="006C1268"/>
    <w:rsid w:val="006C17F2"/>
    <w:rsid w:val="006C195F"/>
    <w:rsid w:val="006C1B80"/>
    <w:rsid w:val="006C1BFE"/>
    <w:rsid w:val="006C1C0B"/>
    <w:rsid w:val="006C21A0"/>
    <w:rsid w:val="006C27FF"/>
    <w:rsid w:val="006C2882"/>
    <w:rsid w:val="006C2AB8"/>
    <w:rsid w:val="006C2B7E"/>
    <w:rsid w:val="006C2C05"/>
    <w:rsid w:val="006C328C"/>
    <w:rsid w:val="006C3488"/>
    <w:rsid w:val="006C39BF"/>
    <w:rsid w:val="006C3B09"/>
    <w:rsid w:val="006C3B4D"/>
    <w:rsid w:val="006C3DC6"/>
    <w:rsid w:val="006C4135"/>
    <w:rsid w:val="006C4361"/>
    <w:rsid w:val="006C4611"/>
    <w:rsid w:val="006C46B4"/>
    <w:rsid w:val="006C477E"/>
    <w:rsid w:val="006C48A3"/>
    <w:rsid w:val="006C5412"/>
    <w:rsid w:val="006C5452"/>
    <w:rsid w:val="006C547D"/>
    <w:rsid w:val="006C59B8"/>
    <w:rsid w:val="006C5C64"/>
    <w:rsid w:val="006C5DE4"/>
    <w:rsid w:val="006C6056"/>
    <w:rsid w:val="006C6250"/>
    <w:rsid w:val="006C6461"/>
    <w:rsid w:val="006C6753"/>
    <w:rsid w:val="006C6858"/>
    <w:rsid w:val="006C6D26"/>
    <w:rsid w:val="006C6EDB"/>
    <w:rsid w:val="006C6EFF"/>
    <w:rsid w:val="006C70A9"/>
    <w:rsid w:val="006C7131"/>
    <w:rsid w:val="006C76B3"/>
    <w:rsid w:val="006C76F7"/>
    <w:rsid w:val="006C7AFE"/>
    <w:rsid w:val="006C7BDE"/>
    <w:rsid w:val="006C7C89"/>
    <w:rsid w:val="006C7F60"/>
    <w:rsid w:val="006D027C"/>
    <w:rsid w:val="006D0572"/>
    <w:rsid w:val="006D0C67"/>
    <w:rsid w:val="006D10D6"/>
    <w:rsid w:val="006D146D"/>
    <w:rsid w:val="006D1693"/>
    <w:rsid w:val="006D1F3D"/>
    <w:rsid w:val="006D1F44"/>
    <w:rsid w:val="006D2479"/>
    <w:rsid w:val="006D258E"/>
    <w:rsid w:val="006D2705"/>
    <w:rsid w:val="006D2B37"/>
    <w:rsid w:val="006D2CC3"/>
    <w:rsid w:val="006D2D2C"/>
    <w:rsid w:val="006D2F48"/>
    <w:rsid w:val="006D30DA"/>
    <w:rsid w:val="006D3294"/>
    <w:rsid w:val="006D3603"/>
    <w:rsid w:val="006D36F0"/>
    <w:rsid w:val="006D3A11"/>
    <w:rsid w:val="006D43A6"/>
    <w:rsid w:val="006D45CC"/>
    <w:rsid w:val="006D4797"/>
    <w:rsid w:val="006D479C"/>
    <w:rsid w:val="006D48C7"/>
    <w:rsid w:val="006D48DB"/>
    <w:rsid w:val="006D49D7"/>
    <w:rsid w:val="006D4A07"/>
    <w:rsid w:val="006D4BE5"/>
    <w:rsid w:val="006D4D71"/>
    <w:rsid w:val="006D4ED2"/>
    <w:rsid w:val="006D4F42"/>
    <w:rsid w:val="006D51C5"/>
    <w:rsid w:val="006D5330"/>
    <w:rsid w:val="006D5606"/>
    <w:rsid w:val="006D56DD"/>
    <w:rsid w:val="006D60D5"/>
    <w:rsid w:val="006D62D0"/>
    <w:rsid w:val="006D6648"/>
    <w:rsid w:val="006D66AA"/>
    <w:rsid w:val="006D66BA"/>
    <w:rsid w:val="006D6B52"/>
    <w:rsid w:val="006D6C0E"/>
    <w:rsid w:val="006D7038"/>
    <w:rsid w:val="006D70B8"/>
    <w:rsid w:val="006D7767"/>
    <w:rsid w:val="006D7AE3"/>
    <w:rsid w:val="006D7B3F"/>
    <w:rsid w:val="006D7D80"/>
    <w:rsid w:val="006E010E"/>
    <w:rsid w:val="006E03FE"/>
    <w:rsid w:val="006E056D"/>
    <w:rsid w:val="006E0DFA"/>
    <w:rsid w:val="006E1372"/>
    <w:rsid w:val="006E1494"/>
    <w:rsid w:val="006E207A"/>
    <w:rsid w:val="006E2250"/>
    <w:rsid w:val="006E29B8"/>
    <w:rsid w:val="006E2E3F"/>
    <w:rsid w:val="006E2EA6"/>
    <w:rsid w:val="006E3276"/>
    <w:rsid w:val="006E3D32"/>
    <w:rsid w:val="006E3E09"/>
    <w:rsid w:val="006E468D"/>
    <w:rsid w:val="006E51DF"/>
    <w:rsid w:val="006E5372"/>
    <w:rsid w:val="006E56C4"/>
    <w:rsid w:val="006E59FF"/>
    <w:rsid w:val="006E5A57"/>
    <w:rsid w:val="006E62C7"/>
    <w:rsid w:val="006E6AFA"/>
    <w:rsid w:val="006E6B83"/>
    <w:rsid w:val="006E6D93"/>
    <w:rsid w:val="006E6F29"/>
    <w:rsid w:val="006E6F58"/>
    <w:rsid w:val="006E730A"/>
    <w:rsid w:val="006E7402"/>
    <w:rsid w:val="006E7852"/>
    <w:rsid w:val="006E7925"/>
    <w:rsid w:val="006E7A30"/>
    <w:rsid w:val="006E7BA8"/>
    <w:rsid w:val="006F04A4"/>
    <w:rsid w:val="006F0586"/>
    <w:rsid w:val="006F0609"/>
    <w:rsid w:val="006F0C2B"/>
    <w:rsid w:val="006F0C58"/>
    <w:rsid w:val="006F0DD2"/>
    <w:rsid w:val="006F1080"/>
    <w:rsid w:val="006F1109"/>
    <w:rsid w:val="006F14BB"/>
    <w:rsid w:val="006F1F4D"/>
    <w:rsid w:val="006F1F88"/>
    <w:rsid w:val="006F1FB2"/>
    <w:rsid w:val="006F20B5"/>
    <w:rsid w:val="006F25FD"/>
    <w:rsid w:val="006F2982"/>
    <w:rsid w:val="006F2ABD"/>
    <w:rsid w:val="006F2D10"/>
    <w:rsid w:val="006F2D7A"/>
    <w:rsid w:val="006F3262"/>
    <w:rsid w:val="006F3582"/>
    <w:rsid w:val="006F360A"/>
    <w:rsid w:val="006F3665"/>
    <w:rsid w:val="006F36C9"/>
    <w:rsid w:val="006F39F0"/>
    <w:rsid w:val="006F3D0A"/>
    <w:rsid w:val="006F3FA7"/>
    <w:rsid w:val="006F4B32"/>
    <w:rsid w:val="006F4FA8"/>
    <w:rsid w:val="006F516B"/>
    <w:rsid w:val="006F535C"/>
    <w:rsid w:val="006F5417"/>
    <w:rsid w:val="006F5434"/>
    <w:rsid w:val="006F558C"/>
    <w:rsid w:val="006F5D04"/>
    <w:rsid w:val="006F5F8C"/>
    <w:rsid w:val="006F60D1"/>
    <w:rsid w:val="006F6242"/>
    <w:rsid w:val="006F629F"/>
    <w:rsid w:val="006F65C5"/>
    <w:rsid w:val="006F6A68"/>
    <w:rsid w:val="006F7A67"/>
    <w:rsid w:val="006F7D2D"/>
    <w:rsid w:val="006F7E34"/>
    <w:rsid w:val="006F7FB8"/>
    <w:rsid w:val="00700067"/>
    <w:rsid w:val="0070018A"/>
    <w:rsid w:val="007002E2"/>
    <w:rsid w:val="007006D1"/>
    <w:rsid w:val="00700AB2"/>
    <w:rsid w:val="00700D25"/>
    <w:rsid w:val="00701759"/>
    <w:rsid w:val="007018CC"/>
    <w:rsid w:val="00701980"/>
    <w:rsid w:val="00701D7D"/>
    <w:rsid w:val="007020DF"/>
    <w:rsid w:val="007022F9"/>
    <w:rsid w:val="007026E9"/>
    <w:rsid w:val="007038B4"/>
    <w:rsid w:val="00703A8A"/>
    <w:rsid w:val="00703B11"/>
    <w:rsid w:val="007046F5"/>
    <w:rsid w:val="00705051"/>
    <w:rsid w:val="00705107"/>
    <w:rsid w:val="007059FD"/>
    <w:rsid w:val="00705B32"/>
    <w:rsid w:val="00706071"/>
    <w:rsid w:val="0070666B"/>
    <w:rsid w:val="0070677F"/>
    <w:rsid w:val="0070687C"/>
    <w:rsid w:val="00706A04"/>
    <w:rsid w:val="00706CB8"/>
    <w:rsid w:val="0070750A"/>
    <w:rsid w:val="007076FD"/>
    <w:rsid w:val="007100AC"/>
    <w:rsid w:val="00710574"/>
    <w:rsid w:val="00710924"/>
    <w:rsid w:val="00710A6C"/>
    <w:rsid w:val="00710B67"/>
    <w:rsid w:val="00710C9E"/>
    <w:rsid w:val="00710CAE"/>
    <w:rsid w:val="007116C0"/>
    <w:rsid w:val="00711CF2"/>
    <w:rsid w:val="00712C5E"/>
    <w:rsid w:val="00712D8D"/>
    <w:rsid w:val="00712E52"/>
    <w:rsid w:val="00713348"/>
    <w:rsid w:val="00713547"/>
    <w:rsid w:val="007138F5"/>
    <w:rsid w:val="007139D2"/>
    <w:rsid w:val="00713A19"/>
    <w:rsid w:val="00713C0F"/>
    <w:rsid w:val="00713DD9"/>
    <w:rsid w:val="00713F6F"/>
    <w:rsid w:val="007140B5"/>
    <w:rsid w:val="007143AF"/>
    <w:rsid w:val="00714C42"/>
    <w:rsid w:val="00715294"/>
    <w:rsid w:val="00715416"/>
    <w:rsid w:val="00715741"/>
    <w:rsid w:val="00715B9C"/>
    <w:rsid w:val="00715C5A"/>
    <w:rsid w:val="00715E76"/>
    <w:rsid w:val="0071610D"/>
    <w:rsid w:val="007164FF"/>
    <w:rsid w:val="00716A32"/>
    <w:rsid w:val="0071733B"/>
    <w:rsid w:val="00717341"/>
    <w:rsid w:val="00717695"/>
    <w:rsid w:val="00717744"/>
    <w:rsid w:val="00717AB7"/>
    <w:rsid w:val="00717C98"/>
    <w:rsid w:val="007204AF"/>
    <w:rsid w:val="007205F2"/>
    <w:rsid w:val="00720A67"/>
    <w:rsid w:val="00720C1C"/>
    <w:rsid w:val="00720CA0"/>
    <w:rsid w:val="00721215"/>
    <w:rsid w:val="007217E1"/>
    <w:rsid w:val="00721D00"/>
    <w:rsid w:val="00721FC7"/>
    <w:rsid w:val="007221CA"/>
    <w:rsid w:val="00722633"/>
    <w:rsid w:val="00722A68"/>
    <w:rsid w:val="00722B63"/>
    <w:rsid w:val="00723152"/>
    <w:rsid w:val="007231F2"/>
    <w:rsid w:val="007234A9"/>
    <w:rsid w:val="007236CB"/>
    <w:rsid w:val="007238C7"/>
    <w:rsid w:val="00723E34"/>
    <w:rsid w:val="00723E50"/>
    <w:rsid w:val="00723E8F"/>
    <w:rsid w:val="00723F14"/>
    <w:rsid w:val="007242AA"/>
    <w:rsid w:val="00724369"/>
    <w:rsid w:val="00724CF0"/>
    <w:rsid w:val="007250B0"/>
    <w:rsid w:val="00725193"/>
    <w:rsid w:val="007251D5"/>
    <w:rsid w:val="007255C9"/>
    <w:rsid w:val="00725C5C"/>
    <w:rsid w:val="00726A86"/>
    <w:rsid w:val="0072711E"/>
    <w:rsid w:val="007279B2"/>
    <w:rsid w:val="00727B5E"/>
    <w:rsid w:val="00727C06"/>
    <w:rsid w:val="0073034B"/>
    <w:rsid w:val="00730AB8"/>
    <w:rsid w:val="00730E96"/>
    <w:rsid w:val="00730F41"/>
    <w:rsid w:val="00731409"/>
    <w:rsid w:val="007318BA"/>
    <w:rsid w:val="007319C8"/>
    <w:rsid w:val="00731A81"/>
    <w:rsid w:val="00731FFC"/>
    <w:rsid w:val="00732108"/>
    <w:rsid w:val="00732175"/>
    <w:rsid w:val="00732302"/>
    <w:rsid w:val="007323AC"/>
    <w:rsid w:val="00732699"/>
    <w:rsid w:val="00732C93"/>
    <w:rsid w:val="00732E08"/>
    <w:rsid w:val="00733449"/>
    <w:rsid w:val="00733738"/>
    <w:rsid w:val="0073392E"/>
    <w:rsid w:val="00733961"/>
    <w:rsid w:val="00733968"/>
    <w:rsid w:val="007340EB"/>
    <w:rsid w:val="00734213"/>
    <w:rsid w:val="00734385"/>
    <w:rsid w:val="0073475A"/>
    <w:rsid w:val="00735344"/>
    <w:rsid w:val="007353FB"/>
    <w:rsid w:val="00735417"/>
    <w:rsid w:val="007355A6"/>
    <w:rsid w:val="007357B9"/>
    <w:rsid w:val="007357D7"/>
    <w:rsid w:val="00735874"/>
    <w:rsid w:val="00735A57"/>
    <w:rsid w:val="00735D75"/>
    <w:rsid w:val="00735FA6"/>
    <w:rsid w:val="00736276"/>
    <w:rsid w:val="007369AB"/>
    <w:rsid w:val="00736F2E"/>
    <w:rsid w:val="00737366"/>
    <w:rsid w:val="0073792C"/>
    <w:rsid w:val="00737C90"/>
    <w:rsid w:val="00737DE1"/>
    <w:rsid w:val="00740790"/>
    <w:rsid w:val="007409BD"/>
    <w:rsid w:val="00740C1D"/>
    <w:rsid w:val="0074125E"/>
    <w:rsid w:val="007412CF"/>
    <w:rsid w:val="00741328"/>
    <w:rsid w:val="007415BB"/>
    <w:rsid w:val="00741BE5"/>
    <w:rsid w:val="0074203A"/>
    <w:rsid w:val="0074248D"/>
    <w:rsid w:val="00742569"/>
    <w:rsid w:val="0074262D"/>
    <w:rsid w:val="00742F0E"/>
    <w:rsid w:val="00742F5C"/>
    <w:rsid w:val="00743B42"/>
    <w:rsid w:val="00743DE3"/>
    <w:rsid w:val="00744351"/>
    <w:rsid w:val="007444ED"/>
    <w:rsid w:val="00744715"/>
    <w:rsid w:val="00744859"/>
    <w:rsid w:val="00744F4B"/>
    <w:rsid w:val="007451AA"/>
    <w:rsid w:val="00745426"/>
    <w:rsid w:val="00745573"/>
    <w:rsid w:val="00745574"/>
    <w:rsid w:val="0074566D"/>
    <w:rsid w:val="00745E21"/>
    <w:rsid w:val="00745FFA"/>
    <w:rsid w:val="00746413"/>
    <w:rsid w:val="00746C85"/>
    <w:rsid w:val="00746EE7"/>
    <w:rsid w:val="00746FA0"/>
    <w:rsid w:val="007474F8"/>
    <w:rsid w:val="0074756D"/>
    <w:rsid w:val="007478B4"/>
    <w:rsid w:val="00747A9A"/>
    <w:rsid w:val="00747AF0"/>
    <w:rsid w:val="00747B6C"/>
    <w:rsid w:val="00747C51"/>
    <w:rsid w:val="007501A1"/>
    <w:rsid w:val="0075047D"/>
    <w:rsid w:val="00750484"/>
    <w:rsid w:val="00751222"/>
    <w:rsid w:val="00751834"/>
    <w:rsid w:val="00751B49"/>
    <w:rsid w:val="00751CA5"/>
    <w:rsid w:val="00751ED7"/>
    <w:rsid w:val="00752450"/>
    <w:rsid w:val="007526EA"/>
    <w:rsid w:val="00752727"/>
    <w:rsid w:val="007528ED"/>
    <w:rsid w:val="007531D9"/>
    <w:rsid w:val="00753341"/>
    <w:rsid w:val="0075347B"/>
    <w:rsid w:val="0075364D"/>
    <w:rsid w:val="007536E3"/>
    <w:rsid w:val="00753710"/>
    <w:rsid w:val="00753A3E"/>
    <w:rsid w:val="00753AEA"/>
    <w:rsid w:val="00753C6D"/>
    <w:rsid w:val="00753CAF"/>
    <w:rsid w:val="00753F37"/>
    <w:rsid w:val="0075408A"/>
    <w:rsid w:val="00754121"/>
    <w:rsid w:val="00754143"/>
    <w:rsid w:val="00754805"/>
    <w:rsid w:val="007549EE"/>
    <w:rsid w:val="00754C2D"/>
    <w:rsid w:val="0075538F"/>
    <w:rsid w:val="00755CAA"/>
    <w:rsid w:val="007563E3"/>
    <w:rsid w:val="007565FC"/>
    <w:rsid w:val="007567A9"/>
    <w:rsid w:val="00756B9B"/>
    <w:rsid w:val="00756FC3"/>
    <w:rsid w:val="00757064"/>
    <w:rsid w:val="007570CD"/>
    <w:rsid w:val="007571A6"/>
    <w:rsid w:val="00757316"/>
    <w:rsid w:val="007575CF"/>
    <w:rsid w:val="007577C1"/>
    <w:rsid w:val="0076010E"/>
    <w:rsid w:val="00760386"/>
    <w:rsid w:val="0076071E"/>
    <w:rsid w:val="007609C3"/>
    <w:rsid w:val="00761208"/>
    <w:rsid w:val="00761311"/>
    <w:rsid w:val="00761363"/>
    <w:rsid w:val="0076161F"/>
    <w:rsid w:val="00761793"/>
    <w:rsid w:val="00761964"/>
    <w:rsid w:val="00761CF1"/>
    <w:rsid w:val="00761D9D"/>
    <w:rsid w:val="00761EC2"/>
    <w:rsid w:val="007620C9"/>
    <w:rsid w:val="00762617"/>
    <w:rsid w:val="007628FD"/>
    <w:rsid w:val="00762BBF"/>
    <w:rsid w:val="007630DB"/>
    <w:rsid w:val="007631DA"/>
    <w:rsid w:val="00763364"/>
    <w:rsid w:val="00763A89"/>
    <w:rsid w:val="00763B92"/>
    <w:rsid w:val="00763D22"/>
    <w:rsid w:val="00763E08"/>
    <w:rsid w:val="00763F69"/>
    <w:rsid w:val="007645CD"/>
    <w:rsid w:val="0076490E"/>
    <w:rsid w:val="00764BA4"/>
    <w:rsid w:val="00764EE5"/>
    <w:rsid w:val="00764F0F"/>
    <w:rsid w:val="0076541B"/>
    <w:rsid w:val="0076545B"/>
    <w:rsid w:val="00765955"/>
    <w:rsid w:val="007659F7"/>
    <w:rsid w:val="00765D99"/>
    <w:rsid w:val="00765DE5"/>
    <w:rsid w:val="00765F68"/>
    <w:rsid w:val="00766125"/>
    <w:rsid w:val="0076625A"/>
    <w:rsid w:val="007665C2"/>
    <w:rsid w:val="00766AF7"/>
    <w:rsid w:val="00766F82"/>
    <w:rsid w:val="0076770C"/>
    <w:rsid w:val="00767DD1"/>
    <w:rsid w:val="00767FC3"/>
    <w:rsid w:val="007700A3"/>
    <w:rsid w:val="00770351"/>
    <w:rsid w:val="00770796"/>
    <w:rsid w:val="00770D01"/>
    <w:rsid w:val="00771016"/>
    <w:rsid w:val="007711AE"/>
    <w:rsid w:val="0077173B"/>
    <w:rsid w:val="00771B73"/>
    <w:rsid w:val="00771F30"/>
    <w:rsid w:val="007721A2"/>
    <w:rsid w:val="0077251A"/>
    <w:rsid w:val="007726FC"/>
    <w:rsid w:val="007728FE"/>
    <w:rsid w:val="00772A44"/>
    <w:rsid w:val="00772D5C"/>
    <w:rsid w:val="00772EDF"/>
    <w:rsid w:val="00773027"/>
    <w:rsid w:val="0077357B"/>
    <w:rsid w:val="00773DFE"/>
    <w:rsid w:val="00773E76"/>
    <w:rsid w:val="00774000"/>
    <w:rsid w:val="007743D8"/>
    <w:rsid w:val="00774561"/>
    <w:rsid w:val="00774682"/>
    <w:rsid w:val="00774890"/>
    <w:rsid w:val="00774B99"/>
    <w:rsid w:val="00774DB9"/>
    <w:rsid w:val="00774ED6"/>
    <w:rsid w:val="00774F04"/>
    <w:rsid w:val="007757F0"/>
    <w:rsid w:val="00775898"/>
    <w:rsid w:val="00775E85"/>
    <w:rsid w:val="00775E86"/>
    <w:rsid w:val="00776188"/>
    <w:rsid w:val="007766B2"/>
    <w:rsid w:val="007769DC"/>
    <w:rsid w:val="00776AB2"/>
    <w:rsid w:val="00776B47"/>
    <w:rsid w:val="00776ECA"/>
    <w:rsid w:val="0077701D"/>
    <w:rsid w:val="007770DF"/>
    <w:rsid w:val="00777A44"/>
    <w:rsid w:val="00777B6E"/>
    <w:rsid w:val="00777E25"/>
    <w:rsid w:val="00777F33"/>
    <w:rsid w:val="0078008C"/>
    <w:rsid w:val="0078061C"/>
    <w:rsid w:val="00780B6F"/>
    <w:rsid w:val="00780F76"/>
    <w:rsid w:val="007816CE"/>
    <w:rsid w:val="007818D8"/>
    <w:rsid w:val="007819E0"/>
    <w:rsid w:val="00781B8E"/>
    <w:rsid w:val="00781FC8"/>
    <w:rsid w:val="00781FFA"/>
    <w:rsid w:val="0078221C"/>
    <w:rsid w:val="00782719"/>
    <w:rsid w:val="007831FD"/>
    <w:rsid w:val="0078334B"/>
    <w:rsid w:val="00783936"/>
    <w:rsid w:val="00783B3A"/>
    <w:rsid w:val="00783D9F"/>
    <w:rsid w:val="00783E4C"/>
    <w:rsid w:val="0078435B"/>
    <w:rsid w:val="007844B8"/>
    <w:rsid w:val="007845BE"/>
    <w:rsid w:val="00784609"/>
    <w:rsid w:val="00784757"/>
    <w:rsid w:val="00784849"/>
    <w:rsid w:val="007850BE"/>
    <w:rsid w:val="007851F2"/>
    <w:rsid w:val="00785549"/>
    <w:rsid w:val="00785608"/>
    <w:rsid w:val="007857E8"/>
    <w:rsid w:val="007859B0"/>
    <w:rsid w:val="00785B50"/>
    <w:rsid w:val="00786A6D"/>
    <w:rsid w:val="00786CA9"/>
    <w:rsid w:val="00786F92"/>
    <w:rsid w:val="00787061"/>
    <w:rsid w:val="00787189"/>
    <w:rsid w:val="00787746"/>
    <w:rsid w:val="007878CC"/>
    <w:rsid w:val="00787A70"/>
    <w:rsid w:val="00787B04"/>
    <w:rsid w:val="00787E0F"/>
    <w:rsid w:val="00790145"/>
    <w:rsid w:val="0079051E"/>
    <w:rsid w:val="00790573"/>
    <w:rsid w:val="007905B0"/>
    <w:rsid w:val="0079085F"/>
    <w:rsid w:val="00790CBB"/>
    <w:rsid w:val="00790D8F"/>
    <w:rsid w:val="0079101F"/>
    <w:rsid w:val="007922AF"/>
    <w:rsid w:val="007925DB"/>
    <w:rsid w:val="007927EE"/>
    <w:rsid w:val="00792803"/>
    <w:rsid w:val="00792A65"/>
    <w:rsid w:val="0079327D"/>
    <w:rsid w:val="00793966"/>
    <w:rsid w:val="00793E50"/>
    <w:rsid w:val="00794262"/>
    <w:rsid w:val="0079436B"/>
    <w:rsid w:val="00794A04"/>
    <w:rsid w:val="00794A11"/>
    <w:rsid w:val="00794DF2"/>
    <w:rsid w:val="00794FC9"/>
    <w:rsid w:val="007951F7"/>
    <w:rsid w:val="007952CB"/>
    <w:rsid w:val="007959A1"/>
    <w:rsid w:val="00795B1B"/>
    <w:rsid w:val="00795FBA"/>
    <w:rsid w:val="007965F8"/>
    <w:rsid w:val="0079674B"/>
    <w:rsid w:val="00796815"/>
    <w:rsid w:val="00796E2C"/>
    <w:rsid w:val="0079700D"/>
    <w:rsid w:val="0079750E"/>
    <w:rsid w:val="007975FB"/>
    <w:rsid w:val="007978E2"/>
    <w:rsid w:val="007979C0"/>
    <w:rsid w:val="00797BA5"/>
    <w:rsid w:val="00797C98"/>
    <w:rsid w:val="007A0067"/>
    <w:rsid w:val="007A015D"/>
    <w:rsid w:val="007A03AE"/>
    <w:rsid w:val="007A0490"/>
    <w:rsid w:val="007A051E"/>
    <w:rsid w:val="007A09BE"/>
    <w:rsid w:val="007A0DD2"/>
    <w:rsid w:val="007A121F"/>
    <w:rsid w:val="007A15A8"/>
    <w:rsid w:val="007A1879"/>
    <w:rsid w:val="007A1A13"/>
    <w:rsid w:val="007A1A6C"/>
    <w:rsid w:val="007A1A79"/>
    <w:rsid w:val="007A1B9C"/>
    <w:rsid w:val="007A1F9B"/>
    <w:rsid w:val="007A26C5"/>
    <w:rsid w:val="007A26CF"/>
    <w:rsid w:val="007A2A8A"/>
    <w:rsid w:val="007A3C05"/>
    <w:rsid w:val="007A3C83"/>
    <w:rsid w:val="007A3C95"/>
    <w:rsid w:val="007A3EEC"/>
    <w:rsid w:val="007A5072"/>
    <w:rsid w:val="007A5375"/>
    <w:rsid w:val="007A53E8"/>
    <w:rsid w:val="007A58A1"/>
    <w:rsid w:val="007A5EB4"/>
    <w:rsid w:val="007A5F56"/>
    <w:rsid w:val="007A5F96"/>
    <w:rsid w:val="007A6511"/>
    <w:rsid w:val="007A664C"/>
    <w:rsid w:val="007A66BC"/>
    <w:rsid w:val="007A6AE5"/>
    <w:rsid w:val="007A6B81"/>
    <w:rsid w:val="007A6E92"/>
    <w:rsid w:val="007A7257"/>
    <w:rsid w:val="007A72DC"/>
    <w:rsid w:val="007A76EF"/>
    <w:rsid w:val="007A7974"/>
    <w:rsid w:val="007B00EA"/>
    <w:rsid w:val="007B0160"/>
    <w:rsid w:val="007B063E"/>
    <w:rsid w:val="007B0995"/>
    <w:rsid w:val="007B0A42"/>
    <w:rsid w:val="007B0F4E"/>
    <w:rsid w:val="007B1229"/>
    <w:rsid w:val="007B18DC"/>
    <w:rsid w:val="007B191C"/>
    <w:rsid w:val="007B1CFA"/>
    <w:rsid w:val="007B1E26"/>
    <w:rsid w:val="007B1E7C"/>
    <w:rsid w:val="007B2257"/>
    <w:rsid w:val="007B28CD"/>
    <w:rsid w:val="007B2DBA"/>
    <w:rsid w:val="007B2FBC"/>
    <w:rsid w:val="007B3142"/>
    <w:rsid w:val="007B3180"/>
    <w:rsid w:val="007B32AE"/>
    <w:rsid w:val="007B3444"/>
    <w:rsid w:val="007B358A"/>
    <w:rsid w:val="007B3836"/>
    <w:rsid w:val="007B3CBA"/>
    <w:rsid w:val="007B3D2A"/>
    <w:rsid w:val="007B3ECA"/>
    <w:rsid w:val="007B3F58"/>
    <w:rsid w:val="007B4806"/>
    <w:rsid w:val="007B4813"/>
    <w:rsid w:val="007B4858"/>
    <w:rsid w:val="007B502E"/>
    <w:rsid w:val="007B521D"/>
    <w:rsid w:val="007B547C"/>
    <w:rsid w:val="007B5E70"/>
    <w:rsid w:val="007B626E"/>
    <w:rsid w:val="007B64A1"/>
    <w:rsid w:val="007B6953"/>
    <w:rsid w:val="007B6E15"/>
    <w:rsid w:val="007B7345"/>
    <w:rsid w:val="007B7359"/>
    <w:rsid w:val="007B74E6"/>
    <w:rsid w:val="007B7577"/>
    <w:rsid w:val="007B77F5"/>
    <w:rsid w:val="007B79EE"/>
    <w:rsid w:val="007B7A2D"/>
    <w:rsid w:val="007B7A34"/>
    <w:rsid w:val="007B7C83"/>
    <w:rsid w:val="007B7F50"/>
    <w:rsid w:val="007C0753"/>
    <w:rsid w:val="007C07CD"/>
    <w:rsid w:val="007C09C8"/>
    <w:rsid w:val="007C0D56"/>
    <w:rsid w:val="007C0E32"/>
    <w:rsid w:val="007C10C6"/>
    <w:rsid w:val="007C117B"/>
    <w:rsid w:val="007C1549"/>
    <w:rsid w:val="007C185C"/>
    <w:rsid w:val="007C1B1A"/>
    <w:rsid w:val="007C1C0B"/>
    <w:rsid w:val="007C21BA"/>
    <w:rsid w:val="007C2467"/>
    <w:rsid w:val="007C26BF"/>
    <w:rsid w:val="007C27BC"/>
    <w:rsid w:val="007C27F5"/>
    <w:rsid w:val="007C2C71"/>
    <w:rsid w:val="007C3001"/>
    <w:rsid w:val="007C3010"/>
    <w:rsid w:val="007C321B"/>
    <w:rsid w:val="007C34BC"/>
    <w:rsid w:val="007C478F"/>
    <w:rsid w:val="007C4D6C"/>
    <w:rsid w:val="007C4ED6"/>
    <w:rsid w:val="007C5AA0"/>
    <w:rsid w:val="007C5B0C"/>
    <w:rsid w:val="007C5D57"/>
    <w:rsid w:val="007C5DF7"/>
    <w:rsid w:val="007C60C6"/>
    <w:rsid w:val="007C684A"/>
    <w:rsid w:val="007C6A02"/>
    <w:rsid w:val="007C6B1D"/>
    <w:rsid w:val="007C6BCA"/>
    <w:rsid w:val="007C6CF6"/>
    <w:rsid w:val="007C6DE2"/>
    <w:rsid w:val="007D003F"/>
    <w:rsid w:val="007D0D8B"/>
    <w:rsid w:val="007D0E64"/>
    <w:rsid w:val="007D1BAC"/>
    <w:rsid w:val="007D1E40"/>
    <w:rsid w:val="007D2056"/>
    <w:rsid w:val="007D23DC"/>
    <w:rsid w:val="007D2775"/>
    <w:rsid w:val="007D29B5"/>
    <w:rsid w:val="007D2C2F"/>
    <w:rsid w:val="007D2D98"/>
    <w:rsid w:val="007D2F66"/>
    <w:rsid w:val="007D3087"/>
    <w:rsid w:val="007D31E6"/>
    <w:rsid w:val="007D31F7"/>
    <w:rsid w:val="007D3CB1"/>
    <w:rsid w:val="007D43C0"/>
    <w:rsid w:val="007D4513"/>
    <w:rsid w:val="007D4C0D"/>
    <w:rsid w:val="007D5009"/>
    <w:rsid w:val="007D5417"/>
    <w:rsid w:val="007D553C"/>
    <w:rsid w:val="007D5562"/>
    <w:rsid w:val="007D565A"/>
    <w:rsid w:val="007D5CA2"/>
    <w:rsid w:val="007D5FAD"/>
    <w:rsid w:val="007D66F6"/>
    <w:rsid w:val="007D6704"/>
    <w:rsid w:val="007D6739"/>
    <w:rsid w:val="007D6E93"/>
    <w:rsid w:val="007D6F0F"/>
    <w:rsid w:val="007D714E"/>
    <w:rsid w:val="007D72BE"/>
    <w:rsid w:val="007D73E6"/>
    <w:rsid w:val="007D7671"/>
    <w:rsid w:val="007D77E1"/>
    <w:rsid w:val="007D7A3B"/>
    <w:rsid w:val="007D7B58"/>
    <w:rsid w:val="007D7E44"/>
    <w:rsid w:val="007D7F35"/>
    <w:rsid w:val="007D7F73"/>
    <w:rsid w:val="007E0331"/>
    <w:rsid w:val="007E1F9D"/>
    <w:rsid w:val="007E1FCD"/>
    <w:rsid w:val="007E2A52"/>
    <w:rsid w:val="007E2B34"/>
    <w:rsid w:val="007E2DC4"/>
    <w:rsid w:val="007E2E37"/>
    <w:rsid w:val="007E3735"/>
    <w:rsid w:val="007E3D48"/>
    <w:rsid w:val="007E3FAA"/>
    <w:rsid w:val="007E43E1"/>
    <w:rsid w:val="007E4724"/>
    <w:rsid w:val="007E4781"/>
    <w:rsid w:val="007E50CF"/>
    <w:rsid w:val="007E50FB"/>
    <w:rsid w:val="007E513F"/>
    <w:rsid w:val="007E53ED"/>
    <w:rsid w:val="007E55E9"/>
    <w:rsid w:val="007E5FDF"/>
    <w:rsid w:val="007E6005"/>
    <w:rsid w:val="007E61B0"/>
    <w:rsid w:val="007E6910"/>
    <w:rsid w:val="007E6B49"/>
    <w:rsid w:val="007E6CC8"/>
    <w:rsid w:val="007E6D5C"/>
    <w:rsid w:val="007E6DCC"/>
    <w:rsid w:val="007E6FFB"/>
    <w:rsid w:val="007E7005"/>
    <w:rsid w:val="007E726D"/>
    <w:rsid w:val="007E77EB"/>
    <w:rsid w:val="007E7B01"/>
    <w:rsid w:val="007E7C9E"/>
    <w:rsid w:val="007E7D51"/>
    <w:rsid w:val="007F027D"/>
    <w:rsid w:val="007F0657"/>
    <w:rsid w:val="007F06BB"/>
    <w:rsid w:val="007F0878"/>
    <w:rsid w:val="007F0BB9"/>
    <w:rsid w:val="007F0C9D"/>
    <w:rsid w:val="007F0EB8"/>
    <w:rsid w:val="007F1000"/>
    <w:rsid w:val="007F100F"/>
    <w:rsid w:val="007F14F4"/>
    <w:rsid w:val="007F157C"/>
    <w:rsid w:val="007F17B3"/>
    <w:rsid w:val="007F1ACC"/>
    <w:rsid w:val="007F1D6D"/>
    <w:rsid w:val="007F1EA3"/>
    <w:rsid w:val="007F1F40"/>
    <w:rsid w:val="007F21FA"/>
    <w:rsid w:val="007F2256"/>
    <w:rsid w:val="007F2B5A"/>
    <w:rsid w:val="007F3240"/>
    <w:rsid w:val="007F3364"/>
    <w:rsid w:val="007F33A8"/>
    <w:rsid w:val="007F33B6"/>
    <w:rsid w:val="007F33DC"/>
    <w:rsid w:val="007F3475"/>
    <w:rsid w:val="007F356D"/>
    <w:rsid w:val="007F3627"/>
    <w:rsid w:val="007F3919"/>
    <w:rsid w:val="007F39F1"/>
    <w:rsid w:val="007F3CE0"/>
    <w:rsid w:val="007F3D60"/>
    <w:rsid w:val="007F3D84"/>
    <w:rsid w:val="007F3DB8"/>
    <w:rsid w:val="007F4073"/>
    <w:rsid w:val="007F40E2"/>
    <w:rsid w:val="007F42B0"/>
    <w:rsid w:val="007F4796"/>
    <w:rsid w:val="007F4BB9"/>
    <w:rsid w:val="007F4EE9"/>
    <w:rsid w:val="007F505F"/>
    <w:rsid w:val="007F517E"/>
    <w:rsid w:val="007F5672"/>
    <w:rsid w:val="007F5679"/>
    <w:rsid w:val="007F5870"/>
    <w:rsid w:val="007F5ACF"/>
    <w:rsid w:val="007F5E86"/>
    <w:rsid w:val="007F602D"/>
    <w:rsid w:val="007F610D"/>
    <w:rsid w:val="007F65A1"/>
    <w:rsid w:val="007F6A5F"/>
    <w:rsid w:val="007F6CCC"/>
    <w:rsid w:val="007F702B"/>
    <w:rsid w:val="007F74C1"/>
    <w:rsid w:val="007F7A86"/>
    <w:rsid w:val="00800167"/>
    <w:rsid w:val="0080041D"/>
    <w:rsid w:val="008005A0"/>
    <w:rsid w:val="0080069F"/>
    <w:rsid w:val="0080073D"/>
    <w:rsid w:val="00800779"/>
    <w:rsid w:val="008007A8"/>
    <w:rsid w:val="008007B9"/>
    <w:rsid w:val="00800BFE"/>
    <w:rsid w:val="00800ECB"/>
    <w:rsid w:val="008010A9"/>
    <w:rsid w:val="008016C6"/>
    <w:rsid w:val="008019B0"/>
    <w:rsid w:val="00801B0F"/>
    <w:rsid w:val="00801F25"/>
    <w:rsid w:val="00801F39"/>
    <w:rsid w:val="00801F52"/>
    <w:rsid w:val="00802330"/>
    <w:rsid w:val="0080235C"/>
    <w:rsid w:val="00802900"/>
    <w:rsid w:val="00802C0B"/>
    <w:rsid w:val="00802F8D"/>
    <w:rsid w:val="00803297"/>
    <w:rsid w:val="00803395"/>
    <w:rsid w:val="0080359B"/>
    <w:rsid w:val="008035A5"/>
    <w:rsid w:val="00803E35"/>
    <w:rsid w:val="0080430F"/>
    <w:rsid w:val="008045DA"/>
    <w:rsid w:val="00804827"/>
    <w:rsid w:val="008048D4"/>
    <w:rsid w:val="008049CC"/>
    <w:rsid w:val="00805051"/>
    <w:rsid w:val="00805304"/>
    <w:rsid w:val="008054EA"/>
    <w:rsid w:val="008055E8"/>
    <w:rsid w:val="008058EC"/>
    <w:rsid w:val="008060F0"/>
    <w:rsid w:val="00806163"/>
    <w:rsid w:val="00806386"/>
    <w:rsid w:val="008069CD"/>
    <w:rsid w:val="008071AE"/>
    <w:rsid w:val="0080762E"/>
    <w:rsid w:val="008106F5"/>
    <w:rsid w:val="008107BE"/>
    <w:rsid w:val="00810BA6"/>
    <w:rsid w:val="00810D69"/>
    <w:rsid w:val="00810EF7"/>
    <w:rsid w:val="0081137D"/>
    <w:rsid w:val="0081144D"/>
    <w:rsid w:val="00811A08"/>
    <w:rsid w:val="00811CED"/>
    <w:rsid w:val="00811D81"/>
    <w:rsid w:val="00812652"/>
    <w:rsid w:val="00812AD3"/>
    <w:rsid w:val="00812BB0"/>
    <w:rsid w:val="00813149"/>
    <w:rsid w:val="008137F9"/>
    <w:rsid w:val="00813DB5"/>
    <w:rsid w:val="00813EE6"/>
    <w:rsid w:val="00813FF5"/>
    <w:rsid w:val="0081404A"/>
    <w:rsid w:val="00814072"/>
    <w:rsid w:val="0081419C"/>
    <w:rsid w:val="008142F6"/>
    <w:rsid w:val="00814382"/>
    <w:rsid w:val="008143AF"/>
    <w:rsid w:val="00815396"/>
    <w:rsid w:val="0081597F"/>
    <w:rsid w:val="00815BC8"/>
    <w:rsid w:val="00815F48"/>
    <w:rsid w:val="00815F6D"/>
    <w:rsid w:val="00816096"/>
    <w:rsid w:val="008163F8"/>
    <w:rsid w:val="0081683D"/>
    <w:rsid w:val="00816A59"/>
    <w:rsid w:val="00816C08"/>
    <w:rsid w:val="00816C60"/>
    <w:rsid w:val="00816F0F"/>
    <w:rsid w:val="00816F65"/>
    <w:rsid w:val="0081705F"/>
    <w:rsid w:val="0081734A"/>
    <w:rsid w:val="00817707"/>
    <w:rsid w:val="00817998"/>
    <w:rsid w:val="00817A69"/>
    <w:rsid w:val="00817A7A"/>
    <w:rsid w:val="00817B86"/>
    <w:rsid w:val="00817EF4"/>
    <w:rsid w:val="00820135"/>
    <w:rsid w:val="008201E4"/>
    <w:rsid w:val="00820295"/>
    <w:rsid w:val="00820A3B"/>
    <w:rsid w:val="00820B0B"/>
    <w:rsid w:val="00820EAB"/>
    <w:rsid w:val="008216AC"/>
    <w:rsid w:val="00821C3E"/>
    <w:rsid w:val="00822395"/>
    <w:rsid w:val="00822BEA"/>
    <w:rsid w:val="00822FB3"/>
    <w:rsid w:val="00823109"/>
    <w:rsid w:val="0082382B"/>
    <w:rsid w:val="00823DAA"/>
    <w:rsid w:val="00823EF1"/>
    <w:rsid w:val="00824047"/>
    <w:rsid w:val="008244F7"/>
    <w:rsid w:val="00824628"/>
    <w:rsid w:val="00824D71"/>
    <w:rsid w:val="00825978"/>
    <w:rsid w:val="00825BF9"/>
    <w:rsid w:val="0082637F"/>
    <w:rsid w:val="008268C8"/>
    <w:rsid w:val="00826CA1"/>
    <w:rsid w:val="00826FD9"/>
    <w:rsid w:val="00827063"/>
    <w:rsid w:val="008271B3"/>
    <w:rsid w:val="008271FD"/>
    <w:rsid w:val="00827B82"/>
    <w:rsid w:val="00827BEC"/>
    <w:rsid w:val="00827FA3"/>
    <w:rsid w:val="00830019"/>
    <w:rsid w:val="008301A1"/>
    <w:rsid w:val="00830687"/>
    <w:rsid w:val="008307C0"/>
    <w:rsid w:val="008307FD"/>
    <w:rsid w:val="0083103C"/>
    <w:rsid w:val="008311A5"/>
    <w:rsid w:val="008313FE"/>
    <w:rsid w:val="00831858"/>
    <w:rsid w:val="008318E7"/>
    <w:rsid w:val="0083198C"/>
    <w:rsid w:val="00831A14"/>
    <w:rsid w:val="00831FC5"/>
    <w:rsid w:val="00832037"/>
    <w:rsid w:val="008323C1"/>
    <w:rsid w:val="008324E5"/>
    <w:rsid w:val="008327DD"/>
    <w:rsid w:val="00832877"/>
    <w:rsid w:val="0083289F"/>
    <w:rsid w:val="00832928"/>
    <w:rsid w:val="00833306"/>
    <w:rsid w:val="008334DC"/>
    <w:rsid w:val="00833A60"/>
    <w:rsid w:val="00833C23"/>
    <w:rsid w:val="00833D80"/>
    <w:rsid w:val="0083404F"/>
    <w:rsid w:val="00834194"/>
    <w:rsid w:val="0083461B"/>
    <w:rsid w:val="0083462A"/>
    <w:rsid w:val="00834F8F"/>
    <w:rsid w:val="00835143"/>
    <w:rsid w:val="00835B0E"/>
    <w:rsid w:val="00835DF6"/>
    <w:rsid w:val="00835E31"/>
    <w:rsid w:val="00835F2E"/>
    <w:rsid w:val="00835F59"/>
    <w:rsid w:val="00835F7F"/>
    <w:rsid w:val="00836432"/>
    <w:rsid w:val="008364FB"/>
    <w:rsid w:val="00837200"/>
    <w:rsid w:val="0083751E"/>
    <w:rsid w:val="00837AEA"/>
    <w:rsid w:val="00837B41"/>
    <w:rsid w:val="00837D64"/>
    <w:rsid w:val="00837D6C"/>
    <w:rsid w:val="00837F53"/>
    <w:rsid w:val="00840418"/>
    <w:rsid w:val="00840D11"/>
    <w:rsid w:val="00840F85"/>
    <w:rsid w:val="008412E6"/>
    <w:rsid w:val="008415B0"/>
    <w:rsid w:val="00842025"/>
    <w:rsid w:val="0084226F"/>
    <w:rsid w:val="0084252E"/>
    <w:rsid w:val="008429CF"/>
    <w:rsid w:val="00842C59"/>
    <w:rsid w:val="00843059"/>
    <w:rsid w:val="00843571"/>
    <w:rsid w:val="00843752"/>
    <w:rsid w:val="00843CAD"/>
    <w:rsid w:val="0084420B"/>
    <w:rsid w:val="00844294"/>
    <w:rsid w:val="008442F7"/>
    <w:rsid w:val="008446A2"/>
    <w:rsid w:val="00844789"/>
    <w:rsid w:val="008447F5"/>
    <w:rsid w:val="00844C6E"/>
    <w:rsid w:val="00844D4F"/>
    <w:rsid w:val="00844D5F"/>
    <w:rsid w:val="00844DA0"/>
    <w:rsid w:val="008452CE"/>
    <w:rsid w:val="00845325"/>
    <w:rsid w:val="00845A73"/>
    <w:rsid w:val="00845DEB"/>
    <w:rsid w:val="0084677D"/>
    <w:rsid w:val="00846A23"/>
    <w:rsid w:val="00846F3E"/>
    <w:rsid w:val="0084786F"/>
    <w:rsid w:val="00847C1B"/>
    <w:rsid w:val="00847F16"/>
    <w:rsid w:val="008503A5"/>
    <w:rsid w:val="00850ABB"/>
    <w:rsid w:val="00850CA3"/>
    <w:rsid w:val="008514B7"/>
    <w:rsid w:val="008517FC"/>
    <w:rsid w:val="00851B3E"/>
    <w:rsid w:val="00851B7B"/>
    <w:rsid w:val="00851E47"/>
    <w:rsid w:val="00852640"/>
    <w:rsid w:val="008526A9"/>
    <w:rsid w:val="00852833"/>
    <w:rsid w:val="0085299D"/>
    <w:rsid w:val="00852E60"/>
    <w:rsid w:val="008530B4"/>
    <w:rsid w:val="008530E7"/>
    <w:rsid w:val="00853111"/>
    <w:rsid w:val="008537C8"/>
    <w:rsid w:val="00853B00"/>
    <w:rsid w:val="00854094"/>
    <w:rsid w:val="00854437"/>
    <w:rsid w:val="008544C2"/>
    <w:rsid w:val="008544E1"/>
    <w:rsid w:val="008544E7"/>
    <w:rsid w:val="00854F7E"/>
    <w:rsid w:val="00855309"/>
    <w:rsid w:val="008554DF"/>
    <w:rsid w:val="008556C3"/>
    <w:rsid w:val="00855926"/>
    <w:rsid w:val="00855A2C"/>
    <w:rsid w:val="008563D8"/>
    <w:rsid w:val="00856991"/>
    <w:rsid w:val="00856AF5"/>
    <w:rsid w:val="00856E69"/>
    <w:rsid w:val="00856EF3"/>
    <w:rsid w:val="008571C5"/>
    <w:rsid w:val="00857394"/>
    <w:rsid w:val="00857758"/>
    <w:rsid w:val="00857962"/>
    <w:rsid w:val="00857A5D"/>
    <w:rsid w:val="00857B37"/>
    <w:rsid w:val="00860142"/>
    <w:rsid w:val="0086034F"/>
    <w:rsid w:val="00860445"/>
    <w:rsid w:val="008606B9"/>
    <w:rsid w:val="00860965"/>
    <w:rsid w:val="00860FF8"/>
    <w:rsid w:val="008611BB"/>
    <w:rsid w:val="0086161F"/>
    <w:rsid w:val="00861A2C"/>
    <w:rsid w:val="00861B52"/>
    <w:rsid w:val="00861D57"/>
    <w:rsid w:val="0086216B"/>
    <w:rsid w:val="0086278F"/>
    <w:rsid w:val="00862A0F"/>
    <w:rsid w:val="00862E37"/>
    <w:rsid w:val="00862E96"/>
    <w:rsid w:val="00862E9A"/>
    <w:rsid w:val="00862EFA"/>
    <w:rsid w:val="00863132"/>
    <w:rsid w:val="00863418"/>
    <w:rsid w:val="00863700"/>
    <w:rsid w:val="00863983"/>
    <w:rsid w:val="008641CB"/>
    <w:rsid w:val="00864505"/>
    <w:rsid w:val="008645DE"/>
    <w:rsid w:val="00864749"/>
    <w:rsid w:val="00864787"/>
    <w:rsid w:val="008647E2"/>
    <w:rsid w:val="00864834"/>
    <w:rsid w:val="00864903"/>
    <w:rsid w:val="00864961"/>
    <w:rsid w:val="008649FA"/>
    <w:rsid w:val="00864C91"/>
    <w:rsid w:val="008653CF"/>
    <w:rsid w:val="0086579D"/>
    <w:rsid w:val="0086588F"/>
    <w:rsid w:val="00865B18"/>
    <w:rsid w:val="00866543"/>
    <w:rsid w:val="008666F4"/>
    <w:rsid w:val="00867112"/>
    <w:rsid w:val="008673B1"/>
    <w:rsid w:val="00867678"/>
    <w:rsid w:val="008677E8"/>
    <w:rsid w:val="00867C44"/>
    <w:rsid w:val="00867F2A"/>
    <w:rsid w:val="0087006E"/>
    <w:rsid w:val="008703B0"/>
    <w:rsid w:val="00870648"/>
    <w:rsid w:val="008706D8"/>
    <w:rsid w:val="008709D6"/>
    <w:rsid w:val="00870F11"/>
    <w:rsid w:val="00871243"/>
    <w:rsid w:val="00871449"/>
    <w:rsid w:val="0087148A"/>
    <w:rsid w:val="008716A8"/>
    <w:rsid w:val="008717D3"/>
    <w:rsid w:val="00871802"/>
    <w:rsid w:val="00871B96"/>
    <w:rsid w:val="00871C0D"/>
    <w:rsid w:val="00871CC4"/>
    <w:rsid w:val="00872374"/>
    <w:rsid w:val="00872498"/>
    <w:rsid w:val="008726C9"/>
    <w:rsid w:val="008728C0"/>
    <w:rsid w:val="00872A6D"/>
    <w:rsid w:val="00872F04"/>
    <w:rsid w:val="00873445"/>
    <w:rsid w:val="00873D14"/>
    <w:rsid w:val="00873DDA"/>
    <w:rsid w:val="00873F13"/>
    <w:rsid w:val="00874159"/>
    <w:rsid w:val="008742AA"/>
    <w:rsid w:val="008744B8"/>
    <w:rsid w:val="00874734"/>
    <w:rsid w:val="0087487B"/>
    <w:rsid w:val="0087492B"/>
    <w:rsid w:val="0087517B"/>
    <w:rsid w:val="00875228"/>
    <w:rsid w:val="00875472"/>
    <w:rsid w:val="00875BE1"/>
    <w:rsid w:val="00875D0B"/>
    <w:rsid w:val="00875F04"/>
    <w:rsid w:val="00876244"/>
    <w:rsid w:val="00876727"/>
    <w:rsid w:val="0087681F"/>
    <w:rsid w:val="00876843"/>
    <w:rsid w:val="00877021"/>
    <w:rsid w:val="0087704E"/>
    <w:rsid w:val="0087716B"/>
    <w:rsid w:val="008774B0"/>
    <w:rsid w:val="00877526"/>
    <w:rsid w:val="00877698"/>
    <w:rsid w:val="00877B5F"/>
    <w:rsid w:val="00877B8A"/>
    <w:rsid w:val="00877C7A"/>
    <w:rsid w:val="00877F06"/>
    <w:rsid w:val="008803B5"/>
    <w:rsid w:val="00880528"/>
    <w:rsid w:val="0088058C"/>
    <w:rsid w:val="008805C6"/>
    <w:rsid w:val="00880A60"/>
    <w:rsid w:val="00880E04"/>
    <w:rsid w:val="00880F5D"/>
    <w:rsid w:val="00881269"/>
    <w:rsid w:val="008815A9"/>
    <w:rsid w:val="00882588"/>
    <w:rsid w:val="0088259B"/>
    <w:rsid w:val="00882849"/>
    <w:rsid w:val="00882C59"/>
    <w:rsid w:val="00882D33"/>
    <w:rsid w:val="00883348"/>
    <w:rsid w:val="008837A5"/>
    <w:rsid w:val="00883866"/>
    <w:rsid w:val="00883964"/>
    <w:rsid w:val="00883A85"/>
    <w:rsid w:val="00883EEC"/>
    <w:rsid w:val="00884135"/>
    <w:rsid w:val="0088434A"/>
    <w:rsid w:val="008843E5"/>
    <w:rsid w:val="0088440D"/>
    <w:rsid w:val="008844D0"/>
    <w:rsid w:val="008846F6"/>
    <w:rsid w:val="008853CB"/>
    <w:rsid w:val="00885591"/>
    <w:rsid w:val="00885602"/>
    <w:rsid w:val="00885647"/>
    <w:rsid w:val="008857C1"/>
    <w:rsid w:val="00885816"/>
    <w:rsid w:val="00885E39"/>
    <w:rsid w:val="00885E56"/>
    <w:rsid w:val="00885FC8"/>
    <w:rsid w:val="0088632F"/>
    <w:rsid w:val="008867DE"/>
    <w:rsid w:val="00886BF3"/>
    <w:rsid w:val="0088706E"/>
    <w:rsid w:val="008870A9"/>
    <w:rsid w:val="008873A0"/>
    <w:rsid w:val="0088758E"/>
    <w:rsid w:val="00887888"/>
    <w:rsid w:val="0088793E"/>
    <w:rsid w:val="00887B21"/>
    <w:rsid w:val="00887CC4"/>
    <w:rsid w:val="00890C9C"/>
    <w:rsid w:val="00891393"/>
    <w:rsid w:val="008913C4"/>
    <w:rsid w:val="00891865"/>
    <w:rsid w:val="00891985"/>
    <w:rsid w:val="0089198C"/>
    <w:rsid w:val="00891A0F"/>
    <w:rsid w:val="00891CA5"/>
    <w:rsid w:val="00891ECA"/>
    <w:rsid w:val="00892423"/>
    <w:rsid w:val="00892643"/>
    <w:rsid w:val="008928CF"/>
    <w:rsid w:val="00892F19"/>
    <w:rsid w:val="008930BA"/>
    <w:rsid w:val="0089312E"/>
    <w:rsid w:val="00893167"/>
    <w:rsid w:val="00893582"/>
    <w:rsid w:val="008939D8"/>
    <w:rsid w:val="00893AF6"/>
    <w:rsid w:val="008940C3"/>
    <w:rsid w:val="00894919"/>
    <w:rsid w:val="00894F73"/>
    <w:rsid w:val="0089529E"/>
    <w:rsid w:val="0089562C"/>
    <w:rsid w:val="00895939"/>
    <w:rsid w:val="00896208"/>
    <w:rsid w:val="00896298"/>
    <w:rsid w:val="00896531"/>
    <w:rsid w:val="008965F6"/>
    <w:rsid w:val="00896C9C"/>
    <w:rsid w:val="00896D01"/>
    <w:rsid w:val="00896F65"/>
    <w:rsid w:val="00896FA4"/>
    <w:rsid w:val="00897240"/>
    <w:rsid w:val="008975AD"/>
    <w:rsid w:val="008976CE"/>
    <w:rsid w:val="008977FA"/>
    <w:rsid w:val="0089788F"/>
    <w:rsid w:val="008A031A"/>
    <w:rsid w:val="008A0BD3"/>
    <w:rsid w:val="008A0FDF"/>
    <w:rsid w:val="008A1419"/>
    <w:rsid w:val="008A147A"/>
    <w:rsid w:val="008A1578"/>
    <w:rsid w:val="008A1759"/>
    <w:rsid w:val="008A21B8"/>
    <w:rsid w:val="008A25A1"/>
    <w:rsid w:val="008A2F73"/>
    <w:rsid w:val="008A303D"/>
    <w:rsid w:val="008A3231"/>
    <w:rsid w:val="008A3419"/>
    <w:rsid w:val="008A3484"/>
    <w:rsid w:val="008A3DF7"/>
    <w:rsid w:val="008A3FB4"/>
    <w:rsid w:val="008A4074"/>
    <w:rsid w:val="008A440D"/>
    <w:rsid w:val="008A495D"/>
    <w:rsid w:val="008A511F"/>
    <w:rsid w:val="008A545B"/>
    <w:rsid w:val="008A5CAF"/>
    <w:rsid w:val="008A601F"/>
    <w:rsid w:val="008A603E"/>
    <w:rsid w:val="008A60C2"/>
    <w:rsid w:val="008A6330"/>
    <w:rsid w:val="008A692E"/>
    <w:rsid w:val="008A69FD"/>
    <w:rsid w:val="008A6A39"/>
    <w:rsid w:val="008A6C15"/>
    <w:rsid w:val="008A6C43"/>
    <w:rsid w:val="008A6FD0"/>
    <w:rsid w:val="008A7049"/>
    <w:rsid w:val="008A7273"/>
    <w:rsid w:val="008A72D2"/>
    <w:rsid w:val="008A79DA"/>
    <w:rsid w:val="008A7C86"/>
    <w:rsid w:val="008A7D61"/>
    <w:rsid w:val="008B0141"/>
    <w:rsid w:val="008B093E"/>
    <w:rsid w:val="008B095C"/>
    <w:rsid w:val="008B09C6"/>
    <w:rsid w:val="008B0C16"/>
    <w:rsid w:val="008B0D15"/>
    <w:rsid w:val="008B0EEC"/>
    <w:rsid w:val="008B1B1E"/>
    <w:rsid w:val="008B1C5A"/>
    <w:rsid w:val="008B1E47"/>
    <w:rsid w:val="008B2020"/>
    <w:rsid w:val="008B2381"/>
    <w:rsid w:val="008B2692"/>
    <w:rsid w:val="008B2C78"/>
    <w:rsid w:val="008B3770"/>
    <w:rsid w:val="008B387F"/>
    <w:rsid w:val="008B38B3"/>
    <w:rsid w:val="008B3E1B"/>
    <w:rsid w:val="008B3E4D"/>
    <w:rsid w:val="008B3FD4"/>
    <w:rsid w:val="008B455C"/>
    <w:rsid w:val="008B48EF"/>
    <w:rsid w:val="008B4A70"/>
    <w:rsid w:val="008B4F04"/>
    <w:rsid w:val="008B4FAB"/>
    <w:rsid w:val="008B51D9"/>
    <w:rsid w:val="008B5274"/>
    <w:rsid w:val="008B531E"/>
    <w:rsid w:val="008B5360"/>
    <w:rsid w:val="008B53B5"/>
    <w:rsid w:val="008B5A46"/>
    <w:rsid w:val="008B5FD5"/>
    <w:rsid w:val="008B615B"/>
    <w:rsid w:val="008B6376"/>
    <w:rsid w:val="008B63EE"/>
    <w:rsid w:val="008B6C3C"/>
    <w:rsid w:val="008B6F16"/>
    <w:rsid w:val="008B73C5"/>
    <w:rsid w:val="008B73E4"/>
    <w:rsid w:val="008B766D"/>
    <w:rsid w:val="008B76BA"/>
    <w:rsid w:val="008B7C32"/>
    <w:rsid w:val="008B7D26"/>
    <w:rsid w:val="008B7E38"/>
    <w:rsid w:val="008C02D9"/>
    <w:rsid w:val="008C031F"/>
    <w:rsid w:val="008C0608"/>
    <w:rsid w:val="008C061A"/>
    <w:rsid w:val="008C0640"/>
    <w:rsid w:val="008C0806"/>
    <w:rsid w:val="008C09B7"/>
    <w:rsid w:val="008C0BFA"/>
    <w:rsid w:val="008C1098"/>
    <w:rsid w:val="008C10BA"/>
    <w:rsid w:val="008C110A"/>
    <w:rsid w:val="008C1273"/>
    <w:rsid w:val="008C1544"/>
    <w:rsid w:val="008C170B"/>
    <w:rsid w:val="008C186A"/>
    <w:rsid w:val="008C1F46"/>
    <w:rsid w:val="008C212E"/>
    <w:rsid w:val="008C2178"/>
    <w:rsid w:val="008C218A"/>
    <w:rsid w:val="008C227C"/>
    <w:rsid w:val="008C230A"/>
    <w:rsid w:val="008C243A"/>
    <w:rsid w:val="008C24D7"/>
    <w:rsid w:val="008C29B9"/>
    <w:rsid w:val="008C29EC"/>
    <w:rsid w:val="008C2C65"/>
    <w:rsid w:val="008C3038"/>
    <w:rsid w:val="008C39EE"/>
    <w:rsid w:val="008C4022"/>
    <w:rsid w:val="008C41A6"/>
    <w:rsid w:val="008C41A8"/>
    <w:rsid w:val="008C4863"/>
    <w:rsid w:val="008C4BD1"/>
    <w:rsid w:val="008C504A"/>
    <w:rsid w:val="008C5B32"/>
    <w:rsid w:val="008C5BAC"/>
    <w:rsid w:val="008C5BB2"/>
    <w:rsid w:val="008C5DAD"/>
    <w:rsid w:val="008C6251"/>
    <w:rsid w:val="008C634B"/>
    <w:rsid w:val="008C6791"/>
    <w:rsid w:val="008C6BB0"/>
    <w:rsid w:val="008C6F20"/>
    <w:rsid w:val="008C7341"/>
    <w:rsid w:val="008C747D"/>
    <w:rsid w:val="008D00C7"/>
    <w:rsid w:val="008D01CE"/>
    <w:rsid w:val="008D06B5"/>
    <w:rsid w:val="008D08FB"/>
    <w:rsid w:val="008D097B"/>
    <w:rsid w:val="008D0E19"/>
    <w:rsid w:val="008D0F22"/>
    <w:rsid w:val="008D11A0"/>
    <w:rsid w:val="008D1352"/>
    <w:rsid w:val="008D15E1"/>
    <w:rsid w:val="008D1615"/>
    <w:rsid w:val="008D18A7"/>
    <w:rsid w:val="008D1B33"/>
    <w:rsid w:val="008D1E5C"/>
    <w:rsid w:val="008D2383"/>
    <w:rsid w:val="008D23EA"/>
    <w:rsid w:val="008D273A"/>
    <w:rsid w:val="008D27E5"/>
    <w:rsid w:val="008D2814"/>
    <w:rsid w:val="008D2CF4"/>
    <w:rsid w:val="008D2F1C"/>
    <w:rsid w:val="008D35AE"/>
    <w:rsid w:val="008D3964"/>
    <w:rsid w:val="008D42B2"/>
    <w:rsid w:val="008D4C2E"/>
    <w:rsid w:val="008D4C3C"/>
    <w:rsid w:val="008D4D4A"/>
    <w:rsid w:val="008D4E8C"/>
    <w:rsid w:val="008D53BA"/>
    <w:rsid w:val="008D53E9"/>
    <w:rsid w:val="008D54CD"/>
    <w:rsid w:val="008D577E"/>
    <w:rsid w:val="008D5F63"/>
    <w:rsid w:val="008D629C"/>
    <w:rsid w:val="008D6BCE"/>
    <w:rsid w:val="008D6C9B"/>
    <w:rsid w:val="008D727C"/>
    <w:rsid w:val="008D74F1"/>
    <w:rsid w:val="008D7600"/>
    <w:rsid w:val="008D79D7"/>
    <w:rsid w:val="008D7E22"/>
    <w:rsid w:val="008D7E56"/>
    <w:rsid w:val="008D7EBE"/>
    <w:rsid w:val="008E0041"/>
    <w:rsid w:val="008E06E3"/>
    <w:rsid w:val="008E09A6"/>
    <w:rsid w:val="008E0DAC"/>
    <w:rsid w:val="008E19AA"/>
    <w:rsid w:val="008E2B49"/>
    <w:rsid w:val="008E2BF9"/>
    <w:rsid w:val="008E2C7A"/>
    <w:rsid w:val="008E2D3F"/>
    <w:rsid w:val="008E2EAF"/>
    <w:rsid w:val="008E3307"/>
    <w:rsid w:val="008E34C8"/>
    <w:rsid w:val="008E3526"/>
    <w:rsid w:val="008E38F0"/>
    <w:rsid w:val="008E3D4D"/>
    <w:rsid w:val="008E3FAF"/>
    <w:rsid w:val="008E44D3"/>
    <w:rsid w:val="008E47FD"/>
    <w:rsid w:val="008E57AB"/>
    <w:rsid w:val="008E5895"/>
    <w:rsid w:val="008E5CAA"/>
    <w:rsid w:val="008E5D1B"/>
    <w:rsid w:val="008E6D67"/>
    <w:rsid w:val="008E7118"/>
    <w:rsid w:val="008E73DB"/>
    <w:rsid w:val="008E76A6"/>
    <w:rsid w:val="008E7E7E"/>
    <w:rsid w:val="008E7EEF"/>
    <w:rsid w:val="008E7F54"/>
    <w:rsid w:val="008F0605"/>
    <w:rsid w:val="008F072C"/>
    <w:rsid w:val="008F0820"/>
    <w:rsid w:val="008F1118"/>
    <w:rsid w:val="008F14ED"/>
    <w:rsid w:val="008F1A2A"/>
    <w:rsid w:val="008F24B1"/>
    <w:rsid w:val="008F27E5"/>
    <w:rsid w:val="008F28C0"/>
    <w:rsid w:val="008F369B"/>
    <w:rsid w:val="008F3B5C"/>
    <w:rsid w:val="008F4320"/>
    <w:rsid w:val="008F4391"/>
    <w:rsid w:val="008F45AC"/>
    <w:rsid w:val="008F497B"/>
    <w:rsid w:val="008F4FC0"/>
    <w:rsid w:val="008F5075"/>
    <w:rsid w:val="008F5089"/>
    <w:rsid w:val="008F51B6"/>
    <w:rsid w:val="008F523D"/>
    <w:rsid w:val="008F55C0"/>
    <w:rsid w:val="008F55E0"/>
    <w:rsid w:val="008F55E7"/>
    <w:rsid w:val="008F593A"/>
    <w:rsid w:val="008F59C2"/>
    <w:rsid w:val="008F5ECC"/>
    <w:rsid w:val="008F620C"/>
    <w:rsid w:val="008F6356"/>
    <w:rsid w:val="008F64F1"/>
    <w:rsid w:val="008F6DC4"/>
    <w:rsid w:val="008F7C36"/>
    <w:rsid w:val="008F7F12"/>
    <w:rsid w:val="008F7F62"/>
    <w:rsid w:val="00900309"/>
    <w:rsid w:val="00900B06"/>
    <w:rsid w:val="00900E54"/>
    <w:rsid w:val="00901568"/>
    <w:rsid w:val="0090171A"/>
    <w:rsid w:val="0090172A"/>
    <w:rsid w:val="009018F5"/>
    <w:rsid w:val="009019F0"/>
    <w:rsid w:val="00901B89"/>
    <w:rsid w:val="00901C75"/>
    <w:rsid w:val="00902338"/>
    <w:rsid w:val="00902B0B"/>
    <w:rsid w:val="00903320"/>
    <w:rsid w:val="0090349F"/>
    <w:rsid w:val="00903660"/>
    <w:rsid w:val="00903992"/>
    <w:rsid w:val="009040B6"/>
    <w:rsid w:val="009044B4"/>
    <w:rsid w:val="0090486A"/>
    <w:rsid w:val="0090486C"/>
    <w:rsid w:val="00904B83"/>
    <w:rsid w:val="00904C6B"/>
    <w:rsid w:val="00904CAC"/>
    <w:rsid w:val="009059BA"/>
    <w:rsid w:val="00905FB9"/>
    <w:rsid w:val="0090600B"/>
    <w:rsid w:val="009066EF"/>
    <w:rsid w:val="0090692B"/>
    <w:rsid w:val="00906D88"/>
    <w:rsid w:val="00906E11"/>
    <w:rsid w:val="00906F03"/>
    <w:rsid w:val="00906F2E"/>
    <w:rsid w:val="0090730E"/>
    <w:rsid w:val="00907729"/>
    <w:rsid w:val="0090795D"/>
    <w:rsid w:val="00910139"/>
    <w:rsid w:val="0091082A"/>
    <w:rsid w:val="009109CA"/>
    <w:rsid w:val="00910CA7"/>
    <w:rsid w:val="00911030"/>
    <w:rsid w:val="009110DB"/>
    <w:rsid w:val="009113CD"/>
    <w:rsid w:val="009113DC"/>
    <w:rsid w:val="00911505"/>
    <w:rsid w:val="00911F64"/>
    <w:rsid w:val="00912203"/>
    <w:rsid w:val="009122B6"/>
    <w:rsid w:val="009124EF"/>
    <w:rsid w:val="00912A02"/>
    <w:rsid w:val="00912AC9"/>
    <w:rsid w:val="00912C65"/>
    <w:rsid w:val="00912CD5"/>
    <w:rsid w:val="00912F99"/>
    <w:rsid w:val="00913014"/>
    <w:rsid w:val="0091322A"/>
    <w:rsid w:val="0091392B"/>
    <w:rsid w:val="00913D1B"/>
    <w:rsid w:val="00913D79"/>
    <w:rsid w:val="00913E1F"/>
    <w:rsid w:val="00913E2E"/>
    <w:rsid w:val="00913E6F"/>
    <w:rsid w:val="00914032"/>
    <w:rsid w:val="00914121"/>
    <w:rsid w:val="00914780"/>
    <w:rsid w:val="00914D8F"/>
    <w:rsid w:val="0091664E"/>
    <w:rsid w:val="00916659"/>
    <w:rsid w:val="009168C4"/>
    <w:rsid w:val="00916A1A"/>
    <w:rsid w:val="00916A7A"/>
    <w:rsid w:val="00916ED3"/>
    <w:rsid w:val="00916ED9"/>
    <w:rsid w:val="00916F23"/>
    <w:rsid w:val="009170F6"/>
    <w:rsid w:val="009172C4"/>
    <w:rsid w:val="00917763"/>
    <w:rsid w:val="009178B4"/>
    <w:rsid w:val="00917A8D"/>
    <w:rsid w:val="00917DFA"/>
    <w:rsid w:val="009201BB"/>
    <w:rsid w:val="0092062F"/>
    <w:rsid w:val="00920873"/>
    <w:rsid w:val="009208FB"/>
    <w:rsid w:val="00920A3D"/>
    <w:rsid w:val="00920C68"/>
    <w:rsid w:val="00920C75"/>
    <w:rsid w:val="00920F1B"/>
    <w:rsid w:val="009210E3"/>
    <w:rsid w:val="0092112F"/>
    <w:rsid w:val="00921454"/>
    <w:rsid w:val="009215FB"/>
    <w:rsid w:val="00921BA0"/>
    <w:rsid w:val="00921C7E"/>
    <w:rsid w:val="00921CCE"/>
    <w:rsid w:val="00921DBA"/>
    <w:rsid w:val="0092207E"/>
    <w:rsid w:val="00922135"/>
    <w:rsid w:val="0092215A"/>
    <w:rsid w:val="00922976"/>
    <w:rsid w:val="00922E78"/>
    <w:rsid w:val="00922F82"/>
    <w:rsid w:val="009232F5"/>
    <w:rsid w:val="0092341C"/>
    <w:rsid w:val="00923467"/>
    <w:rsid w:val="009236B6"/>
    <w:rsid w:val="0092399E"/>
    <w:rsid w:val="00923A86"/>
    <w:rsid w:val="00923AE9"/>
    <w:rsid w:val="00923CD3"/>
    <w:rsid w:val="00923D84"/>
    <w:rsid w:val="00924571"/>
    <w:rsid w:val="009248B8"/>
    <w:rsid w:val="00924A02"/>
    <w:rsid w:val="00925293"/>
    <w:rsid w:val="009253A2"/>
    <w:rsid w:val="0092584E"/>
    <w:rsid w:val="00925A29"/>
    <w:rsid w:val="00926245"/>
    <w:rsid w:val="00926248"/>
    <w:rsid w:val="0092669B"/>
    <w:rsid w:val="009266A6"/>
    <w:rsid w:val="0092680C"/>
    <w:rsid w:val="00926940"/>
    <w:rsid w:val="00926C39"/>
    <w:rsid w:val="00926EB3"/>
    <w:rsid w:val="00927087"/>
    <w:rsid w:val="00927181"/>
    <w:rsid w:val="009277AC"/>
    <w:rsid w:val="00927D58"/>
    <w:rsid w:val="00927D65"/>
    <w:rsid w:val="00930855"/>
    <w:rsid w:val="00930A45"/>
    <w:rsid w:val="00930ACB"/>
    <w:rsid w:val="00930C8D"/>
    <w:rsid w:val="00930EF9"/>
    <w:rsid w:val="00931148"/>
    <w:rsid w:val="009316DA"/>
    <w:rsid w:val="0093194C"/>
    <w:rsid w:val="009319F1"/>
    <w:rsid w:val="00931C2E"/>
    <w:rsid w:val="00931C6E"/>
    <w:rsid w:val="00931C8F"/>
    <w:rsid w:val="0093236E"/>
    <w:rsid w:val="009328FB"/>
    <w:rsid w:val="00932975"/>
    <w:rsid w:val="00932B71"/>
    <w:rsid w:val="009334E9"/>
    <w:rsid w:val="0093376C"/>
    <w:rsid w:val="009339E0"/>
    <w:rsid w:val="00933B15"/>
    <w:rsid w:val="00934FD5"/>
    <w:rsid w:val="009359AE"/>
    <w:rsid w:val="00935D40"/>
    <w:rsid w:val="00935D55"/>
    <w:rsid w:val="00935FAC"/>
    <w:rsid w:val="009365E1"/>
    <w:rsid w:val="00936611"/>
    <w:rsid w:val="009367C3"/>
    <w:rsid w:val="009371DE"/>
    <w:rsid w:val="00937260"/>
    <w:rsid w:val="0093754B"/>
    <w:rsid w:val="00937714"/>
    <w:rsid w:val="009377BE"/>
    <w:rsid w:val="00937CCF"/>
    <w:rsid w:val="00937DEC"/>
    <w:rsid w:val="0094083E"/>
    <w:rsid w:val="009408C6"/>
    <w:rsid w:val="00940922"/>
    <w:rsid w:val="009416A1"/>
    <w:rsid w:val="00941823"/>
    <w:rsid w:val="00941F3B"/>
    <w:rsid w:val="009422C9"/>
    <w:rsid w:val="00942472"/>
    <w:rsid w:val="009429B1"/>
    <w:rsid w:val="00942A3A"/>
    <w:rsid w:val="00942AC3"/>
    <w:rsid w:val="00942B02"/>
    <w:rsid w:val="00942BB6"/>
    <w:rsid w:val="00942D5D"/>
    <w:rsid w:val="00942E3F"/>
    <w:rsid w:val="00943584"/>
    <w:rsid w:val="00944097"/>
    <w:rsid w:val="009441D5"/>
    <w:rsid w:val="009443BD"/>
    <w:rsid w:val="00944BEB"/>
    <w:rsid w:val="00944CF6"/>
    <w:rsid w:val="00944E6F"/>
    <w:rsid w:val="00945379"/>
    <w:rsid w:val="009463A7"/>
    <w:rsid w:val="00946824"/>
    <w:rsid w:val="00946861"/>
    <w:rsid w:val="00946F2F"/>
    <w:rsid w:val="00947437"/>
    <w:rsid w:val="0094775F"/>
    <w:rsid w:val="00947D4D"/>
    <w:rsid w:val="00947D92"/>
    <w:rsid w:val="00947DAB"/>
    <w:rsid w:val="00950418"/>
    <w:rsid w:val="0095046F"/>
    <w:rsid w:val="0095059B"/>
    <w:rsid w:val="009507E7"/>
    <w:rsid w:val="00950CDA"/>
    <w:rsid w:val="00951427"/>
    <w:rsid w:val="0095163F"/>
    <w:rsid w:val="0095198C"/>
    <w:rsid w:val="00952228"/>
    <w:rsid w:val="00952529"/>
    <w:rsid w:val="0095298B"/>
    <w:rsid w:val="00952A6F"/>
    <w:rsid w:val="00952B73"/>
    <w:rsid w:val="00952DEC"/>
    <w:rsid w:val="009532F0"/>
    <w:rsid w:val="00953551"/>
    <w:rsid w:val="00953698"/>
    <w:rsid w:val="00953AE8"/>
    <w:rsid w:val="00953CF3"/>
    <w:rsid w:val="0095427B"/>
    <w:rsid w:val="00954368"/>
    <w:rsid w:val="009547EB"/>
    <w:rsid w:val="0095484C"/>
    <w:rsid w:val="00954B5A"/>
    <w:rsid w:val="00954B60"/>
    <w:rsid w:val="00954D59"/>
    <w:rsid w:val="00955338"/>
    <w:rsid w:val="00955349"/>
    <w:rsid w:val="00955872"/>
    <w:rsid w:val="009560BD"/>
    <w:rsid w:val="0095626C"/>
    <w:rsid w:val="009562BC"/>
    <w:rsid w:val="00956479"/>
    <w:rsid w:val="00956590"/>
    <w:rsid w:val="00956907"/>
    <w:rsid w:val="00957517"/>
    <w:rsid w:val="00957605"/>
    <w:rsid w:val="009579A4"/>
    <w:rsid w:val="00957A67"/>
    <w:rsid w:val="00957BDD"/>
    <w:rsid w:val="00960559"/>
    <w:rsid w:val="009613B7"/>
    <w:rsid w:val="00961419"/>
    <w:rsid w:val="00961706"/>
    <w:rsid w:val="00961720"/>
    <w:rsid w:val="009626EC"/>
    <w:rsid w:val="009628A8"/>
    <w:rsid w:val="009628FE"/>
    <w:rsid w:val="00962B47"/>
    <w:rsid w:val="009631E5"/>
    <w:rsid w:val="00963437"/>
    <w:rsid w:val="00963DA7"/>
    <w:rsid w:val="00964538"/>
    <w:rsid w:val="009648A6"/>
    <w:rsid w:val="00965670"/>
    <w:rsid w:val="0096571B"/>
    <w:rsid w:val="00965A39"/>
    <w:rsid w:val="00965AF0"/>
    <w:rsid w:val="00965D8F"/>
    <w:rsid w:val="00965E0F"/>
    <w:rsid w:val="009661ED"/>
    <w:rsid w:val="009664A8"/>
    <w:rsid w:val="009666EB"/>
    <w:rsid w:val="009666FD"/>
    <w:rsid w:val="00966854"/>
    <w:rsid w:val="00966BC8"/>
    <w:rsid w:val="00966C81"/>
    <w:rsid w:val="009674E4"/>
    <w:rsid w:val="009675B0"/>
    <w:rsid w:val="00967619"/>
    <w:rsid w:val="00967F26"/>
    <w:rsid w:val="009700CF"/>
    <w:rsid w:val="00970292"/>
    <w:rsid w:val="009703D1"/>
    <w:rsid w:val="00970404"/>
    <w:rsid w:val="0097131A"/>
    <w:rsid w:val="00971DBC"/>
    <w:rsid w:val="009721D8"/>
    <w:rsid w:val="00972268"/>
    <w:rsid w:val="0097285B"/>
    <w:rsid w:val="00972A79"/>
    <w:rsid w:val="00972EB7"/>
    <w:rsid w:val="00973DEE"/>
    <w:rsid w:val="00973E3E"/>
    <w:rsid w:val="00973FD3"/>
    <w:rsid w:val="00974110"/>
    <w:rsid w:val="009744AC"/>
    <w:rsid w:val="00974536"/>
    <w:rsid w:val="00974821"/>
    <w:rsid w:val="00974924"/>
    <w:rsid w:val="00974BF6"/>
    <w:rsid w:val="009750EA"/>
    <w:rsid w:val="00975395"/>
    <w:rsid w:val="00975921"/>
    <w:rsid w:val="00975C92"/>
    <w:rsid w:val="009760E3"/>
    <w:rsid w:val="00976789"/>
    <w:rsid w:val="00976A9A"/>
    <w:rsid w:val="00976FA9"/>
    <w:rsid w:val="0097706A"/>
    <w:rsid w:val="00977316"/>
    <w:rsid w:val="0097758F"/>
    <w:rsid w:val="00977A9E"/>
    <w:rsid w:val="00977FAF"/>
    <w:rsid w:val="00977FB0"/>
    <w:rsid w:val="00980152"/>
    <w:rsid w:val="00980298"/>
    <w:rsid w:val="0098086E"/>
    <w:rsid w:val="00980A39"/>
    <w:rsid w:val="00980E8E"/>
    <w:rsid w:val="009812A0"/>
    <w:rsid w:val="009813D6"/>
    <w:rsid w:val="00981436"/>
    <w:rsid w:val="009815D0"/>
    <w:rsid w:val="00981CB6"/>
    <w:rsid w:val="00981E18"/>
    <w:rsid w:val="0098220E"/>
    <w:rsid w:val="00982460"/>
    <w:rsid w:val="00982886"/>
    <w:rsid w:val="00982BF3"/>
    <w:rsid w:val="00983494"/>
    <w:rsid w:val="00983645"/>
    <w:rsid w:val="0098384E"/>
    <w:rsid w:val="00983EFF"/>
    <w:rsid w:val="00984761"/>
    <w:rsid w:val="00984BCE"/>
    <w:rsid w:val="00984DCF"/>
    <w:rsid w:val="00985181"/>
    <w:rsid w:val="0098525C"/>
    <w:rsid w:val="00985348"/>
    <w:rsid w:val="0098588D"/>
    <w:rsid w:val="00985D8A"/>
    <w:rsid w:val="0098602C"/>
    <w:rsid w:val="00986370"/>
    <w:rsid w:val="00986725"/>
    <w:rsid w:val="0098678C"/>
    <w:rsid w:val="009871CC"/>
    <w:rsid w:val="009877CF"/>
    <w:rsid w:val="009878DC"/>
    <w:rsid w:val="00987996"/>
    <w:rsid w:val="009879A5"/>
    <w:rsid w:val="00987A80"/>
    <w:rsid w:val="00987C27"/>
    <w:rsid w:val="00987D0A"/>
    <w:rsid w:val="009902DC"/>
    <w:rsid w:val="009905F5"/>
    <w:rsid w:val="009907C2"/>
    <w:rsid w:val="00990826"/>
    <w:rsid w:val="00990A17"/>
    <w:rsid w:val="009911EF"/>
    <w:rsid w:val="009921A9"/>
    <w:rsid w:val="00992F04"/>
    <w:rsid w:val="0099331C"/>
    <w:rsid w:val="009933F8"/>
    <w:rsid w:val="00993467"/>
    <w:rsid w:val="00993559"/>
    <w:rsid w:val="00993C1A"/>
    <w:rsid w:val="00994822"/>
    <w:rsid w:val="00994916"/>
    <w:rsid w:val="009952BB"/>
    <w:rsid w:val="009958C9"/>
    <w:rsid w:val="0099594B"/>
    <w:rsid w:val="00995A81"/>
    <w:rsid w:val="00995B3B"/>
    <w:rsid w:val="009962AE"/>
    <w:rsid w:val="00996820"/>
    <w:rsid w:val="00997610"/>
    <w:rsid w:val="00997769"/>
    <w:rsid w:val="009A0025"/>
    <w:rsid w:val="009A01F6"/>
    <w:rsid w:val="009A063F"/>
    <w:rsid w:val="009A09B0"/>
    <w:rsid w:val="009A0EE6"/>
    <w:rsid w:val="009A1043"/>
    <w:rsid w:val="009A11E1"/>
    <w:rsid w:val="009A13EA"/>
    <w:rsid w:val="009A151B"/>
    <w:rsid w:val="009A1B61"/>
    <w:rsid w:val="009A25C2"/>
    <w:rsid w:val="009A2687"/>
    <w:rsid w:val="009A2736"/>
    <w:rsid w:val="009A28AC"/>
    <w:rsid w:val="009A2A34"/>
    <w:rsid w:val="009A33F3"/>
    <w:rsid w:val="009A3556"/>
    <w:rsid w:val="009A37C6"/>
    <w:rsid w:val="009A3BD0"/>
    <w:rsid w:val="009A3C6B"/>
    <w:rsid w:val="009A3ED8"/>
    <w:rsid w:val="009A40C5"/>
    <w:rsid w:val="009A43A6"/>
    <w:rsid w:val="009A46F8"/>
    <w:rsid w:val="009A5383"/>
    <w:rsid w:val="009A55DD"/>
    <w:rsid w:val="009A580F"/>
    <w:rsid w:val="009A5B9E"/>
    <w:rsid w:val="009A5E32"/>
    <w:rsid w:val="009A61C0"/>
    <w:rsid w:val="009A6227"/>
    <w:rsid w:val="009A6BB2"/>
    <w:rsid w:val="009A70FD"/>
    <w:rsid w:val="009A7907"/>
    <w:rsid w:val="009A7CB3"/>
    <w:rsid w:val="009B03E8"/>
    <w:rsid w:val="009B07BF"/>
    <w:rsid w:val="009B13F6"/>
    <w:rsid w:val="009B141D"/>
    <w:rsid w:val="009B15ED"/>
    <w:rsid w:val="009B167D"/>
    <w:rsid w:val="009B1C2B"/>
    <w:rsid w:val="009B1CD4"/>
    <w:rsid w:val="009B23CD"/>
    <w:rsid w:val="009B2A29"/>
    <w:rsid w:val="009B2A51"/>
    <w:rsid w:val="009B32CF"/>
    <w:rsid w:val="009B3410"/>
    <w:rsid w:val="009B3729"/>
    <w:rsid w:val="009B44AD"/>
    <w:rsid w:val="009B463A"/>
    <w:rsid w:val="009B4B75"/>
    <w:rsid w:val="009B4DB5"/>
    <w:rsid w:val="009B5A32"/>
    <w:rsid w:val="009B5EA7"/>
    <w:rsid w:val="009B5F0C"/>
    <w:rsid w:val="009B5F31"/>
    <w:rsid w:val="009B608D"/>
    <w:rsid w:val="009B60D0"/>
    <w:rsid w:val="009B60E2"/>
    <w:rsid w:val="009B679D"/>
    <w:rsid w:val="009B694D"/>
    <w:rsid w:val="009B6A15"/>
    <w:rsid w:val="009B6D01"/>
    <w:rsid w:val="009B6E8B"/>
    <w:rsid w:val="009B6EAA"/>
    <w:rsid w:val="009B7B75"/>
    <w:rsid w:val="009B7F79"/>
    <w:rsid w:val="009B7F84"/>
    <w:rsid w:val="009C00FB"/>
    <w:rsid w:val="009C05AA"/>
    <w:rsid w:val="009C0919"/>
    <w:rsid w:val="009C0D57"/>
    <w:rsid w:val="009C1613"/>
    <w:rsid w:val="009C170D"/>
    <w:rsid w:val="009C1AF3"/>
    <w:rsid w:val="009C21C8"/>
    <w:rsid w:val="009C235E"/>
    <w:rsid w:val="009C2577"/>
    <w:rsid w:val="009C2654"/>
    <w:rsid w:val="009C2A1A"/>
    <w:rsid w:val="009C3531"/>
    <w:rsid w:val="009C3E5B"/>
    <w:rsid w:val="009C408C"/>
    <w:rsid w:val="009C43E8"/>
    <w:rsid w:val="009C4437"/>
    <w:rsid w:val="009C46E5"/>
    <w:rsid w:val="009C4CB1"/>
    <w:rsid w:val="009C5379"/>
    <w:rsid w:val="009C5C13"/>
    <w:rsid w:val="009C5C96"/>
    <w:rsid w:val="009C5D02"/>
    <w:rsid w:val="009C6E43"/>
    <w:rsid w:val="009C7216"/>
    <w:rsid w:val="009C723A"/>
    <w:rsid w:val="009C7423"/>
    <w:rsid w:val="009D004C"/>
    <w:rsid w:val="009D05D6"/>
    <w:rsid w:val="009D0BCB"/>
    <w:rsid w:val="009D105A"/>
    <w:rsid w:val="009D10F2"/>
    <w:rsid w:val="009D12D7"/>
    <w:rsid w:val="009D1659"/>
    <w:rsid w:val="009D23C2"/>
    <w:rsid w:val="009D26FA"/>
    <w:rsid w:val="009D280B"/>
    <w:rsid w:val="009D2BCC"/>
    <w:rsid w:val="009D32ED"/>
    <w:rsid w:val="009D3A18"/>
    <w:rsid w:val="009D3E44"/>
    <w:rsid w:val="009D42BF"/>
    <w:rsid w:val="009D4326"/>
    <w:rsid w:val="009D4367"/>
    <w:rsid w:val="009D43D9"/>
    <w:rsid w:val="009D44E0"/>
    <w:rsid w:val="009D4696"/>
    <w:rsid w:val="009D49B3"/>
    <w:rsid w:val="009D4E5C"/>
    <w:rsid w:val="009D4F29"/>
    <w:rsid w:val="009D545D"/>
    <w:rsid w:val="009D5935"/>
    <w:rsid w:val="009D6063"/>
    <w:rsid w:val="009D6672"/>
    <w:rsid w:val="009D687F"/>
    <w:rsid w:val="009D6E19"/>
    <w:rsid w:val="009D6EA9"/>
    <w:rsid w:val="009D7060"/>
    <w:rsid w:val="009D73C2"/>
    <w:rsid w:val="009D797F"/>
    <w:rsid w:val="009D79A9"/>
    <w:rsid w:val="009D7E58"/>
    <w:rsid w:val="009D7F4B"/>
    <w:rsid w:val="009D7FB8"/>
    <w:rsid w:val="009E0217"/>
    <w:rsid w:val="009E024B"/>
    <w:rsid w:val="009E05A0"/>
    <w:rsid w:val="009E067E"/>
    <w:rsid w:val="009E0725"/>
    <w:rsid w:val="009E09F6"/>
    <w:rsid w:val="009E0D2F"/>
    <w:rsid w:val="009E0D5E"/>
    <w:rsid w:val="009E1025"/>
    <w:rsid w:val="009E11BD"/>
    <w:rsid w:val="009E11F9"/>
    <w:rsid w:val="009E1964"/>
    <w:rsid w:val="009E1BCE"/>
    <w:rsid w:val="009E1EAE"/>
    <w:rsid w:val="009E20C3"/>
    <w:rsid w:val="009E2436"/>
    <w:rsid w:val="009E2496"/>
    <w:rsid w:val="009E2703"/>
    <w:rsid w:val="009E2777"/>
    <w:rsid w:val="009E28DE"/>
    <w:rsid w:val="009E2A8B"/>
    <w:rsid w:val="009E2F1E"/>
    <w:rsid w:val="009E2F47"/>
    <w:rsid w:val="009E2FF4"/>
    <w:rsid w:val="009E36D2"/>
    <w:rsid w:val="009E36F0"/>
    <w:rsid w:val="009E3C0B"/>
    <w:rsid w:val="009E3F82"/>
    <w:rsid w:val="009E4075"/>
    <w:rsid w:val="009E4444"/>
    <w:rsid w:val="009E456F"/>
    <w:rsid w:val="009E4C7A"/>
    <w:rsid w:val="009E50AB"/>
    <w:rsid w:val="009E5544"/>
    <w:rsid w:val="009E5606"/>
    <w:rsid w:val="009E56AB"/>
    <w:rsid w:val="009E576D"/>
    <w:rsid w:val="009E58A9"/>
    <w:rsid w:val="009E5A7C"/>
    <w:rsid w:val="009E5DFB"/>
    <w:rsid w:val="009E60F2"/>
    <w:rsid w:val="009E62EF"/>
    <w:rsid w:val="009E6474"/>
    <w:rsid w:val="009E6807"/>
    <w:rsid w:val="009E726B"/>
    <w:rsid w:val="009E73FF"/>
    <w:rsid w:val="009E751F"/>
    <w:rsid w:val="009E78FF"/>
    <w:rsid w:val="009E7A26"/>
    <w:rsid w:val="009E7C46"/>
    <w:rsid w:val="009E7C56"/>
    <w:rsid w:val="009F0139"/>
    <w:rsid w:val="009F0265"/>
    <w:rsid w:val="009F03EE"/>
    <w:rsid w:val="009F04F7"/>
    <w:rsid w:val="009F0881"/>
    <w:rsid w:val="009F0B2B"/>
    <w:rsid w:val="009F0B79"/>
    <w:rsid w:val="009F0D84"/>
    <w:rsid w:val="009F0DA3"/>
    <w:rsid w:val="009F104C"/>
    <w:rsid w:val="009F1082"/>
    <w:rsid w:val="009F11F1"/>
    <w:rsid w:val="009F1292"/>
    <w:rsid w:val="009F1C11"/>
    <w:rsid w:val="009F253B"/>
    <w:rsid w:val="009F2736"/>
    <w:rsid w:val="009F2D83"/>
    <w:rsid w:val="009F3186"/>
    <w:rsid w:val="009F3314"/>
    <w:rsid w:val="009F3690"/>
    <w:rsid w:val="009F3D7D"/>
    <w:rsid w:val="009F3F12"/>
    <w:rsid w:val="009F434E"/>
    <w:rsid w:val="009F48D3"/>
    <w:rsid w:val="009F493F"/>
    <w:rsid w:val="009F4953"/>
    <w:rsid w:val="009F4DFB"/>
    <w:rsid w:val="009F5313"/>
    <w:rsid w:val="009F55AD"/>
    <w:rsid w:val="009F5678"/>
    <w:rsid w:val="009F581A"/>
    <w:rsid w:val="009F5A8D"/>
    <w:rsid w:val="009F5AFE"/>
    <w:rsid w:val="009F5B95"/>
    <w:rsid w:val="009F66C7"/>
    <w:rsid w:val="009F6F3C"/>
    <w:rsid w:val="009F7691"/>
    <w:rsid w:val="009F79BE"/>
    <w:rsid w:val="009F7A8A"/>
    <w:rsid w:val="009F7D3D"/>
    <w:rsid w:val="009F7E9F"/>
    <w:rsid w:val="00A008A7"/>
    <w:rsid w:val="00A00A7C"/>
    <w:rsid w:val="00A01526"/>
    <w:rsid w:val="00A01BED"/>
    <w:rsid w:val="00A024AD"/>
    <w:rsid w:val="00A028CD"/>
    <w:rsid w:val="00A02926"/>
    <w:rsid w:val="00A02E17"/>
    <w:rsid w:val="00A02F1F"/>
    <w:rsid w:val="00A031CB"/>
    <w:rsid w:val="00A0333E"/>
    <w:rsid w:val="00A03988"/>
    <w:rsid w:val="00A03D76"/>
    <w:rsid w:val="00A04A72"/>
    <w:rsid w:val="00A04B15"/>
    <w:rsid w:val="00A0580F"/>
    <w:rsid w:val="00A05AC2"/>
    <w:rsid w:val="00A05BA8"/>
    <w:rsid w:val="00A06019"/>
    <w:rsid w:val="00A06025"/>
    <w:rsid w:val="00A06695"/>
    <w:rsid w:val="00A07273"/>
    <w:rsid w:val="00A07779"/>
    <w:rsid w:val="00A07CE6"/>
    <w:rsid w:val="00A07F23"/>
    <w:rsid w:val="00A1003B"/>
    <w:rsid w:val="00A107E4"/>
    <w:rsid w:val="00A1122D"/>
    <w:rsid w:val="00A114D0"/>
    <w:rsid w:val="00A1153D"/>
    <w:rsid w:val="00A115D5"/>
    <w:rsid w:val="00A117B5"/>
    <w:rsid w:val="00A11877"/>
    <w:rsid w:val="00A11B42"/>
    <w:rsid w:val="00A11CAD"/>
    <w:rsid w:val="00A124D0"/>
    <w:rsid w:val="00A126BC"/>
    <w:rsid w:val="00A127E8"/>
    <w:rsid w:val="00A12C87"/>
    <w:rsid w:val="00A12DC0"/>
    <w:rsid w:val="00A12F8C"/>
    <w:rsid w:val="00A133B5"/>
    <w:rsid w:val="00A13606"/>
    <w:rsid w:val="00A13789"/>
    <w:rsid w:val="00A137D3"/>
    <w:rsid w:val="00A13B72"/>
    <w:rsid w:val="00A13BB0"/>
    <w:rsid w:val="00A13E8D"/>
    <w:rsid w:val="00A140E3"/>
    <w:rsid w:val="00A1416D"/>
    <w:rsid w:val="00A14257"/>
    <w:rsid w:val="00A14388"/>
    <w:rsid w:val="00A1454A"/>
    <w:rsid w:val="00A151AC"/>
    <w:rsid w:val="00A151E5"/>
    <w:rsid w:val="00A1523D"/>
    <w:rsid w:val="00A15E18"/>
    <w:rsid w:val="00A15F23"/>
    <w:rsid w:val="00A16164"/>
    <w:rsid w:val="00A16477"/>
    <w:rsid w:val="00A1695B"/>
    <w:rsid w:val="00A16C38"/>
    <w:rsid w:val="00A16D3A"/>
    <w:rsid w:val="00A16E29"/>
    <w:rsid w:val="00A16FF1"/>
    <w:rsid w:val="00A1719C"/>
    <w:rsid w:val="00A171F2"/>
    <w:rsid w:val="00A1739E"/>
    <w:rsid w:val="00A1791F"/>
    <w:rsid w:val="00A17949"/>
    <w:rsid w:val="00A206BD"/>
    <w:rsid w:val="00A20796"/>
    <w:rsid w:val="00A20C04"/>
    <w:rsid w:val="00A20D82"/>
    <w:rsid w:val="00A20EEC"/>
    <w:rsid w:val="00A20FC2"/>
    <w:rsid w:val="00A20FD8"/>
    <w:rsid w:val="00A2108E"/>
    <w:rsid w:val="00A21577"/>
    <w:rsid w:val="00A21811"/>
    <w:rsid w:val="00A21A5D"/>
    <w:rsid w:val="00A21A9B"/>
    <w:rsid w:val="00A21BDF"/>
    <w:rsid w:val="00A21D39"/>
    <w:rsid w:val="00A21E23"/>
    <w:rsid w:val="00A21F7E"/>
    <w:rsid w:val="00A222E4"/>
    <w:rsid w:val="00A224E9"/>
    <w:rsid w:val="00A22589"/>
    <w:rsid w:val="00A226BC"/>
    <w:rsid w:val="00A2295B"/>
    <w:rsid w:val="00A22B1D"/>
    <w:rsid w:val="00A22DA9"/>
    <w:rsid w:val="00A23299"/>
    <w:rsid w:val="00A2347E"/>
    <w:rsid w:val="00A234F7"/>
    <w:rsid w:val="00A23C77"/>
    <w:rsid w:val="00A23F3F"/>
    <w:rsid w:val="00A246EF"/>
    <w:rsid w:val="00A249FD"/>
    <w:rsid w:val="00A25303"/>
    <w:rsid w:val="00A253FF"/>
    <w:rsid w:val="00A258EF"/>
    <w:rsid w:val="00A25D6F"/>
    <w:rsid w:val="00A26042"/>
    <w:rsid w:val="00A2667C"/>
    <w:rsid w:val="00A269EF"/>
    <w:rsid w:val="00A27FC3"/>
    <w:rsid w:val="00A30372"/>
    <w:rsid w:val="00A30BA5"/>
    <w:rsid w:val="00A30C66"/>
    <w:rsid w:val="00A30CC9"/>
    <w:rsid w:val="00A30FDA"/>
    <w:rsid w:val="00A31499"/>
    <w:rsid w:val="00A31729"/>
    <w:rsid w:val="00A3197C"/>
    <w:rsid w:val="00A319BA"/>
    <w:rsid w:val="00A31A83"/>
    <w:rsid w:val="00A31B61"/>
    <w:rsid w:val="00A31E35"/>
    <w:rsid w:val="00A326F1"/>
    <w:rsid w:val="00A32E41"/>
    <w:rsid w:val="00A339AA"/>
    <w:rsid w:val="00A33A45"/>
    <w:rsid w:val="00A33AD7"/>
    <w:rsid w:val="00A33EB3"/>
    <w:rsid w:val="00A3432D"/>
    <w:rsid w:val="00A34BB1"/>
    <w:rsid w:val="00A34CB9"/>
    <w:rsid w:val="00A3513A"/>
    <w:rsid w:val="00A36046"/>
    <w:rsid w:val="00A36469"/>
    <w:rsid w:val="00A3699C"/>
    <w:rsid w:val="00A36C05"/>
    <w:rsid w:val="00A375BC"/>
    <w:rsid w:val="00A375BD"/>
    <w:rsid w:val="00A376C1"/>
    <w:rsid w:val="00A37981"/>
    <w:rsid w:val="00A40036"/>
    <w:rsid w:val="00A4017B"/>
    <w:rsid w:val="00A4047E"/>
    <w:rsid w:val="00A407C2"/>
    <w:rsid w:val="00A4088F"/>
    <w:rsid w:val="00A40FE1"/>
    <w:rsid w:val="00A416EF"/>
    <w:rsid w:val="00A41BD1"/>
    <w:rsid w:val="00A41E96"/>
    <w:rsid w:val="00A41EA8"/>
    <w:rsid w:val="00A41FC0"/>
    <w:rsid w:val="00A42034"/>
    <w:rsid w:val="00A4230F"/>
    <w:rsid w:val="00A4264A"/>
    <w:rsid w:val="00A427DF"/>
    <w:rsid w:val="00A42818"/>
    <w:rsid w:val="00A42DB5"/>
    <w:rsid w:val="00A4331C"/>
    <w:rsid w:val="00A43A72"/>
    <w:rsid w:val="00A43D4B"/>
    <w:rsid w:val="00A44029"/>
    <w:rsid w:val="00A444F2"/>
    <w:rsid w:val="00A448D5"/>
    <w:rsid w:val="00A44ECA"/>
    <w:rsid w:val="00A4519E"/>
    <w:rsid w:val="00A457B2"/>
    <w:rsid w:val="00A45C71"/>
    <w:rsid w:val="00A45FE3"/>
    <w:rsid w:val="00A4627A"/>
    <w:rsid w:val="00A469BB"/>
    <w:rsid w:val="00A46DFD"/>
    <w:rsid w:val="00A47005"/>
    <w:rsid w:val="00A47327"/>
    <w:rsid w:val="00A4748E"/>
    <w:rsid w:val="00A477CA"/>
    <w:rsid w:val="00A47F95"/>
    <w:rsid w:val="00A502DC"/>
    <w:rsid w:val="00A503AC"/>
    <w:rsid w:val="00A50A76"/>
    <w:rsid w:val="00A50BE1"/>
    <w:rsid w:val="00A50CE8"/>
    <w:rsid w:val="00A50D62"/>
    <w:rsid w:val="00A51C94"/>
    <w:rsid w:val="00A51DF2"/>
    <w:rsid w:val="00A5210B"/>
    <w:rsid w:val="00A5213B"/>
    <w:rsid w:val="00A5226F"/>
    <w:rsid w:val="00A52308"/>
    <w:rsid w:val="00A52324"/>
    <w:rsid w:val="00A526B1"/>
    <w:rsid w:val="00A526CA"/>
    <w:rsid w:val="00A52884"/>
    <w:rsid w:val="00A52A5A"/>
    <w:rsid w:val="00A53165"/>
    <w:rsid w:val="00A531ED"/>
    <w:rsid w:val="00A534FD"/>
    <w:rsid w:val="00A53523"/>
    <w:rsid w:val="00A53C7E"/>
    <w:rsid w:val="00A53E95"/>
    <w:rsid w:val="00A54370"/>
    <w:rsid w:val="00A5438A"/>
    <w:rsid w:val="00A54785"/>
    <w:rsid w:val="00A548BA"/>
    <w:rsid w:val="00A552B1"/>
    <w:rsid w:val="00A555CE"/>
    <w:rsid w:val="00A556B8"/>
    <w:rsid w:val="00A5587C"/>
    <w:rsid w:val="00A559DB"/>
    <w:rsid w:val="00A55F07"/>
    <w:rsid w:val="00A55FE0"/>
    <w:rsid w:val="00A5634A"/>
    <w:rsid w:val="00A5635B"/>
    <w:rsid w:val="00A56A34"/>
    <w:rsid w:val="00A57401"/>
    <w:rsid w:val="00A579D6"/>
    <w:rsid w:val="00A57BBC"/>
    <w:rsid w:val="00A57E27"/>
    <w:rsid w:val="00A60D4C"/>
    <w:rsid w:val="00A60DD0"/>
    <w:rsid w:val="00A61101"/>
    <w:rsid w:val="00A6111E"/>
    <w:rsid w:val="00A61520"/>
    <w:rsid w:val="00A615FF"/>
    <w:rsid w:val="00A61E64"/>
    <w:rsid w:val="00A61EC7"/>
    <w:rsid w:val="00A623C9"/>
    <w:rsid w:val="00A6242D"/>
    <w:rsid w:val="00A62791"/>
    <w:rsid w:val="00A62838"/>
    <w:rsid w:val="00A629E8"/>
    <w:rsid w:val="00A62CEE"/>
    <w:rsid w:val="00A631EC"/>
    <w:rsid w:val="00A63407"/>
    <w:rsid w:val="00A63B62"/>
    <w:rsid w:val="00A63ED4"/>
    <w:rsid w:val="00A63F04"/>
    <w:rsid w:val="00A6420D"/>
    <w:rsid w:val="00A644FB"/>
    <w:rsid w:val="00A6470E"/>
    <w:rsid w:val="00A6480A"/>
    <w:rsid w:val="00A649DD"/>
    <w:rsid w:val="00A64A11"/>
    <w:rsid w:val="00A64B53"/>
    <w:rsid w:val="00A64B67"/>
    <w:rsid w:val="00A6581A"/>
    <w:rsid w:val="00A66024"/>
    <w:rsid w:val="00A66207"/>
    <w:rsid w:val="00A66980"/>
    <w:rsid w:val="00A66B32"/>
    <w:rsid w:val="00A66CDC"/>
    <w:rsid w:val="00A66E03"/>
    <w:rsid w:val="00A66E15"/>
    <w:rsid w:val="00A67056"/>
    <w:rsid w:val="00A6707F"/>
    <w:rsid w:val="00A67114"/>
    <w:rsid w:val="00A6742D"/>
    <w:rsid w:val="00A67594"/>
    <w:rsid w:val="00A67A1D"/>
    <w:rsid w:val="00A7004B"/>
    <w:rsid w:val="00A70177"/>
    <w:rsid w:val="00A7017C"/>
    <w:rsid w:val="00A70349"/>
    <w:rsid w:val="00A705C6"/>
    <w:rsid w:val="00A706D2"/>
    <w:rsid w:val="00A7074B"/>
    <w:rsid w:val="00A710B5"/>
    <w:rsid w:val="00A7137B"/>
    <w:rsid w:val="00A71548"/>
    <w:rsid w:val="00A7197C"/>
    <w:rsid w:val="00A71B09"/>
    <w:rsid w:val="00A71CE5"/>
    <w:rsid w:val="00A71E9F"/>
    <w:rsid w:val="00A71FD9"/>
    <w:rsid w:val="00A72291"/>
    <w:rsid w:val="00A722BC"/>
    <w:rsid w:val="00A72380"/>
    <w:rsid w:val="00A72499"/>
    <w:rsid w:val="00A72675"/>
    <w:rsid w:val="00A72BBD"/>
    <w:rsid w:val="00A72E4E"/>
    <w:rsid w:val="00A72E53"/>
    <w:rsid w:val="00A7312A"/>
    <w:rsid w:val="00A73165"/>
    <w:rsid w:val="00A731AD"/>
    <w:rsid w:val="00A7395F"/>
    <w:rsid w:val="00A73BA5"/>
    <w:rsid w:val="00A73D4F"/>
    <w:rsid w:val="00A73F5E"/>
    <w:rsid w:val="00A7491B"/>
    <w:rsid w:val="00A749AE"/>
    <w:rsid w:val="00A749D6"/>
    <w:rsid w:val="00A7535B"/>
    <w:rsid w:val="00A7569F"/>
    <w:rsid w:val="00A758BC"/>
    <w:rsid w:val="00A75A26"/>
    <w:rsid w:val="00A76186"/>
    <w:rsid w:val="00A77305"/>
    <w:rsid w:val="00A7753C"/>
    <w:rsid w:val="00A77813"/>
    <w:rsid w:val="00A77953"/>
    <w:rsid w:val="00A77D84"/>
    <w:rsid w:val="00A8015C"/>
    <w:rsid w:val="00A801F8"/>
    <w:rsid w:val="00A803BB"/>
    <w:rsid w:val="00A8066A"/>
    <w:rsid w:val="00A80D8B"/>
    <w:rsid w:val="00A80E0B"/>
    <w:rsid w:val="00A80F97"/>
    <w:rsid w:val="00A81246"/>
    <w:rsid w:val="00A81312"/>
    <w:rsid w:val="00A813F4"/>
    <w:rsid w:val="00A814BC"/>
    <w:rsid w:val="00A8155F"/>
    <w:rsid w:val="00A8170A"/>
    <w:rsid w:val="00A81732"/>
    <w:rsid w:val="00A81748"/>
    <w:rsid w:val="00A81770"/>
    <w:rsid w:val="00A81B97"/>
    <w:rsid w:val="00A81F10"/>
    <w:rsid w:val="00A8217A"/>
    <w:rsid w:val="00A8268C"/>
    <w:rsid w:val="00A827D5"/>
    <w:rsid w:val="00A82910"/>
    <w:rsid w:val="00A82A9B"/>
    <w:rsid w:val="00A82BAF"/>
    <w:rsid w:val="00A82DDC"/>
    <w:rsid w:val="00A82F9F"/>
    <w:rsid w:val="00A833C5"/>
    <w:rsid w:val="00A83D7C"/>
    <w:rsid w:val="00A83FB9"/>
    <w:rsid w:val="00A8431B"/>
    <w:rsid w:val="00A84664"/>
    <w:rsid w:val="00A848CA"/>
    <w:rsid w:val="00A84C9F"/>
    <w:rsid w:val="00A85853"/>
    <w:rsid w:val="00A858DA"/>
    <w:rsid w:val="00A85C4F"/>
    <w:rsid w:val="00A85E34"/>
    <w:rsid w:val="00A86135"/>
    <w:rsid w:val="00A86CCC"/>
    <w:rsid w:val="00A8709C"/>
    <w:rsid w:val="00A87125"/>
    <w:rsid w:val="00A87210"/>
    <w:rsid w:val="00A873F8"/>
    <w:rsid w:val="00A87463"/>
    <w:rsid w:val="00A87AC0"/>
    <w:rsid w:val="00A90543"/>
    <w:rsid w:val="00A90798"/>
    <w:rsid w:val="00A90861"/>
    <w:rsid w:val="00A90A22"/>
    <w:rsid w:val="00A90F11"/>
    <w:rsid w:val="00A91166"/>
    <w:rsid w:val="00A9154C"/>
    <w:rsid w:val="00A916E5"/>
    <w:rsid w:val="00A919AA"/>
    <w:rsid w:val="00A91BD1"/>
    <w:rsid w:val="00A91E7F"/>
    <w:rsid w:val="00A91FC1"/>
    <w:rsid w:val="00A9208B"/>
    <w:rsid w:val="00A92265"/>
    <w:rsid w:val="00A92463"/>
    <w:rsid w:val="00A92546"/>
    <w:rsid w:val="00A925EE"/>
    <w:rsid w:val="00A926A8"/>
    <w:rsid w:val="00A92E06"/>
    <w:rsid w:val="00A930B0"/>
    <w:rsid w:val="00A930E1"/>
    <w:rsid w:val="00A93128"/>
    <w:rsid w:val="00A93153"/>
    <w:rsid w:val="00A93181"/>
    <w:rsid w:val="00A931F4"/>
    <w:rsid w:val="00A9337B"/>
    <w:rsid w:val="00A9341C"/>
    <w:rsid w:val="00A93D9E"/>
    <w:rsid w:val="00A9413F"/>
    <w:rsid w:val="00A94185"/>
    <w:rsid w:val="00A94249"/>
    <w:rsid w:val="00A94347"/>
    <w:rsid w:val="00A9486C"/>
    <w:rsid w:val="00A9496E"/>
    <w:rsid w:val="00A94A5D"/>
    <w:rsid w:val="00A94B5C"/>
    <w:rsid w:val="00A94B5F"/>
    <w:rsid w:val="00A94C9E"/>
    <w:rsid w:val="00A94DAC"/>
    <w:rsid w:val="00A94E07"/>
    <w:rsid w:val="00A94E42"/>
    <w:rsid w:val="00A94F1F"/>
    <w:rsid w:val="00A9575A"/>
    <w:rsid w:val="00A95847"/>
    <w:rsid w:val="00A95B4C"/>
    <w:rsid w:val="00A95EDA"/>
    <w:rsid w:val="00A96079"/>
    <w:rsid w:val="00A96272"/>
    <w:rsid w:val="00A96285"/>
    <w:rsid w:val="00A96484"/>
    <w:rsid w:val="00A96659"/>
    <w:rsid w:val="00A9666D"/>
    <w:rsid w:val="00A96B31"/>
    <w:rsid w:val="00A96E76"/>
    <w:rsid w:val="00A97473"/>
    <w:rsid w:val="00A9765B"/>
    <w:rsid w:val="00A9779E"/>
    <w:rsid w:val="00A9791F"/>
    <w:rsid w:val="00A97C1C"/>
    <w:rsid w:val="00A97CBA"/>
    <w:rsid w:val="00A97CED"/>
    <w:rsid w:val="00A97E7E"/>
    <w:rsid w:val="00A97EFD"/>
    <w:rsid w:val="00A97F1D"/>
    <w:rsid w:val="00AA046F"/>
    <w:rsid w:val="00AA0C76"/>
    <w:rsid w:val="00AA0D2B"/>
    <w:rsid w:val="00AA0D50"/>
    <w:rsid w:val="00AA0E8B"/>
    <w:rsid w:val="00AA11CF"/>
    <w:rsid w:val="00AA147C"/>
    <w:rsid w:val="00AA15BD"/>
    <w:rsid w:val="00AA16D1"/>
    <w:rsid w:val="00AA192B"/>
    <w:rsid w:val="00AA1AD3"/>
    <w:rsid w:val="00AA1B1C"/>
    <w:rsid w:val="00AA2F72"/>
    <w:rsid w:val="00AA34EB"/>
    <w:rsid w:val="00AA37D1"/>
    <w:rsid w:val="00AA37EE"/>
    <w:rsid w:val="00AA3A95"/>
    <w:rsid w:val="00AA3DB1"/>
    <w:rsid w:val="00AA3FE1"/>
    <w:rsid w:val="00AA4677"/>
    <w:rsid w:val="00AA4DE5"/>
    <w:rsid w:val="00AA4E8F"/>
    <w:rsid w:val="00AA53FF"/>
    <w:rsid w:val="00AA5746"/>
    <w:rsid w:val="00AA6149"/>
    <w:rsid w:val="00AA6170"/>
    <w:rsid w:val="00AA6725"/>
    <w:rsid w:val="00AA6B87"/>
    <w:rsid w:val="00AA6D20"/>
    <w:rsid w:val="00AA7AC1"/>
    <w:rsid w:val="00AB00A1"/>
    <w:rsid w:val="00AB03FF"/>
    <w:rsid w:val="00AB04D6"/>
    <w:rsid w:val="00AB0F7C"/>
    <w:rsid w:val="00AB103D"/>
    <w:rsid w:val="00AB1054"/>
    <w:rsid w:val="00AB10F7"/>
    <w:rsid w:val="00AB1829"/>
    <w:rsid w:val="00AB2069"/>
    <w:rsid w:val="00AB2089"/>
    <w:rsid w:val="00AB22E2"/>
    <w:rsid w:val="00AB237C"/>
    <w:rsid w:val="00AB29C3"/>
    <w:rsid w:val="00AB2AD8"/>
    <w:rsid w:val="00AB2B4C"/>
    <w:rsid w:val="00AB30CE"/>
    <w:rsid w:val="00AB36B2"/>
    <w:rsid w:val="00AB3872"/>
    <w:rsid w:val="00AB3883"/>
    <w:rsid w:val="00AB3893"/>
    <w:rsid w:val="00AB38F3"/>
    <w:rsid w:val="00AB39D6"/>
    <w:rsid w:val="00AB3A16"/>
    <w:rsid w:val="00AB4306"/>
    <w:rsid w:val="00AB4401"/>
    <w:rsid w:val="00AB4896"/>
    <w:rsid w:val="00AB49B7"/>
    <w:rsid w:val="00AB4C0E"/>
    <w:rsid w:val="00AB4E11"/>
    <w:rsid w:val="00AB5919"/>
    <w:rsid w:val="00AB5C4E"/>
    <w:rsid w:val="00AB60C9"/>
    <w:rsid w:val="00AB6310"/>
    <w:rsid w:val="00AB671F"/>
    <w:rsid w:val="00AB695C"/>
    <w:rsid w:val="00AB6988"/>
    <w:rsid w:val="00AB6D1E"/>
    <w:rsid w:val="00AB6DA6"/>
    <w:rsid w:val="00AB75CB"/>
    <w:rsid w:val="00AB78E6"/>
    <w:rsid w:val="00AB7EE8"/>
    <w:rsid w:val="00AB7FEC"/>
    <w:rsid w:val="00AC0831"/>
    <w:rsid w:val="00AC0894"/>
    <w:rsid w:val="00AC133C"/>
    <w:rsid w:val="00AC1697"/>
    <w:rsid w:val="00AC169D"/>
    <w:rsid w:val="00AC1CA9"/>
    <w:rsid w:val="00AC1D79"/>
    <w:rsid w:val="00AC1E5E"/>
    <w:rsid w:val="00AC23CC"/>
    <w:rsid w:val="00AC28B3"/>
    <w:rsid w:val="00AC2EC2"/>
    <w:rsid w:val="00AC2F42"/>
    <w:rsid w:val="00AC32C0"/>
    <w:rsid w:val="00AC3A09"/>
    <w:rsid w:val="00AC3C58"/>
    <w:rsid w:val="00AC47D5"/>
    <w:rsid w:val="00AC49A8"/>
    <w:rsid w:val="00AC4C89"/>
    <w:rsid w:val="00AC4CE9"/>
    <w:rsid w:val="00AC50A9"/>
    <w:rsid w:val="00AC5899"/>
    <w:rsid w:val="00AC5AE5"/>
    <w:rsid w:val="00AC5BB7"/>
    <w:rsid w:val="00AC5C60"/>
    <w:rsid w:val="00AC65B9"/>
    <w:rsid w:val="00AC6629"/>
    <w:rsid w:val="00AC6D02"/>
    <w:rsid w:val="00AC702D"/>
    <w:rsid w:val="00AC742B"/>
    <w:rsid w:val="00AC7440"/>
    <w:rsid w:val="00AC78EF"/>
    <w:rsid w:val="00AD0106"/>
    <w:rsid w:val="00AD0ACB"/>
    <w:rsid w:val="00AD0C51"/>
    <w:rsid w:val="00AD1387"/>
    <w:rsid w:val="00AD1426"/>
    <w:rsid w:val="00AD1570"/>
    <w:rsid w:val="00AD1928"/>
    <w:rsid w:val="00AD1997"/>
    <w:rsid w:val="00AD1ACF"/>
    <w:rsid w:val="00AD20F7"/>
    <w:rsid w:val="00AD2700"/>
    <w:rsid w:val="00AD2CDE"/>
    <w:rsid w:val="00AD2D9E"/>
    <w:rsid w:val="00AD2EC0"/>
    <w:rsid w:val="00AD30DB"/>
    <w:rsid w:val="00AD3AE3"/>
    <w:rsid w:val="00AD3E6F"/>
    <w:rsid w:val="00AD4230"/>
    <w:rsid w:val="00AD453A"/>
    <w:rsid w:val="00AD4730"/>
    <w:rsid w:val="00AD493F"/>
    <w:rsid w:val="00AD4A60"/>
    <w:rsid w:val="00AD4A75"/>
    <w:rsid w:val="00AD54B3"/>
    <w:rsid w:val="00AD55E8"/>
    <w:rsid w:val="00AD5829"/>
    <w:rsid w:val="00AD5938"/>
    <w:rsid w:val="00AD603F"/>
    <w:rsid w:val="00AD63AF"/>
    <w:rsid w:val="00AD63E1"/>
    <w:rsid w:val="00AD655A"/>
    <w:rsid w:val="00AD6987"/>
    <w:rsid w:val="00AD70A3"/>
    <w:rsid w:val="00AD7147"/>
    <w:rsid w:val="00AD72EA"/>
    <w:rsid w:val="00AD741F"/>
    <w:rsid w:val="00AD7681"/>
    <w:rsid w:val="00AD777B"/>
    <w:rsid w:val="00AD78BB"/>
    <w:rsid w:val="00AD7A51"/>
    <w:rsid w:val="00AE0562"/>
    <w:rsid w:val="00AE0B2C"/>
    <w:rsid w:val="00AE1526"/>
    <w:rsid w:val="00AE18CC"/>
    <w:rsid w:val="00AE1C4D"/>
    <w:rsid w:val="00AE1F98"/>
    <w:rsid w:val="00AE233A"/>
    <w:rsid w:val="00AE26B2"/>
    <w:rsid w:val="00AE27DF"/>
    <w:rsid w:val="00AE2ABE"/>
    <w:rsid w:val="00AE2C47"/>
    <w:rsid w:val="00AE2CC5"/>
    <w:rsid w:val="00AE37E2"/>
    <w:rsid w:val="00AE3A8B"/>
    <w:rsid w:val="00AE3AD9"/>
    <w:rsid w:val="00AE42E3"/>
    <w:rsid w:val="00AE4485"/>
    <w:rsid w:val="00AE47D4"/>
    <w:rsid w:val="00AE48D3"/>
    <w:rsid w:val="00AE4D75"/>
    <w:rsid w:val="00AE5358"/>
    <w:rsid w:val="00AE584F"/>
    <w:rsid w:val="00AE5F2F"/>
    <w:rsid w:val="00AE6828"/>
    <w:rsid w:val="00AE68CF"/>
    <w:rsid w:val="00AE6C21"/>
    <w:rsid w:val="00AE6C59"/>
    <w:rsid w:val="00AE7277"/>
    <w:rsid w:val="00AE72D4"/>
    <w:rsid w:val="00AE7561"/>
    <w:rsid w:val="00AE7AD6"/>
    <w:rsid w:val="00AE7DB8"/>
    <w:rsid w:val="00AE7F32"/>
    <w:rsid w:val="00AE7F75"/>
    <w:rsid w:val="00AF01D2"/>
    <w:rsid w:val="00AF0427"/>
    <w:rsid w:val="00AF05C5"/>
    <w:rsid w:val="00AF0F74"/>
    <w:rsid w:val="00AF1054"/>
    <w:rsid w:val="00AF1105"/>
    <w:rsid w:val="00AF129C"/>
    <w:rsid w:val="00AF1464"/>
    <w:rsid w:val="00AF1535"/>
    <w:rsid w:val="00AF156A"/>
    <w:rsid w:val="00AF1DDB"/>
    <w:rsid w:val="00AF1E23"/>
    <w:rsid w:val="00AF2062"/>
    <w:rsid w:val="00AF20EB"/>
    <w:rsid w:val="00AF243E"/>
    <w:rsid w:val="00AF297A"/>
    <w:rsid w:val="00AF29D3"/>
    <w:rsid w:val="00AF2C15"/>
    <w:rsid w:val="00AF305F"/>
    <w:rsid w:val="00AF32E5"/>
    <w:rsid w:val="00AF3480"/>
    <w:rsid w:val="00AF3939"/>
    <w:rsid w:val="00AF3AF7"/>
    <w:rsid w:val="00AF3BF2"/>
    <w:rsid w:val="00AF3CB7"/>
    <w:rsid w:val="00AF3E2E"/>
    <w:rsid w:val="00AF3E2F"/>
    <w:rsid w:val="00AF3EB9"/>
    <w:rsid w:val="00AF3EC7"/>
    <w:rsid w:val="00AF40B6"/>
    <w:rsid w:val="00AF439B"/>
    <w:rsid w:val="00AF4504"/>
    <w:rsid w:val="00AF46F2"/>
    <w:rsid w:val="00AF47BE"/>
    <w:rsid w:val="00AF4AA4"/>
    <w:rsid w:val="00AF4B81"/>
    <w:rsid w:val="00AF5501"/>
    <w:rsid w:val="00AF5589"/>
    <w:rsid w:val="00AF5777"/>
    <w:rsid w:val="00AF5A72"/>
    <w:rsid w:val="00AF5F57"/>
    <w:rsid w:val="00AF603F"/>
    <w:rsid w:val="00AF6163"/>
    <w:rsid w:val="00AF66A6"/>
    <w:rsid w:val="00AF6709"/>
    <w:rsid w:val="00AF6C60"/>
    <w:rsid w:val="00AF6D5F"/>
    <w:rsid w:val="00AF6E57"/>
    <w:rsid w:val="00AF7330"/>
    <w:rsid w:val="00AF77DE"/>
    <w:rsid w:val="00AF7BC5"/>
    <w:rsid w:val="00B000E2"/>
    <w:rsid w:val="00B003E8"/>
    <w:rsid w:val="00B0090E"/>
    <w:rsid w:val="00B00A48"/>
    <w:rsid w:val="00B00A85"/>
    <w:rsid w:val="00B01052"/>
    <w:rsid w:val="00B0106C"/>
    <w:rsid w:val="00B01498"/>
    <w:rsid w:val="00B018E9"/>
    <w:rsid w:val="00B01A0B"/>
    <w:rsid w:val="00B01C41"/>
    <w:rsid w:val="00B01D62"/>
    <w:rsid w:val="00B02117"/>
    <w:rsid w:val="00B023DF"/>
    <w:rsid w:val="00B02B31"/>
    <w:rsid w:val="00B02F74"/>
    <w:rsid w:val="00B03520"/>
    <w:rsid w:val="00B037B9"/>
    <w:rsid w:val="00B03831"/>
    <w:rsid w:val="00B03C4C"/>
    <w:rsid w:val="00B03C86"/>
    <w:rsid w:val="00B03F3B"/>
    <w:rsid w:val="00B049CE"/>
    <w:rsid w:val="00B04A2C"/>
    <w:rsid w:val="00B04C1F"/>
    <w:rsid w:val="00B050A4"/>
    <w:rsid w:val="00B05546"/>
    <w:rsid w:val="00B05772"/>
    <w:rsid w:val="00B05C19"/>
    <w:rsid w:val="00B06308"/>
    <w:rsid w:val="00B066CB"/>
    <w:rsid w:val="00B06BF9"/>
    <w:rsid w:val="00B07491"/>
    <w:rsid w:val="00B075F2"/>
    <w:rsid w:val="00B0770A"/>
    <w:rsid w:val="00B07CC4"/>
    <w:rsid w:val="00B07CED"/>
    <w:rsid w:val="00B07FAC"/>
    <w:rsid w:val="00B10088"/>
    <w:rsid w:val="00B102FD"/>
    <w:rsid w:val="00B107C5"/>
    <w:rsid w:val="00B114AD"/>
    <w:rsid w:val="00B11A69"/>
    <w:rsid w:val="00B120ED"/>
    <w:rsid w:val="00B12274"/>
    <w:rsid w:val="00B123F5"/>
    <w:rsid w:val="00B1250C"/>
    <w:rsid w:val="00B12605"/>
    <w:rsid w:val="00B12AE8"/>
    <w:rsid w:val="00B12B5A"/>
    <w:rsid w:val="00B131B3"/>
    <w:rsid w:val="00B1335D"/>
    <w:rsid w:val="00B134B0"/>
    <w:rsid w:val="00B1359F"/>
    <w:rsid w:val="00B138BF"/>
    <w:rsid w:val="00B13BA0"/>
    <w:rsid w:val="00B13D4B"/>
    <w:rsid w:val="00B1441B"/>
    <w:rsid w:val="00B148E7"/>
    <w:rsid w:val="00B14BB3"/>
    <w:rsid w:val="00B14CB7"/>
    <w:rsid w:val="00B14D3F"/>
    <w:rsid w:val="00B150B0"/>
    <w:rsid w:val="00B1579C"/>
    <w:rsid w:val="00B1587A"/>
    <w:rsid w:val="00B1599C"/>
    <w:rsid w:val="00B15A52"/>
    <w:rsid w:val="00B15B31"/>
    <w:rsid w:val="00B15FB7"/>
    <w:rsid w:val="00B161DC"/>
    <w:rsid w:val="00B16330"/>
    <w:rsid w:val="00B16509"/>
    <w:rsid w:val="00B165B0"/>
    <w:rsid w:val="00B16AA4"/>
    <w:rsid w:val="00B173BD"/>
    <w:rsid w:val="00B175D6"/>
    <w:rsid w:val="00B177E7"/>
    <w:rsid w:val="00B17B41"/>
    <w:rsid w:val="00B17C03"/>
    <w:rsid w:val="00B2007A"/>
    <w:rsid w:val="00B2026C"/>
    <w:rsid w:val="00B2032A"/>
    <w:rsid w:val="00B2041C"/>
    <w:rsid w:val="00B20978"/>
    <w:rsid w:val="00B21225"/>
    <w:rsid w:val="00B2189D"/>
    <w:rsid w:val="00B22015"/>
    <w:rsid w:val="00B225CE"/>
    <w:rsid w:val="00B22611"/>
    <w:rsid w:val="00B2263C"/>
    <w:rsid w:val="00B22828"/>
    <w:rsid w:val="00B2282A"/>
    <w:rsid w:val="00B2294E"/>
    <w:rsid w:val="00B22BDE"/>
    <w:rsid w:val="00B22CD9"/>
    <w:rsid w:val="00B22D0F"/>
    <w:rsid w:val="00B22D2C"/>
    <w:rsid w:val="00B22EDC"/>
    <w:rsid w:val="00B23355"/>
    <w:rsid w:val="00B2338F"/>
    <w:rsid w:val="00B23771"/>
    <w:rsid w:val="00B23FD7"/>
    <w:rsid w:val="00B24265"/>
    <w:rsid w:val="00B258C6"/>
    <w:rsid w:val="00B25B1A"/>
    <w:rsid w:val="00B26085"/>
    <w:rsid w:val="00B26F25"/>
    <w:rsid w:val="00B272B4"/>
    <w:rsid w:val="00B2755E"/>
    <w:rsid w:val="00B27716"/>
    <w:rsid w:val="00B279D8"/>
    <w:rsid w:val="00B304C9"/>
    <w:rsid w:val="00B309A9"/>
    <w:rsid w:val="00B31280"/>
    <w:rsid w:val="00B31A81"/>
    <w:rsid w:val="00B31C66"/>
    <w:rsid w:val="00B324B3"/>
    <w:rsid w:val="00B3261A"/>
    <w:rsid w:val="00B32D7B"/>
    <w:rsid w:val="00B337F0"/>
    <w:rsid w:val="00B33C55"/>
    <w:rsid w:val="00B33EC7"/>
    <w:rsid w:val="00B33F96"/>
    <w:rsid w:val="00B340BC"/>
    <w:rsid w:val="00B34364"/>
    <w:rsid w:val="00B34574"/>
    <w:rsid w:val="00B345D0"/>
    <w:rsid w:val="00B3476B"/>
    <w:rsid w:val="00B34BE7"/>
    <w:rsid w:val="00B35003"/>
    <w:rsid w:val="00B353F1"/>
    <w:rsid w:val="00B356C6"/>
    <w:rsid w:val="00B35D9E"/>
    <w:rsid w:val="00B35E3B"/>
    <w:rsid w:val="00B36538"/>
    <w:rsid w:val="00B3666C"/>
    <w:rsid w:val="00B368DB"/>
    <w:rsid w:val="00B36D8B"/>
    <w:rsid w:val="00B36E34"/>
    <w:rsid w:val="00B37234"/>
    <w:rsid w:val="00B37252"/>
    <w:rsid w:val="00B3742C"/>
    <w:rsid w:val="00B377D1"/>
    <w:rsid w:val="00B400F9"/>
    <w:rsid w:val="00B404A5"/>
    <w:rsid w:val="00B40597"/>
    <w:rsid w:val="00B405F1"/>
    <w:rsid w:val="00B40768"/>
    <w:rsid w:val="00B40CCD"/>
    <w:rsid w:val="00B4155F"/>
    <w:rsid w:val="00B41DBD"/>
    <w:rsid w:val="00B4255A"/>
    <w:rsid w:val="00B42909"/>
    <w:rsid w:val="00B42B1C"/>
    <w:rsid w:val="00B42D41"/>
    <w:rsid w:val="00B42F09"/>
    <w:rsid w:val="00B42FDA"/>
    <w:rsid w:val="00B4350A"/>
    <w:rsid w:val="00B43C71"/>
    <w:rsid w:val="00B43CFD"/>
    <w:rsid w:val="00B440B3"/>
    <w:rsid w:val="00B4448C"/>
    <w:rsid w:val="00B44862"/>
    <w:rsid w:val="00B44942"/>
    <w:rsid w:val="00B44D57"/>
    <w:rsid w:val="00B4508B"/>
    <w:rsid w:val="00B45589"/>
    <w:rsid w:val="00B45751"/>
    <w:rsid w:val="00B45C4F"/>
    <w:rsid w:val="00B45E1B"/>
    <w:rsid w:val="00B45FB9"/>
    <w:rsid w:val="00B4632B"/>
    <w:rsid w:val="00B463A9"/>
    <w:rsid w:val="00B464BB"/>
    <w:rsid w:val="00B464D8"/>
    <w:rsid w:val="00B468F3"/>
    <w:rsid w:val="00B46933"/>
    <w:rsid w:val="00B46A26"/>
    <w:rsid w:val="00B46A80"/>
    <w:rsid w:val="00B46B95"/>
    <w:rsid w:val="00B476FE"/>
    <w:rsid w:val="00B478B3"/>
    <w:rsid w:val="00B47956"/>
    <w:rsid w:val="00B47D8F"/>
    <w:rsid w:val="00B47DDE"/>
    <w:rsid w:val="00B47EFD"/>
    <w:rsid w:val="00B47FB3"/>
    <w:rsid w:val="00B50352"/>
    <w:rsid w:val="00B509E7"/>
    <w:rsid w:val="00B509FB"/>
    <w:rsid w:val="00B50FC7"/>
    <w:rsid w:val="00B5111C"/>
    <w:rsid w:val="00B514EF"/>
    <w:rsid w:val="00B5155B"/>
    <w:rsid w:val="00B516E9"/>
    <w:rsid w:val="00B51C2D"/>
    <w:rsid w:val="00B51DD6"/>
    <w:rsid w:val="00B5250D"/>
    <w:rsid w:val="00B526A1"/>
    <w:rsid w:val="00B52808"/>
    <w:rsid w:val="00B52A2E"/>
    <w:rsid w:val="00B52B2F"/>
    <w:rsid w:val="00B52B51"/>
    <w:rsid w:val="00B52B53"/>
    <w:rsid w:val="00B531BA"/>
    <w:rsid w:val="00B5320D"/>
    <w:rsid w:val="00B53694"/>
    <w:rsid w:val="00B538AB"/>
    <w:rsid w:val="00B53D6E"/>
    <w:rsid w:val="00B54067"/>
    <w:rsid w:val="00B54548"/>
    <w:rsid w:val="00B549E3"/>
    <w:rsid w:val="00B54E27"/>
    <w:rsid w:val="00B553D5"/>
    <w:rsid w:val="00B5552C"/>
    <w:rsid w:val="00B55980"/>
    <w:rsid w:val="00B571B0"/>
    <w:rsid w:val="00B57419"/>
    <w:rsid w:val="00B574E1"/>
    <w:rsid w:val="00B57A4B"/>
    <w:rsid w:val="00B57C4D"/>
    <w:rsid w:val="00B57CEF"/>
    <w:rsid w:val="00B57D43"/>
    <w:rsid w:val="00B57DBC"/>
    <w:rsid w:val="00B60187"/>
    <w:rsid w:val="00B604EA"/>
    <w:rsid w:val="00B609BF"/>
    <w:rsid w:val="00B60A38"/>
    <w:rsid w:val="00B60DB7"/>
    <w:rsid w:val="00B60F07"/>
    <w:rsid w:val="00B611B7"/>
    <w:rsid w:val="00B61327"/>
    <w:rsid w:val="00B6175E"/>
    <w:rsid w:val="00B618D7"/>
    <w:rsid w:val="00B61AAD"/>
    <w:rsid w:val="00B61B76"/>
    <w:rsid w:val="00B61F7F"/>
    <w:rsid w:val="00B62329"/>
    <w:rsid w:val="00B62552"/>
    <w:rsid w:val="00B6266B"/>
    <w:rsid w:val="00B6288E"/>
    <w:rsid w:val="00B62A83"/>
    <w:rsid w:val="00B62BBE"/>
    <w:rsid w:val="00B62C64"/>
    <w:rsid w:val="00B62DB9"/>
    <w:rsid w:val="00B62E7F"/>
    <w:rsid w:val="00B62F64"/>
    <w:rsid w:val="00B6302F"/>
    <w:rsid w:val="00B632BD"/>
    <w:rsid w:val="00B63F50"/>
    <w:rsid w:val="00B64107"/>
    <w:rsid w:val="00B64152"/>
    <w:rsid w:val="00B647FF"/>
    <w:rsid w:val="00B6481F"/>
    <w:rsid w:val="00B64CD9"/>
    <w:rsid w:val="00B64D1D"/>
    <w:rsid w:val="00B65193"/>
    <w:rsid w:val="00B65442"/>
    <w:rsid w:val="00B65829"/>
    <w:rsid w:val="00B65A02"/>
    <w:rsid w:val="00B65C2A"/>
    <w:rsid w:val="00B65F20"/>
    <w:rsid w:val="00B6607F"/>
    <w:rsid w:val="00B66187"/>
    <w:rsid w:val="00B666BF"/>
    <w:rsid w:val="00B670E3"/>
    <w:rsid w:val="00B67489"/>
    <w:rsid w:val="00B677E3"/>
    <w:rsid w:val="00B67AD8"/>
    <w:rsid w:val="00B67DCF"/>
    <w:rsid w:val="00B70944"/>
    <w:rsid w:val="00B70AFA"/>
    <w:rsid w:val="00B712F5"/>
    <w:rsid w:val="00B71414"/>
    <w:rsid w:val="00B7177E"/>
    <w:rsid w:val="00B71807"/>
    <w:rsid w:val="00B71A48"/>
    <w:rsid w:val="00B71CCF"/>
    <w:rsid w:val="00B71CD1"/>
    <w:rsid w:val="00B72148"/>
    <w:rsid w:val="00B722DB"/>
    <w:rsid w:val="00B723E0"/>
    <w:rsid w:val="00B728BE"/>
    <w:rsid w:val="00B7331E"/>
    <w:rsid w:val="00B738A3"/>
    <w:rsid w:val="00B73A9B"/>
    <w:rsid w:val="00B73E95"/>
    <w:rsid w:val="00B73FD7"/>
    <w:rsid w:val="00B7426B"/>
    <w:rsid w:val="00B744C8"/>
    <w:rsid w:val="00B7455F"/>
    <w:rsid w:val="00B7487A"/>
    <w:rsid w:val="00B74D3B"/>
    <w:rsid w:val="00B74DE4"/>
    <w:rsid w:val="00B75106"/>
    <w:rsid w:val="00B75236"/>
    <w:rsid w:val="00B752D8"/>
    <w:rsid w:val="00B75380"/>
    <w:rsid w:val="00B75698"/>
    <w:rsid w:val="00B75A54"/>
    <w:rsid w:val="00B75C1A"/>
    <w:rsid w:val="00B75C43"/>
    <w:rsid w:val="00B75FE0"/>
    <w:rsid w:val="00B76186"/>
    <w:rsid w:val="00B76518"/>
    <w:rsid w:val="00B7661E"/>
    <w:rsid w:val="00B76D05"/>
    <w:rsid w:val="00B7726C"/>
    <w:rsid w:val="00B77766"/>
    <w:rsid w:val="00B77CE4"/>
    <w:rsid w:val="00B804E8"/>
    <w:rsid w:val="00B807B5"/>
    <w:rsid w:val="00B808D6"/>
    <w:rsid w:val="00B80D0C"/>
    <w:rsid w:val="00B81136"/>
    <w:rsid w:val="00B81397"/>
    <w:rsid w:val="00B815D2"/>
    <w:rsid w:val="00B81D2D"/>
    <w:rsid w:val="00B81D9D"/>
    <w:rsid w:val="00B81E14"/>
    <w:rsid w:val="00B829A8"/>
    <w:rsid w:val="00B83012"/>
    <w:rsid w:val="00B83132"/>
    <w:rsid w:val="00B832E7"/>
    <w:rsid w:val="00B83490"/>
    <w:rsid w:val="00B8349D"/>
    <w:rsid w:val="00B83AB1"/>
    <w:rsid w:val="00B83C0A"/>
    <w:rsid w:val="00B83CB5"/>
    <w:rsid w:val="00B83EF7"/>
    <w:rsid w:val="00B841C1"/>
    <w:rsid w:val="00B84218"/>
    <w:rsid w:val="00B84253"/>
    <w:rsid w:val="00B84B73"/>
    <w:rsid w:val="00B84BA7"/>
    <w:rsid w:val="00B84DAD"/>
    <w:rsid w:val="00B85954"/>
    <w:rsid w:val="00B85B29"/>
    <w:rsid w:val="00B865D9"/>
    <w:rsid w:val="00B866B6"/>
    <w:rsid w:val="00B8683D"/>
    <w:rsid w:val="00B869EF"/>
    <w:rsid w:val="00B86EC8"/>
    <w:rsid w:val="00B87038"/>
    <w:rsid w:val="00B870C1"/>
    <w:rsid w:val="00B870FD"/>
    <w:rsid w:val="00B87BE9"/>
    <w:rsid w:val="00B87C76"/>
    <w:rsid w:val="00B87C92"/>
    <w:rsid w:val="00B87EE5"/>
    <w:rsid w:val="00B904F6"/>
    <w:rsid w:val="00B906D8"/>
    <w:rsid w:val="00B9082F"/>
    <w:rsid w:val="00B90E99"/>
    <w:rsid w:val="00B914A1"/>
    <w:rsid w:val="00B9169C"/>
    <w:rsid w:val="00B91BB8"/>
    <w:rsid w:val="00B91FA0"/>
    <w:rsid w:val="00B92537"/>
    <w:rsid w:val="00B9265C"/>
    <w:rsid w:val="00B929F7"/>
    <w:rsid w:val="00B92B06"/>
    <w:rsid w:val="00B92E1C"/>
    <w:rsid w:val="00B92FC6"/>
    <w:rsid w:val="00B932BF"/>
    <w:rsid w:val="00B937D2"/>
    <w:rsid w:val="00B93FAE"/>
    <w:rsid w:val="00B94292"/>
    <w:rsid w:val="00B94616"/>
    <w:rsid w:val="00B948B7"/>
    <w:rsid w:val="00B94BE6"/>
    <w:rsid w:val="00B94EEE"/>
    <w:rsid w:val="00B94F37"/>
    <w:rsid w:val="00B9522B"/>
    <w:rsid w:val="00B954D5"/>
    <w:rsid w:val="00B95693"/>
    <w:rsid w:val="00B9579E"/>
    <w:rsid w:val="00B95A36"/>
    <w:rsid w:val="00B95B40"/>
    <w:rsid w:val="00B9608C"/>
    <w:rsid w:val="00B9616C"/>
    <w:rsid w:val="00B96D0B"/>
    <w:rsid w:val="00B96F4E"/>
    <w:rsid w:val="00B9705F"/>
    <w:rsid w:val="00B97317"/>
    <w:rsid w:val="00B9754F"/>
    <w:rsid w:val="00B975E5"/>
    <w:rsid w:val="00B97683"/>
    <w:rsid w:val="00B976F8"/>
    <w:rsid w:val="00B97971"/>
    <w:rsid w:val="00B97D3D"/>
    <w:rsid w:val="00BA0321"/>
    <w:rsid w:val="00BA05D1"/>
    <w:rsid w:val="00BA0AFD"/>
    <w:rsid w:val="00BA1034"/>
    <w:rsid w:val="00BA1435"/>
    <w:rsid w:val="00BA14CC"/>
    <w:rsid w:val="00BA15D6"/>
    <w:rsid w:val="00BA1BA0"/>
    <w:rsid w:val="00BA1BDE"/>
    <w:rsid w:val="00BA26B1"/>
    <w:rsid w:val="00BA310E"/>
    <w:rsid w:val="00BA3342"/>
    <w:rsid w:val="00BA3670"/>
    <w:rsid w:val="00BA3791"/>
    <w:rsid w:val="00BA39B4"/>
    <w:rsid w:val="00BA3A08"/>
    <w:rsid w:val="00BA3C7D"/>
    <w:rsid w:val="00BA3F87"/>
    <w:rsid w:val="00BA4070"/>
    <w:rsid w:val="00BA42C7"/>
    <w:rsid w:val="00BA445F"/>
    <w:rsid w:val="00BA4706"/>
    <w:rsid w:val="00BA4795"/>
    <w:rsid w:val="00BA48CF"/>
    <w:rsid w:val="00BA510B"/>
    <w:rsid w:val="00BA5636"/>
    <w:rsid w:val="00BA598E"/>
    <w:rsid w:val="00BA5C68"/>
    <w:rsid w:val="00BA5DE9"/>
    <w:rsid w:val="00BA6AA7"/>
    <w:rsid w:val="00BA7075"/>
    <w:rsid w:val="00BA75B6"/>
    <w:rsid w:val="00BA7983"/>
    <w:rsid w:val="00BA7AEE"/>
    <w:rsid w:val="00BB00BC"/>
    <w:rsid w:val="00BB01F5"/>
    <w:rsid w:val="00BB0201"/>
    <w:rsid w:val="00BB05C4"/>
    <w:rsid w:val="00BB07BE"/>
    <w:rsid w:val="00BB0C87"/>
    <w:rsid w:val="00BB0EA0"/>
    <w:rsid w:val="00BB16C8"/>
    <w:rsid w:val="00BB1837"/>
    <w:rsid w:val="00BB1B2C"/>
    <w:rsid w:val="00BB1BF4"/>
    <w:rsid w:val="00BB1C58"/>
    <w:rsid w:val="00BB1C82"/>
    <w:rsid w:val="00BB1D4B"/>
    <w:rsid w:val="00BB2014"/>
    <w:rsid w:val="00BB2418"/>
    <w:rsid w:val="00BB2521"/>
    <w:rsid w:val="00BB25B0"/>
    <w:rsid w:val="00BB2A3B"/>
    <w:rsid w:val="00BB3006"/>
    <w:rsid w:val="00BB34AC"/>
    <w:rsid w:val="00BB3567"/>
    <w:rsid w:val="00BB3878"/>
    <w:rsid w:val="00BB428D"/>
    <w:rsid w:val="00BB4585"/>
    <w:rsid w:val="00BB463E"/>
    <w:rsid w:val="00BB48CD"/>
    <w:rsid w:val="00BB4BBB"/>
    <w:rsid w:val="00BB4DF2"/>
    <w:rsid w:val="00BB4EF7"/>
    <w:rsid w:val="00BB54F5"/>
    <w:rsid w:val="00BB68CE"/>
    <w:rsid w:val="00BB6BB3"/>
    <w:rsid w:val="00BB6CE1"/>
    <w:rsid w:val="00BB6D04"/>
    <w:rsid w:val="00BB7270"/>
    <w:rsid w:val="00BB72D9"/>
    <w:rsid w:val="00BB7345"/>
    <w:rsid w:val="00BB74C2"/>
    <w:rsid w:val="00BB7503"/>
    <w:rsid w:val="00BB7559"/>
    <w:rsid w:val="00BB7B6F"/>
    <w:rsid w:val="00BB7B93"/>
    <w:rsid w:val="00BC025F"/>
    <w:rsid w:val="00BC043E"/>
    <w:rsid w:val="00BC04AB"/>
    <w:rsid w:val="00BC0854"/>
    <w:rsid w:val="00BC0B9E"/>
    <w:rsid w:val="00BC11B5"/>
    <w:rsid w:val="00BC135C"/>
    <w:rsid w:val="00BC140C"/>
    <w:rsid w:val="00BC213A"/>
    <w:rsid w:val="00BC2550"/>
    <w:rsid w:val="00BC2AB5"/>
    <w:rsid w:val="00BC2D35"/>
    <w:rsid w:val="00BC3081"/>
    <w:rsid w:val="00BC34DB"/>
    <w:rsid w:val="00BC352C"/>
    <w:rsid w:val="00BC35E8"/>
    <w:rsid w:val="00BC3CF4"/>
    <w:rsid w:val="00BC41AA"/>
    <w:rsid w:val="00BC41D0"/>
    <w:rsid w:val="00BC4238"/>
    <w:rsid w:val="00BC4827"/>
    <w:rsid w:val="00BC507D"/>
    <w:rsid w:val="00BC510F"/>
    <w:rsid w:val="00BC51CA"/>
    <w:rsid w:val="00BC5294"/>
    <w:rsid w:val="00BC561E"/>
    <w:rsid w:val="00BC566D"/>
    <w:rsid w:val="00BC5BD9"/>
    <w:rsid w:val="00BC637E"/>
    <w:rsid w:val="00BC6406"/>
    <w:rsid w:val="00BC65F5"/>
    <w:rsid w:val="00BC66B8"/>
    <w:rsid w:val="00BC6771"/>
    <w:rsid w:val="00BC67AB"/>
    <w:rsid w:val="00BC6C85"/>
    <w:rsid w:val="00BC6F5D"/>
    <w:rsid w:val="00BC6FAE"/>
    <w:rsid w:val="00BC7149"/>
    <w:rsid w:val="00BC721C"/>
    <w:rsid w:val="00BC7634"/>
    <w:rsid w:val="00BC7843"/>
    <w:rsid w:val="00BD0219"/>
    <w:rsid w:val="00BD04E8"/>
    <w:rsid w:val="00BD0A36"/>
    <w:rsid w:val="00BD1075"/>
    <w:rsid w:val="00BD16A5"/>
    <w:rsid w:val="00BD2F89"/>
    <w:rsid w:val="00BD30B6"/>
    <w:rsid w:val="00BD38E6"/>
    <w:rsid w:val="00BD3944"/>
    <w:rsid w:val="00BD397C"/>
    <w:rsid w:val="00BD39F2"/>
    <w:rsid w:val="00BD4490"/>
    <w:rsid w:val="00BD4922"/>
    <w:rsid w:val="00BD4AB2"/>
    <w:rsid w:val="00BD4ED5"/>
    <w:rsid w:val="00BD523D"/>
    <w:rsid w:val="00BD57C5"/>
    <w:rsid w:val="00BD5DFB"/>
    <w:rsid w:val="00BD6397"/>
    <w:rsid w:val="00BD6520"/>
    <w:rsid w:val="00BD6551"/>
    <w:rsid w:val="00BD7188"/>
    <w:rsid w:val="00BD755F"/>
    <w:rsid w:val="00BD789D"/>
    <w:rsid w:val="00BD7D43"/>
    <w:rsid w:val="00BE0149"/>
    <w:rsid w:val="00BE06FC"/>
    <w:rsid w:val="00BE0F37"/>
    <w:rsid w:val="00BE0F71"/>
    <w:rsid w:val="00BE1577"/>
    <w:rsid w:val="00BE1F06"/>
    <w:rsid w:val="00BE2904"/>
    <w:rsid w:val="00BE293F"/>
    <w:rsid w:val="00BE2A4C"/>
    <w:rsid w:val="00BE2C10"/>
    <w:rsid w:val="00BE2D3C"/>
    <w:rsid w:val="00BE2D46"/>
    <w:rsid w:val="00BE2F9D"/>
    <w:rsid w:val="00BE3854"/>
    <w:rsid w:val="00BE3FF2"/>
    <w:rsid w:val="00BE40FF"/>
    <w:rsid w:val="00BE4369"/>
    <w:rsid w:val="00BE4929"/>
    <w:rsid w:val="00BE4CA7"/>
    <w:rsid w:val="00BE4FD4"/>
    <w:rsid w:val="00BE5218"/>
    <w:rsid w:val="00BE5296"/>
    <w:rsid w:val="00BE531B"/>
    <w:rsid w:val="00BE53A5"/>
    <w:rsid w:val="00BE5634"/>
    <w:rsid w:val="00BE5B15"/>
    <w:rsid w:val="00BE5B34"/>
    <w:rsid w:val="00BE5C93"/>
    <w:rsid w:val="00BE61DE"/>
    <w:rsid w:val="00BE75D9"/>
    <w:rsid w:val="00BE77E3"/>
    <w:rsid w:val="00BE79C5"/>
    <w:rsid w:val="00BF0553"/>
    <w:rsid w:val="00BF064E"/>
    <w:rsid w:val="00BF0A9E"/>
    <w:rsid w:val="00BF0C41"/>
    <w:rsid w:val="00BF0CE4"/>
    <w:rsid w:val="00BF0F28"/>
    <w:rsid w:val="00BF10FB"/>
    <w:rsid w:val="00BF11D4"/>
    <w:rsid w:val="00BF11FF"/>
    <w:rsid w:val="00BF12C9"/>
    <w:rsid w:val="00BF1492"/>
    <w:rsid w:val="00BF16F5"/>
    <w:rsid w:val="00BF200C"/>
    <w:rsid w:val="00BF20FA"/>
    <w:rsid w:val="00BF2443"/>
    <w:rsid w:val="00BF2786"/>
    <w:rsid w:val="00BF2A19"/>
    <w:rsid w:val="00BF2BE3"/>
    <w:rsid w:val="00BF3124"/>
    <w:rsid w:val="00BF3A5A"/>
    <w:rsid w:val="00BF44B2"/>
    <w:rsid w:val="00BF48AB"/>
    <w:rsid w:val="00BF4951"/>
    <w:rsid w:val="00BF4C2D"/>
    <w:rsid w:val="00BF4FB8"/>
    <w:rsid w:val="00BF5348"/>
    <w:rsid w:val="00BF5AC1"/>
    <w:rsid w:val="00BF5F89"/>
    <w:rsid w:val="00BF5FDC"/>
    <w:rsid w:val="00BF6933"/>
    <w:rsid w:val="00BF6C9F"/>
    <w:rsid w:val="00BF6FDB"/>
    <w:rsid w:val="00BF7371"/>
    <w:rsid w:val="00BF7789"/>
    <w:rsid w:val="00C0041B"/>
    <w:rsid w:val="00C00540"/>
    <w:rsid w:val="00C007EC"/>
    <w:rsid w:val="00C00CDB"/>
    <w:rsid w:val="00C01363"/>
    <w:rsid w:val="00C013EC"/>
    <w:rsid w:val="00C015D1"/>
    <w:rsid w:val="00C018D1"/>
    <w:rsid w:val="00C019BC"/>
    <w:rsid w:val="00C01DA1"/>
    <w:rsid w:val="00C0201E"/>
    <w:rsid w:val="00C021C0"/>
    <w:rsid w:val="00C02958"/>
    <w:rsid w:val="00C02A55"/>
    <w:rsid w:val="00C02EA7"/>
    <w:rsid w:val="00C02FAE"/>
    <w:rsid w:val="00C0354C"/>
    <w:rsid w:val="00C036FD"/>
    <w:rsid w:val="00C038F9"/>
    <w:rsid w:val="00C03A8F"/>
    <w:rsid w:val="00C04027"/>
    <w:rsid w:val="00C04239"/>
    <w:rsid w:val="00C04253"/>
    <w:rsid w:val="00C04269"/>
    <w:rsid w:val="00C0492F"/>
    <w:rsid w:val="00C05260"/>
    <w:rsid w:val="00C05937"/>
    <w:rsid w:val="00C05A4E"/>
    <w:rsid w:val="00C05BE2"/>
    <w:rsid w:val="00C06047"/>
    <w:rsid w:val="00C06107"/>
    <w:rsid w:val="00C06688"/>
    <w:rsid w:val="00C067E6"/>
    <w:rsid w:val="00C06C2E"/>
    <w:rsid w:val="00C06CF8"/>
    <w:rsid w:val="00C06D44"/>
    <w:rsid w:val="00C06D7B"/>
    <w:rsid w:val="00C06E63"/>
    <w:rsid w:val="00C071AA"/>
    <w:rsid w:val="00C07F5A"/>
    <w:rsid w:val="00C07FE3"/>
    <w:rsid w:val="00C10532"/>
    <w:rsid w:val="00C107BB"/>
    <w:rsid w:val="00C108E7"/>
    <w:rsid w:val="00C1094C"/>
    <w:rsid w:val="00C10BFC"/>
    <w:rsid w:val="00C10E39"/>
    <w:rsid w:val="00C11325"/>
    <w:rsid w:val="00C1141C"/>
    <w:rsid w:val="00C11749"/>
    <w:rsid w:val="00C11D38"/>
    <w:rsid w:val="00C11E5C"/>
    <w:rsid w:val="00C11F41"/>
    <w:rsid w:val="00C136EC"/>
    <w:rsid w:val="00C13805"/>
    <w:rsid w:val="00C13A3A"/>
    <w:rsid w:val="00C13CD4"/>
    <w:rsid w:val="00C141B8"/>
    <w:rsid w:val="00C14679"/>
    <w:rsid w:val="00C147F7"/>
    <w:rsid w:val="00C14C41"/>
    <w:rsid w:val="00C14DA2"/>
    <w:rsid w:val="00C14FFD"/>
    <w:rsid w:val="00C152FC"/>
    <w:rsid w:val="00C15937"/>
    <w:rsid w:val="00C15C3A"/>
    <w:rsid w:val="00C15CFE"/>
    <w:rsid w:val="00C16E23"/>
    <w:rsid w:val="00C17135"/>
    <w:rsid w:val="00C1719C"/>
    <w:rsid w:val="00C17930"/>
    <w:rsid w:val="00C1795E"/>
    <w:rsid w:val="00C200BC"/>
    <w:rsid w:val="00C200E5"/>
    <w:rsid w:val="00C206A7"/>
    <w:rsid w:val="00C207F1"/>
    <w:rsid w:val="00C20C19"/>
    <w:rsid w:val="00C20FC8"/>
    <w:rsid w:val="00C210D3"/>
    <w:rsid w:val="00C21461"/>
    <w:rsid w:val="00C2155D"/>
    <w:rsid w:val="00C21B5D"/>
    <w:rsid w:val="00C21D17"/>
    <w:rsid w:val="00C21EE4"/>
    <w:rsid w:val="00C228A6"/>
    <w:rsid w:val="00C22CA2"/>
    <w:rsid w:val="00C22E3B"/>
    <w:rsid w:val="00C22EE5"/>
    <w:rsid w:val="00C230B7"/>
    <w:rsid w:val="00C230BB"/>
    <w:rsid w:val="00C2312C"/>
    <w:rsid w:val="00C23407"/>
    <w:rsid w:val="00C2396B"/>
    <w:rsid w:val="00C23A08"/>
    <w:rsid w:val="00C241BA"/>
    <w:rsid w:val="00C2496A"/>
    <w:rsid w:val="00C24AFF"/>
    <w:rsid w:val="00C250BF"/>
    <w:rsid w:val="00C25C6B"/>
    <w:rsid w:val="00C25CC5"/>
    <w:rsid w:val="00C26955"/>
    <w:rsid w:val="00C26A11"/>
    <w:rsid w:val="00C26ABC"/>
    <w:rsid w:val="00C26D70"/>
    <w:rsid w:val="00C27287"/>
    <w:rsid w:val="00C2790F"/>
    <w:rsid w:val="00C27C83"/>
    <w:rsid w:val="00C30111"/>
    <w:rsid w:val="00C302B8"/>
    <w:rsid w:val="00C30CB2"/>
    <w:rsid w:val="00C30DDF"/>
    <w:rsid w:val="00C310FD"/>
    <w:rsid w:val="00C311A0"/>
    <w:rsid w:val="00C312E0"/>
    <w:rsid w:val="00C31E3B"/>
    <w:rsid w:val="00C32154"/>
    <w:rsid w:val="00C32805"/>
    <w:rsid w:val="00C32F26"/>
    <w:rsid w:val="00C330E3"/>
    <w:rsid w:val="00C331B0"/>
    <w:rsid w:val="00C33707"/>
    <w:rsid w:val="00C339CA"/>
    <w:rsid w:val="00C33ABD"/>
    <w:rsid w:val="00C33B84"/>
    <w:rsid w:val="00C34112"/>
    <w:rsid w:val="00C347A0"/>
    <w:rsid w:val="00C3490D"/>
    <w:rsid w:val="00C3497F"/>
    <w:rsid w:val="00C349D2"/>
    <w:rsid w:val="00C34B9D"/>
    <w:rsid w:val="00C34C45"/>
    <w:rsid w:val="00C34E20"/>
    <w:rsid w:val="00C34E46"/>
    <w:rsid w:val="00C34E95"/>
    <w:rsid w:val="00C34F2F"/>
    <w:rsid w:val="00C3585C"/>
    <w:rsid w:val="00C35C46"/>
    <w:rsid w:val="00C366EB"/>
    <w:rsid w:val="00C36BD5"/>
    <w:rsid w:val="00C371A4"/>
    <w:rsid w:val="00C37359"/>
    <w:rsid w:val="00C37434"/>
    <w:rsid w:val="00C374C0"/>
    <w:rsid w:val="00C37DE3"/>
    <w:rsid w:val="00C37F79"/>
    <w:rsid w:val="00C402D3"/>
    <w:rsid w:val="00C406F5"/>
    <w:rsid w:val="00C4075F"/>
    <w:rsid w:val="00C409F5"/>
    <w:rsid w:val="00C40DDF"/>
    <w:rsid w:val="00C40FC9"/>
    <w:rsid w:val="00C417E0"/>
    <w:rsid w:val="00C418FA"/>
    <w:rsid w:val="00C41C54"/>
    <w:rsid w:val="00C424A0"/>
    <w:rsid w:val="00C4290C"/>
    <w:rsid w:val="00C42932"/>
    <w:rsid w:val="00C42B93"/>
    <w:rsid w:val="00C42C48"/>
    <w:rsid w:val="00C4302F"/>
    <w:rsid w:val="00C430EB"/>
    <w:rsid w:val="00C4334C"/>
    <w:rsid w:val="00C437DF"/>
    <w:rsid w:val="00C438BE"/>
    <w:rsid w:val="00C43B01"/>
    <w:rsid w:val="00C43C16"/>
    <w:rsid w:val="00C43C95"/>
    <w:rsid w:val="00C43CE0"/>
    <w:rsid w:val="00C44524"/>
    <w:rsid w:val="00C447C5"/>
    <w:rsid w:val="00C447F2"/>
    <w:rsid w:val="00C4484A"/>
    <w:rsid w:val="00C44E2E"/>
    <w:rsid w:val="00C44E34"/>
    <w:rsid w:val="00C44EA2"/>
    <w:rsid w:val="00C45185"/>
    <w:rsid w:val="00C45255"/>
    <w:rsid w:val="00C45326"/>
    <w:rsid w:val="00C45668"/>
    <w:rsid w:val="00C45695"/>
    <w:rsid w:val="00C45B89"/>
    <w:rsid w:val="00C45FD4"/>
    <w:rsid w:val="00C46480"/>
    <w:rsid w:val="00C464C2"/>
    <w:rsid w:val="00C46820"/>
    <w:rsid w:val="00C46B0E"/>
    <w:rsid w:val="00C46B9B"/>
    <w:rsid w:val="00C46DAF"/>
    <w:rsid w:val="00C46DEA"/>
    <w:rsid w:val="00C47024"/>
    <w:rsid w:val="00C47029"/>
    <w:rsid w:val="00C4723B"/>
    <w:rsid w:val="00C47311"/>
    <w:rsid w:val="00C47409"/>
    <w:rsid w:val="00C4754B"/>
    <w:rsid w:val="00C47A1B"/>
    <w:rsid w:val="00C47A93"/>
    <w:rsid w:val="00C47AE0"/>
    <w:rsid w:val="00C47D04"/>
    <w:rsid w:val="00C5007A"/>
    <w:rsid w:val="00C501B7"/>
    <w:rsid w:val="00C50543"/>
    <w:rsid w:val="00C50703"/>
    <w:rsid w:val="00C50841"/>
    <w:rsid w:val="00C509ED"/>
    <w:rsid w:val="00C50DE0"/>
    <w:rsid w:val="00C50EA0"/>
    <w:rsid w:val="00C51054"/>
    <w:rsid w:val="00C512DF"/>
    <w:rsid w:val="00C5164A"/>
    <w:rsid w:val="00C517E9"/>
    <w:rsid w:val="00C51830"/>
    <w:rsid w:val="00C5198A"/>
    <w:rsid w:val="00C51C3C"/>
    <w:rsid w:val="00C520C6"/>
    <w:rsid w:val="00C522C8"/>
    <w:rsid w:val="00C5237E"/>
    <w:rsid w:val="00C52452"/>
    <w:rsid w:val="00C524E2"/>
    <w:rsid w:val="00C52A64"/>
    <w:rsid w:val="00C5302B"/>
    <w:rsid w:val="00C530C0"/>
    <w:rsid w:val="00C530F6"/>
    <w:rsid w:val="00C5331B"/>
    <w:rsid w:val="00C5387D"/>
    <w:rsid w:val="00C53E30"/>
    <w:rsid w:val="00C53EFF"/>
    <w:rsid w:val="00C53F03"/>
    <w:rsid w:val="00C53F78"/>
    <w:rsid w:val="00C545E8"/>
    <w:rsid w:val="00C549FC"/>
    <w:rsid w:val="00C54F37"/>
    <w:rsid w:val="00C551AC"/>
    <w:rsid w:val="00C555D0"/>
    <w:rsid w:val="00C5564D"/>
    <w:rsid w:val="00C56C7A"/>
    <w:rsid w:val="00C57070"/>
    <w:rsid w:val="00C57741"/>
    <w:rsid w:val="00C5795D"/>
    <w:rsid w:val="00C57F11"/>
    <w:rsid w:val="00C601B9"/>
    <w:rsid w:val="00C601C0"/>
    <w:rsid w:val="00C601E9"/>
    <w:rsid w:val="00C604BB"/>
    <w:rsid w:val="00C60580"/>
    <w:rsid w:val="00C60AB4"/>
    <w:rsid w:val="00C60B82"/>
    <w:rsid w:val="00C60C92"/>
    <w:rsid w:val="00C60EA0"/>
    <w:rsid w:val="00C60F4B"/>
    <w:rsid w:val="00C61631"/>
    <w:rsid w:val="00C61F37"/>
    <w:rsid w:val="00C6231A"/>
    <w:rsid w:val="00C62344"/>
    <w:rsid w:val="00C623A7"/>
    <w:rsid w:val="00C6247A"/>
    <w:rsid w:val="00C627DE"/>
    <w:rsid w:val="00C6297D"/>
    <w:rsid w:val="00C62DF7"/>
    <w:rsid w:val="00C63115"/>
    <w:rsid w:val="00C634E4"/>
    <w:rsid w:val="00C63A90"/>
    <w:rsid w:val="00C64830"/>
    <w:rsid w:val="00C64AF5"/>
    <w:rsid w:val="00C64B54"/>
    <w:rsid w:val="00C65161"/>
    <w:rsid w:val="00C651E8"/>
    <w:rsid w:val="00C6556D"/>
    <w:rsid w:val="00C65DC4"/>
    <w:rsid w:val="00C664EC"/>
    <w:rsid w:val="00C66C89"/>
    <w:rsid w:val="00C66DC4"/>
    <w:rsid w:val="00C66FBA"/>
    <w:rsid w:val="00C6719A"/>
    <w:rsid w:val="00C6741C"/>
    <w:rsid w:val="00C67923"/>
    <w:rsid w:val="00C679A9"/>
    <w:rsid w:val="00C67A53"/>
    <w:rsid w:val="00C67E00"/>
    <w:rsid w:val="00C67E1A"/>
    <w:rsid w:val="00C7009C"/>
    <w:rsid w:val="00C70261"/>
    <w:rsid w:val="00C702E1"/>
    <w:rsid w:val="00C705B7"/>
    <w:rsid w:val="00C705D3"/>
    <w:rsid w:val="00C707AD"/>
    <w:rsid w:val="00C70BB5"/>
    <w:rsid w:val="00C70CDB"/>
    <w:rsid w:val="00C70F42"/>
    <w:rsid w:val="00C711F0"/>
    <w:rsid w:val="00C7141C"/>
    <w:rsid w:val="00C71929"/>
    <w:rsid w:val="00C71F8D"/>
    <w:rsid w:val="00C7278B"/>
    <w:rsid w:val="00C728E9"/>
    <w:rsid w:val="00C72975"/>
    <w:rsid w:val="00C72A23"/>
    <w:rsid w:val="00C72A63"/>
    <w:rsid w:val="00C72E8B"/>
    <w:rsid w:val="00C72F4D"/>
    <w:rsid w:val="00C72FAD"/>
    <w:rsid w:val="00C7329D"/>
    <w:rsid w:val="00C732F4"/>
    <w:rsid w:val="00C736D7"/>
    <w:rsid w:val="00C739FD"/>
    <w:rsid w:val="00C73B17"/>
    <w:rsid w:val="00C74514"/>
    <w:rsid w:val="00C7491B"/>
    <w:rsid w:val="00C74A0E"/>
    <w:rsid w:val="00C74C32"/>
    <w:rsid w:val="00C74D17"/>
    <w:rsid w:val="00C74DAF"/>
    <w:rsid w:val="00C7512A"/>
    <w:rsid w:val="00C75936"/>
    <w:rsid w:val="00C76543"/>
    <w:rsid w:val="00C7691D"/>
    <w:rsid w:val="00C76A28"/>
    <w:rsid w:val="00C76E6B"/>
    <w:rsid w:val="00C7706F"/>
    <w:rsid w:val="00C77255"/>
    <w:rsid w:val="00C773B1"/>
    <w:rsid w:val="00C77DB4"/>
    <w:rsid w:val="00C800D8"/>
    <w:rsid w:val="00C80429"/>
    <w:rsid w:val="00C808A7"/>
    <w:rsid w:val="00C80BA6"/>
    <w:rsid w:val="00C80D89"/>
    <w:rsid w:val="00C80DDF"/>
    <w:rsid w:val="00C8130C"/>
    <w:rsid w:val="00C81662"/>
    <w:rsid w:val="00C816C4"/>
    <w:rsid w:val="00C81701"/>
    <w:rsid w:val="00C81AC2"/>
    <w:rsid w:val="00C81F03"/>
    <w:rsid w:val="00C81F5B"/>
    <w:rsid w:val="00C824D1"/>
    <w:rsid w:val="00C82A79"/>
    <w:rsid w:val="00C82BF9"/>
    <w:rsid w:val="00C82CFC"/>
    <w:rsid w:val="00C830A4"/>
    <w:rsid w:val="00C83118"/>
    <w:rsid w:val="00C833F7"/>
    <w:rsid w:val="00C83416"/>
    <w:rsid w:val="00C83639"/>
    <w:rsid w:val="00C83912"/>
    <w:rsid w:val="00C83920"/>
    <w:rsid w:val="00C83ADD"/>
    <w:rsid w:val="00C83EC9"/>
    <w:rsid w:val="00C84187"/>
    <w:rsid w:val="00C844E4"/>
    <w:rsid w:val="00C845A3"/>
    <w:rsid w:val="00C8471B"/>
    <w:rsid w:val="00C85052"/>
    <w:rsid w:val="00C855CE"/>
    <w:rsid w:val="00C8576A"/>
    <w:rsid w:val="00C85771"/>
    <w:rsid w:val="00C85F02"/>
    <w:rsid w:val="00C860F3"/>
    <w:rsid w:val="00C862EC"/>
    <w:rsid w:val="00C86700"/>
    <w:rsid w:val="00C8699C"/>
    <w:rsid w:val="00C86C6F"/>
    <w:rsid w:val="00C86FE8"/>
    <w:rsid w:val="00C874AD"/>
    <w:rsid w:val="00C874CC"/>
    <w:rsid w:val="00C876DA"/>
    <w:rsid w:val="00C87712"/>
    <w:rsid w:val="00C87773"/>
    <w:rsid w:val="00C87A0E"/>
    <w:rsid w:val="00C904BE"/>
    <w:rsid w:val="00C90A49"/>
    <w:rsid w:val="00C90C1A"/>
    <w:rsid w:val="00C910C9"/>
    <w:rsid w:val="00C911C3"/>
    <w:rsid w:val="00C91774"/>
    <w:rsid w:val="00C91A19"/>
    <w:rsid w:val="00C91C04"/>
    <w:rsid w:val="00C91EA8"/>
    <w:rsid w:val="00C920E6"/>
    <w:rsid w:val="00C92235"/>
    <w:rsid w:val="00C92BD9"/>
    <w:rsid w:val="00C92BF5"/>
    <w:rsid w:val="00C935EA"/>
    <w:rsid w:val="00C93704"/>
    <w:rsid w:val="00C939DD"/>
    <w:rsid w:val="00C93AB3"/>
    <w:rsid w:val="00C93BBC"/>
    <w:rsid w:val="00C93BEC"/>
    <w:rsid w:val="00C93C18"/>
    <w:rsid w:val="00C94106"/>
    <w:rsid w:val="00C9424E"/>
    <w:rsid w:val="00C94307"/>
    <w:rsid w:val="00C94633"/>
    <w:rsid w:val="00C94755"/>
    <w:rsid w:val="00C94B63"/>
    <w:rsid w:val="00C94D93"/>
    <w:rsid w:val="00C952A7"/>
    <w:rsid w:val="00C95302"/>
    <w:rsid w:val="00C957A0"/>
    <w:rsid w:val="00C959E8"/>
    <w:rsid w:val="00C95CC9"/>
    <w:rsid w:val="00C96109"/>
    <w:rsid w:val="00C9612C"/>
    <w:rsid w:val="00C9640A"/>
    <w:rsid w:val="00C9640B"/>
    <w:rsid w:val="00C9662E"/>
    <w:rsid w:val="00C96AF4"/>
    <w:rsid w:val="00C96CE3"/>
    <w:rsid w:val="00C96EB2"/>
    <w:rsid w:val="00C96F21"/>
    <w:rsid w:val="00C97615"/>
    <w:rsid w:val="00C97F80"/>
    <w:rsid w:val="00CA0371"/>
    <w:rsid w:val="00CA0687"/>
    <w:rsid w:val="00CA082E"/>
    <w:rsid w:val="00CA0906"/>
    <w:rsid w:val="00CA0B03"/>
    <w:rsid w:val="00CA0F7F"/>
    <w:rsid w:val="00CA110D"/>
    <w:rsid w:val="00CA18BA"/>
    <w:rsid w:val="00CA1A13"/>
    <w:rsid w:val="00CA1F7A"/>
    <w:rsid w:val="00CA2461"/>
    <w:rsid w:val="00CA2561"/>
    <w:rsid w:val="00CA2684"/>
    <w:rsid w:val="00CA2A0F"/>
    <w:rsid w:val="00CA2C4F"/>
    <w:rsid w:val="00CA2C5D"/>
    <w:rsid w:val="00CA3019"/>
    <w:rsid w:val="00CA3698"/>
    <w:rsid w:val="00CA369C"/>
    <w:rsid w:val="00CA39EE"/>
    <w:rsid w:val="00CA3B2C"/>
    <w:rsid w:val="00CA3C68"/>
    <w:rsid w:val="00CA464A"/>
    <w:rsid w:val="00CA4FCF"/>
    <w:rsid w:val="00CA5546"/>
    <w:rsid w:val="00CA566F"/>
    <w:rsid w:val="00CA573A"/>
    <w:rsid w:val="00CA5F50"/>
    <w:rsid w:val="00CA5FC7"/>
    <w:rsid w:val="00CA6225"/>
    <w:rsid w:val="00CA6869"/>
    <w:rsid w:val="00CA6B4C"/>
    <w:rsid w:val="00CA6BA8"/>
    <w:rsid w:val="00CA6EB9"/>
    <w:rsid w:val="00CA744C"/>
    <w:rsid w:val="00CA7459"/>
    <w:rsid w:val="00CA77B1"/>
    <w:rsid w:val="00CA7840"/>
    <w:rsid w:val="00CA7BB1"/>
    <w:rsid w:val="00CB0044"/>
    <w:rsid w:val="00CB030A"/>
    <w:rsid w:val="00CB052F"/>
    <w:rsid w:val="00CB0877"/>
    <w:rsid w:val="00CB10F3"/>
    <w:rsid w:val="00CB129D"/>
    <w:rsid w:val="00CB1F22"/>
    <w:rsid w:val="00CB21B6"/>
    <w:rsid w:val="00CB23D8"/>
    <w:rsid w:val="00CB298E"/>
    <w:rsid w:val="00CB2B06"/>
    <w:rsid w:val="00CB2C99"/>
    <w:rsid w:val="00CB2D29"/>
    <w:rsid w:val="00CB2EFF"/>
    <w:rsid w:val="00CB3618"/>
    <w:rsid w:val="00CB3915"/>
    <w:rsid w:val="00CB3958"/>
    <w:rsid w:val="00CB3C28"/>
    <w:rsid w:val="00CB3F83"/>
    <w:rsid w:val="00CB4227"/>
    <w:rsid w:val="00CB42D3"/>
    <w:rsid w:val="00CB46A0"/>
    <w:rsid w:val="00CB4842"/>
    <w:rsid w:val="00CB4875"/>
    <w:rsid w:val="00CB4C18"/>
    <w:rsid w:val="00CB4E4C"/>
    <w:rsid w:val="00CB4FB3"/>
    <w:rsid w:val="00CB50D1"/>
    <w:rsid w:val="00CB5194"/>
    <w:rsid w:val="00CB53D2"/>
    <w:rsid w:val="00CB53D9"/>
    <w:rsid w:val="00CB6915"/>
    <w:rsid w:val="00CB6FA3"/>
    <w:rsid w:val="00CB7513"/>
    <w:rsid w:val="00CB77A8"/>
    <w:rsid w:val="00CB78E3"/>
    <w:rsid w:val="00CB795D"/>
    <w:rsid w:val="00CB7987"/>
    <w:rsid w:val="00CB7ADB"/>
    <w:rsid w:val="00CB7B8D"/>
    <w:rsid w:val="00CC0713"/>
    <w:rsid w:val="00CC07C9"/>
    <w:rsid w:val="00CC0C25"/>
    <w:rsid w:val="00CC0C4F"/>
    <w:rsid w:val="00CC11D9"/>
    <w:rsid w:val="00CC12AA"/>
    <w:rsid w:val="00CC15FB"/>
    <w:rsid w:val="00CC1BD6"/>
    <w:rsid w:val="00CC1C66"/>
    <w:rsid w:val="00CC1DB0"/>
    <w:rsid w:val="00CC24AB"/>
    <w:rsid w:val="00CC2B1D"/>
    <w:rsid w:val="00CC38E7"/>
    <w:rsid w:val="00CC3B45"/>
    <w:rsid w:val="00CC4037"/>
    <w:rsid w:val="00CC41AE"/>
    <w:rsid w:val="00CC43DC"/>
    <w:rsid w:val="00CC442A"/>
    <w:rsid w:val="00CC4560"/>
    <w:rsid w:val="00CC463E"/>
    <w:rsid w:val="00CC4892"/>
    <w:rsid w:val="00CC53FC"/>
    <w:rsid w:val="00CC56CF"/>
    <w:rsid w:val="00CC5A27"/>
    <w:rsid w:val="00CC5CE4"/>
    <w:rsid w:val="00CC5F10"/>
    <w:rsid w:val="00CC63A7"/>
    <w:rsid w:val="00CC6775"/>
    <w:rsid w:val="00CC6944"/>
    <w:rsid w:val="00CC6A17"/>
    <w:rsid w:val="00CC6B53"/>
    <w:rsid w:val="00CC71DF"/>
    <w:rsid w:val="00CC72D5"/>
    <w:rsid w:val="00CC73A7"/>
    <w:rsid w:val="00CC7465"/>
    <w:rsid w:val="00CC7540"/>
    <w:rsid w:val="00CC7AC0"/>
    <w:rsid w:val="00CC7CF1"/>
    <w:rsid w:val="00CC7E08"/>
    <w:rsid w:val="00CD00D3"/>
    <w:rsid w:val="00CD04A2"/>
    <w:rsid w:val="00CD04DE"/>
    <w:rsid w:val="00CD05BE"/>
    <w:rsid w:val="00CD05E9"/>
    <w:rsid w:val="00CD0793"/>
    <w:rsid w:val="00CD0829"/>
    <w:rsid w:val="00CD0884"/>
    <w:rsid w:val="00CD08AE"/>
    <w:rsid w:val="00CD0DDE"/>
    <w:rsid w:val="00CD169E"/>
    <w:rsid w:val="00CD16D1"/>
    <w:rsid w:val="00CD16F5"/>
    <w:rsid w:val="00CD1715"/>
    <w:rsid w:val="00CD1978"/>
    <w:rsid w:val="00CD21FD"/>
    <w:rsid w:val="00CD24A4"/>
    <w:rsid w:val="00CD24C7"/>
    <w:rsid w:val="00CD2797"/>
    <w:rsid w:val="00CD2D15"/>
    <w:rsid w:val="00CD3331"/>
    <w:rsid w:val="00CD3A24"/>
    <w:rsid w:val="00CD3AB2"/>
    <w:rsid w:val="00CD3EC1"/>
    <w:rsid w:val="00CD3FF6"/>
    <w:rsid w:val="00CD416E"/>
    <w:rsid w:val="00CD4586"/>
    <w:rsid w:val="00CD46BF"/>
    <w:rsid w:val="00CD47F9"/>
    <w:rsid w:val="00CD4931"/>
    <w:rsid w:val="00CD4C37"/>
    <w:rsid w:val="00CD4CCF"/>
    <w:rsid w:val="00CD501C"/>
    <w:rsid w:val="00CD50F8"/>
    <w:rsid w:val="00CD63D4"/>
    <w:rsid w:val="00CD6883"/>
    <w:rsid w:val="00CD71FB"/>
    <w:rsid w:val="00CD7279"/>
    <w:rsid w:val="00CD746A"/>
    <w:rsid w:val="00CD76CB"/>
    <w:rsid w:val="00CD771B"/>
    <w:rsid w:val="00CD7E0E"/>
    <w:rsid w:val="00CE02D2"/>
    <w:rsid w:val="00CE055F"/>
    <w:rsid w:val="00CE0BCA"/>
    <w:rsid w:val="00CE0FA2"/>
    <w:rsid w:val="00CE11CA"/>
    <w:rsid w:val="00CE14AF"/>
    <w:rsid w:val="00CE15A6"/>
    <w:rsid w:val="00CE1C3E"/>
    <w:rsid w:val="00CE1DE0"/>
    <w:rsid w:val="00CE1E83"/>
    <w:rsid w:val="00CE214E"/>
    <w:rsid w:val="00CE24E6"/>
    <w:rsid w:val="00CE25A7"/>
    <w:rsid w:val="00CE2BD5"/>
    <w:rsid w:val="00CE2BE6"/>
    <w:rsid w:val="00CE2C94"/>
    <w:rsid w:val="00CE2D01"/>
    <w:rsid w:val="00CE2D19"/>
    <w:rsid w:val="00CE2E46"/>
    <w:rsid w:val="00CE2F72"/>
    <w:rsid w:val="00CE31DD"/>
    <w:rsid w:val="00CE3251"/>
    <w:rsid w:val="00CE3365"/>
    <w:rsid w:val="00CE38A0"/>
    <w:rsid w:val="00CE443F"/>
    <w:rsid w:val="00CE44CB"/>
    <w:rsid w:val="00CE47D7"/>
    <w:rsid w:val="00CE50EC"/>
    <w:rsid w:val="00CE51A7"/>
    <w:rsid w:val="00CE5B7C"/>
    <w:rsid w:val="00CE5CCE"/>
    <w:rsid w:val="00CE67FF"/>
    <w:rsid w:val="00CE6CD4"/>
    <w:rsid w:val="00CE6F1B"/>
    <w:rsid w:val="00CE74FA"/>
    <w:rsid w:val="00CE7581"/>
    <w:rsid w:val="00CE7886"/>
    <w:rsid w:val="00CE79CF"/>
    <w:rsid w:val="00CE7C36"/>
    <w:rsid w:val="00CE7F8E"/>
    <w:rsid w:val="00CF00F2"/>
    <w:rsid w:val="00CF01DD"/>
    <w:rsid w:val="00CF031E"/>
    <w:rsid w:val="00CF06F6"/>
    <w:rsid w:val="00CF0A45"/>
    <w:rsid w:val="00CF0C3F"/>
    <w:rsid w:val="00CF0C99"/>
    <w:rsid w:val="00CF0D9D"/>
    <w:rsid w:val="00CF0EA2"/>
    <w:rsid w:val="00CF1013"/>
    <w:rsid w:val="00CF110B"/>
    <w:rsid w:val="00CF1FA4"/>
    <w:rsid w:val="00CF2068"/>
    <w:rsid w:val="00CF2406"/>
    <w:rsid w:val="00CF2A70"/>
    <w:rsid w:val="00CF2E60"/>
    <w:rsid w:val="00CF3300"/>
    <w:rsid w:val="00CF37A4"/>
    <w:rsid w:val="00CF386C"/>
    <w:rsid w:val="00CF3BB6"/>
    <w:rsid w:val="00CF4150"/>
    <w:rsid w:val="00CF4160"/>
    <w:rsid w:val="00CF4349"/>
    <w:rsid w:val="00CF497F"/>
    <w:rsid w:val="00CF49F2"/>
    <w:rsid w:val="00CF4D6B"/>
    <w:rsid w:val="00CF5044"/>
    <w:rsid w:val="00CF5985"/>
    <w:rsid w:val="00CF5AB8"/>
    <w:rsid w:val="00CF5D6B"/>
    <w:rsid w:val="00CF5E7B"/>
    <w:rsid w:val="00CF688A"/>
    <w:rsid w:val="00CF6905"/>
    <w:rsid w:val="00CF6D0A"/>
    <w:rsid w:val="00CF7482"/>
    <w:rsid w:val="00CF79F6"/>
    <w:rsid w:val="00CF7A0D"/>
    <w:rsid w:val="00CF7E4A"/>
    <w:rsid w:val="00CF7EF7"/>
    <w:rsid w:val="00D0026A"/>
    <w:rsid w:val="00D002AD"/>
    <w:rsid w:val="00D0088E"/>
    <w:rsid w:val="00D00C0D"/>
    <w:rsid w:val="00D00C3E"/>
    <w:rsid w:val="00D00ED1"/>
    <w:rsid w:val="00D00EF9"/>
    <w:rsid w:val="00D01061"/>
    <w:rsid w:val="00D01113"/>
    <w:rsid w:val="00D012EC"/>
    <w:rsid w:val="00D01331"/>
    <w:rsid w:val="00D017E3"/>
    <w:rsid w:val="00D019A5"/>
    <w:rsid w:val="00D01C8A"/>
    <w:rsid w:val="00D02746"/>
    <w:rsid w:val="00D02DCB"/>
    <w:rsid w:val="00D03186"/>
    <w:rsid w:val="00D0357B"/>
    <w:rsid w:val="00D03657"/>
    <w:rsid w:val="00D03C6E"/>
    <w:rsid w:val="00D03EF5"/>
    <w:rsid w:val="00D0427F"/>
    <w:rsid w:val="00D04BFE"/>
    <w:rsid w:val="00D052B6"/>
    <w:rsid w:val="00D053CD"/>
    <w:rsid w:val="00D055B4"/>
    <w:rsid w:val="00D05CD4"/>
    <w:rsid w:val="00D06186"/>
    <w:rsid w:val="00D06529"/>
    <w:rsid w:val="00D06BE6"/>
    <w:rsid w:val="00D06CFA"/>
    <w:rsid w:val="00D06D79"/>
    <w:rsid w:val="00D07362"/>
    <w:rsid w:val="00D074F2"/>
    <w:rsid w:val="00D07566"/>
    <w:rsid w:val="00D075FC"/>
    <w:rsid w:val="00D077F0"/>
    <w:rsid w:val="00D07BEC"/>
    <w:rsid w:val="00D100E8"/>
    <w:rsid w:val="00D10703"/>
    <w:rsid w:val="00D1099F"/>
    <w:rsid w:val="00D10C65"/>
    <w:rsid w:val="00D11410"/>
    <w:rsid w:val="00D114F5"/>
    <w:rsid w:val="00D115A1"/>
    <w:rsid w:val="00D11A95"/>
    <w:rsid w:val="00D11ABC"/>
    <w:rsid w:val="00D11ACC"/>
    <w:rsid w:val="00D1222C"/>
    <w:rsid w:val="00D12376"/>
    <w:rsid w:val="00D1240D"/>
    <w:rsid w:val="00D1258C"/>
    <w:rsid w:val="00D125A3"/>
    <w:rsid w:val="00D12868"/>
    <w:rsid w:val="00D12BE0"/>
    <w:rsid w:val="00D12DBE"/>
    <w:rsid w:val="00D12DE7"/>
    <w:rsid w:val="00D12E68"/>
    <w:rsid w:val="00D13009"/>
    <w:rsid w:val="00D13141"/>
    <w:rsid w:val="00D1323F"/>
    <w:rsid w:val="00D1342A"/>
    <w:rsid w:val="00D13452"/>
    <w:rsid w:val="00D13731"/>
    <w:rsid w:val="00D13BE2"/>
    <w:rsid w:val="00D141C9"/>
    <w:rsid w:val="00D14258"/>
    <w:rsid w:val="00D143FE"/>
    <w:rsid w:val="00D14E8F"/>
    <w:rsid w:val="00D15302"/>
    <w:rsid w:val="00D15935"/>
    <w:rsid w:val="00D15B4F"/>
    <w:rsid w:val="00D15EFF"/>
    <w:rsid w:val="00D15FB0"/>
    <w:rsid w:val="00D16870"/>
    <w:rsid w:val="00D168B6"/>
    <w:rsid w:val="00D16A24"/>
    <w:rsid w:val="00D170B9"/>
    <w:rsid w:val="00D170DE"/>
    <w:rsid w:val="00D171B0"/>
    <w:rsid w:val="00D171C5"/>
    <w:rsid w:val="00D17689"/>
    <w:rsid w:val="00D176E4"/>
    <w:rsid w:val="00D17975"/>
    <w:rsid w:val="00D17986"/>
    <w:rsid w:val="00D17B7C"/>
    <w:rsid w:val="00D2024F"/>
    <w:rsid w:val="00D202B2"/>
    <w:rsid w:val="00D20797"/>
    <w:rsid w:val="00D207F5"/>
    <w:rsid w:val="00D208A8"/>
    <w:rsid w:val="00D208F9"/>
    <w:rsid w:val="00D20DD3"/>
    <w:rsid w:val="00D20F27"/>
    <w:rsid w:val="00D213C2"/>
    <w:rsid w:val="00D21C21"/>
    <w:rsid w:val="00D21C2A"/>
    <w:rsid w:val="00D21CCE"/>
    <w:rsid w:val="00D2206D"/>
    <w:rsid w:val="00D22564"/>
    <w:rsid w:val="00D22832"/>
    <w:rsid w:val="00D22A65"/>
    <w:rsid w:val="00D22AFF"/>
    <w:rsid w:val="00D22BA2"/>
    <w:rsid w:val="00D230D9"/>
    <w:rsid w:val="00D23118"/>
    <w:rsid w:val="00D232AC"/>
    <w:rsid w:val="00D2346B"/>
    <w:rsid w:val="00D23555"/>
    <w:rsid w:val="00D2377B"/>
    <w:rsid w:val="00D23A15"/>
    <w:rsid w:val="00D23BCB"/>
    <w:rsid w:val="00D23C8E"/>
    <w:rsid w:val="00D23D0D"/>
    <w:rsid w:val="00D23D7B"/>
    <w:rsid w:val="00D2469C"/>
    <w:rsid w:val="00D2490E"/>
    <w:rsid w:val="00D24B41"/>
    <w:rsid w:val="00D24DC0"/>
    <w:rsid w:val="00D25973"/>
    <w:rsid w:val="00D25EA1"/>
    <w:rsid w:val="00D2633F"/>
    <w:rsid w:val="00D269E4"/>
    <w:rsid w:val="00D26DD0"/>
    <w:rsid w:val="00D26E4A"/>
    <w:rsid w:val="00D27209"/>
    <w:rsid w:val="00D2732D"/>
    <w:rsid w:val="00D27629"/>
    <w:rsid w:val="00D27678"/>
    <w:rsid w:val="00D2769B"/>
    <w:rsid w:val="00D2779C"/>
    <w:rsid w:val="00D27AA1"/>
    <w:rsid w:val="00D27AD7"/>
    <w:rsid w:val="00D3011F"/>
    <w:rsid w:val="00D302F8"/>
    <w:rsid w:val="00D304F8"/>
    <w:rsid w:val="00D3098D"/>
    <w:rsid w:val="00D30AC7"/>
    <w:rsid w:val="00D3144A"/>
    <w:rsid w:val="00D31467"/>
    <w:rsid w:val="00D317DE"/>
    <w:rsid w:val="00D318B6"/>
    <w:rsid w:val="00D31902"/>
    <w:rsid w:val="00D31935"/>
    <w:rsid w:val="00D3214A"/>
    <w:rsid w:val="00D322B4"/>
    <w:rsid w:val="00D32434"/>
    <w:rsid w:val="00D32523"/>
    <w:rsid w:val="00D32805"/>
    <w:rsid w:val="00D32BE3"/>
    <w:rsid w:val="00D32D71"/>
    <w:rsid w:val="00D32FC9"/>
    <w:rsid w:val="00D332AE"/>
    <w:rsid w:val="00D333FE"/>
    <w:rsid w:val="00D33464"/>
    <w:rsid w:val="00D33982"/>
    <w:rsid w:val="00D3400B"/>
    <w:rsid w:val="00D34503"/>
    <w:rsid w:val="00D346B7"/>
    <w:rsid w:val="00D34C81"/>
    <w:rsid w:val="00D34DD9"/>
    <w:rsid w:val="00D35579"/>
    <w:rsid w:val="00D35A32"/>
    <w:rsid w:val="00D3609A"/>
    <w:rsid w:val="00D362DC"/>
    <w:rsid w:val="00D36739"/>
    <w:rsid w:val="00D3735C"/>
    <w:rsid w:val="00D373DF"/>
    <w:rsid w:val="00D375B8"/>
    <w:rsid w:val="00D37649"/>
    <w:rsid w:val="00D3786F"/>
    <w:rsid w:val="00D40201"/>
    <w:rsid w:val="00D4031E"/>
    <w:rsid w:val="00D40B6A"/>
    <w:rsid w:val="00D40C0B"/>
    <w:rsid w:val="00D40CC2"/>
    <w:rsid w:val="00D40CC8"/>
    <w:rsid w:val="00D41076"/>
    <w:rsid w:val="00D41479"/>
    <w:rsid w:val="00D417D1"/>
    <w:rsid w:val="00D41D11"/>
    <w:rsid w:val="00D42018"/>
    <w:rsid w:val="00D4273C"/>
    <w:rsid w:val="00D428FD"/>
    <w:rsid w:val="00D429EA"/>
    <w:rsid w:val="00D42CD3"/>
    <w:rsid w:val="00D43315"/>
    <w:rsid w:val="00D435C2"/>
    <w:rsid w:val="00D43697"/>
    <w:rsid w:val="00D43AF1"/>
    <w:rsid w:val="00D43FCB"/>
    <w:rsid w:val="00D44068"/>
    <w:rsid w:val="00D441DB"/>
    <w:rsid w:val="00D4439F"/>
    <w:rsid w:val="00D444E7"/>
    <w:rsid w:val="00D4482E"/>
    <w:rsid w:val="00D44DD3"/>
    <w:rsid w:val="00D44F75"/>
    <w:rsid w:val="00D45B74"/>
    <w:rsid w:val="00D45E11"/>
    <w:rsid w:val="00D45E87"/>
    <w:rsid w:val="00D45F88"/>
    <w:rsid w:val="00D46636"/>
    <w:rsid w:val="00D466E5"/>
    <w:rsid w:val="00D4683A"/>
    <w:rsid w:val="00D468E3"/>
    <w:rsid w:val="00D46BF7"/>
    <w:rsid w:val="00D46CBF"/>
    <w:rsid w:val="00D47070"/>
    <w:rsid w:val="00D475E7"/>
    <w:rsid w:val="00D4780E"/>
    <w:rsid w:val="00D479B3"/>
    <w:rsid w:val="00D47A33"/>
    <w:rsid w:val="00D47B01"/>
    <w:rsid w:val="00D47B4E"/>
    <w:rsid w:val="00D5084D"/>
    <w:rsid w:val="00D50E0F"/>
    <w:rsid w:val="00D5105A"/>
    <w:rsid w:val="00D51317"/>
    <w:rsid w:val="00D515D5"/>
    <w:rsid w:val="00D5174A"/>
    <w:rsid w:val="00D51A77"/>
    <w:rsid w:val="00D51C3E"/>
    <w:rsid w:val="00D51C4C"/>
    <w:rsid w:val="00D5204D"/>
    <w:rsid w:val="00D520EF"/>
    <w:rsid w:val="00D52109"/>
    <w:rsid w:val="00D5215C"/>
    <w:rsid w:val="00D52666"/>
    <w:rsid w:val="00D52A40"/>
    <w:rsid w:val="00D52FC2"/>
    <w:rsid w:val="00D52FD8"/>
    <w:rsid w:val="00D5325C"/>
    <w:rsid w:val="00D5335C"/>
    <w:rsid w:val="00D53579"/>
    <w:rsid w:val="00D5357E"/>
    <w:rsid w:val="00D53812"/>
    <w:rsid w:val="00D53A4A"/>
    <w:rsid w:val="00D53E17"/>
    <w:rsid w:val="00D53EBD"/>
    <w:rsid w:val="00D540CD"/>
    <w:rsid w:val="00D5424C"/>
    <w:rsid w:val="00D54358"/>
    <w:rsid w:val="00D544ED"/>
    <w:rsid w:val="00D54F04"/>
    <w:rsid w:val="00D55760"/>
    <w:rsid w:val="00D5591E"/>
    <w:rsid w:val="00D55C1A"/>
    <w:rsid w:val="00D55C32"/>
    <w:rsid w:val="00D55D05"/>
    <w:rsid w:val="00D57236"/>
    <w:rsid w:val="00D5773D"/>
    <w:rsid w:val="00D5779E"/>
    <w:rsid w:val="00D57BB9"/>
    <w:rsid w:val="00D57DD2"/>
    <w:rsid w:val="00D57EE2"/>
    <w:rsid w:val="00D60066"/>
    <w:rsid w:val="00D6021E"/>
    <w:rsid w:val="00D602D6"/>
    <w:rsid w:val="00D606F9"/>
    <w:rsid w:val="00D607EB"/>
    <w:rsid w:val="00D60D3F"/>
    <w:rsid w:val="00D6118E"/>
    <w:rsid w:val="00D61403"/>
    <w:rsid w:val="00D614A8"/>
    <w:rsid w:val="00D61542"/>
    <w:rsid w:val="00D61793"/>
    <w:rsid w:val="00D620E5"/>
    <w:rsid w:val="00D621B1"/>
    <w:rsid w:val="00D62828"/>
    <w:rsid w:val="00D62890"/>
    <w:rsid w:val="00D628F6"/>
    <w:rsid w:val="00D629F1"/>
    <w:rsid w:val="00D62C48"/>
    <w:rsid w:val="00D62D87"/>
    <w:rsid w:val="00D632E1"/>
    <w:rsid w:val="00D633F8"/>
    <w:rsid w:val="00D633FF"/>
    <w:rsid w:val="00D635CE"/>
    <w:rsid w:val="00D63739"/>
    <w:rsid w:val="00D637BE"/>
    <w:rsid w:val="00D63F27"/>
    <w:rsid w:val="00D64383"/>
    <w:rsid w:val="00D64E42"/>
    <w:rsid w:val="00D657CB"/>
    <w:rsid w:val="00D658ED"/>
    <w:rsid w:val="00D66A29"/>
    <w:rsid w:val="00D66B3A"/>
    <w:rsid w:val="00D66BB9"/>
    <w:rsid w:val="00D674A0"/>
    <w:rsid w:val="00D676E3"/>
    <w:rsid w:val="00D676F0"/>
    <w:rsid w:val="00D678C8"/>
    <w:rsid w:val="00D67927"/>
    <w:rsid w:val="00D67A82"/>
    <w:rsid w:val="00D702F7"/>
    <w:rsid w:val="00D70526"/>
    <w:rsid w:val="00D707F4"/>
    <w:rsid w:val="00D7088E"/>
    <w:rsid w:val="00D70EEB"/>
    <w:rsid w:val="00D7134D"/>
    <w:rsid w:val="00D7160A"/>
    <w:rsid w:val="00D71657"/>
    <w:rsid w:val="00D718D2"/>
    <w:rsid w:val="00D719CB"/>
    <w:rsid w:val="00D71DC4"/>
    <w:rsid w:val="00D71E72"/>
    <w:rsid w:val="00D7212D"/>
    <w:rsid w:val="00D72203"/>
    <w:rsid w:val="00D72353"/>
    <w:rsid w:val="00D725E5"/>
    <w:rsid w:val="00D72899"/>
    <w:rsid w:val="00D72E97"/>
    <w:rsid w:val="00D7369E"/>
    <w:rsid w:val="00D736C8"/>
    <w:rsid w:val="00D737C4"/>
    <w:rsid w:val="00D73852"/>
    <w:rsid w:val="00D73A7E"/>
    <w:rsid w:val="00D73F87"/>
    <w:rsid w:val="00D73FE1"/>
    <w:rsid w:val="00D744BE"/>
    <w:rsid w:val="00D746EA"/>
    <w:rsid w:val="00D74AC3"/>
    <w:rsid w:val="00D74F58"/>
    <w:rsid w:val="00D75EC4"/>
    <w:rsid w:val="00D76035"/>
    <w:rsid w:val="00D76491"/>
    <w:rsid w:val="00D76668"/>
    <w:rsid w:val="00D76E4C"/>
    <w:rsid w:val="00D76E6D"/>
    <w:rsid w:val="00D770E6"/>
    <w:rsid w:val="00D776B4"/>
    <w:rsid w:val="00D8003D"/>
    <w:rsid w:val="00D802CB"/>
    <w:rsid w:val="00D802CF"/>
    <w:rsid w:val="00D80346"/>
    <w:rsid w:val="00D8034D"/>
    <w:rsid w:val="00D80385"/>
    <w:rsid w:val="00D806AA"/>
    <w:rsid w:val="00D80787"/>
    <w:rsid w:val="00D8096A"/>
    <w:rsid w:val="00D80F97"/>
    <w:rsid w:val="00D811A7"/>
    <w:rsid w:val="00D814E7"/>
    <w:rsid w:val="00D81662"/>
    <w:rsid w:val="00D81714"/>
    <w:rsid w:val="00D81743"/>
    <w:rsid w:val="00D8188E"/>
    <w:rsid w:val="00D818B8"/>
    <w:rsid w:val="00D827F8"/>
    <w:rsid w:val="00D82B22"/>
    <w:rsid w:val="00D82D57"/>
    <w:rsid w:val="00D82E3D"/>
    <w:rsid w:val="00D82E80"/>
    <w:rsid w:val="00D835A3"/>
    <w:rsid w:val="00D83801"/>
    <w:rsid w:val="00D846B1"/>
    <w:rsid w:val="00D84768"/>
    <w:rsid w:val="00D84A38"/>
    <w:rsid w:val="00D84C0C"/>
    <w:rsid w:val="00D84C87"/>
    <w:rsid w:val="00D84D10"/>
    <w:rsid w:val="00D84FD2"/>
    <w:rsid w:val="00D856C0"/>
    <w:rsid w:val="00D859D4"/>
    <w:rsid w:val="00D85DC7"/>
    <w:rsid w:val="00D865D0"/>
    <w:rsid w:val="00D86684"/>
    <w:rsid w:val="00D8715B"/>
    <w:rsid w:val="00D87F96"/>
    <w:rsid w:val="00D902E1"/>
    <w:rsid w:val="00D906DA"/>
    <w:rsid w:val="00D90795"/>
    <w:rsid w:val="00D909C2"/>
    <w:rsid w:val="00D90A35"/>
    <w:rsid w:val="00D90CCA"/>
    <w:rsid w:val="00D90F2F"/>
    <w:rsid w:val="00D91074"/>
    <w:rsid w:val="00D9131D"/>
    <w:rsid w:val="00D91537"/>
    <w:rsid w:val="00D91B3E"/>
    <w:rsid w:val="00D920AD"/>
    <w:rsid w:val="00D9223A"/>
    <w:rsid w:val="00D925E8"/>
    <w:rsid w:val="00D92A6A"/>
    <w:rsid w:val="00D92B8F"/>
    <w:rsid w:val="00D92BF1"/>
    <w:rsid w:val="00D92D52"/>
    <w:rsid w:val="00D92D5B"/>
    <w:rsid w:val="00D93538"/>
    <w:rsid w:val="00D93579"/>
    <w:rsid w:val="00D935C7"/>
    <w:rsid w:val="00D9369B"/>
    <w:rsid w:val="00D93757"/>
    <w:rsid w:val="00D93C4C"/>
    <w:rsid w:val="00D93D75"/>
    <w:rsid w:val="00D94D3E"/>
    <w:rsid w:val="00D951FF"/>
    <w:rsid w:val="00D95518"/>
    <w:rsid w:val="00D95908"/>
    <w:rsid w:val="00D962A5"/>
    <w:rsid w:val="00D96A3A"/>
    <w:rsid w:val="00D96C64"/>
    <w:rsid w:val="00D96E3F"/>
    <w:rsid w:val="00D9710F"/>
    <w:rsid w:val="00D973BA"/>
    <w:rsid w:val="00D97927"/>
    <w:rsid w:val="00D9795B"/>
    <w:rsid w:val="00DA07B4"/>
    <w:rsid w:val="00DA1AF0"/>
    <w:rsid w:val="00DA1B12"/>
    <w:rsid w:val="00DA1BCD"/>
    <w:rsid w:val="00DA1E80"/>
    <w:rsid w:val="00DA1F03"/>
    <w:rsid w:val="00DA2963"/>
    <w:rsid w:val="00DA2D01"/>
    <w:rsid w:val="00DA2DCA"/>
    <w:rsid w:val="00DA3206"/>
    <w:rsid w:val="00DA322D"/>
    <w:rsid w:val="00DA34F0"/>
    <w:rsid w:val="00DA3938"/>
    <w:rsid w:val="00DA3991"/>
    <w:rsid w:val="00DA39FD"/>
    <w:rsid w:val="00DA3D19"/>
    <w:rsid w:val="00DA3DB7"/>
    <w:rsid w:val="00DA3E72"/>
    <w:rsid w:val="00DA3FF0"/>
    <w:rsid w:val="00DA4081"/>
    <w:rsid w:val="00DA417F"/>
    <w:rsid w:val="00DA42CB"/>
    <w:rsid w:val="00DA437C"/>
    <w:rsid w:val="00DA45D5"/>
    <w:rsid w:val="00DA4D53"/>
    <w:rsid w:val="00DA5427"/>
    <w:rsid w:val="00DA55FB"/>
    <w:rsid w:val="00DA570D"/>
    <w:rsid w:val="00DA5D57"/>
    <w:rsid w:val="00DA6542"/>
    <w:rsid w:val="00DA6ADD"/>
    <w:rsid w:val="00DA6CAB"/>
    <w:rsid w:val="00DA6DD8"/>
    <w:rsid w:val="00DA715D"/>
    <w:rsid w:val="00DA755D"/>
    <w:rsid w:val="00DA76E6"/>
    <w:rsid w:val="00DA7816"/>
    <w:rsid w:val="00DA7B62"/>
    <w:rsid w:val="00DA7BB9"/>
    <w:rsid w:val="00DB0288"/>
    <w:rsid w:val="00DB0290"/>
    <w:rsid w:val="00DB03BC"/>
    <w:rsid w:val="00DB048B"/>
    <w:rsid w:val="00DB0871"/>
    <w:rsid w:val="00DB0BC3"/>
    <w:rsid w:val="00DB12A0"/>
    <w:rsid w:val="00DB12DD"/>
    <w:rsid w:val="00DB14CD"/>
    <w:rsid w:val="00DB19AE"/>
    <w:rsid w:val="00DB1AE6"/>
    <w:rsid w:val="00DB1B35"/>
    <w:rsid w:val="00DB1D19"/>
    <w:rsid w:val="00DB1F6F"/>
    <w:rsid w:val="00DB2062"/>
    <w:rsid w:val="00DB2098"/>
    <w:rsid w:val="00DB21BD"/>
    <w:rsid w:val="00DB246A"/>
    <w:rsid w:val="00DB295D"/>
    <w:rsid w:val="00DB2E00"/>
    <w:rsid w:val="00DB3132"/>
    <w:rsid w:val="00DB3225"/>
    <w:rsid w:val="00DB3905"/>
    <w:rsid w:val="00DB3C1F"/>
    <w:rsid w:val="00DB3C7C"/>
    <w:rsid w:val="00DB3F55"/>
    <w:rsid w:val="00DB3FE8"/>
    <w:rsid w:val="00DB416D"/>
    <w:rsid w:val="00DB4879"/>
    <w:rsid w:val="00DB4C6A"/>
    <w:rsid w:val="00DB4DED"/>
    <w:rsid w:val="00DB56D1"/>
    <w:rsid w:val="00DB5AF9"/>
    <w:rsid w:val="00DB5B7D"/>
    <w:rsid w:val="00DB5E10"/>
    <w:rsid w:val="00DB5E18"/>
    <w:rsid w:val="00DB5FA9"/>
    <w:rsid w:val="00DB6124"/>
    <w:rsid w:val="00DB633D"/>
    <w:rsid w:val="00DB65BA"/>
    <w:rsid w:val="00DB6851"/>
    <w:rsid w:val="00DB6C9D"/>
    <w:rsid w:val="00DB6E3B"/>
    <w:rsid w:val="00DB716F"/>
    <w:rsid w:val="00DB7780"/>
    <w:rsid w:val="00DB7D02"/>
    <w:rsid w:val="00DB7D8B"/>
    <w:rsid w:val="00DB7DAD"/>
    <w:rsid w:val="00DC033A"/>
    <w:rsid w:val="00DC047E"/>
    <w:rsid w:val="00DC04A0"/>
    <w:rsid w:val="00DC0987"/>
    <w:rsid w:val="00DC0CB2"/>
    <w:rsid w:val="00DC0D09"/>
    <w:rsid w:val="00DC0D76"/>
    <w:rsid w:val="00DC13D8"/>
    <w:rsid w:val="00DC13D9"/>
    <w:rsid w:val="00DC14FE"/>
    <w:rsid w:val="00DC1798"/>
    <w:rsid w:val="00DC19BE"/>
    <w:rsid w:val="00DC1FB9"/>
    <w:rsid w:val="00DC2016"/>
    <w:rsid w:val="00DC20D8"/>
    <w:rsid w:val="00DC24EC"/>
    <w:rsid w:val="00DC2572"/>
    <w:rsid w:val="00DC2620"/>
    <w:rsid w:val="00DC28EC"/>
    <w:rsid w:val="00DC2A79"/>
    <w:rsid w:val="00DC2D97"/>
    <w:rsid w:val="00DC2E10"/>
    <w:rsid w:val="00DC354A"/>
    <w:rsid w:val="00DC3AAB"/>
    <w:rsid w:val="00DC3D15"/>
    <w:rsid w:val="00DC3E64"/>
    <w:rsid w:val="00DC43C5"/>
    <w:rsid w:val="00DC4782"/>
    <w:rsid w:val="00DC48FC"/>
    <w:rsid w:val="00DC4A51"/>
    <w:rsid w:val="00DC4FD8"/>
    <w:rsid w:val="00DC5073"/>
    <w:rsid w:val="00DC59E8"/>
    <w:rsid w:val="00DC5D4D"/>
    <w:rsid w:val="00DC6195"/>
    <w:rsid w:val="00DC6233"/>
    <w:rsid w:val="00DC642F"/>
    <w:rsid w:val="00DC64AD"/>
    <w:rsid w:val="00DC6800"/>
    <w:rsid w:val="00DC696B"/>
    <w:rsid w:val="00DC6B97"/>
    <w:rsid w:val="00DC6DDA"/>
    <w:rsid w:val="00DC77CC"/>
    <w:rsid w:val="00DC7861"/>
    <w:rsid w:val="00DC788A"/>
    <w:rsid w:val="00DC79BA"/>
    <w:rsid w:val="00DC79EE"/>
    <w:rsid w:val="00DC7B03"/>
    <w:rsid w:val="00DC7C6D"/>
    <w:rsid w:val="00DC7FA6"/>
    <w:rsid w:val="00DD01BE"/>
    <w:rsid w:val="00DD0814"/>
    <w:rsid w:val="00DD0CE1"/>
    <w:rsid w:val="00DD0F58"/>
    <w:rsid w:val="00DD0FA9"/>
    <w:rsid w:val="00DD1258"/>
    <w:rsid w:val="00DD17B7"/>
    <w:rsid w:val="00DD17FE"/>
    <w:rsid w:val="00DD1991"/>
    <w:rsid w:val="00DD1A83"/>
    <w:rsid w:val="00DD1F9B"/>
    <w:rsid w:val="00DD2163"/>
    <w:rsid w:val="00DD26A9"/>
    <w:rsid w:val="00DD2CE0"/>
    <w:rsid w:val="00DD2E7F"/>
    <w:rsid w:val="00DD30BD"/>
    <w:rsid w:val="00DD363B"/>
    <w:rsid w:val="00DD43C5"/>
    <w:rsid w:val="00DD4503"/>
    <w:rsid w:val="00DD4761"/>
    <w:rsid w:val="00DD4DE9"/>
    <w:rsid w:val="00DD5628"/>
    <w:rsid w:val="00DD58C9"/>
    <w:rsid w:val="00DD5B38"/>
    <w:rsid w:val="00DD5C4E"/>
    <w:rsid w:val="00DD6365"/>
    <w:rsid w:val="00DD6672"/>
    <w:rsid w:val="00DD6AB9"/>
    <w:rsid w:val="00DD6B6F"/>
    <w:rsid w:val="00DD6FA8"/>
    <w:rsid w:val="00DD7786"/>
    <w:rsid w:val="00DD7824"/>
    <w:rsid w:val="00DD786C"/>
    <w:rsid w:val="00DD79E9"/>
    <w:rsid w:val="00DD7B3E"/>
    <w:rsid w:val="00DD7CAA"/>
    <w:rsid w:val="00DD7EBD"/>
    <w:rsid w:val="00DE04F6"/>
    <w:rsid w:val="00DE0567"/>
    <w:rsid w:val="00DE12F0"/>
    <w:rsid w:val="00DE1434"/>
    <w:rsid w:val="00DE1455"/>
    <w:rsid w:val="00DE17C8"/>
    <w:rsid w:val="00DE1944"/>
    <w:rsid w:val="00DE1B91"/>
    <w:rsid w:val="00DE208E"/>
    <w:rsid w:val="00DE28EF"/>
    <w:rsid w:val="00DE2C44"/>
    <w:rsid w:val="00DE3217"/>
    <w:rsid w:val="00DE361E"/>
    <w:rsid w:val="00DE361F"/>
    <w:rsid w:val="00DE3A52"/>
    <w:rsid w:val="00DE4271"/>
    <w:rsid w:val="00DE4430"/>
    <w:rsid w:val="00DE4760"/>
    <w:rsid w:val="00DE4AC6"/>
    <w:rsid w:val="00DE4FC4"/>
    <w:rsid w:val="00DE527A"/>
    <w:rsid w:val="00DE5FAA"/>
    <w:rsid w:val="00DE611E"/>
    <w:rsid w:val="00DE62F0"/>
    <w:rsid w:val="00DE63C5"/>
    <w:rsid w:val="00DE665F"/>
    <w:rsid w:val="00DE68F7"/>
    <w:rsid w:val="00DE6C4C"/>
    <w:rsid w:val="00DE6EFC"/>
    <w:rsid w:val="00DE7029"/>
    <w:rsid w:val="00DE71BF"/>
    <w:rsid w:val="00DE7362"/>
    <w:rsid w:val="00DE7364"/>
    <w:rsid w:val="00DE73EC"/>
    <w:rsid w:val="00DE759D"/>
    <w:rsid w:val="00DE7B63"/>
    <w:rsid w:val="00DF03E7"/>
    <w:rsid w:val="00DF0A00"/>
    <w:rsid w:val="00DF0D02"/>
    <w:rsid w:val="00DF0FBA"/>
    <w:rsid w:val="00DF11F0"/>
    <w:rsid w:val="00DF12D2"/>
    <w:rsid w:val="00DF15FF"/>
    <w:rsid w:val="00DF1938"/>
    <w:rsid w:val="00DF2406"/>
    <w:rsid w:val="00DF287F"/>
    <w:rsid w:val="00DF28BA"/>
    <w:rsid w:val="00DF2950"/>
    <w:rsid w:val="00DF2E5B"/>
    <w:rsid w:val="00DF2E86"/>
    <w:rsid w:val="00DF32B4"/>
    <w:rsid w:val="00DF3352"/>
    <w:rsid w:val="00DF3BD5"/>
    <w:rsid w:val="00DF41EB"/>
    <w:rsid w:val="00DF429F"/>
    <w:rsid w:val="00DF4587"/>
    <w:rsid w:val="00DF4961"/>
    <w:rsid w:val="00DF544B"/>
    <w:rsid w:val="00DF551F"/>
    <w:rsid w:val="00DF55AF"/>
    <w:rsid w:val="00DF562A"/>
    <w:rsid w:val="00DF5708"/>
    <w:rsid w:val="00DF5C9E"/>
    <w:rsid w:val="00DF5E6E"/>
    <w:rsid w:val="00DF63F9"/>
    <w:rsid w:val="00DF65C5"/>
    <w:rsid w:val="00DF6831"/>
    <w:rsid w:val="00DF688B"/>
    <w:rsid w:val="00DF69AD"/>
    <w:rsid w:val="00DF6FD0"/>
    <w:rsid w:val="00DF72EF"/>
    <w:rsid w:val="00DF75C9"/>
    <w:rsid w:val="00DF795A"/>
    <w:rsid w:val="00DF79BE"/>
    <w:rsid w:val="00DF7C96"/>
    <w:rsid w:val="00E00783"/>
    <w:rsid w:val="00E007D6"/>
    <w:rsid w:val="00E00AB6"/>
    <w:rsid w:val="00E00BDF"/>
    <w:rsid w:val="00E01A99"/>
    <w:rsid w:val="00E01CE5"/>
    <w:rsid w:val="00E01D82"/>
    <w:rsid w:val="00E01F93"/>
    <w:rsid w:val="00E02032"/>
    <w:rsid w:val="00E0220A"/>
    <w:rsid w:val="00E02A08"/>
    <w:rsid w:val="00E03742"/>
    <w:rsid w:val="00E038FE"/>
    <w:rsid w:val="00E03C70"/>
    <w:rsid w:val="00E0406B"/>
    <w:rsid w:val="00E0447B"/>
    <w:rsid w:val="00E045CB"/>
    <w:rsid w:val="00E046C1"/>
    <w:rsid w:val="00E04738"/>
    <w:rsid w:val="00E04896"/>
    <w:rsid w:val="00E04F66"/>
    <w:rsid w:val="00E053F4"/>
    <w:rsid w:val="00E0581D"/>
    <w:rsid w:val="00E05861"/>
    <w:rsid w:val="00E05B7F"/>
    <w:rsid w:val="00E05CEF"/>
    <w:rsid w:val="00E05F65"/>
    <w:rsid w:val="00E05F90"/>
    <w:rsid w:val="00E06154"/>
    <w:rsid w:val="00E0657E"/>
    <w:rsid w:val="00E065A7"/>
    <w:rsid w:val="00E06A5C"/>
    <w:rsid w:val="00E06A77"/>
    <w:rsid w:val="00E06F51"/>
    <w:rsid w:val="00E07232"/>
    <w:rsid w:val="00E07339"/>
    <w:rsid w:val="00E075A8"/>
    <w:rsid w:val="00E077B2"/>
    <w:rsid w:val="00E07B17"/>
    <w:rsid w:val="00E1025B"/>
    <w:rsid w:val="00E1041B"/>
    <w:rsid w:val="00E10E32"/>
    <w:rsid w:val="00E118BF"/>
    <w:rsid w:val="00E11AC6"/>
    <w:rsid w:val="00E12333"/>
    <w:rsid w:val="00E127E8"/>
    <w:rsid w:val="00E12DF4"/>
    <w:rsid w:val="00E12F9F"/>
    <w:rsid w:val="00E13774"/>
    <w:rsid w:val="00E139B6"/>
    <w:rsid w:val="00E13A03"/>
    <w:rsid w:val="00E146F0"/>
    <w:rsid w:val="00E148F6"/>
    <w:rsid w:val="00E15000"/>
    <w:rsid w:val="00E15570"/>
    <w:rsid w:val="00E156E8"/>
    <w:rsid w:val="00E161C6"/>
    <w:rsid w:val="00E161E8"/>
    <w:rsid w:val="00E16210"/>
    <w:rsid w:val="00E16D17"/>
    <w:rsid w:val="00E16DC4"/>
    <w:rsid w:val="00E16E4F"/>
    <w:rsid w:val="00E16F67"/>
    <w:rsid w:val="00E1707D"/>
    <w:rsid w:val="00E172B9"/>
    <w:rsid w:val="00E1730A"/>
    <w:rsid w:val="00E1734D"/>
    <w:rsid w:val="00E17549"/>
    <w:rsid w:val="00E1783F"/>
    <w:rsid w:val="00E17E7E"/>
    <w:rsid w:val="00E17EFC"/>
    <w:rsid w:val="00E2016B"/>
    <w:rsid w:val="00E20194"/>
    <w:rsid w:val="00E20879"/>
    <w:rsid w:val="00E209B8"/>
    <w:rsid w:val="00E20B51"/>
    <w:rsid w:val="00E21318"/>
    <w:rsid w:val="00E2154B"/>
    <w:rsid w:val="00E21642"/>
    <w:rsid w:val="00E21841"/>
    <w:rsid w:val="00E21AFE"/>
    <w:rsid w:val="00E2207C"/>
    <w:rsid w:val="00E220AB"/>
    <w:rsid w:val="00E22312"/>
    <w:rsid w:val="00E227EC"/>
    <w:rsid w:val="00E22DA1"/>
    <w:rsid w:val="00E2349E"/>
    <w:rsid w:val="00E24008"/>
    <w:rsid w:val="00E2449A"/>
    <w:rsid w:val="00E2455F"/>
    <w:rsid w:val="00E246CF"/>
    <w:rsid w:val="00E24A07"/>
    <w:rsid w:val="00E24AB5"/>
    <w:rsid w:val="00E24D23"/>
    <w:rsid w:val="00E24DFD"/>
    <w:rsid w:val="00E24E21"/>
    <w:rsid w:val="00E24ED3"/>
    <w:rsid w:val="00E2513D"/>
    <w:rsid w:val="00E25301"/>
    <w:rsid w:val="00E253B4"/>
    <w:rsid w:val="00E253DC"/>
    <w:rsid w:val="00E255BA"/>
    <w:rsid w:val="00E25665"/>
    <w:rsid w:val="00E256AA"/>
    <w:rsid w:val="00E25F91"/>
    <w:rsid w:val="00E260BF"/>
    <w:rsid w:val="00E26590"/>
    <w:rsid w:val="00E26BFC"/>
    <w:rsid w:val="00E26EDA"/>
    <w:rsid w:val="00E26F34"/>
    <w:rsid w:val="00E272C4"/>
    <w:rsid w:val="00E2780C"/>
    <w:rsid w:val="00E27838"/>
    <w:rsid w:val="00E301AA"/>
    <w:rsid w:val="00E3031C"/>
    <w:rsid w:val="00E3067A"/>
    <w:rsid w:val="00E309B6"/>
    <w:rsid w:val="00E30C64"/>
    <w:rsid w:val="00E31102"/>
    <w:rsid w:val="00E31129"/>
    <w:rsid w:val="00E312C5"/>
    <w:rsid w:val="00E31609"/>
    <w:rsid w:val="00E31FDC"/>
    <w:rsid w:val="00E32227"/>
    <w:rsid w:val="00E325F8"/>
    <w:rsid w:val="00E32613"/>
    <w:rsid w:val="00E3268B"/>
    <w:rsid w:val="00E3321B"/>
    <w:rsid w:val="00E332AD"/>
    <w:rsid w:val="00E33398"/>
    <w:rsid w:val="00E335CD"/>
    <w:rsid w:val="00E3367E"/>
    <w:rsid w:val="00E33B65"/>
    <w:rsid w:val="00E34568"/>
    <w:rsid w:val="00E34927"/>
    <w:rsid w:val="00E34E38"/>
    <w:rsid w:val="00E34EFC"/>
    <w:rsid w:val="00E35AE5"/>
    <w:rsid w:val="00E35B88"/>
    <w:rsid w:val="00E35C01"/>
    <w:rsid w:val="00E35E4D"/>
    <w:rsid w:val="00E3652E"/>
    <w:rsid w:val="00E36890"/>
    <w:rsid w:val="00E36A89"/>
    <w:rsid w:val="00E36CD8"/>
    <w:rsid w:val="00E36EE4"/>
    <w:rsid w:val="00E36F52"/>
    <w:rsid w:val="00E37044"/>
    <w:rsid w:val="00E37254"/>
    <w:rsid w:val="00E375F7"/>
    <w:rsid w:val="00E377E6"/>
    <w:rsid w:val="00E3786A"/>
    <w:rsid w:val="00E37C17"/>
    <w:rsid w:val="00E37FCE"/>
    <w:rsid w:val="00E40291"/>
    <w:rsid w:val="00E40428"/>
    <w:rsid w:val="00E4063A"/>
    <w:rsid w:val="00E40D0A"/>
    <w:rsid w:val="00E4147C"/>
    <w:rsid w:val="00E41991"/>
    <w:rsid w:val="00E4213A"/>
    <w:rsid w:val="00E4251B"/>
    <w:rsid w:val="00E42685"/>
    <w:rsid w:val="00E426B5"/>
    <w:rsid w:val="00E42A5B"/>
    <w:rsid w:val="00E42A9B"/>
    <w:rsid w:val="00E42AAD"/>
    <w:rsid w:val="00E42B36"/>
    <w:rsid w:val="00E42D0A"/>
    <w:rsid w:val="00E4380B"/>
    <w:rsid w:val="00E43D28"/>
    <w:rsid w:val="00E43D42"/>
    <w:rsid w:val="00E43DEB"/>
    <w:rsid w:val="00E43ED9"/>
    <w:rsid w:val="00E43F05"/>
    <w:rsid w:val="00E44101"/>
    <w:rsid w:val="00E44127"/>
    <w:rsid w:val="00E4460C"/>
    <w:rsid w:val="00E44A3C"/>
    <w:rsid w:val="00E44B67"/>
    <w:rsid w:val="00E4509C"/>
    <w:rsid w:val="00E45ED8"/>
    <w:rsid w:val="00E4605D"/>
    <w:rsid w:val="00E46131"/>
    <w:rsid w:val="00E46174"/>
    <w:rsid w:val="00E4620F"/>
    <w:rsid w:val="00E46251"/>
    <w:rsid w:val="00E465BE"/>
    <w:rsid w:val="00E468C0"/>
    <w:rsid w:val="00E46A20"/>
    <w:rsid w:val="00E46AA8"/>
    <w:rsid w:val="00E46EB1"/>
    <w:rsid w:val="00E4730E"/>
    <w:rsid w:val="00E4754A"/>
    <w:rsid w:val="00E47622"/>
    <w:rsid w:val="00E47626"/>
    <w:rsid w:val="00E47768"/>
    <w:rsid w:val="00E47815"/>
    <w:rsid w:val="00E47896"/>
    <w:rsid w:val="00E47A32"/>
    <w:rsid w:val="00E47BDF"/>
    <w:rsid w:val="00E47E64"/>
    <w:rsid w:val="00E502E3"/>
    <w:rsid w:val="00E50B3C"/>
    <w:rsid w:val="00E50E19"/>
    <w:rsid w:val="00E50FB0"/>
    <w:rsid w:val="00E5165C"/>
    <w:rsid w:val="00E51969"/>
    <w:rsid w:val="00E5215E"/>
    <w:rsid w:val="00E52234"/>
    <w:rsid w:val="00E523AF"/>
    <w:rsid w:val="00E52C65"/>
    <w:rsid w:val="00E52C74"/>
    <w:rsid w:val="00E53274"/>
    <w:rsid w:val="00E53791"/>
    <w:rsid w:val="00E53D56"/>
    <w:rsid w:val="00E53D8F"/>
    <w:rsid w:val="00E53E6D"/>
    <w:rsid w:val="00E54133"/>
    <w:rsid w:val="00E54299"/>
    <w:rsid w:val="00E546F1"/>
    <w:rsid w:val="00E54897"/>
    <w:rsid w:val="00E54B87"/>
    <w:rsid w:val="00E54CD0"/>
    <w:rsid w:val="00E5533A"/>
    <w:rsid w:val="00E55454"/>
    <w:rsid w:val="00E55A94"/>
    <w:rsid w:val="00E55B01"/>
    <w:rsid w:val="00E55CC4"/>
    <w:rsid w:val="00E55D68"/>
    <w:rsid w:val="00E55EB7"/>
    <w:rsid w:val="00E5624D"/>
    <w:rsid w:val="00E563D1"/>
    <w:rsid w:val="00E564D8"/>
    <w:rsid w:val="00E56634"/>
    <w:rsid w:val="00E56CDA"/>
    <w:rsid w:val="00E56F61"/>
    <w:rsid w:val="00E56FA7"/>
    <w:rsid w:val="00E56FE0"/>
    <w:rsid w:val="00E57041"/>
    <w:rsid w:val="00E57807"/>
    <w:rsid w:val="00E57CB3"/>
    <w:rsid w:val="00E57EFA"/>
    <w:rsid w:val="00E57F22"/>
    <w:rsid w:val="00E57F35"/>
    <w:rsid w:val="00E57F93"/>
    <w:rsid w:val="00E600AD"/>
    <w:rsid w:val="00E60211"/>
    <w:rsid w:val="00E6036C"/>
    <w:rsid w:val="00E604CE"/>
    <w:rsid w:val="00E605FF"/>
    <w:rsid w:val="00E6078E"/>
    <w:rsid w:val="00E60BA1"/>
    <w:rsid w:val="00E60CA4"/>
    <w:rsid w:val="00E616A3"/>
    <w:rsid w:val="00E619F0"/>
    <w:rsid w:val="00E61F33"/>
    <w:rsid w:val="00E62314"/>
    <w:rsid w:val="00E62B85"/>
    <w:rsid w:val="00E62D84"/>
    <w:rsid w:val="00E63358"/>
    <w:rsid w:val="00E63404"/>
    <w:rsid w:val="00E6360B"/>
    <w:rsid w:val="00E6469E"/>
    <w:rsid w:val="00E649E8"/>
    <w:rsid w:val="00E64D9C"/>
    <w:rsid w:val="00E64E71"/>
    <w:rsid w:val="00E64FDB"/>
    <w:rsid w:val="00E6570C"/>
    <w:rsid w:val="00E659C9"/>
    <w:rsid w:val="00E65D06"/>
    <w:rsid w:val="00E65D44"/>
    <w:rsid w:val="00E6614A"/>
    <w:rsid w:val="00E66588"/>
    <w:rsid w:val="00E66D87"/>
    <w:rsid w:val="00E6730F"/>
    <w:rsid w:val="00E67516"/>
    <w:rsid w:val="00E679A0"/>
    <w:rsid w:val="00E67B33"/>
    <w:rsid w:val="00E705A4"/>
    <w:rsid w:val="00E70784"/>
    <w:rsid w:val="00E70ABC"/>
    <w:rsid w:val="00E70ACD"/>
    <w:rsid w:val="00E70B0B"/>
    <w:rsid w:val="00E70D20"/>
    <w:rsid w:val="00E70F36"/>
    <w:rsid w:val="00E710AD"/>
    <w:rsid w:val="00E71810"/>
    <w:rsid w:val="00E718E5"/>
    <w:rsid w:val="00E71A8A"/>
    <w:rsid w:val="00E71CE1"/>
    <w:rsid w:val="00E71D47"/>
    <w:rsid w:val="00E7230C"/>
    <w:rsid w:val="00E72415"/>
    <w:rsid w:val="00E72738"/>
    <w:rsid w:val="00E727B2"/>
    <w:rsid w:val="00E729BF"/>
    <w:rsid w:val="00E729D0"/>
    <w:rsid w:val="00E72C7A"/>
    <w:rsid w:val="00E731B0"/>
    <w:rsid w:val="00E73497"/>
    <w:rsid w:val="00E738A7"/>
    <w:rsid w:val="00E73A5C"/>
    <w:rsid w:val="00E73A85"/>
    <w:rsid w:val="00E73D99"/>
    <w:rsid w:val="00E73ECA"/>
    <w:rsid w:val="00E73FA1"/>
    <w:rsid w:val="00E73FBE"/>
    <w:rsid w:val="00E741A8"/>
    <w:rsid w:val="00E75163"/>
    <w:rsid w:val="00E752E0"/>
    <w:rsid w:val="00E755B5"/>
    <w:rsid w:val="00E756E0"/>
    <w:rsid w:val="00E75776"/>
    <w:rsid w:val="00E75C17"/>
    <w:rsid w:val="00E76AAD"/>
    <w:rsid w:val="00E76BF8"/>
    <w:rsid w:val="00E76E8B"/>
    <w:rsid w:val="00E77282"/>
    <w:rsid w:val="00E77354"/>
    <w:rsid w:val="00E776FE"/>
    <w:rsid w:val="00E77BA4"/>
    <w:rsid w:val="00E80469"/>
    <w:rsid w:val="00E80540"/>
    <w:rsid w:val="00E806F4"/>
    <w:rsid w:val="00E80842"/>
    <w:rsid w:val="00E80D3F"/>
    <w:rsid w:val="00E80F4F"/>
    <w:rsid w:val="00E81414"/>
    <w:rsid w:val="00E814DB"/>
    <w:rsid w:val="00E81DFE"/>
    <w:rsid w:val="00E8203F"/>
    <w:rsid w:val="00E821C7"/>
    <w:rsid w:val="00E8238C"/>
    <w:rsid w:val="00E82422"/>
    <w:rsid w:val="00E825DE"/>
    <w:rsid w:val="00E82796"/>
    <w:rsid w:val="00E83077"/>
    <w:rsid w:val="00E832CD"/>
    <w:rsid w:val="00E8342D"/>
    <w:rsid w:val="00E83805"/>
    <w:rsid w:val="00E83BDF"/>
    <w:rsid w:val="00E83C8D"/>
    <w:rsid w:val="00E841BD"/>
    <w:rsid w:val="00E84C2B"/>
    <w:rsid w:val="00E856E3"/>
    <w:rsid w:val="00E85725"/>
    <w:rsid w:val="00E858DC"/>
    <w:rsid w:val="00E85A01"/>
    <w:rsid w:val="00E86340"/>
    <w:rsid w:val="00E86374"/>
    <w:rsid w:val="00E866B0"/>
    <w:rsid w:val="00E867EF"/>
    <w:rsid w:val="00E868C4"/>
    <w:rsid w:val="00E86BEA"/>
    <w:rsid w:val="00E86DDB"/>
    <w:rsid w:val="00E90618"/>
    <w:rsid w:val="00E90622"/>
    <w:rsid w:val="00E9093C"/>
    <w:rsid w:val="00E910B8"/>
    <w:rsid w:val="00E91E46"/>
    <w:rsid w:val="00E920B6"/>
    <w:rsid w:val="00E921FA"/>
    <w:rsid w:val="00E923E8"/>
    <w:rsid w:val="00E9244C"/>
    <w:rsid w:val="00E9256A"/>
    <w:rsid w:val="00E925D1"/>
    <w:rsid w:val="00E929B4"/>
    <w:rsid w:val="00E9337A"/>
    <w:rsid w:val="00E93D30"/>
    <w:rsid w:val="00E93F61"/>
    <w:rsid w:val="00E9401E"/>
    <w:rsid w:val="00E943CC"/>
    <w:rsid w:val="00E94ACA"/>
    <w:rsid w:val="00E94BD4"/>
    <w:rsid w:val="00E94E3F"/>
    <w:rsid w:val="00E94EBD"/>
    <w:rsid w:val="00E95046"/>
    <w:rsid w:val="00E951D4"/>
    <w:rsid w:val="00E9532B"/>
    <w:rsid w:val="00E958CC"/>
    <w:rsid w:val="00E9590D"/>
    <w:rsid w:val="00E959C4"/>
    <w:rsid w:val="00E9659B"/>
    <w:rsid w:val="00E96608"/>
    <w:rsid w:val="00E96679"/>
    <w:rsid w:val="00E96E30"/>
    <w:rsid w:val="00E9734F"/>
    <w:rsid w:val="00E979D5"/>
    <w:rsid w:val="00E97A2E"/>
    <w:rsid w:val="00E97AE1"/>
    <w:rsid w:val="00EA014E"/>
    <w:rsid w:val="00EA0488"/>
    <w:rsid w:val="00EA07CE"/>
    <w:rsid w:val="00EA091F"/>
    <w:rsid w:val="00EA14D4"/>
    <w:rsid w:val="00EA168B"/>
    <w:rsid w:val="00EA1C22"/>
    <w:rsid w:val="00EA1E06"/>
    <w:rsid w:val="00EA1FB1"/>
    <w:rsid w:val="00EA24A6"/>
    <w:rsid w:val="00EA25BB"/>
    <w:rsid w:val="00EA2A2C"/>
    <w:rsid w:val="00EA2C20"/>
    <w:rsid w:val="00EA2D29"/>
    <w:rsid w:val="00EA2DD2"/>
    <w:rsid w:val="00EA31B5"/>
    <w:rsid w:val="00EA3713"/>
    <w:rsid w:val="00EA3930"/>
    <w:rsid w:val="00EA3BC3"/>
    <w:rsid w:val="00EA3DB5"/>
    <w:rsid w:val="00EA3FAE"/>
    <w:rsid w:val="00EA4E02"/>
    <w:rsid w:val="00EA52F2"/>
    <w:rsid w:val="00EA553C"/>
    <w:rsid w:val="00EA56BB"/>
    <w:rsid w:val="00EA5A2F"/>
    <w:rsid w:val="00EA5A81"/>
    <w:rsid w:val="00EA5A9D"/>
    <w:rsid w:val="00EA5AAB"/>
    <w:rsid w:val="00EA6063"/>
    <w:rsid w:val="00EA61E9"/>
    <w:rsid w:val="00EA642E"/>
    <w:rsid w:val="00EA69BF"/>
    <w:rsid w:val="00EA6A4F"/>
    <w:rsid w:val="00EA6DCE"/>
    <w:rsid w:val="00EA729A"/>
    <w:rsid w:val="00EA73F6"/>
    <w:rsid w:val="00EA74E0"/>
    <w:rsid w:val="00EA75F8"/>
    <w:rsid w:val="00EA7667"/>
    <w:rsid w:val="00EA7F41"/>
    <w:rsid w:val="00EB0293"/>
    <w:rsid w:val="00EB02EE"/>
    <w:rsid w:val="00EB0B7F"/>
    <w:rsid w:val="00EB1342"/>
    <w:rsid w:val="00EB143D"/>
    <w:rsid w:val="00EB1722"/>
    <w:rsid w:val="00EB1CA1"/>
    <w:rsid w:val="00EB1DE0"/>
    <w:rsid w:val="00EB213F"/>
    <w:rsid w:val="00EB2262"/>
    <w:rsid w:val="00EB22FD"/>
    <w:rsid w:val="00EB265A"/>
    <w:rsid w:val="00EB3004"/>
    <w:rsid w:val="00EB311C"/>
    <w:rsid w:val="00EB329B"/>
    <w:rsid w:val="00EB34E5"/>
    <w:rsid w:val="00EB3517"/>
    <w:rsid w:val="00EB3978"/>
    <w:rsid w:val="00EB3A94"/>
    <w:rsid w:val="00EB3CE9"/>
    <w:rsid w:val="00EB3DE6"/>
    <w:rsid w:val="00EB40E3"/>
    <w:rsid w:val="00EB410F"/>
    <w:rsid w:val="00EB43C7"/>
    <w:rsid w:val="00EB4D7B"/>
    <w:rsid w:val="00EB544E"/>
    <w:rsid w:val="00EB547D"/>
    <w:rsid w:val="00EB5580"/>
    <w:rsid w:val="00EB55C0"/>
    <w:rsid w:val="00EB5AE1"/>
    <w:rsid w:val="00EB5B52"/>
    <w:rsid w:val="00EB5C79"/>
    <w:rsid w:val="00EB5EED"/>
    <w:rsid w:val="00EB5FC2"/>
    <w:rsid w:val="00EB6095"/>
    <w:rsid w:val="00EB6471"/>
    <w:rsid w:val="00EB6529"/>
    <w:rsid w:val="00EB678B"/>
    <w:rsid w:val="00EB6956"/>
    <w:rsid w:val="00EB6DB6"/>
    <w:rsid w:val="00EB6E09"/>
    <w:rsid w:val="00EB6F6A"/>
    <w:rsid w:val="00EB737D"/>
    <w:rsid w:val="00EB74AC"/>
    <w:rsid w:val="00EB75AB"/>
    <w:rsid w:val="00EB7613"/>
    <w:rsid w:val="00EB7EB8"/>
    <w:rsid w:val="00EC0171"/>
    <w:rsid w:val="00EC04A3"/>
    <w:rsid w:val="00EC09A7"/>
    <w:rsid w:val="00EC0B57"/>
    <w:rsid w:val="00EC0DA6"/>
    <w:rsid w:val="00EC164E"/>
    <w:rsid w:val="00EC1C95"/>
    <w:rsid w:val="00EC2B5C"/>
    <w:rsid w:val="00EC2CB8"/>
    <w:rsid w:val="00EC2E7C"/>
    <w:rsid w:val="00EC3060"/>
    <w:rsid w:val="00EC32CF"/>
    <w:rsid w:val="00EC3723"/>
    <w:rsid w:val="00EC46E9"/>
    <w:rsid w:val="00EC4901"/>
    <w:rsid w:val="00EC49B7"/>
    <w:rsid w:val="00EC4F3F"/>
    <w:rsid w:val="00EC507A"/>
    <w:rsid w:val="00EC57A0"/>
    <w:rsid w:val="00EC5929"/>
    <w:rsid w:val="00EC5DA2"/>
    <w:rsid w:val="00EC609A"/>
    <w:rsid w:val="00EC6604"/>
    <w:rsid w:val="00EC692D"/>
    <w:rsid w:val="00EC6C40"/>
    <w:rsid w:val="00EC79F7"/>
    <w:rsid w:val="00ED057C"/>
    <w:rsid w:val="00ED0641"/>
    <w:rsid w:val="00ED069C"/>
    <w:rsid w:val="00ED0992"/>
    <w:rsid w:val="00ED0EB7"/>
    <w:rsid w:val="00ED10EE"/>
    <w:rsid w:val="00ED13E5"/>
    <w:rsid w:val="00ED2125"/>
    <w:rsid w:val="00ED2516"/>
    <w:rsid w:val="00ED29D2"/>
    <w:rsid w:val="00ED2BC5"/>
    <w:rsid w:val="00ED2F1A"/>
    <w:rsid w:val="00ED3733"/>
    <w:rsid w:val="00ED3797"/>
    <w:rsid w:val="00ED39E6"/>
    <w:rsid w:val="00ED3A4C"/>
    <w:rsid w:val="00ED3C15"/>
    <w:rsid w:val="00ED4F82"/>
    <w:rsid w:val="00ED5041"/>
    <w:rsid w:val="00ED5524"/>
    <w:rsid w:val="00ED5721"/>
    <w:rsid w:val="00ED5A68"/>
    <w:rsid w:val="00ED5E3A"/>
    <w:rsid w:val="00ED6766"/>
    <w:rsid w:val="00ED68DE"/>
    <w:rsid w:val="00ED6991"/>
    <w:rsid w:val="00ED6AC4"/>
    <w:rsid w:val="00ED6B17"/>
    <w:rsid w:val="00ED6B82"/>
    <w:rsid w:val="00ED7018"/>
    <w:rsid w:val="00ED71F7"/>
    <w:rsid w:val="00ED73A5"/>
    <w:rsid w:val="00ED7655"/>
    <w:rsid w:val="00EE03C6"/>
    <w:rsid w:val="00EE06E7"/>
    <w:rsid w:val="00EE0D09"/>
    <w:rsid w:val="00EE0F02"/>
    <w:rsid w:val="00EE196A"/>
    <w:rsid w:val="00EE19E9"/>
    <w:rsid w:val="00EE1AB1"/>
    <w:rsid w:val="00EE22AA"/>
    <w:rsid w:val="00EE24B9"/>
    <w:rsid w:val="00EE2527"/>
    <w:rsid w:val="00EE2552"/>
    <w:rsid w:val="00EE2D7F"/>
    <w:rsid w:val="00EE2E69"/>
    <w:rsid w:val="00EE2F51"/>
    <w:rsid w:val="00EE324B"/>
    <w:rsid w:val="00EE3529"/>
    <w:rsid w:val="00EE3858"/>
    <w:rsid w:val="00EE475C"/>
    <w:rsid w:val="00EE4830"/>
    <w:rsid w:val="00EE4CB1"/>
    <w:rsid w:val="00EE4E29"/>
    <w:rsid w:val="00EE51B5"/>
    <w:rsid w:val="00EE5339"/>
    <w:rsid w:val="00EE5552"/>
    <w:rsid w:val="00EE5739"/>
    <w:rsid w:val="00EE588E"/>
    <w:rsid w:val="00EE58BF"/>
    <w:rsid w:val="00EE591D"/>
    <w:rsid w:val="00EE5B03"/>
    <w:rsid w:val="00EE5B3E"/>
    <w:rsid w:val="00EE68E3"/>
    <w:rsid w:val="00EE6A5F"/>
    <w:rsid w:val="00EE6BA5"/>
    <w:rsid w:val="00EE6BDF"/>
    <w:rsid w:val="00EE6D4B"/>
    <w:rsid w:val="00EE6EE6"/>
    <w:rsid w:val="00EE6EED"/>
    <w:rsid w:val="00EE7531"/>
    <w:rsid w:val="00EE75E1"/>
    <w:rsid w:val="00EE772F"/>
    <w:rsid w:val="00EE775F"/>
    <w:rsid w:val="00EE7E09"/>
    <w:rsid w:val="00EE7EDE"/>
    <w:rsid w:val="00EF038C"/>
    <w:rsid w:val="00EF08C8"/>
    <w:rsid w:val="00EF0BB0"/>
    <w:rsid w:val="00EF0C7F"/>
    <w:rsid w:val="00EF1EE0"/>
    <w:rsid w:val="00EF1FAF"/>
    <w:rsid w:val="00EF2137"/>
    <w:rsid w:val="00EF2151"/>
    <w:rsid w:val="00EF2266"/>
    <w:rsid w:val="00EF23A1"/>
    <w:rsid w:val="00EF2843"/>
    <w:rsid w:val="00EF2DAD"/>
    <w:rsid w:val="00EF2E13"/>
    <w:rsid w:val="00EF384A"/>
    <w:rsid w:val="00EF3977"/>
    <w:rsid w:val="00EF39FB"/>
    <w:rsid w:val="00EF3A1F"/>
    <w:rsid w:val="00EF4395"/>
    <w:rsid w:val="00EF43A0"/>
    <w:rsid w:val="00EF481E"/>
    <w:rsid w:val="00EF4A11"/>
    <w:rsid w:val="00EF4D26"/>
    <w:rsid w:val="00EF4D33"/>
    <w:rsid w:val="00EF506C"/>
    <w:rsid w:val="00EF5411"/>
    <w:rsid w:val="00EF5DB0"/>
    <w:rsid w:val="00EF5E17"/>
    <w:rsid w:val="00EF5E2C"/>
    <w:rsid w:val="00EF6449"/>
    <w:rsid w:val="00EF679F"/>
    <w:rsid w:val="00EF6842"/>
    <w:rsid w:val="00EF6F00"/>
    <w:rsid w:val="00EF7242"/>
    <w:rsid w:val="00EF7828"/>
    <w:rsid w:val="00EF7BD3"/>
    <w:rsid w:val="00EF7C4D"/>
    <w:rsid w:val="00F001D4"/>
    <w:rsid w:val="00F003BB"/>
    <w:rsid w:val="00F00A44"/>
    <w:rsid w:val="00F01A3D"/>
    <w:rsid w:val="00F01A5B"/>
    <w:rsid w:val="00F01F87"/>
    <w:rsid w:val="00F025AC"/>
    <w:rsid w:val="00F02690"/>
    <w:rsid w:val="00F026FD"/>
    <w:rsid w:val="00F028D8"/>
    <w:rsid w:val="00F02ECE"/>
    <w:rsid w:val="00F02FDD"/>
    <w:rsid w:val="00F03421"/>
    <w:rsid w:val="00F03515"/>
    <w:rsid w:val="00F03748"/>
    <w:rsid w:val="00F03D2C"/>
    <w:rsid w:val="00F040B9"/>
    <w:rsid w:val="00F042C2"/>
    <w:rsid w:val="00F04416"/>
    <w:rsid w:val="00F04730"/>
    <w:rsid w:val="00F04E26"/>
    <w:rsid w:val="00F05051"/>
    <w:rsid w:val="00F052D7"/>
    <w:rsid w:val="00F054CF"/>
    <w:rsid w:val="00F05805"/>
    <w:rsid w:val="00F05D96"/>
    <w:rsid w:val="00F05E78"/>
    <w:rsid w:val="00F06A8A"/>
    <w:rsid w:val="00F06CCA"/>
    <w:rsid w:val="00F06EDF"/>
    <w:rsid w:val="00F0711D"/>
    <w:rsid w:val="00F07685"/>
    <w:rsid w:val="00F07C07"/>
    <w:rsid w:val="00F10113"/>
    <w:rsid w:val="00F10816"/>
    <w:rsid w:val="00F10B01"/>
    <w:rsid w:val="00F111A8"/>
    <w:rsid w:val="00F11509"/>
    <w:rsid w:val="00F11AE1"/>
    <w:rsid w:val="00F11C15"/>
    <w:rsid w:val="00F11CD3"/>
    <w:rsid w:val="00F11E75"/>
    <w:rsid w:val="00F12390"/>
    <w:rsid w:val="00F125F4"/>
    <w:rsid w:val="00F12740"/>
    <w:rsid w:val="00F12935"/>
    <w:rsid w:val="00F12DCA"/>
    <w:rsid w:val="00F131D4"/>
    <w:rsid w:val="00F1355E"/>
    <w:rsid w:val="00F13747"/>
    <w:rsid w:val="00F1381E"/>
    <w:rsid w:val="00F138AC"/>
    <w:rsid w:val="00F138D9"/>
    <w:rsid w:val="00F13AF2"/>
    <w:rsid w:val="00F13B7C"/>
    <w:rsid w:val="00F14F19"/>
    <w:rsid w:val="00F158A2"/>
    <w:rsid w:val="00F15EEA"/>
    <w:rsid w:val="00F16200"/>
    <w:rsid w:val="00F1639D"/>
    <w:rsid w:val="00F165A6"/>
    <w:rsid w:val="00F16631"/>
    <w:rsid w:val="00F166D6"/>
    <w:rsid w:val="00F16888"/>
    <w:rsid w:val="00F16935"/>
    <w:rsid w:val="00F169E1"/>
    <w:rsid w:val="00F16C15"/>
    <w:rsid w:val="00F16D63"/>
    <w:rsid w:val="00F17283"/>
    <w:rsid w:val="00F1729F"/>
    <w:rsid w:val="00F1766B"/>
    <w:rsid w:val="00F177F9"/>
    <w:rsid w:val="00F2056D"/>
    <w:rsid w:val="00F212EB"/>
    <w:rsid w:val="00F2154C"/>
    <w:rsid w:val="00F21950"/>
    <w:rsid w:val="00F21E7D"/>
    <w:rsid w:val="00F221E5"/>
    <w:rsid w:val="00F2258F"/>
    <w:rsid w:val="00F2266A"/>
    <w:rsid w:val="00F22BE4"/>
    <w:rsid w:val="00F22EFB"/>
    <w:rsid w:val="00F2320C"/>
    <w:rsid w:val="00F2346C"/>
    <w:rsid w:val="00F2354F"/>
    <w:rsid w:val="00F235F6"/>
    <w:rsid w:val="00F2376A"/>
    <w:rsid w:val="00F23836"/>
    <w:rsid w:val="00F23BA1"/>
    <w:rsid w:val="00F23E82"/>
    <w:rsid w:val="00F23E9E"/>
    <w:rsid w:val="00F245FC"/>
    <w:rsid w:val="00F24684"/>
    <w:rsid w:val="00F24B7E"/>
    <w:rsid w:val="00F24F7D"/>
    <w:rsid w:val="00F250E4"/>
    <w:rsid w:val="00F25684"/>
    <w:rsid w:val="00F2574C"/>
    <w:rsid w:val="00F25E66"/>
    <w:rsid w:val="00F26110"/>
    <w:rsid w:val="00F2666B"/>
    <w:rsid w:val="00F2715C"/>
    <w:rsid w:val="00F273C8"/>
    <w:rsid w:val="00F275F4"/>
    <w:rsid w:val="00F2787B"/>
    <w:rsid w:val="00F27CBA"/>
    <w:rsid w:val="00F27EEF"/>
    <w:rsid w:val="00F30517"/>
    <w:rsid w:val="00F3141B"/>
    <w:rsid w:val="00F318A0"/>
    <w:rsid w:val="00F31BDD"/>
    <w:rsid w:val="00F31E1B"/>
    <w:rsid w:val="00F32056"/>
    <w:rsid w:val="00F32173"/>
    <w:rsid w:val="00F32698"/>
    <w:rsid w:val="00F32AD0"/>
    <w:rsid w:val="00F32C22"/>
    <w:rsid w:val="00F32D88"/>
    <w:rsid w:val="00F330AB"/>
    <w:rsid w:val="00F33144"/>
    <w:rsid w:val="00F3350D"/>
    <w:rsid w:val="00F338EE"/>
    <w:rsid w:val="00F341A8"/>
    <w:rsid w:val="00F34542"/>
    <w:rsid w:val="00F346C8"/>
    <w:rsid w:val="00F349CB"/>
    <w:rsid w:val="00F34AD6"/>
    <w:rsid w:val="00F35274"/>
    <w:rsid w:val="00F355AE"/>
    <w:rsid w:val="00F35610"/>
    <w:rsid w:val="00F35CD8"/>
    <w:rsid w:val="00F3647B"/>
    <w:rsid w:val="00F36834"/>
    <w:rsid w:val="00F37B19"/>
    <w:rsid w:val="00F37B31"/>
    <w:rsid w:val="00F37BBE"/>
    <w:rsid w:val="00F37E0C"/>
    <w:rsid w:val="00F40678"/>
    <w:rsid w:val="00F40D0E"/>
    <w:rsid w:val="00F412F2"/>
    <w:rsid w:val="00F413EE"/>
    <w:rsid w:val="00F41A14"/>
    <w:rsid w:val="00F41A57"/>
    <w:rsid w:val="00F42061"/>
    <w:rsid w:val="00F42097"/>
    <w:rsid w:val="00F42110"/>
    <w:rsid w:val="00F42434"/>
    <w:rsid w:val="00F42AE0"/>
    <w:rsid w:val="00F42B61"/>
    <w:rsid w:val="00F42CD5"/>
    <w:rsid w:val="00F42DF8"/>
    <w:rsid w:val="00F432B8"/>
    <w:rsid w:val="00F433F5"/>
    <w:rsid w:val="00F434BC"/>
    <w:rsid w:val="00F43587"/>
    <w:rsid w:val="00F4381B"/>
    <w:rsid w:val="00F43A08"/>
    <w:rsid w:val="00F43BF0"/>
    <w:rsid w:val="00F43D17"/>
    <w:rsid w:val="00F43E54"/>
    <w:rsid w:val="00F44043"/>
    <w:rsid w:val="00F44283"/>
    <w:rsid w:val="00F443DD"/>
    <w:rsid w:val="00F445DE"/>
    <w:rsid w:val="00F446FC"/>
    <w:rsid w:val="00F448A6"/>
    <w:rsid w:val="00F44A82"/>
    <w:rsid w:val="00F44B0A"/>
    <w:rsid w:val="00F44BC5"/>
    <w:rsid w:val="00F45133"/>
    <w:rsid w:val="00F457CA"/>
    <w:rsid w:val="00F458D4"/>
    <w:rsid w:val="00F45971"/>
    <w:rsid w:val="00F46094"/>
    <w:rsid w:val="00F4611C"/>
    <w:rsid w:val="00F461DA"/>
    <w:rsid w:val="00F46602"/>
    <w:rsid w:val="00F4682A"/>
    <w:rsid w:val="00F46941"/>
    <w:rsid w:val="00F46952"/>
    <w:rsid w:val="00F46971"/>
    <w:rsid w:val="00F46D58"/>
    <w:rsid w:val="00F46F87"/>
    <w:rsid w:val="00F4702A"/>
    <w:rsid w:val="00F47198"/>
    <w:rsid w:val="00F47388"/>
    <w:rsid w:val="00F4746A"/>
    <w:rsid w:val="00F47E60"/>
    <w:rsid w:val="00F50441"/>
    <w:rsid w:val="00F504E4"/>
    <w:rsid w:val="00F50514"/>
    <w:rsid w:val="00F5062E"/>
    <w:rsid w:val="00F50A7A"/>
    <w:rsid w:val="00F50B9E"/>
    <w:rsid w:val="00F50F6B"/>
    <w:rsid w:val="00F5107F"/>
    <w:rsid w:val="00F51518"/>
    <w:rsid w:val="00F517FC"/>
    <w:rsid w:val="00F51C3C"/>
    <w:rsid w:val="00F52266"/>
    <w:rsid w:val="00F522AA"/>
    <w:rsid w:val="00F52C1A"/>
    <w:rsid w:val="00F52CF7"/>
    <w:rsid w:val="00F52E3F"/>
    <w:rsid w:val="00F53094"/>
    <w:rsid w:val="00F530F5"/>
    <w:rsid w:val="00F5347A"/>
    <w:rsid w:val="00F53621"/>
    <w:rsid w:val="00F537CD"/>
    <w:rsid w:val="00F5396F"/>
    <w:rsid w:val="00F53BB8"/>
    <w:rsid w:val="00F53E43"/>
    <w:rsid w:val="00F53FC3"/>
    <w:rsid w:val="00F540B8"/>
    <w:rsid w:val="00F54173"/>
    <w:rsid w:val="00F54513"/>
    <w:rsid w:val="00F5482A"/>
    <w:rsid w:val="00F54930"/>
    <w:rsid w:val="00F54B49"/>
    <w:rsid w:val="00F55177"/>
    <w:rsid w:val="00F55528"/>
    <w:rsid w:val="00F55A31"/>
    <w:rsid w:val="00F55C63"/>
    <w:rsid w:val="00F55CED"/>
    <w:rsid w:val="00F56415"/>
    <w:rsid w:val="00F565BF"/>
    <w:rsid w:val="00F570BA"/>
    <w:rsid w:val="00F5715D"/>
    <w:rsid w:val="00F573EE"/>
    <w:rsid w:val="00F574D3"/>
    <w:rsid w:val="00F57519"/>
    <w:rsid w:val="00F57568"/>
    <w:rsid w:val="00F57703"/>
    <w:rsid w:val="00F57952"/>
    <w:rsid w:val="00F57A6C"/>
    <w:rsid w:val="00F57B64"/>
    <w:rsid w:val="00F57C84"/>
    <w:rsid w:val="00F57D28"/>
    <w:rsid w:val="00F57D75"/>
    <w:rsid w:val="00F60156"/>
    <w:rsid w:val="00F603A2"/>
    <w:rsid w:val="00F60665"/>
    <w:rsid w:val="00F6074A"/>
    <w:rsid w:val="00F60DC8"/>
    <w:rsid w:val="00F60E8E"/>
    <w:rsid w:val="00F61017"/>
    <w:rsid w:val="00F616B9"/>
    <w:rsid w:val="00F617A4"/>
    <w:rsid w:val="00F61857"/>
    <w:rsid w:val="00F618C5"/>
    <w:rsid w:val="00F61B36"/>
    <w:rsid w:val="00F61BD6"/>
    <w:rsid w:val="00F61DA0"/>
    <w:rsid w:val="00F62021"/>
    <w:rsid w:val="00F621E7"/>
    <w:rsid w:val="00F6221E"/>
    <w:rsid w:val="00F6261C"/>
    <w:rsid w:val="00F62E8B"/>
    <w:rsid w:val="00F631C4"/>
    <w:rsid w:val="00F63346"/>
    <w:rsid w:val="00F63693"/>
    <w:rsid w:val="00F636B8"/>
    <w:rsid w:val="00F636D0"/>
    <w:rsid w:val="00F63CD4"/>
    <w:rsid w:val="00F63D11"/>
    <w:rsid w:val="00F63DF7"/>
    <w:rsid w:val="00F63E10"/>
    <w:rsid w:val="00F63F89"/>
    <w:rsid w:val="00F6417C"/>
    <w:rsid w:val="00F64298"/>
    <w:rsid w:val="00F643A2"/>
    <w:rsid w:val="00F64709"/>
    <w:rsid w:val="00F6534C"/>
    <w:rsid w:val="00F656AC"/>
    <w:rsid w:val="00F65A0D"/>
    <w:rsid w:val="00F660D5"/>
    <w:rsid w:val="00F6637A"/>
    <w:rsid w:val="00F6646C"/>
    <w:rsid w:val="00F66628"/>
    <w:rsid w:val="00F671D3"/>
    <w:rsid w:val="00F6732D"/>
    <w:rsid w:val="00F676EB"/>
    <w:rsid w:val="00F67D5C"/>
    <w:rsid w:val="00F7061F"/>
    <w:rsid w:val="00F70706"/>
    <w:rsid w:val="00F70920"/>
    <w:rsid w:val="00F7098B"/>
    <w:rsid w:val="00F70A20"/>
    <w:rsid w:val="00F70AC3"/>
    <w:rsid w:val="00F70AC9"/>
    <w:rsid w:val="00F70C41"/>
    <w:rsid w:val="00F70F93"/>
    <w:rsid w:val="00F70FAB"/>
    <w:rsid w:val="00F71286"/>
    <w:rsid w:val="00F71961"/>
    <w:rsid w:val="00F71AF5"/>
    <w:rsid w:val="00F71B0F"/>
    <w:rsid w:val="00F72327"/>
    <w:rsid w:val="00F723E0"/>
    <w:rsid w:val="00F724F5"/>
    <w:rsid w:val="00F72676"/>
    <w:rsid w:val="00F726E5"/>
    <w:rsid w:val="00F7275C"/>
    <w:rsid w:val="00F72928"/>
    <w:rsid w:val="00F72F79"/>
    <w:rsid w:val="00F73AAD"/>
    <w:rsid w:val="00F73ADF"/>
    <w:rsid w:val="00F73FB0"/>
    <w:rsid w:val="00F7410A"/>
    <w:rsid w:val="00F7439D"/>
    <w:rsid w:val="00F74D9C"/>
    <w:rsid w:val="00F7517B"/>
    <w:rsid w:val="00F7584D"/>
    <w:rsid w:val="00F761CC"/>
    <w:rsid w:val="00F76322"/>
    <w:rsid w:val="00F763B9"/>
    <w:rsid w:val="00F766AE"/>
    <w:rsid w:val="00F76897"/>
    <w:rsid w:val="00F76E10"/>
    <w:rsid w:val="00F77364"/>
    <w:rsid w:val="00F7769F"/>
    <w:rsid w:val="00F776F7"/>
    <w:rsid w:val="00F77A20"/>
    <w:rsid w:val="00F8030D"/>
    <w:rsid w:val="00F804AC"/>
    <w:rsid w:val="00F80C5A"/>
    <w:rsid w:val="00F80DA6"/>
    <w:rsid w:val="00F81347"/>
    <w:rsid w:val="00F8180E"/>
    <w:rsid w:val="00F81885"/>
    <w:rsid w:val="00F82118"/>
    <w:rsid w:val="00F82244"/>
    <w:rsid w:val="00F82290"/>
    <w:rsid w:val="00F82BA3"/>
    <w:rsid w:val="00F82C39"/>
    <w:rsid w:val="00F82C91"/>
    <w:rsid w:val="00F83090"/>
    <w:rsid w:val="00F83093"/>
    <w:rsid w:val="00F83803"/>
    <w:rsid w:val="00F839F4"/>
    <w:rsid w:val="00F83AC6"/>
    <w:rsid w:val="00F83B38"/>
    <w:rsid w:val="00F83F1D"/>
    <w:rsid w:val="00F842B9"/>
    <w:rsid w:val="00F8453E"/>
    <w:rsid w:val="00F84AF6"/>
    <w:rsid w:val="00F84DF7"/>
    <w:rsid w:val="00F85523"/>
    <w:rsid w:val="00F85858"/>
    <w:rsid w:val="00F861A0"/>
    <w:rsid w:val="00F864B7"/>
    <w:rsid w:val="00F867B3"/>
    <w:rsid w:val="00F8725D"/>
    <w:rsid w:val="00F87473"/>
    <w:rsid w:val="00F87628"/>
    <w:rsid w:val="00F879D8"/>
    <w:rsid w:val="00F9029A"/>
    <w:rsid w:val="00F90366"/>
    <w:rsid w:val="00F904FF"/>
    <w:rsid w:val="00F90B76"/>
    <w:rsid w:val="00F90C0C"/>
    <w:rsid w:val="00F90E4E"/>
    <w:rsid w:val="00F90ED5"/>
    <w:rsid w:val="00F91026"/>
    <w:rsid w:val="00F910F9"/>
    <w:rsid w:val="00F914CD"/>
    <w:rsid w:val="00F9156B"/>
    <w:rsid w:val="00F91860"/>
    <w:rsid w:val="00F91949"/>
    <w:rsid w:val="00F9199A"/>
    <w:rsid w:val="00F921E4"/>
    <w:rsid w:val="00F924EF"/>
    <w:rsid w:val="00F926C0"/>
    <w:rsid w:val="00F9279C"/>
    <w:rsid w:val="00F92911"/>
    <w:rsid w:val="00F93050"/>
    <w:rsid w:val="00F93114"/>
    <w:rsid w:val="00F931CC"/>
    <w:rsid w:val="00F93938"/>
    <w:rsid w:val="00F93D84"/>
    <w:rsid w:val="00F93F6A"/>
    <w:rsid w:val="00F943B9"/>
    <w:rsid w:val="00F94663"/>
    <w:rsid w:val="00F94A1E"/>
    <w:rsid w:val="00F94AB4"/>
    <w:rsid w:val="00F95029"/>
    <w:rsid w:val="00F9502E"/>
    <w:rsid w:val="00F953B6"/>
    <w:rsid w:val="00F954FB"/>
    <w:rsid w:val="00F95679"/>
    <w:rsid w:val="00F96FFA"/>
    <w:rsid w:val="00F97511"/>
    <w:rsid w:val="00F97D30"/>
    <w:rsid w:val="00FA00FB"/>
    <w:rsid w:val="00FA011C"/>
    <w:rsid w:val="00FA032C"/>
    <w:rsid w:val="00FA041D"/>
    <w:rsid w:val="00FA0460"/>
    <w:rsid w:val="00FA059B"/>
    <w:rsid w:val="00FA0BF0"/>
    <w:rsid w:val="00FA111F"/>
    <w:rsid w:val="00FA1285"/>
    <w:rsid w:val="00FA155F"/>
    <w:rsid w:val="00FA18DF"/>
    <w:rsid w:val="00FA19C6"/>
    <w:rsid w:val="00FA1D5B"/>
    <w:rsid w:val="00FA1DF5"/>
    <w:rsid w:val="00FA2042"/>
    <w:rsid w:val="00FA22AC"/>
    <w:rsid w:val="00FA24E8"/>
    <w:rsid w:val="00FA2515"/>
    <w:rsid w:val="00FA25F5"/>
    <w:rsid w:val="00FA269E"/>
    <w:rsid w:val="00FA2956"/>
    <w:rsid w:val="00FA2974"/>
    <w:rsid w:val="00FA2D65"/>
    <w:rsid w:val="00FA312B"/>
    <w:rsid w:val="00FA31FF"/>
    <w:rsid w:val="00FA3887"/>
    <w:rsid w:val="00FA4713"/>
    <w:rsid w:val="00FA49BB"/>
    <w:rsid w:val="00FA50A2"/>
    <w:rsid w:val="00FA5450"/>
    <w:rsid w:val="00FA5AF2"/>
    <w:rsid w:val="00FA5EE5"/>
    <w:rsid w:val="00FA5F4E"/>
    <w:rsid w:val="00FA65C0"/>
    <w:rsid w:val="00FA674E"/>
    <w:rsid w:val="00FA675D"/>
    <w:rsid w:val="00FA6775"/>
    <w:rsid w:val="00FA6BB3"/>
    <w:rsid w:val="00FA6DC8"/>
    <w:rsid w:val="00FA6E40"/>
    <w:rsid w:val="00FA7109"/>
    <w:rsid w:val="00FA769A"/>
    <w:rsid w:val="00FA7BBD"/>
    <w:rsid w:val="00FB01EC"/>
    <w:rsid w:val="00FB0542"/>
    <w:rsid w:val="00FB06B5"/>
    <w:rsid w:val="00FB0B52"/>
    <w:rsid w:val="00FB0EED"/>
    <w:rsid w:val="00FB0F42"/>
    <w:rsid w:val="00FB1017"/>
    <w:rsid w:val="00FB1182"/>
    <w:rsid w:val="00FB14DE"/>
    <w:rsid w:val="00FB1697"/>
    <w:rsid w:val="00FB2417"/>
    <w:rsid w:val="00FB245B"/>
    <w:rsid w:val="00FB262C"/>
    <w:rsid w:val="00FB2C0D"/>
    <w:rsid w:val="00FB2D1C"/>
    <w:rsid w:val="00FB3081"/>
    <w:rsid w:val="00FB30E3"/>
    <w:rsid w:val="00FB34FB"/>
    <w:rsid w:val="00FB3649"/>
    <w:rsid w:val="00FB3A32"/>
    <w:rsid w:val="00FB3B1F"/>
    <w:rsid w:val="00FB4462"/>
    <w:rsid w:val="00FB4C8B"/>
    <w:rsid w:val="00FB5542"/>
    <w:rsid w:val="00FB55F1"/>
    <w:rsid w:val="00FB5929"/>
    <w:rsid w:val="00FB599A"/>
    <w:rsid w:val="00FB59E6"/>
    <w:rsid w:val="00FB5B04"/>
    <w:rsid w:val="00FB5EFA"/>
    <w:rsid w:val="00FB5F0E"/>
    <w:rsid w:val="00FB61E0"/>
    <w:rsid w:val="00FB6315"/>
    <w:rsid w:val="00FB631A"/>
    <w:rsid w:val="00FB67ED"/>
    <w:rsid w:val="00FB6E04"/>
    <w:rsid w:val="00FB707B"/>
    <w:rsid w:val="00FB7242"/>
    <w:rsid w:val="00FB7498"/>
    <w:rsid w:val="00FB749B"/>
    <w:rsid w:val="00FB7506"/>
    <w:rsid w:val="00FC01B0"/>
    <w:rsid w:val="00FC02D8"/>
    <w:rsid w:val="00FC0502"/>
    <w:rsid w:val="00FC0C6F"/>
    <w:rsid w:val="00FC0ED5"/>
    <w:rsid w:val="00FC111F"/>
    <w:rsid w:val="00FC12D0"/>
    <w:rsid w:val="00FC134E"/>
    <w:rsid w:val="00FC1B26"/>
    <w:rsid w:val="00FC1DC3"/>
    <w:rsid w:val="00FC1DC7"/>
    <w:rsid w:val="00FC2158"/>
    <w:rsid w:val="00FC2184"/>
    <w:rsid w:val="00FC294D"/>
    <w:rsid w:val="00FC2992"/>
    <w:rsid w:val="00FC2C04"/>
    <w:rsid w:val="00FC303B"/>
    <w:rsid w:val="00FC349F"/>
    <w:rsid w:val="00FC3A2A"/>
    <w:rsid w:val="00FC3AA9"/>
    <w:rsid w:val="00FC3AD7"/>
    <w:rsid w:val="00FC3C3F"/>
    <w:rsid w:val="00FC3CD8"/>
    <w:rsid w:val="00FC5242"/>
    <w:rsid w:val="00FC57BB"/>
    <w:rsid w:val="00FC597E"/>
    <w:rsid w:val="00FC5C3E"/>
    <w:rsid w:val="00FC5F76"/>
    <w:rsid w:val="00FC637F"/>
    <w:rsid w:val="00FC68CB"/>
    <w:rsid w:val="00FC6A1F"/>
    <w:rsid w:val="00FC6A7E"/>
    <w:rsid w:val="00FC6AE5"/>
    <w:rsid w:val="00FC70FE"/>
    <w:rsid w:val="00FC7131"/>
    <w:rsid w:val="00FC7208"/>
    <w:rsid w:val="00FC7313"/>
    <w:rsid w:val="00FC7490"/>
    <w:rsid w:val="00FC798E"/>
    <w:rsid w:val="00FC7A13"/>
    <w:rsid w:val="00FD033B"/>
    <w:rsid w:val="00FD07CD"/>
    <w:rsid w:val="00FD0A35"/>
    <w:rsid w:val="00FD0C5F"/>
    <w:rsid w:val="00FD12FC"/>
    <w:rsid w:val="00FD1563"/>
    <w:rsid w:val="00FD1752"/>
    <w:rsid w:val="00FD1B79"/>
    <w:rsid w:val="00FD1E56"/>
    <w:rsid w:val="00FD2083"/>
    <w:rsid w:val="00FD20E1"/>
    <w:rsid w:val="00FD24D7"/>
    <w:rsid w:val="00FD2777"/>
    <w:rsid w:val="00FD29AB"/>
    <w:rsid w:val="00FD29BB"/>
    <w:rsid w:val="00FD2B3D"/>
    <w:rsid w:val="00FD3352"/>
    <w:rsid w:val="00FD34E3"/>
    <w:rsid w:val="00FD3B8D"/>
    <w:rsid w:val="00FD3D5D"/>
    <w:rsid w:val="00FD408F"/>
    <w:rsid w:val="00FD411D"/>
    <w:rsid w:val="00FD432C"/>
    <w:rsid w:val="00FD45BA"/>
    <w:rsid w:val="00FD50F2"/>
    <w:rsid w:val="00FD53E3"/>
    <w:rsid w:val="00FD5404"/>
    <w:rsid w:val="00FD547F"/>
    <w:rsid w:val="00FD54D9"/>
    <w:rsid w:val="00FD59C6"/>
    <w:rsid w:val="00FD5A8D"/>
    <w:rsid w:val="00FD5F26"/>
    <w:rsid w:val="00FD5F27"/>
    <w:rsid w:val="00FD60E7"/>
    <w:rsid w:val="00FD6307"/>
    <w:rsid w:val="00FD6366"/>
    <w:rsid w:val="00FD63F6"/>
    <w:rsid w:val="00FD6599"/>
    <w:rsid w:val="00FD6630"/>
    <w:rsid w:val="00FD668B"/>
    <w:rsid w:val="00FD6909"/>
    <w:rsid w:val="00FD6F79"/>
    <w:rsid w:val="00FD79C6"/>
    <w:rsid w:val="00FD7B99"/>
    <w:rsid w:val="00FE001D"/>
    <w:rsid w:val="00FE04BC"/>
    <w:rsid w:val="00FE067A"/>
    <w:rsid w:val="00FE0771"/>
    <w:rsid w:val="00FE0B70"/>
    <w:rsid w:val="00FE0B76"/>
    <w:rsid w:val="00FE0DCA"/>
    <w:rsid w:val="00FE0E76"/>
    <w:rsid w:val="00FE1309"/>
    <w:rsid w:val="00FE14AD"/>
    <w:rsid w:val="00FE27B6"/>
    <w:rsid w:val="00FE27D1"/>
    <w:rsid w:val="00FE29B4"/>
    <w:rsid w:val="00FE2B29"/>
    <w:rsid w:val="00FE2C2B"/>
    <w:rsid w:val="00FE2D8E"/>
    <w:rsid w:val="00FE2ECA"/>
    <w:rsid w:val="00FE3032"/>
    <w:rsid w:val="00FE3204"/>
    <w:rsid w:val="00FE3222"/>
    <w:rsid w:val="00FE322E"/>
    <w:rsid w:val="00FE32A7"/>
    <w:rsid w:val="00FE342F"/>
    <w:rsid w:val="00FE35E0"/>
    <w:rsid w:val="00FE3626"/>
    <w:rsid w:val="00FE37A3"/>
    <w:rsid w:val="00FE3820"/>
    <w:rsid w:val="00FE3AAF"/>
    <w:rsid w:val="00FE3C1C"/>
    <w:rsid w:val="00FE3FC5"/>
    <w:rsid w:val="00FE414D"/>
    <w:rsid w:val="00FE43D9"/>
    <w:rsid w:val="00FE465B"/>
    <w:rsid w:val="00FE4D19"/>
    <w:rsid w:val="00FE4D8D"/>
    <w:rsid w:val="00FE5660"/>
    <w:rsid w:val="00FE574D"/>
    <w:rsid w:val="00FE5A83"/>
    <w:rsid w:val="00FE5DC8"/>
    <w:rsid w:val="00FE60C9"/>
    <w:rsid w:val="00FE622E"/>
    <w:rsid w:val="00FE63B8"/>
    <w:rsid w:val="00FE64B8"/>
    <w:rsid w:val="00FE6597"/>
    <w:rsid w:val="00FE65DB"/>
    <w:rsid w:val="00FE6AE0"/>
    <w:rsid w:val="00FE718A"/>
    <w:rsid w:val="00FE73CD"/>
    <w:rsid w:val="00FE75F2"/>
    <w:rsid w:val="00FE7B2F"/>
    <w:rsid w:val="00FF10E9"/>
    <w:rsid w:val="00FF177C"/>
    <w:rsid w:val="00FF1A26"/>
    <w:rsid w:val="00FF1AD8"/>
    <w:rsid w:val="00FF1FD5"/>
    <w:rsid w:val="00FF22D8"/>
    <w:rsid w:val="00FF2736"/>
    <w:rsid w:val="00FF2B2D"/>
    <w:rsid w:val="00FF3145"/>
    <w:rsid w:val="00FF31DA"/>
    <w:rsid w:val="00FF35B8"/>
    <w:rsid w:val="00FF3DEA"/>
    <w:rsid w:val="00FF440B"/>
    <w:rsid w:val="00FF466C"/>
    <w:rsid w:val="00FF475F"/>
    <w:rsid w:val="00FF47B7"/>
    <w:rsid w:val="00FF4A7A"/>
    <w:rsid w:val="00FF4B33"/>
    <w:rsid w:val="00FF4E82"/>
    <w:rsid w:val="00FF4ED2"/>
    <w:rsid w:val="00FF52A3"/>
    <w:rsid w:val="00FF5A37"/>
    <w:rsid w:val="00FF5E1C"/>
    <w:rsid w:val="00FF63C1"/>
    <w:rsid w:val="00FF6916"/>
    <w:rsid w:val="00FF6B4B"/>
    <w:rsid w:val="00FF6DAC"/>
    <w:rsid w:val="00FF6E1E"/>
    <w:rsid w:val="00FF6E48"/>
    <w:rsid w:val="00FF6FB4"/>
    <w:rsid w:val="00FF70E2"/>
    <w:rsid w:val="00FF7259"/>
    <w:rsid w:val="00FF758B"/>
    <w:rsid w:val="00FF7734"/>
    <w:rsid w:val="00FF7835"/>
    <w:rsid w:val="00FF783E"/>
    <w:rsid w:val="00FF7D25"/>
    <w:rsid w:val="00FF7DD4"/>
    <w:rsid w:val="014AD656"/>
    <w:rsid w:val="0197B7A2"/>
    <w:rsid w:val="01A30E39"/>
    <w:rsid w:val="0435CE42"/>
    <w:rsid w:val="0541CC8B"/>
    <w:rsid w:val="05BA9051"/>
    <w:rsid w:val="06060297"/>
    <w:rsid w:val="0654E070"/>
    <w:rsid w:val="074FB1CB"/>
    <w:rsid w:val="0986ABCF"/>
    <w:rsid w:val="0BC9A66A"/>
    <w:rsid w:val="0FC1D2ED"/>
    <w:rsid w:val="0FD8141C"/>
    <w:rsid w:val="112A1889"/>
    <w:rsid w:val="13A6BB24"/>
    <w:rsid w:val="14C3B1B9"/>
    <w:rsid w:val="15760682"/>
    <w:rsid w:val="15916728"/>
    <w:rsid w:val="1667ECDF"/>
    <w:rsid w:val="172B909D"/>
    <w:rsid w:val="1881F8A5"/>
    <w:rsid w:val="198AF544"/>
    <w:rsid w:val="19B44C41"/>
    <w:rsid w:val="1AA59F9E"/>
    <w:rsid w:val="1B4B3B2D"/>
    <w:rsid w:val="1B9C7CC6"/>
    <w:rsid w:val="1C298D1F"/>
    <w:rsid w:val="1C4788C5"/>
    <w:rsid w:val="1D49DE8E"/>
    <w:rsid w:val="1FA1D0EF"/>
    <w:rsid w:val="1FDE41B6"/>
    <w:rsid w:val="208778F9"/>
    <w:rsid w:val="20D892B7"/>
    <w:rsid w:val="2145493A"/>
    <w:rsid w:val="21803747"/>
    <w:rsid w:val="237AA25E"/>
    <w:rsid w:val="246941D8"/>
    <w:rsid w:val="2587067A"/>
    <w:rsid w:val="28A66300"/>
    <w:rsid w:val="29836521"/>
    <w:rsid w:val="2BD45363"/>
    <w:rsid w:val="2C63B564"/>
    <w:rsid w:val="2D5EB280"/>
    <w:rsid w:val="2E7B30FD"/>
    <w:rsid w:val="2FC31792"/>
    <w:rsid w:val="30367748"/>
    <w:rsid w:val="325BF183"/>
    <w:rsid w:val="335C25E7"/>
    <w:rsid w:val="353493EE"/>
    <w:rsid w:val="35DCF91B"/>
    <w:rsid w:val="36D38993"/>
    <w:rsid w:val="3779E735"/>
    <w:rsid w:val="38178A28"/>
    <w:rsid w:val="39B5C0FA"/>
    <w:rsid w:val="3C51DAC0"/>
    <w:rsid w:val="3C83027E"/>
    <w:rsid w:val="3E10EBA3"/>
    <w:rsid w:val="3EC8DA5C"/>
    <w:rsid w:val="3ECAD6C3"/>
    <w:rsid w:val="4032D9D4"/>
    <w:rsid w:val="44872540"/>
    <w:rsid w:val="4632E79E"/>
    <w:rsid w:val="4A0B1285"/>
    <w:rsid w:val="4ACDFAA8"/>
    <w:rsid w:val="4AE4EAD9"/>
    <w:rsid w:val="4E1E0C26"/>
    <w:rsid w:val="4F572771"/>
    <w:rsid w:val="514E772A"/>
    <w:rsid w:val="52099DEA"/>
    <w:rsid w:val="526D8F08"/>
    <w:rsid w:val="52FAE6C2"/>
    <w:rsid w:val="53385A3C"/>
    <w:rsid w:val="544633AA"/>
    <w:rsid w:val="5587E937"/>
    <w:rsid w:val="568D0D1C"/>
    <w:rsid w:val="5737541E"/>
    <w:rsid w:val="59638329"/>
    <w:rsid w:val="5A2B926A"/>
    <w:rsid w:val="5B67B99A"/>
    <w:rsid w:val="5C01642A"/>
    <w:rsid w:val="5DCCD11F"/>
    <w:rsid w:val="6092B263"/>
    <w:rsid w:val="61C7E413"/>
    <w:rsid w:val="65520C9E"/>
    <w:rsid w:val="65A6F5C6"/>
    <w:rsid w:val="664E9E3C"/>
    <w:rsid w:val="6679FA50"/>
    <w:rsid w:val="66A0B77F"/>
    <w:rsid w:val="66EDB8F0"/>
    <w:rsid w:val="67E934EC"/>
    <w:rsid w:val="69BFA9BE"/>
    <w:rsid w:val="6CB41B00"/>
    <w:rsid w:val="6D865F69"/>
    <w:rsid w:val="705DF240"/>
    <w:rsid w:val="71887F57"/>
    <w:rsid w:val="73A85A6E"/>
    <w:rsid w:val="7418396B"/>
    <w:rsid w:val="76A5CA3F"/>
    <w:rsid w:val="7799C227"/>
    <w:rsid w:val="782A4CDC"/>
    <w:rsid w:val="7AAFDE90"/>
    <w:rsid w:val="7DCAD8D4"/>
    <w:rsid w:val="7EE29F1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341A47"/>
  <w15:chartTrackingRefBased/>
  <w15:docId w15:val="{3ED35D36-B5A9-44B6-91EE-B62CCC4AE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B50"/>
  </w:style>
  <w:style w:type="paragraph" w:styleId="Heading1">
    <w:name w:val="heading 1"/>
    <w:basedOn w:val="Normal"/>
    <w:next w:val="Normal"/>
    <w:link w:val="Heading1Char"/>
    <w:uiPriority w:val="9"/>
    <w:qFormat/>
    <w:rsid w:val="001425AD"/>
    <w:pPr>
      <w:keepNext/>
      <w:keepLines/>
      <w:spacing w:before="360" w:after="20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425AD"/>
    <w:pPr>
      <w:keepNext/>
      <w:keepLines/>
      <w:spacing w:before="160" w:after="12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425AD"/>
    <w:pPr>
      <w:keepNext/>
      <w:keepLines/>
      <w:spacing w:before="80" w:after="120"/>
      <w:outlineLvl w:val="2"/>
    </w:pPr>
    <w:rPr>
      <w:rFonts w:eastAsiaTheme="majorEastAsia" w:cstheme="majorBidi"/>
      <w:color w:val="0F4761" w:themeColor="accent1" w:themeShade="BF"/>
      <w:sz w:val="24"/>
      <w:szCs w:val="28"/>
    </w:rPr>
  </w:style>
  <w:style w:type="paragraph" w:styleId="Heading4">
    <w:name w:val="heading 4"/>
    <w:basedOn w:val="Normal"/>
    <w:next w:val="Normal"/>
    <w:link w:val="Heading4Char"/>
    <w:uiPriority w:val="9"/>
    <w:unhideWhenUsed/>
    <w:qFormat/>
    <w:rsid w:val="00F7439D"/>
    <w:pPr>
      <w:keepNext/>
      <w:keepLines/>
      <w:spacing w:before="80" w:after="12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23A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923A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923A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923A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923A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5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425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425AD"/>
    <w:rPr>
      <w:rFonts w:eastAsiaTheme="majorEastAsia" w:cstheme="majorBidi"/>
      <w:color w:val="0F4761" w:themeColor="accent1" w:themeShade="BF"/>
      <w:sz w:val="24"/>
      <w:szCs w:val="28"/>
    </w:rPr>
  </w:style>
  <w:style w:type="character" w:customStyle="1" w:styleId="Heading4Char">
    <w:name w:val="Heading 4 Char"/>
    <w:basedOn w:val="DefaultParagraphFont"/>
    <w:link w:val="Heading4"/>
    <w:uiPriority w:val="9"/>
    <w:rsid w:val="00923A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923AE9"/>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923A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923AE9"/>
    <w:rPr>
      <w:rFonts w:eastAsiaTheme="majorEastAsia" w:cstheme="majorBidi"/>
      <w:color w:val="595959" w:themeColor="text1" w:themeTint="A6"/>
    </w:rPr>
  </w:style>
  <w:style w:type="character" w:customStyle="1" w:styleId="Heading8Char">
    <w:name w:val="Heading 8 Char"/>
    <w:basedOn w:val="DefaultParagraphFont"/>
    <w:link w:val="Heading8"/>
    <w:semiHidden/>
    <w:rsid w:val="00923AE9"/>
    <w:rPr>
      <w:rFonts w:eastAsiaTheme="majorEastAsia" w:cstheme="majorBidi"/>
      <w:i/>
      <w:iCs/>
      <w:color w:val="272727" w:themeColor="text1" w:themeTint="D8"/>
    </w:rPr>
  </w:style>
  <w:style w:type="character" w:customStyle="1" w:styleId="Heading9Char">
    <w:name w:val="Heading 9 Char"/>
    <w:basedOn w:val="DefaultParagraphFont"/>
    <w:link w:val="Heading9"/>
    <w:semiHidden/>
    <w:rsid w:val="00923AE9"/>
    <w:rPr>
      <w:rFonts w:eastAsiaTheme="majorEastAsia" w:cstheme="majorBidi"/>
      <w:color w:val="272727" w:themeColor="text1" w:themeTint="D8"/>
    </w:rPr>
  </w:style>
  <w:style w:type="paragraph" w:styleId="Title">
    <w:name w:val="Title"/>
    <w:basedOn w:val="Normal"/>
    <w:next w:val="Normal"/>
    <w:link w:val="TitleChar"/>
    <w:uiPriority w:val="22"/>
    <w:qFormat/>
    <w:rsid w:val="00923A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2"/>
    <w:rsid w:val="00923A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3"/>
    <w:qFormat/>
    <w:rsid w:val="00923A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23"/>
    <w:rsid w:val="00923A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AE9"/>
    <w:pPr>
      <w:spacing w:before="160"/>
      <w:jc w:val="center"/>
    </w:pPr>
    <w:rPr>
      <w:i/>
      <w:iCs/>
      <w:color w:val="404040" w:themeColor="text1" w:themeTint="BF"/>
    </w:rPr>
  </w:style>
  <w:style w:type="character" w:customStyle="1" w:styleId="QuoteChar">
    <w:name w:val="Quote Char"/>
    <w:basedOn w:val="DefaultParagraphFont"/>
    <w:link w:val="Quote"/>
    <w:uiPriority w:val="29"/>
    <w:rsid w:val="00923AE9"/>
    <w:rPr>
      <w:i/>
      <w:iCs/>
      <w:color w:val="404040" w:themeColor="text1" w:themeTint="BF"/>
    </w:rPr>
  </w:style>
  <w:style w:type="paragraph" w:styleId="ListParagraph">
    <w:name w:val="List Paragraph"/>
    <w:aliases w:val="#List Paragraph,List Paragraph1,List Paragraph11,Recommendation,Body Text1,Bullet Point,Bullet point,Bulletr List Paragraph,Bullets,Content descriptions,FooterText,L,List Bullet 1,List Paragraph2,List Paragraph21,Listeafsnit1,リスト段落,列"/>
    <w:basedOn w:val="Normal"/>
    <w:link w:val="ListParagraphChar"/>
    <w:uiPriority w:val="34"/>
    <w:qFormat/>
    <w:rsid w:val="00923AE9"/>
    <w:pPr>
      <w:ind w:left="720"/>
      <w:contextualSpacing/>
    </w:pPr>
  </w:style>
  <w:style w:type="character" w:styleId="IntenseEmphasis">
    <w:name w:val="Intense Emphasis"/>
    <w:basedOn w:val="DefaultParagraphFont"/>
    <w:uiPriority w:val="33"/>
    <w:qFormat/>
    <w:rsid w:val="00923AE9"/>
    <w:rPr>
      <w:i/>
      <w:iCs/>
      <w:color w:val="0F4761" w:themeColor="accent1" w:themeShade="BF"/>
    </w:rPr>
  </w:style>
  <w:style w:type="paragraph" w:styleId="IntenseQuote">
    <w:name w:val="Intense Quote"/>
    <w:basedOn w:val="Normal"/>
    <w:next w:val="Normal"/>
    <w:link w:val="IntenseQuoteChar"/>
    <w:uiPriority w:val="30"/>
    <w:qFormat/>
    <w:rsid w:val="00923A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AE9"/>
    <w:rPr>
      <w:i/>
      <w:iCs/>
      <w:color w:val="0F4761" w:themeColor="accent1" w:themeShade="BF"/>
    </w:rPr>
  </w:style>
  <w:style w:type="character" w:styleId="IntenseReference">
    <w:name w:val="Intense Reference"/>
    <w:basedOn w:val="DefaultParagraphFont"/>
    <w:uiPriority w:val="32"/>
    <w:qFormat/>
    <w:rsid w:val="00923AE9"/>
    <w:rPr>
      <w:b/>
      <w:bCs/>
      <w:smallCaps/>
      <w:color w:val="0F4761" w:themeColor="accent1" w:themeShade="BF"/>
      <w:spacing w:val="5"/>
    </w:rPr>
  </w:style>
  <w:style w:type="character" w:styleId="Hyperlink">
    <w:name w:val="Hyperlink"/>
    <w:basedOn w:val="DefaultParagraphFont"/>
    <w:uiPriority w:val="99"/>
    <w:unhideWhenUsed/>
    <w:rsid w:val="00C939DD"/>
    <w:rPr>
      <w:color w:val="467886" w:themeColor="hyperlink"/>
      <w:u w:val="single"/>
    </w:rPr>
  </w:style>
  <w:style w:type="character" w:styleId="UnresolvedMention">
    <w:name w:val="Unresolved Mention"/>
    <w:basedOn w:val="DefaultParagraphFont"/>
    <w:uiPriority w:val="99"/>
    <w:semiHidden/>
    <w:unhideWhenUsed/>
    <w:rsid w:val="00C939DD"/>
    <w:rPr>
      <w:color w:val="605E5C"/>
      <w:shd w:val="clear" w:color="auto" w:fill="E1DFDD"/>
    </w:rPr>
  </w:style>
  <w:style w:type="character" w:styleId="FollowedHyperlink">
    <w:name w:val="FollowedHyperlink"/>
    <w:basedOn w:val="DefaultParagraphFont"/>
    <w:uiPriority w:val="99"/>
    <w:unhideWhenUsed/>
    <w:rsid w:val="00BF7789"/>
    <w:rPr>
      <w:color w:val="96607D" w:themeColor="followedHyperlink"/>
      <w:u w:val="single"/>
    </w:rPr>
  </w:style>
  <w:style w:type="paragraph" w:styleId="FootnoteText">
    <w:name w:val="footnote text"/>
    <w:basedOn w:val="Normal"/>
    <w:link w:val="FootnoteTextChar"/>
    <w:uiPriority w:val="99"/>
    <w:unhideWhenUsed/>
    <w:rsid w:val="00A644FB"/>
    <w:pPr>
      <w:spacing w:after="0" w:line="240" w:lineRule="auto"/>
    </w:pPr>
    <w:rPr>
      <w:sz w:val="20"/>
      <w:szCs w:val="20"/>
    </w:rPr>
  </w:style>
  <w:style w:type="character" w:customStyle="1" w:styleId="FootnoteTextChar">
    <w:name w:val="Footnote Text Char"/>
    <w:basedOn w:val="DefaultParagraphFont"/>
    <w:link w:val="FootnoteText"/>
    <w:uiPriority w:val="99"/>
    <w:rsid w:val="00A644FB"/>
    <w:rPr>
      <w:sz w:val="20"/>
      <w:szCs w:val="20"/>
    </w:rPr>
  </w:style>
  <w:style w:type="character" w:styleId="FootnoteReference">
    <w:name w:val="footnote reference"/>
    <w:basedOn w:val="DefaultParagraphFont"/>
    <w:uiPriority w:val="99"/>
    <w:unhideWhenUsed/>
    <w:rsid w:val="00A644FB"/>
    <w:rPr>
      <w:vertAlign w:val="superscript"/>
    </w:rPr>
  </w:style>
  <w:style w:type="paragraph" w:styleId="Header">
    <w:name w:val="header"/>
    <w:basedOn w:val="Normal"/>
    <w:link w:val="HeaderChar"/>
    <w:uiPriority w:val="99"/>
    <w:unhideWhenUsed/>
    <w:rsid w:val="003A0A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0A60"/>
  </w:style>
  <w:style w:type="paragraph" w:styleId="Footer">
    <w:name w:val="footer"/>
    <w:basedOn w:val="Normal"/>
    <w:link w:val="FooterChar"/>
    <w:uiPriority w:val="99"/>
    <w:unhideWhenUsed/>
    <w:rsid w:val="003A0A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A60"/>
  </w:style>
  <w:style w:type="character" w:styleId="Emphasis">
    <w:name w:val="Emphasis"/>
    <w:basedOn w:val="DefaultParagraphFont"/>
    <w:uiPriority w:val="33"/>
    <w:qFormat/>
    <w:rsid w:val="0068014A"/>
    <w:rPr>
      <w:i/>
      <w:iCs/>
    </w:rPr>
  </w:style>
  <w:style w:type="character" w:styleId="CommentReference">
    <w:name w:val="annotation reference"/>
    <w:basedOn w:val="DefaultParagraphFont"/>
    <w:uiPriority w:val="99"/>
    <w:unhideWhenUsed/>
    <w:rsid w:val="00EE6EE6"/>
    <w:rPr>
      <w:sz w:val="16"/>
      <w:szCs w:val="16"/>
    </w:rPr>
  </w:style>
  <w:style w:type="paragraph" w:styleId="CommentText">
    <w:name w:val="annotation text"/>
    <w:basedOn w:val="Normal"/>
    <w:link w:val="CommentTextChar"/>
    <w:uiPriority w:val="99"/>
    <w:unhideWhenUsed/>
    <w:rsid w:val="00EE6EE6"/>
    <w:pPr>
      <w:spacing w:line="240" w:lineRule="auto"/>
    </w:pPr>
    <w:rPr>
      <w:sz w:val="20"/>
      <w:szCs w:val="20"/>
    </w:rPr>
  </w:style>
  <w:style w:type="character" w:customStyle="1" w:styleId="CommentTextChar">
    <w:name w:val="Comment Text Char"/>
    <w:basedOn w:val="DefaultParagraphFont"/>
    <w:link w:val="CommentText"/>
    <w:uiPriority w:val="99"/>
    <w:rsid w:val="00EE6EE6"/>
    <w:rPr>
      <w:sz w:val="20"/>
      <w:szCs w:val="20"/>
    </w:rPr>
  </w:style>
  <w:style w:type="paragraph" w:styleId="CommentSubject">
    <w:name w:val="annotation subject"/>
    <w:basedOn w:val="CommentText"/>
    <w:next w:val="CommentText"/>
    <w:link w:val="CommentSubjectChar"/>
    <w:semiHidden/>
    <w:unhideWhenUsed/>
    <w:rsid w:val="00EE6EE6"/>
    <w:rPr>
      <w:b/>
      <w:bCs/>
    </w:rPr>
  </w:style>
  <w:style w:type="character" w:customStyle="1" w:styleId="CommentSubjectChar">
    <w:name w:val="Comment Subject Char"/>
    <w:basedOn w:val="CommentTextChar"/>
    <w:link w:val="CommentSubject"/>
    <w:semiHidden/>
    <w:rsid w:val="00EE6EE6"/>
    <w:rPr>
      <w:b/>
      <w:bCs/>
      <w:sz w:val="20"/>
      <w:szCs w:val="20"/>
    </w:rPr>
  </w:style>
  <w:style w:type="table" w:styleId="TableGrid">
    <w:name w:val="Table Grid"/>
    <w:basedOn w:val="TableNormal"/>
    <w:uiPriority w:val="39"/>
    <w:rsid w:val="006B3F83"/>
    <w:pPr>
      <w:spacing w:after="0" w:line="240" w:lineRule="auto"/>
    </w:pPr>
    <w:rPr>
      <w:kern w:val="0"/>
      <w14:ligatures w14:val="none"/>
    </w:rPr>
    <w:tblPr/>
  </w:style>
  <w:style w:type="paragraph" w:styleId="NoSpacing">
    <w:name w:val="No Spacing"/>
    <w:link w:val="NoSpacingChar"/>
    <w:uiPriority w:val="1"/>
    <w:qFormat/>
    <w:rsid w:val="006B3F83"/>
    <w:pPr>
      <w:spacing w:after="0" w:line="240" w:lineRule="auto"/>
    </w:pPr>
    <w:rPr>
      <w:rFonts w:eastAsia="Times New Roman" w:cs="Times New Roman"/>
      <w:kern w:val="0"/>
      <w:szCs w:val="24"/>
      <w:lang w:eastAsia="en-AU"/>
      <w14:ligatures w14:val="none"/>
    </w:rPr>
  </w:style>
  <w:style w:type="character" w:customStyle="1" w:styleId="NoSpacingChar">
    <w:name w:val="No Spacing Char"/>
    <w:basedOn w:val="DefaultParagraphFont"/>
    <w:link w:val="NoSpacing"/>
    <w:uiPriority w:val="1"/>
    <w:rsid w:val="006B3F83"/>
    <w:rPr>
      <w:rFonts w:eastAsia="Times New Roman" w:cs="Times New Roman"/>
      <w:kern w:val="0"/>
      <w:szCs w:val="24"/>
      <w:lang w:eastAsia="en-AU"/>
      <w14:ligatures w14:val="none"/>
    </w:rPr>
  </w:style>
  <w:style w:type="paragraph" w:customStyle="1" w:styleId="Bullet1">
    <w:name w:val="Bullet 1"/>
    <w:basedOn w:val="ListParagraph"/>
    <w:uiPriority w:val="2"/>
    <w:qFormat/>
    <w:rsid w:val="00D03C6E"/>
    <w:pPr>
      <w:tabs>
        <w:tab w:val="left" w:pos="1276"/>
      </w:tabs>
      <w:spacing w:after="0"/>
      <w:ind w:hanging="360"/>
    </w:pPr>
    <w:rPr>
      <w:rFonts w:eastAsia="Times New Roman" w:cstheme="minorHAnsi"/>
      <w:kern w:val="0"/>
      <w:szCs w:val="24"/>
      <w:lang w:val="en-NZ" w:eastAsia="en-GB"/>
      <w14:ligatures w14:val="none"/>
    </w:rPr>
  </w:style>
  <w:style w:type="paragraph" w:styleId="Caption">
    <w:name w:val="caption"/>
    <w:basedOn w:val="Normal"/>
    <w:next w:val="Normal"/>
    <w:uiPriority w:val="35"/>
    <w:unhideWhenUsed/>
    <w:qFormat/>
    <w:rsid w:val="00C15C3A"/>
    <w:pPr>
      <w:spacing w:after="200" w:line="240" w:lineRule="auto"/>
    </w:pPr>
    <w:rPr>
      <w:i/>
      <w:iCs/>
      <w:color w:val="0E2841" w:themeColor="text2"/>
      <w:sz w:val="18"/>
      <w:szCs w:val="18"/>
    </w:rPr>
  </w:style>
  <w:style w:type="paragraph" w:styleId="TOCHeading">
    <w:name w:val="TOC Heading"/>
    <w:basedOn w:val="Heading1"/>
    <w:next w:val="Normal"/>
    <w:uiPriority w:val="39"/>
    <w:unhideWhenUsed/>
    <w:qFormat/>
    <w:rsid w:val="00ED39E6"/>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ED39E6"/>
    <w:pPr>
      <w:spacing w:after="100"/>
    </w:pPr>
  </w:style>
  <w:style w:type="paragraph" w:styleId="TOC2">
    <w:name w:val="toc 2"/>
    <w:basedOn w:val="Normal"/>
    <w:next w:val="Normal"/>
    <w:autoRedefine/>
    <w:uiPriority w:val="39"/>
    <w:unhideWhenUsed/>
    <w:rsid w:val="00ED39E6"/>
    <w:pPr>
      <w:spacing w:after="100"/>
      <w:ind w:left="220"/>
    </w:pPr>
  </w:style>
  <w:style w:type="paragraph" w:styleId="TOC3">
    <w:name w:val="toc 3"/>
    <w:basedOn w:val="Normal"/>
    <w:next w:val="Normal"/>
    <w:autoRedefine/>
    <w:uiPriority w:val="39"/>
    <w:unhideWhenUsed/>
    <w:rsid w:val="00ED39E6"/>
    <w:pPr>
      <w:spacing w:after="100"/>
      <w:ind w:left="440"/>
    </w:pPr>
  </w:style>
  <w:style w:type="character" w:styleId="PlaceholderText">
    <w:name w:val="Placeholder Text"/>
    <w:basedOn w:val="DefaultParagraphFont"/>
    <w:uiPriority w:val="99"/>
    <w:semiHidden/>
    <w:rsid w:val="008B4FAB"/>
    <w:rPr>
      <w:color w:val="666666"/>
    </w:rPr>
  </w:style>
  <w:style w:type="paragraph" w:styleId="Revision">
    <w:name w:val="Revision"/>
    <w:hidden/>
    <w:uiPriority w:val="99"/>
    <w:semiHidden/>
    <w:rsid w:val="00666CC8"/>
    <w:pPr>
      <w:spacing w:after="0" w:line="240" w:lineRule="auto"/>
    </w:pPr>
  </w:style>
  <w:style w:type="paragraph" w:customStyle="1" w:styleId="EndNoteBibliographyTitle">
    <w:name w:val="EndNote Bibliography Title"/>
    <w:basedOn w:val="Normal"/>
    <w:link w:val="EndNoteBibliographyTitleChar"/>
    <w:rsid w:val="00F45971"/>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F45971"/>
    <w:rPr>
      <w:rFonts w:ascii="Aptos" w:hAnsi="Aptos"/>
      <w:noProof/>
      <w:lang w:val="en-US"/>
    </w:rPr>
  </w:style>
  <w:style w:type="paragraph" w:customStyle="1" w:styleId="EndNoteBibliography">
    <w:name w:val="EndNote Bibliography"/>
    <w:basedOn w:val="Normal"/>
    <w:link w:val="EndNoteBibliographyChar"/>
    <w:rsid w:val="00E54299"/>
    <w:pPr>
      <w:spacing w:before="120" w:after="280"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E54299"/>
    <w:rPr>
      <w:rFonts w:ascii="Aptos" w:hAnsi="Aptos"/>
      <w:noProof/>
      <w:lang w:val="en-US"/>
    </w:rPr>
  </w:style>
  <w:style w:type="paragraph" w:styleId="NormalWeb">
    <w:name w:val="Normal (Web)"/>
    <w:basedOn w:val="Normal"/>
    <w:uiPriority w:val="99"/>
    <w:semiHidden/>
    <w:unhideWhenUsed/>
    <w:rsid w:val="00312C00"/>
    <w:rPr>
      <w:rFonts w:ascii="Times New Roman" w:hAnsi="Times New Roman" w:cs="Times New Roman"/>
      <w:sz w:val="24"/>
      <w:szCs w:val="24"/>
    </w:rPr>
  </w:style>
  <w:style w:type="character" w:styleId="Mention">
    <w:name w:val="Mention"/>
    <w:basedOn w:val="DefaultParagraphFont"/>
    <w:uiPriority w:val="99"/>
    <w:unhideWhenUsed/>
    <w:rsid w:val="001959C3"/>
    <w:rPr>
      <w:color w:val="2B579A"/>
      <w:shd w:val="clear" w:color="auto" w:fill="E1DFDD"/>
    </w:rPr>
  </w:style>
  <w:style w:type="character" w:customStyle="1" w:styleId="ListParagraphChar">
    <w:name w:val="List Paragraph Char"/>
    <w:aliases w:val="#List Paragraph Char,List Paragraph1 Char,List Paragraph11 Char,Recommendation Char,Body Text1 Char,Bullet Point Char,Bullet point Char,Bulletr List Paragraph Char,Bullets Char,Content descriptions Char,FooterText Char,L Char,列 Char"/>
    <w:link w:val="ListParagraph"/>
    <w:uiPriority w:val="34"/>
    <w:rsid w:val="007F74C1"/>
  </w:style>
  <w:style w:type="character" w:customStyle="1" w:styleId="CommentTextChar1">
    <w:name w:val="Comment Text Char1"/>
    <w:basedOn w:val="DefaultParagraphFont"/>
    <w:uiPriority w:val="99"/>
    <w:rsid w:val="00CD16D1"/>
    <w:rPr>
      <w:sz w:val="20"/>
      <w:szCs w:val="20"/>
    </w:rPr>
  </w:style>
  <w:style w:type="character" w:customStyle="1" w:styleId="Title1">
    <w:name w:val="Title1"/>
    <w:basedOn w:val="DefaultParagraphFont"/>
    <w:rsid w:val="009F7E9F"/>
  </w:style>
  <w:style w:type="paragraph" w:customStyle="1" w:styleId="SourceNotesNumbered">
    <w:name w:val="Source Notes Numbered"/>
    <w:basedOn w:val="Normal"/>
    <w:uiPriority w:val="21"/>
    <w:qFormat/>
    <w:rsid w:val="00B7661E"/>
    <w:pPr>
      <w:numPr>
        <w:numId w:val="9"/>
      </w:numPr>
      <w:spacing w:before="60"/>
    </w:pPr>
    <w:rPr>
      <w:rFonts w:ascii="Gotham Book" w:hAnsi="Gotham Book"/>
      <w:sz w:val="16"/>
    </w:rPr>
  </w:style>
  <w:style w:type="table" w:customStyle="1" w:styleId="TableGrid1">
    <w:name w:val="Table Grid1"/>
    <w:basedOn w:val="TableNormal"/>
    <w:next w:val="TableGrid"/>
    <w:rsid w:val="006F0609"/>
    <w:pPr>
      <w:spacing w:after="0" w:line="240" w:lineRule="auto"/>
    </w:pPr>
    <w:rPr>
      <w:rFonts w:ascii="Arial" w:eastAsia="Yu Mincho" w:hAnsi="Arial" w:cs="Arial"/>
      <w:kern w:val="0"/>
      <w:lang w:eastAsia="zh-TW"/>
      <w14:ligatures w14:val="none"/>
    </w:rPr>
    <w:tblPr/>
  </w:style>
  <w:style w:type="table" w:styleId="GridTable4">
    <w:name w:val="Grid Table 4"/>
    <w:basedOn w:val="TableNormal"/>
    <w:uiPriority w:val="49"/>
    <w:rsid w:val="0033312B"/>
    <w:pPr>
      <w:spacing w:before="120" w:after="0" w:line="240" w:lineRule="auto"/>
    </w:pPr>
    <w:rPr>
      <w:rFonts w:eastAsiaTheme="minorEastAsia" w:cs="Times New Roman"/>
      <w:color w:val="000000" w:themeColor="text1"/>
      <w:kern w:val="0"/>
      <w:sz w:val="18"/>
      <w:szCs w:val="18"/>
      <w:lang w:eastAsia="en-AU"/>
      <w14:ligatures w14:val="none"/>
    </w:rPr>
    <w:tblPr>
      <w:tblStyleRowBandSize w:val="1"/>
      <w:tblStyleColBandSize w:val="1"/>
    </w:tblPr>
    <w:tcPr>
      <w:tcBorders>
        <w:left w:val="single" w:sz="4" w:space="0" w:color="000000" w:themeColor="text1"/>
        <w:right w:val="single" w:sz="4" w:space="0" w:color="000000" w:themeColor="text1"/>
      </w:tcBorders>
      <w:shd w:val="clear" w:color="auto" w:fill="CCCCCC" w:themeFill="text1"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DefaultTable1">
    <w:name w:val="Default Table 1"/>
    <w:basedOn w:val="GridTable5Dark-Accent1"/>
    <w:uiPriority w:val="99"/>
    <w:rsid w:val="00C512DF"/>
    <w:pPr>
      <w:spacing w:before="60" w:after="60" w:line="240" w:lineRule="atLeast"/>
    </w:pPr>
    <w:rPr>
      <w:color w:val="000000" w:themeColor="text1"/>
      <w:kern w:val="0"/>
      <w:sz w:val="18"/>
      <w:szCs w:val="18"/>
      <w:lang w:val="en-US" w:eastAsia="en-AU"/>
      <w14:ligatures w14:val="none"/>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tcBorders>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single" w:sz="4" w:space="0" w:color="E97132" w:themeColor="accent2"/>
          <w:insideV w:val="single" w:sz="4" w:space="0" w:color="E97132" w:themeColor="accent2"/>
        </w:tcBorders>
        <w:shd w:val="clear" w:color="auto" w:fill="E97132" w:themeFill="accent2"/>
      </w:tcPr>
    </w:tblStylePr>
    <w:tblStylePr w:type="lastRow">
      <w:rPr>
        <w:b/>
        <w:bCs/>
        <w:color w:val="000000" w:themeColor="text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single" w:sz="4" w:space="0" w:color="E97132" w:themeColor="accent2"/>
          <w:insideV w:val="single" w:sz="4" w:space="0" w:color="E97132" w:themeColor="accent2"/>
        </w:tcBorders>
        <w:shd w:val="clear" w:color="auto" w:fill="C1E4F5" w:themeFill="accent1" w:themeFillTint="33"/>
      </w:tcPr>
    </w:tblStylePr>
    <w:tblStylePr w:type="firstCol">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single" w:sz="4" w:space="0" w:color="E97132" w:themeColor="accent2"/>
          <w:insideV w:val="single" w:sz="4" w:space="0" w:color="E97132" w:themeColor="accent2"/>
        </w:tcBorders>
        <w:shd w:val="clear" w:color="auto" w:fill="E97132" w:themeFill="accent2"/>
      </w:tcPr>
    </w:tblStylePr>
    <w:tblStylePr w:type="lastCol">
      <w:pPr>
        <w:jc w:val="right"/>
      </w:pPr>
      <w:rPr>
        <w:b/>
        <w:bCs/>
        <w:color w:val="000000" w:themeColor="text1"/>
      </w:rPr>
    </w:tblStylePr>
  </w:style>
  <w:style w:type="table" w:styleId="GridTable5Dark">
    <w:name w:val="Grid Table 5 Dark"/>
    <w:basedOn w:val="TableNormal"/>
    <w:uiPriority w:val="50"/>
    <w:rsid w:val="00C512DF"/>
    <w:pPr>
      <w:spacing w:before="120" w:after="0" w:line="240" w:lineRule="auto"/>
    </w:pPr>
    <w:rPr>
      <w:rFonts w:eastAsiaTheme="minorEastAsia" w:cs="Times New Roman"/>
      <w:color w:val="000000" w:themeColor="text1"/>
      <w:kern w:val="0"/>
      <w:sz w:val="18"/>
      <w:szCs w:val="18"/>
      <w:lang w:eastAsia="en-AU"/>
      <w14:ligatures w14:val="none"/>
    </w:rPr>
    <w:tblPr>
      <w:tblStyleRowBandSize w:val="1"/>
      <w:tblStyleColBandSize w:val="1"/>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StylePr>
  </w:style>
  <w:style w:type="table" w:styleId="GridTable5Dark-Accent1">
    <w:name w:val="Grid Table 5 Dark Accent 1"/>
    <w:basedOn w:val="TableNormal"/>
    <w:uiPriority w:val="50"/>
    <w:rsid w:val="00C512DF"/>
    <w:pPr>
      <w:spacing w:after="0" w:line="240" w:lineRule="auto"/>
    </w:pPr>
    <w:tblPr>
      <w:tblStyleRowBandSize w:val="1"/>
      <w:tblStyleColBandSize w:val="1"/>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StylePr>
  </w:style>
  <w:style w:type="paragraph" w:customStyle="1" w:styleId="Heading2noline">
    <w:name w:val="Heading 2 no line"/>
    <w:basedOn w:val="Heading2"/>
    <w:uiPriority w:val="9"/>
    <w:qFormat/>
    <w:rsid w:val="005B42C3"/>
    <w:pPr>
      <w:spacing w:before="360" w:line="360" w:lineRule="atLeast"/>
    </w:pPr>
    <w:rPr>
      <w:b/>
      <w:color w:val="0E2841" w:themeColor="text2"/>
      <w:kern w:val="0"/>
      <w:sz w:val="24"/>
      <w:szCs w:val="26"/>
      <w14:ligatures w14:val="none"/>
    </w:rPr>
  </w:style>
  <w:style w:type="table" w:customStyle="1" w:styleId="DefaultTable11">
    <w:name w:val="Default Table 11"/>
    <w:basedOn w:val="GridTable5Dark-Accent1"/>
    <w:uiPriority w:val="99"/>
    <w:rsid w:val="0048625D"/>
    <w:pPr>
      <w:spacing w:before="60" w:after="60" w:line="240" w:lineRule="atLeast"/>
    </w:pPr>
    <w:rPr>
      <w:color w:val="000000" w:themeColor="text1"/>
      <w:kern w:val="0"/>
      <w:sz w:val="18"/>
      <w:szCs w:val="18"/>
      <w14:ligatures w14:val="none"/>
    </w:rPr>
    <w:tblPr>
      <w:tblBorders>
        <w:top w:val="single" w:sz="4" w:space="0" w:color="E97132" w:themeColor="accent2"/>
        <w:left w:val="single" w:sz="4" w:space="0" w:color="E97132" w:themeColor="accent2"/>
        <w:bottom w:val="single" w:sz="4" w:space="0" w:color="E97132" w:themeColor="accent2"/>
        <w:right w:val="single" w:sz="4" w:space="0" w:color="E97132" w:themeColor="accent2"/>
        <w:insideH w:val="single" w:sz="4" w:space="0" w:color="E97132" w:themeColor="accent2"/>
        <w:insideV w:val="single" w:sz="4" w:space="0" w:color="E97132" w:themeColor="accent2"/>
      </w:tblBorders>
      <w:tblCellMar>
        <w:top w:w="57" w:type="dxa"/>
        <w:bottom w:w="57" w:type="dxa"/>
      </w:tblCellMar>
    </w:tblPr>
    <w:trPr>
      <w:cantSplit/>
    </w:tr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000000" w:themeColor="text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pPr>
        <w:jc w:val="right"/>
      </w:pPr>
      <w:rPr>
        <w:b/>
        <w:bCs/>
        <w:color w:val="000000" w:themeColor="text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single" w:sz="4" w:space="0" w:color="E97132" w:themeColor="accent2"/>
          <w:insideV w:val="single" w:sz="4" w:space="0" w:color="E97132" w:themeColor="accent2"/>
        </w:tcBorders>
        <w:shd w:val="clear" w:color="auto" w:fill="C1E4F5" w:themeFill="accent1" w:themeFillTint="33"/>
      </w:tcPr>
    </w:tblStylePr>
    <w:tblStylePr w:type="band1Vert">
      <w:tblPr/>
      <w:tcPr>
        <w:shd w:val="clear" w:color="auto" w:fill="C1E4F5" w:themeFill="accent1" w:themeFillTint="33"/>
      </w:tcPr>
    </w:tblStylePr>
    <w:tblStylePr w:type="band2Vert">
      <w:tblPr/>
      <w:tcPr>
        <w:shd w:val="clear" w:color="auto" w:fill="83CAEB" w:themeFill="accent1" w:themeFillTint="66"/>
      </w:tcPr>
    </w:tblStylePr>
    <w:tblStylePr w:type="band1Horz">
      <w:tblPr/>
      <w:tcPr>
        <w:shd w:val="clear" w:color="auto" w:fill="C1E4F5" w:themeFill="accent1" w:themeFillTint="33"/>
      </w:tcPr>
    </w:tblStylePr>
    <w:tblStylePr w:type="band2Horz">
      <w:tblPr/>
      <w:tcPr>
        <w:shd w:val="clear" w:color="auto" w:fill="83CAEB" w:themeFill="accent1" w:themeFillTint="66"/>
      </w:tcPr>
    </w:tblStylePr>
  </w:style>
  <w:style w:type="paragraph" w:styleId="TOC4">
    <w:name w:val="toc 4"/>
    <w:basedOn w:val="Normal"/>
    <w:next w:val="Normal"/>
    <w:autoRedefine/>
    <w:uiPriority w:val="39"/>
    <w:unhideWhenUsed/>
    <w:rsid w:val="00572CC6"/>
    <w:pPr>
      <w:spacing w:after="100" w:line="278" w:lineRule="auto"/>
      <w:ind w:left="720"/>
    </w:pPr>
    <w:rPr>
      <w:rFonts w:eastAsiaTheme="minorEastAsia"/>
      <w:sz w:val="24"/>
      <w:szCs w:val="24"/>
      <w:lang w:eastAsia="en-AU"/>
    </w:rPr>
  </w:style>
  <w:style w:type="paragraph" w:styleId="TOC5">
    <w:name w:val="toc 5"/>
    <w:basedOn w:val="Normal"/>
    <w:next w:val="Normal"/>
    <w:autoRedefine/>
    <w:uiPriority w:val="39"/>
    <w:unhideWhenUsed/>
    <w:rsid w:val="00572CC6"/>
    <w:pPr>
      <w:spacing w:after="100" w:line="278" w:lineRule="auto"/>
      <w:ind w:left="960"/>
    </w:pPr>
    <w:rPr>
      <w:rFonts w:eastAsiaTheme="minorEastAsia"/>
      <w:sz w:val="24"/>
      <w:szCs w:val="24"/>
      <w:lang w:eastAsia="en-AU"/>
    </w:rPr>
  </w:style>
  <w:style w:type="paragraph" w:styleId="TOC6">
    <w:name w:val="toc 6"/>
    <w:basedOn w:val="Normal"/>
    <w:next w:val="Normal"/>
    <w:autoRedefine/>
    <w:uiPriority w:val="39"/>
    <w:unhideWhenUsed/>
    <w:rsid w:val="00572CC6"/>
    <w:pPr>
      <w:spacing w:after="100" w:line="278" w:lineRule="auto"/>
      <w:ind w:left="1200"/>
    </w:pPr>
    <w:rPr>
      <w:rFonts w:eastAsiaTheme="minorEastAsia"/>
      <w:sz w:val="24"/>
      <w:szCs w:val="24"/>
      <w:lang w:eastAsia="en-AU"/>
    </w:rPr>
  </w:style>
  <w:style w:type="paragraph" w:styleId="TOC7">
    <w:name w:val="toc 7"/>
    <w:basedOn w:val="Normal"/>
    <w:next w:val="Normal"/>
    <w:autoRedefine/>
    <w:uiPriority w:val="39"/>
    <w:unhideWhenUsed/>
    <w:rsid w:val="00572CC6"/>
    <w:pPr>
      <w:spacing w:after="100" w:line="278" w:lineRule="auto"/>
      <w:ind w:left="1440"/>
    </w:pPr>
    <w:rPr>
      <w:rFonts w:eastAsiaTheme="minorEastAsia"/>
      <w:sz w:val="24"/>
      <w:szCs w:val="24"/>
      <w:lang w:eastAsia="en-AU"/>
    </w:rPr>
  </w:style>
  <w:style w:type="paragraph" w:styleId="TOC8">
    <w:name w:val="toc 8"/>
    <w:basedOn w:val="Normal"/>
    <w:next w:val="Normal"/>
    <w:autoRedefine/>
    <w:uiPriority w:val="39"/>
    <w:unhideWhenUsed/>
    <w:rsid w:val="00572CC6"/>
    <w:pPr>
      <w:spacing w:after="100" w:line="278" w:lineRule="auto"/>
      <w:ind w:left="1680"/>
    </w:pPr>
    <w:rPr>
      <w:rFonts w:eastAsiaTheme="minorEastAsia"/>
      <w:sz w:val="24"/>
      <w:szCs w:val="24"/>
      <w:lang w:eastAsia="en-AU"/>
    </w:rPr>
  </w:style>
  <w:style w:type="paragraph" w:styleId="TOC9">
    <w:name w:val="toc 9"/>
    <w:basedOn w:val="Normal"/>
    <w:next w:val="Normal"/>
    <w:autoRedefine/>
    <w:uiPriority w:val="39"/>
    <w:unhideWhenUsed/>
    <w:rsid w:val="00572CC6"/>
    <w:pPr>
      <w:spacing w:after="100" w:line="278" w:lineRule="auto"/>
      <w:ind w:left="1920"/>
    </w:pPr>
    <w:rPr>
      <w:rFonts w:eastAsiaTheme="minorEastAsia"/>
      <w:sz w:val="24"/>
      <w:szCs w:val="24"/>
      <w:lang w:eastAsia="en-AU"/>
    </w:rPr>
  </w:style>
  <w:style w:type="paragraph" w:styleId="ListBullet">
    <w:name w:val="List Bullet"/>
    <w:basedOn w:val="ListParagraph"/>
    <w:qFormat/>
    <w:rsid w:val="00B7661E"/>
    <w:pPr>
      <w:numPr>
        <w:numId w:val="17"/>
      </w:numPr>
      <w:spacing w:after="0" w:line="240" w:lineRule="auto"/>
      <w:contextualSpacing w:val="0"/>
    </w:pPr>
    <w:rPr>
      <w:rFonts w:ascii="Gotham Book" w:eastAsia="Times New Roman" w:hAnsi="Gotham Book" w:cs="Times New Roman"/>
      <w:kern w:val="0"/>
      <w:sz w:val="20"/>
      <w:szCs w:val="24"/>
      <w:lang w:eastAsia="en-AU"/>
      <w14:ligatures w14:val="none"/>
    </w:rPr>
  </w:style>
  <w:style w:type="numbering" w:customStyle="1" w:styleId="NoList1">
    <w:name w:val="No List1"/>
    <w:next w:val="NoList"/>
    <w:uiPriority w:val="99"/>
    <w:semiHidden/>
    <w:unhideWhenUsed/>
    <w:rsid w:val="005C5475"/>
  </w:style>
  <w:style w:type="table" w:customStyle="1" w:styleId="TableGrid2">
    <w:name w:val="Table Grid2"/>
    <w:basedOn w:val="TableNormal"/>
    <w:next w:val="TableGrid"/>
    <w:rsid w:val="005C5475"/>
    <w:pPr>
      <w:spacing w:before="120" w:after="60" w:line="240" w:lineRule="atLeast"/>
    </w:pPr>
    <w:rPr>
      <w:color w:val="000000"/>
      <w:kern w:val="0"/>
      <w:sz w:val="18"/>
      <w:szCs w:val="18"/>
      <w14:ligatures w14:val="none"/>
    </w:rPr>
    <w:tblPr/>
  </w:style>
  <w:style w:type="paragraph" w:customStyle="1" w:styleId="Address">
    <w:name w:val="Address"/>
    <w:basedOn w:val="Normal"/>
    <w:uiPriority w:val="3"/>
    <w:qFormat/>
    <w:rsid w:val="005C5475"/>
    <w:pPr>
      <w:spacing w:before="300" w:after="300"/>
      <w:contextualSpacing/>
    </w:pPr>
    <w:rPr>
      <w:rFonts w:ascii="Gotham Book" w:hAnsi="Gotham Book"/>
      <w:sz w:val="20"/>
    </w:rPr>
  </w:style>
  <w:style w:type="numbering" w:customStyle="1" w:styleId="RList">
    <w:name w:val="R List"/>
    <w:uiPriority w:val="99"/>
    <w:rsid w:val="005C5475"/>
    <w:pPr>
      <w:numPr>
        <w:numId w:val="18"/>
      </w:numPr>
    </w:pPr>
  </w:style>
  <w:style w:type="paragraph" w:customStyle="1" w:styleId="AppendixNumbered">
    <w:name w:val="Appendix Numbered"/>
    <w:basedOn w:val="Heading3"/>
    <w:uiPriority w:val="11"/>
    <w:qFormat/>
    <w:rsid w:val="005C5475"/>
    <w:pPr>
      <w:pageBreakBefore/>
      <w:numPr>
        <w:numId w:val="30"/>
      </w:numPr>
      <w:spacing w:before="240"/>
      <w:ind w:left="720" w:hanging="360"/>
    </w:pPr>
    <w:rPr>
      <w:rFonts w:ascii="Gotham Medium" w:hAnsi="Gotham Medium"/>
      <w:color w:val="09002E"/>
      <w:sz w:val="28"/>
    </w:rPr>
  </w:style>
  <w:style w:type="numbering" w:customStyle="1" w:styleId="AppendixNumbers">
    <w:name w:val="Appendix Numbers"/>
    <w:uiPriority w:val="99"/>
    <w:rsid w:val="005C5475"/>
    <w:pPr>
      <w:numPr>
        <w:numId w:val="19"/>
      </w:numPr>
    </w:pPr>
  </w:style>
  <w:style w:type="paragraph" w:customStyle="1" w:styleId="Boxed1Text">
    <w:name w:val="Boxed 1 Text"/>
    <w:basedOn w:val="Normal"/>
    <w:uiPriority w:val="29"/>
    <w:qFormat/>
    <w:rsid w:val="005C5475"/>
    <w:pPr>
      <w:pBdr>
        <w:top w:val="single" w:sz="4" w:space="14" w:color="77BCD9"/>
        <w:left w:val="single" w:sz="4" w:space="14" w:color="77BCD9"/>
        <w:bottom w:val="single" w:sz="4" w:space="14" w:color="77BCD9"/>
        <w:right w:val="single" w:sz="4" w:space="14" w:color="77BCD9"/>
      </w:pBdr>
      <w:shd w:val="clear" w:color="auto" w:fill="E3F1F7"/>
      <w:ind w:left="284" w:right="284"/>
    </w:pPr>
    <w:rPr>
      <w:rFonts w:ascii="Gotham Book" w:hAnsi="Gotham Book"/>
      <w:sz w:val="20"/>
    </w:rPr>
  </w:style>
  <w:style w:type="paragraph" w:customStyle="1" w:styleId="Boxed1Bullet">
    <w:name w:val="Boxed 1 Bullet"/>
    <w:basedOn w:val="Boxed1Text"/>
    <w:uiPriority w:val="30"/>
    <w:qFormat/>
    <w:rsid w:val="005C5475"/>
    <w:pPr>
      <w:numPr>
        <w:numId w:val="20"/>
      </w:numPr>
      <w:ind w:left="360" w:hanging="360"/>
    </w:pPr>
  </w:style>
  <w:style w:type="paragraph" w:customStyle="1" w:styleId="Boxed1Heading">
    <w:name w:val="Boxed 1 Heading"/>
    <w:basedOn w:val="Boxed1Text"/>
    <w:uiPriority w:val="29"/>
    <w:qFormat/>
    <w:rsid w:val="005C5475"/>
    <w:pPr>
      <w:keepNext/>
    </w:pPr>
    <w:rPr>
      <w:b/>
      <w:sz w:val="22"/>
    </w:rPr>
  </w:style>
  <w:style w:type="paragraph" w:customStyle="1" w:styleId="Boxed2Text">
    <w:name w:val="Boxed 2 Text"/>
    <w:basedOn w:val="Boxed1Text"/>
    <w:uiPriority w:val="31"/>
    <w:qFormat/>
    <w:rsid w:val="005C5475"/>
    <w:pPr>
      <w:pBdr>
        <w:top w:val="single" w:sz="4" w:space="14" w:color="005F85"/>
        <w:left w:val="single" w:sz="4" w:space="14" w:color="005F85"/>
        <w:bottom w:val="single" w:sz="4" w:space="14" w:color="005F85"/>
        <w:right w:val="single" w:sz="4" w:space="14" w:color="005F85"/>
      </w:pBdr>
      <w:shd w:val="clear" w:color="auto" w:fill="005F85"/>
    </w:pPr>
    <w:rPr>
      <w:color w:val="FFFFFF"/>
    </w:rPr>
  </w:style>
  <w:style w:type="paragraph" w:customStyle="1" w:styleId="Boxed2Bullet">
    <w:name w:val="Boxed 2 Bullet"/>
    <w:basedOn w:val="Boxed2Text"/>
    <w:uiPriority w:val="32"/>
    <w:qFormat/>
    <w:rsid w:val="005C5475"/>
    <w:pPr>
      <w:numPr>
        <w:ilvl w:val="1"/>
        <w:numId w:val="20"/>
      </w:numPr>
      <w:ind w:left="1440" w:hanging="360"/>
    </w:pPr>
  </w:style>
  <w:style w:type="paragraph" w:customStyle="1" w:styleId="Boxed2Heading">
    <w:name w:val="Boxed 2 Heading"/>
    <w:basedOn w:val="Boxed2Text"/>
    <w:uiPriority w:val="31"/>
    <w:qFormat/>
    <w:rsid w:val="005C5475"/>
    <w:pPr>
      <w:keepNext/>
    </w:pPr>
    <w:rPr>
      <w:b/>
      <w:sz w:val="22"/>
    </w:rPr>
  </w:style>
  <w:style w:type="numbering" w:customStyle="1" w:styleId="BoxedBullets">
    <w:name w:val="Boxed Bullets"/>
    <w:uiPriority w:val="99"/>
    <w:rsid w:val="005C5475"/>
    <w:pPr>
      <w:numPr>
        <w:numId w:val="20"/>
      </w:numPr>
    </w:pPr>
  </w:style>
  <w:style w:type="paragraph" w:customStyle="1" w:styleId="Bullet2">
    <w:name w:val="Bullet 2"/>
    <w:basedOn w:val="Normal"/>
    <w:uiPriority w:val="2"/>
    <w:qFormat/>
    <w:rsid w:val="005C5475"/>
    <w:pPr>
      <w:ind w:left="1440" w:hanging="360"/>
    </w:pPr>
    <w:rPr>
      <w:rFonts w:ascii="Gotham Book" w:hAnsi="Gotham Book"/>
      <w:sz w:val="20"/>
    </w:rPr>
  </w:style>
  <w:style w:type="paragraph" w:customStyle="1" w:styleId="Bullet3">
    <w:name w:val="Bullet 3"/>
    <w:basedOn w:val="Normal"/>
    <w:uiPriority w:val="2"/>
    <w:qFormat/>
    <w:rsid w:val="005C5475"/>
    <w:pPr>
      <w:tabs>
        <w:tab w:val="num" w:pos="2160"/>
      </w:tabs>
      <w:ind w:left="2160" w:hanging="360"/>
    </w:pPr>
    <w:rPr>
      <w:rFonts w:ascii="Gotham Book" w:hAnsi="Gotham Book"/>
      <w:sz w:val="20"/>
    </w:rPr>
  </w:style>
  <w:style w:type="numbering" w:customStyle="1" w:styleId="DefaultBullets">
    <w:name w:val="Default Bullets"/>
    <w:uiPriority w:val="99"/>
    <w:rsid w:val="005C5475"/>
    <w:pPr>
      <w:numPr>
        <w:numId w:val="21"/>
      </w:numPr>
    </w:pPr>
  </w:style>
  <w:style w:type="table" w:customStyle="1" w:styleId="GridTable5Dark-Accent11">
    <w:name w:val="Grid Table 5 Dark - Accent 11"/>
    <w:basedOn w:val="TableNormal"/>
    <w:next w:val="GridTable5Dark-Accent1"/>
    <w:uiPriority w:val="50"/>
    <w:rsid w:val="005C5475"/>
    <w:pPr>
      <w:spacing w:before="120" w:after="60" w:line="240" w:lineRule="atLeast"/>
    </w:pPr>
    <w:rPr>
      <w:color w:val="000000"/>
      <w:kern w:val="0"/>
      <w:sz w:val="18"/>
      <w:szCs w:val="18"/>
      <w14:ligatures w14:val="none"/>
    </w:rPr>
    <w:tblPr>
      <w:tblStyleRowBandSize w:val="1"/>
      <w:tblStyleColBandSize w:val="1"/>
    </w:tblPr>
    <w:tcPr>
      <w:tcBorders>
        <w:top w:val="single" w:sz="4" w:space="0" w:color="FFFFFF"/>
        <w:bottom w:val="single" w:sz="4" w:space="0" w:color="FFFFFF"/>
        <w:right w:val="single" w:sz="4" w:space="0" w:color="FFFFFF"/>
      </w:tcBorders>
      <w:shd w:val="clear" w:color="auto" w:fill="E3F1F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7BCD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7BCD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7BCD9"/>
      </w:tcPr>
    </w:tblStylePr>
    <w:tblStylePr w:type="lastCol">
      <w:rPr>
        <w:b/>
        <w:bCs/>
        <w:color w:val="FFFFFF"/>
      </w:rPr>
    </w:tblStylePr>
  </w:style>
  <w:style w:type="table" w:customStyle="1" w:styleId="DefaultTable12">
    <w:name w:val="Default Table 12"/>
    <w:basedOn w:val="GridTable5Dark-Accent1"/>
    <w:uiPriority w:val="99"/>
    <w:rsid w:val="005C5475"/>
    <w:pPr>
      <w:spacing w:before="60" w:after="60" w:line="240" w:lineRule="atLeast"/>
    </w:pPr>
    <w:rPr>
      <w:color w:val="000000"/>
      <w:kern w:val="0"/>
      <w:sz w:val="18"/>
      <w:szCs w:val="18"/>
      <w14:ligatures w14:val="none"/>
    </w:rPr>
    <w:tblPr>
      <w:tblBorders>
        <w:top w:val="single" w:sz="4" w:space="0" w:color="005F85"/>
        <w:left w:val="single" w:sz="4" w:space="0" w:color="005F85"/>
        <w:bottom w:val="single" w:sz="4" w:space="0" w:color="005F85"/>
        <w:right w:val="single" w:sz="4" w:space="0" w:color="005F85"/>
        <w:insideH w:val="single" w:sz="4" w:space="0" w:color="005F85"/>
        <w:insideV w:val="single" w:sz="4" w:space="0" w:color="005F85"/>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Arial" w:hAnsi="Arial"/>
        <w:b/>
        <w:bCs/>
        <w:caps w:val="0"/>
        <w:smallCaps w:val="0"/>
        <w:color w:val="FFFFFF"/>
        <w:sz w:val="18"/>
      </w:rPr>
      <w:tblPr/>
      <w:tcPr>
        <w:tcBorders>
          <w:top w:val="single" w:sz="4" w:space="0" w:color="005F85"/>
          <w:left w:val="single" w:sz="4" w:space="0" w:color="005F85"/>
          <w:bottom w:val="single" w:sz="4" w:space="0" w:color="005F85"/>
          <w:right w:val="single" w:sz="4" w:space="0" w:color="005F85"/>
          <w:insideH w:val="single" w:sz="4" w:space="0" w:color="005F85"/>
          <w:insideV w:val="single" w:sz="4" w:space="0" w:color="005F85"/>
        </w:tcBorders>
        <w:shd w:val="clear" w:color="auto" w:fill="005F85"/>
      </w:tcPr>
    </w:tblStylePr>
    <w:tblStylePr w:type="lastRow">
      <w:rPr>
        <w:b/>
        <w:bCs/>
        <w:color w:val="000000"/>
      </w:rPr>
      <w:tblPr/>
      <w:tcPr>
        <w:tcBorders>
          <w:top w:val="single" w:sz="4" w:space="0" w:color="005F85"/>
          <w:left w:val="single" w:sz="4" w:space="0" w:color="005F85"/>
          <w:bottom w:val="single" w:sz="4" w:space="0" w:color="005F85"/>
          <w:right w:val="single" w:sz="4" w:space="0" w:color="005F85"/>
          <w:insideH w:val="single" w:sz="4" w:space="0" w:color="005F85"/>
          <w:insideV w:val="single" w:sz="4" w:space="0" w:color="005F85"/>
        </w:tcBorders>
        <w:shd w:val="clear" w:color="auto" w:fill="E3F1F7"/>
      </w:tcPr>
    </w:tblStylePr>
    <w:tblStylePr w:type="firstCol">
      <w:rPr>
        <w:b/>
        <w:bCs/>
        <w:color w:val="FFFFFF"/>
      </w:rPr>
      <w:tblPr/>
      <w:tcPr>
        <w:tcBorders>
          <w:top w:val="single" w:sz="4" w:space="0" w:color="005F85"/>
          <w:left w:val="single" w:sz="4" w:space="0" w:color="005F85"/>
          <w:bottom w:val="single" w:sz="4" w:space="0" w:color="005F85"/>
          <w:right w:val="single" w:sz="4" w:space="0" w:color="005F85"/>
          <w:insideH w:val="single" w:sz="4" w:space="0" w:color="005F85"/>
          <w:insideV w:val="single" w:sz="4" w:space="0" w:color="005F85"/>
        </w:tcBorders>
        <w:shd w:val="clear" w:color="auto" w:fill="005F85"/>
      </w:tcPr>
    </w:tblStylePr>
    <w:tblStylePr w:type="lastCol">
      <w:pPr>
        <w:jc w:val="right"/>
      </w:pPr>
      <w:rPr>
        <w:b/>
        <w:bCs/>
        <w:color w:val="000000"/>
      </w:rPr>
      <w:tblPr/>
      <w:tcPr>
        <w:tcBorders>
          <w:top w:val="single" w:sz="4" w:space="0" w:color="005F85"/>
          <w:left w:val="single" w:sz="4" w:space="0" w:color="005F85"/>
          <w:bottom w:val="single" w:sz="4" w:space="0" w:color="005F85"/>
          <w:right w:val="single" w:sz="4" w:space="0" w:color="005F85"/>
          <w:insideH w:val="single" w:sz="4" w:space="0" w:color="005F85"/>
          <w:insideV w:val="single" w:sz="4" w:space="0" w:color="005F85"/>
        </w:tcBorders>
        <w:shd w:val="clear" w:color="auto" w:fill="E3F1F7"/>
      </w:tcPr>
    </w:tblStylePr>
    <w:tblStylePr w:type="band1Vert">
      <w:tblPr/>
      <w:tcPr>
        <w:shd w:val="clear" w:color="auto" w:fill="E3F1F7"/>
      </w:tcPr>
    </w:tblStylePr>
    <w:tblStylePr w:type="band2Vert">
      <w:tblPr/>
      <w:tcPr>
        <w:shd w:val="clear" w:color="auto" w:fill="C8E4EF"/>
      </w:tcPr>
    </w:tblStylePr>
    <w:tblStylePr w:type="band1Horz">
      <w:tblPr/>
      <w:tcPr>
        <w:shd w:val="clear" w:color="auto" w:fill="E3F1F7"/>
      </w:tcPr>
    </w:tblStylePr>
    <w:tblStylePr w:type="band2Horz">
      <w:tblPr/>
      <w:tcPr>
        <w:shd w:val="clear" w:color="auto" w:fill="C8E4EF"/>
      </w:tcPr>
    </w:tblStylePr>
  </w:style>
  <w:style w:type="table" w:customStyle="1" w:styleId="DefaultTable2">
    <w:name w:val="Default Table 2"/>
    <w:basedOn w:val="TableNormal"/>
    <w:uiPriority w:val="99"/>
    <w:rsid w:val="005C5475"/>
    <w:pPr>
      <w:spacing w:before="120" w:after="60" w:line="240" w:lineRule="atLeast"/>
    </w:pPr>
    <w:rPr>
      <w:color w:val="000000"/>
      <w:kern w:val="0"/>
      <w:sz w:val="18"/>
      <w:szCs w:val="18"/>
      <w14:ligatures w14:val="none"/>
    </w:rPr>
    <w:tblPr/>
    <w:tblStylePr w:type="firstRow">
      <w:rPr>
        <w:b/>
      </w:rPr>
    </w:tblStylePr>
    <w:tblStylePr w:type="lastRow">
      <w:rPr>
        <w:b/>
      </w:rPr>
    </w:tblStylePr>
    <w:tblStylePr w:type="firstCol">
      <w:rPr>
        <w:b/>
      </w:rPr>
    </w:tblStylePr>
    <w:tblStylePr w:type="lastCol">
      <w:rPr>
        <w:b/>
      </w:rPr>
    </w:tblStylePr>
  </w:style>
  <w:style w:type="paragraph" w:customStyle="1" w:styleId="DocumentReferences">
    <w:name w:val="Document References"/>
    <w:basedOn w:val="Normal"/>
    <w:uiPriority w:val="24"/>
    <w:qFormat/>
    <w:rsid w:val="005C5475"/>
    <w:pPr>
      <w:pBdr>
        <w:between w:val="single" w:sz="4" w:space="6" w:color="CCCCCF"/>
      </w:pBdr>
      <w:spacing w:after="0"/>
      <w:ind w:left="1247"/>
    </w:pPr>
    <w:rPr>
      <w:rFonts w:ascii="Gotham Book" w:hAnsi="Gotham Book"/>
      <w:sz w:val="20"/>
    </w:rPr>
  </w:style>
  <w:style w:type="numbering" w:customStyle="1" w:styleId="FigureNumbers">
    <w:name w:val="Figure Numbers"/>
    <w:uiPriority w:val="99"/>
    <w:rsid w:val="005C5475"/>
    <w:pPr>
      <w:numPr>
        <w:numId w:val="22"/>
      </w:numPr>
    </w:pPr>
  </w:style>
  <w:style w:type="paragraph" w:customStyle="1" w:styleId="FigureTitle">
    <w:name w:val="Figure Title"/>
    <w:basedOn w:val="Normal"/>
    <w:next w:val="Normal"/>
    <w:uiPriority w:val="12"/>
    <w:qFormat/>
    <w:rsid w:val="005C5475"/>
    <w:pPr>
      <w:keepNext/>
      <w:numPr>
        <w:numId w:val="23"/>
      </w:numPr>
      <w:spacing w:before="240"/>
    </w:pPr>
    <w:rPr>
      <w:rFonts w:ascii="Gotham Medium" w:hAnsi="Gotham Medium"/>
      <w:sz w:val="20"/>
    </w:rPr>
  </w:style>
  <w:style w:type="paragraph" w:customStyle="1" w:styleId="Heading1Numbered">
    <w:name w:val="Heading 1 Numbered"/>
    <w:basedOn w:val="Heading1"/>
    <w:uiPriority w:val="10"/>
    <w:qFormat/>
    <w:rsid w:val="005C5475"/>
    <w:pPr>
      <w:keepNext w:val="0"/>
      <w:spacing w:before="0" w:after="160" w:line="520" w:lineRule="exact"/>
      <w:contextualSpacing/>
    </w:pPr>
    <w:rPr>
      <w:rFonts w:ascii="Gotham Medium" w:hAnsi="Gotham Medium"/>
      <w:color w:val="09002E"/>
      <w:kern w:val="28"/>
      <w:sz w:val="48"/>
      <w:szCs w:val="56"/>
    </w:rPr>
  </w:style>
  <w:style w:type="paragraph" w:customStyle="1" w:styleId="Heading2Numbered">
    <w:name w:val="Heading 2 Numbered"/>
    <w:basedOn w:val="Heading1Numbered"/>
    <w:uiPriority w:val="10"/>
    <w:qFormat/>
    <w:rsid w:val="005C5475"/>
    <w:pPr>
      <w:numPr>
        <w:numId w:val="31"/>
      </w:numPr>
      <w:tabs>
        <w:tab w:val="left" w:pos="1134"/>
      </w:tabs>
      <w:ind w:left="1134" w:hanging="1134"/>
      <w:outlineLvl w:val="1"/>
    </w:pPr>
    <w:rPr>
      <w:sz w:val="36"/>
    </w:rPr>
  </w:style>
  <w:style w:type="paragraph" w:customStyle="1" w:styleId="Heading3Numbered">
    <w:name w:val="Heading 3 Numbered"/>
    <w:basedOn w:val="Heading2Numbered"/>
    <w:uiPriority w:val="10"/>
    <w:qFormat/>
    <w:rsid w:val="005C5475"/>
    <w:pPr>
      <w:numPr>
        <w:ilvl w:val="1"/>
      </w:numPr>
      <w:ind w:left="1134" w:hanging="1134"/>
    </w:pPr>
    <w:rPr>
      <w:sz w:val="32"/>
      <w:szCs w:val="36"/>
    </w:rPr>
  </w:style>
  <w:style w:type="paragraph" w:customStyle="1" w:styleId="Heading4Numbered">
    <w:name w:val="Heading 4 Numbered"/>
    <w:basedOn w:val="Heading1Numbered"/>
    <w:uiPriority w:val="10"/>
    <w:unhideWhenUsed/>
    <w:qFormat/>
    <w:rsid w:val="005C5475"/>
    <w:pPr>
      <w:numPr>
        <w:ilvl w:val="2"/>
        <w:numId w:val="31"/>
      </w:numPr>
      <w:tabs>
        <w:tab w:val="left" w:pos="1134"/>
      </w:tabs>
      <w:ind w:left="1134" w:hanging="1134"/>
      <w:outlineLvl w:val="3"/>
    </w:pPr>
    <w:rPr>
      <w:sz w:val="28"/>
      <w:szCs w:val="28"/>
    </w:rPr>
  </w:style>
  <w:style w:type="paragraph" w:customStyle="1" w:styleId="Heading5Numbered">
    <w:name w:val="Heading 5 Numbered"/>
    <w:basedOn w:val="Heading4Numbered"/>
    <w:next w:val="Normal"/>
    <w:link w:val="Heading5NumberedChar"/>
    <w:uiPriority w:val="10"/>
    <w:unhideWhenUsed/>
    <w:qFormat/>
    <w:rsid w:val="005C5475"/>
    <w:pPr>
      <w:keepNext/>
      <w:keepLines w:val="0"/>
      <w:numPr>
        <w:ilvl w:val="3"/>
      </w:numPr>
      <w:spacing w:before="240" w:after="120" w:line="400" w:lineRule="atLeast"/>
      <w:ind w:left="1134" w:hanging="1134"/>
      <w:contextualSpacing w:val="0"/>
      <w:outlineLvl w:val="4"/>
    </w:pPr>
    <w:rPr>
      <w:sz w:val="24"/>
      <w:szCs w:val="24"/>
    </w:rPr>
  </w:style>
  <w:style w:type="paragraph" w:customStyle="1" w:styleId="Heading6Numbered">
    <w:name w:val="Heading 6 Numbered"/>
    <w:basedOn w:val="Heading5Numbered"/>
    <w:next w:val="Normal"/>
    <w:uiPriority w:val="10"/>
    <w:unhideWhenUsed/>
    <w:rsid w:val="005C5475"/>
    <w:pPr>
      <w:keepNext w:val="0"/>
      <w:numPr>
        <w:ilvl w:val="4"/>
      </w:numPr>
      <w:tabs>
        <w:tab w:val="num" w:pos="360"/>
      </w:tabs>
      <w:ind w:left="1134" w:hanging="1134"/>
      <w:outlineLvl w:val="5"/>
    </w:pPr>
    <w:rPr>
      <w:sz w:val="22"/>
    </w:rPr>
  </w:style>
  <w:style w:type="paragraph" w:customStyle="1" w:styleId="Heading7Numbered">
    <w:name w:val="Heading 7 Numbered"/>
    <w:basedOn w:val="Heading7"/>
    <w:uiPriority w:val="10"/>
    <w:unhideWhenUsed/>
    <w:rsid w:val="005C5475"/>
    <w:pPr>
      <w:numPr>
        <w:ilvl w:val="6"/>
      </w:numPr>
      <w:tabs>
        <w:tab w:val="left" w:pos="1134"/>
      </w:tabs>
      <w:spacing w:before="0" w:after="160"/>
      <w:ind w:left="1134" w:hanging="1134"/>
    </w:pPr>
    <w:rPr>
      <w:rFonts w:ascii="Gotham Book" w:hAnsi="Gotham Book"/>
      <w:i/>
      <w:iCs/>
      <w:color w:val="auto"/>
      <w:sz w:val="20"/>
    </w:rPr>
  </w:style>
  <w:style w:type="paragraph" w:customStyle="1" w:styleId="IntroPara">
    <w:name w:val="Intro Para"/>
    <w:basedOn w:val="Normal"/>
    <w:uiPriority w:val="1"/>
    <w:qFormat/>
    <w:rsid w:val="005C5475"/>
    <w:pPr>
      <w:spacing w:before="240" w:after="240" w:line="300" w:lineRule="atLeast"/>
      <w:contextualSpacing/>
    </w:pPr>
    <w:rPr>
      <w:rFonts w:ascii="Gotham Book" w:hAnsi="Gotham Book"/>
      <w:color w:val="005F85"/>
      <w:sz w:val="24"/>
    </w:rPr>
  </w:style>
  <w:style w:type="numbering" w:customStyle="1" w:styleId="KCBullets">
    <w:name w:val="KC Bullets"/>
    <w:uiPriority w:val="99"/>
    <w:rsid w:val="005C5475"/>
    <w:pPr>
      <w:numPr>
        <w:numId w:val="25"/>
      </w:numPr>
    </w:pPr>
  </w:style>
  <w:style w:type="numbering" w:customStyle="1" w:styleId="List1Numbered">
    <w:name w:val="List 1 Numbered"/>
    <w:uiPriority w:val="99"/>
    <w:rsid w:val="005C5475"/>
    <w:pPr>
      <w:numPr>
        <w:numId w:val="26"/>
      </w:numPr>
    </w:pPr>
  </w:style>
  <w:style w:type="paragraph" w:customStyle="1" w:styleId="List1Numbered1">
    <w:name w:val="List 1 Numbered 1"/>
    <w:basedOn w:val="Normal"/>
    <w:uiPriority w:val="2"/>
    <w:qFormat/>
    <w:rsid w:val="005C5475"/>
    <w:pPr>
      <w:numPr>
        <w:numId w:val="27"/>
      </w:numPr>
      <w:tabs>
        <w:tab w:val="num" w:pos="720"/>
      </w:tabs>
      <w:ind w:left="360" w:hanging="360"/>
    </w:pPr>
    <w:rPr>
      <w:rFonts w:ascii="Gotham Book" w:hAnsi="Gotham Book"/>
      <w:sz w:val="20"/>
    </w:rPr>
  </w:style>
  <w:style w:type="paragraph" w:customStyle="1" w:styleId="List1Numbered2">
    <w:name w:val="List 1 Numbered 2"/>
    <w:basedOn w:val="Normal"/>
    <w:uiPriority w:val="2"/>
    <w:qFormat/>
    <w:rsid w:val="005C5475"/>
    <w:pPr>
      <w:numPr>
        <w:ilvl w:val="1"/>
        <w:numId w:val="27"/>
      </w:numPr>
      <w:ind w:left="1080" w:hanging="360"/>
    </w:pPr>
    <w:rPr>
      <w:rFonts w:ascii="Gotham Book" w:hAnsi="Gotham Book"/>
      <w:sz w:val="20"/>
    </w:rPr>
  </w:style>
  <w:style w:type="paragraph" w:customStyle="1" w:styleId="List1Numbered3">
    <w:name w:val="List 1 Numbered 3"/>
    <w:basedOn w:val="Normal"/>
    <w:uiPriority w:val="2"/>
    <w:qFormat/>
    <w:rsid w:val="005C5475"/>
    <w:pPr>
      <w:numPr>
        <w:ilvl w:val="2"/>
        <w:numId w:val="27"/>
      </w:numPr>
      <w:tabs>
        <w:tab w:val="num" w:pos="2160"/>
      </w:tabs>
      <w:ind w:left="1800" w:hanging="360"/>
    </w:pPr>
    <w:rPr>
      <w:rFonts w:ascii="Gotham Book" w:hAnsi="Gotham Book"/>
      <w:sz w:val="20"/>
    </w:rPr>
  </w:style>
  <w:style w:type="paragraph" w:customStyle="1" w:styleId="NormalIndent5mm">
    <w:name w:val="Normal Indent 5mm"/>
    <w:basedOn w:val="Normal"/>
    <w:qFormat/>
    <w:rsid w:val="005C5475"/>
    <w:pPr>
      <w:ind w:left="284"/>
    </w:pPr>
    <w:rPr>
      <w:rFonts w:ascii="Gotham Book" w:hAnsi="Gotham Book"/>
      <w:sz w:val="20"/>
    </w:rPr>
  </w:style>
  <w:style w:type="numbering" w:customStyle="1" w:styleId="NumberedHeadings">
    <w:name w:val="Numbered Headings"/>
    <w:uiPriority w:val="99"/>
    <w:rsid w:val="005C5475"/>
    <w:pPr>
      <w:numPr>
        <w:numId w:val="24"/>
      </w:numPr>
    </w:pPr>
  </w:style>
  <w:style w:type="paragraph" w:customStyle="1" w:styleId="PullOut">
    <w:name w:val="Pull Out"/>
    <w:basedOn w:val="Normal"/>
    <w:uiPriority w:val="22"/>
    <w:qFormat/>
    <w:rsid w:val="005C5475"/>
    <w:pPr>
      <w:spacing w:line="340" w:lineRule="atLeast"/>
    </w:pPr>
    <w:rPr>
      <w:rFonts w:ascii="Gotham Book" w:hAnsi="Gotham Book"/>
      <w:color w:val="005F85"/>
      <w:sz w:val="26"/>
    </w:rPr>
  </w:style>
  <w:style w:type="paragraph" w:customStyle="1" w:styleId="SecurityDLM">
    <w:name w:val="Security DLM"/>
    <w:basedOn w:val="Normal"/>
    <w:uiPriority w:val="99"/>
    <w:qFormat/>
    <w:rsid w:val="005C5475"/>
    <w:pPr>
      <w:spacing w:before="240" w:after="240" w:line="180" w:lineRule="exact"/>
      <w:ind w:left="6577"/>
      <w:contextualSpacing/>
    </w:pPr>
    <w:rPr>
      <w:rFonts w:ascii="Gotham Book" w:hAnsi="Gotham Book"/>
      <w:caps/>
      <w:color w:val="828188"/>
      <w:sz w:val="20"/>
    </w:rPr>
  </w:style>
  <w:style w:type="paragraph" w:customStyle="1" w:styleId="SeparatorLine">
    <w:name w:val="Separator Line"/>
    <w:basedOn w:val="Normal"/>
    <w:uiPriority w:val="9"/>
    <w:qFormat/>
    <w:rsid w:val="005C5475"/>
    <w:pPr>
      <w:pBdr>
        <w:bottom w:val="single" w:sz="4" w:space="3" w:color="CCCCCF"/>
      </w:pBdr>
      <w:spacing w:before="600" w:after="240"/>
    </w:pPr>
    <w:rPr>
      <w:rFonts w:ascii="Gotham Book" w:hAnsi="Gotham Book"/>
      <w:sz w:val="20"/>
    </w:rPr>
  </w:style>
  <w:style w:type="paragraph" w:customStyle="1" w:styleId="SourceNotes">
    <w:name w:val="Source Notes"/>
    <w:basedOn w:val="Normal"/>
    <w:uiPriority w:val="21"/>
    <w:qFormat/>
    <w:rsid w:val="005C5475"/>
    <w:pPr>
      <w:spacing w:before="60"/>
    </w:pPr>
    <w:rPr>
      <w:rFonts w:ascii="Gotham Book" w:hAnsi="Gotham Book"/>
      <w:sz w:val="16"/>
    </w:rPr>
  </w:style>
  <w:style w:type="paragraph" w:customStyle="1" w:styleId="SourceNotesHeading">
    <w:name w:val="Source Notes Heading"/>
    <w:basedOn w:val="SourceNotes"/>
    <w:uiPriority w:val="20"/>
    <w:qFormat/>
    <w:rsid w:val="005C5475"/>
    <w:rPr>
      <w:rFonts w:ascii="Arial" w:hAnsi="Arial"/>
      <w:b/>
    </w:rPr>
  </w:style>
  <w:style w:type="character" w:styleId="Strong">
    <w:name w:val="Strong"/>
    <w:basedOn w:val="DefaultParagraphFont"/>
    <w:uiPriority w:val="33"/>
    <w:qFormat/>
    <w:rsid w:val="005C5475"/>
    <w:rPr>
      <w:b/>
      <w:bCs/>
    </w:rPr>
  </w:style>
  <w:style w:type="numbering" w:customStyle="1" w:styleId="TableNumbers">
    <w:name w:val="Table Numbers"/>
    <w:uiPriority w:val="99"/>
    <w:rsid w:val="005C5475"/>
    <w:pPr>
      <w:numPr>
        <w:numId w:val="28"/>
      </w:numPr>
    </w:pPr>
  </w:style>
  <w:style w:type="paragraph" w:customStyle="1" w:styleId="TableTitle">
    <w:name w:val="Table Title"/>
    <w:basedOn w:val="FigureTitle"/>
    <w:uiPriority w:val="12"/>
    <w:qFormat/>
    <w:rsid w:val="005C5475"/>
    <w:pPr>
      <w:numPr>
        <w:numId w:val="29"/>
      </w:numPr>
      <w:ind w:left="720" w:hanging="360"/>
    </w:pPr>
  </w:style>
  <w:style w:type="character" w:customStyle="1" w:styleId="Heading5NumberedChar">
    <w:name w:val="Heading 5 Numbered Char"/>
    <w:basedOn w:val="DefaultParagraphFont"/>
    <w:link w:val="Heading5Numbered"/>
    <w:uiPriority w:val="10"/>
    <w:rsid w:val="005C5475"/>
    <w:rPr>
      <w:rFonts w:ascii="Gotham Medium" w:eastAsiaTheme="majorEastAsia" w:hAnsi="Gotham Medium" w:cstheme="majorBidi"/>
      <w:color w:val="09002E"/>
      <w:kern w:val="28"/>
      <w:sz w:val="24"/>
      <w:szCs w:val="24"/>
    </w:rPr>
  </w:style>
  <w:style w:type="paragraph" w:customStyle="1" w:styleId="Figure">
    <w:name w:val="Figure"/>
    <w:basedOn w:val="Normal"/>
    <w:next w:val="Normal"/>
    <w:qFormat/>
    <w:rsid w:val="005C5475"/>
    <w:rPr>
      <w:rFonts w:ascii="Gotham Book" w:hAnsi="Gotham Book"/>
      <w:noProof/>
      <w:sz w:val="20"/>
    </w:rPr>
  </w:style>
  <w:style w:type="paragraph" w:customStyle="1" w:styleId="Heading2numberedwithline">
    <w:name w:val="Heading 2 numbered with line"/>
    <w:basedOn w:val="Heading2Numbered"/>
    <w:qFormat/>
    <w:rsid w:val="005C5475"/>
    <w:pPr>
      <w:pBdr>
        <w:bottom w:val="single" w:sz="4" w:space="12" w:color="CCCCCF"/>
      </w:pBdr>
    </w:pPr>
  </w:style>
  <w:style w:type="character" w:styleId="BookTitle">
    <w:name w:val="Book Title"/>
    <w:basedOn w:val="DefaultParagraphFont"/>
    <w:uiPriority w:val="33"/>
    <w:rsid w:val="005C5475"/>
    <w:rPr>
      <w:b/>
      <w:bCs/>
      <w:i/>
      <w:iCs/>
      <w:spacing w:val="5"/>
    </w:rPr>
  </w:style>
  <w:style w:type="character" w:customStyle="1" w:styleId="FootnoteTextChar1">
    <w:name w:val="Footnote Text Char1"/>
    <w:basedOn w:val="DefaultParagraphFont"/>
    <w:uiPriority w:val="99"/>
    <w:rsid w:val="005C5475"/>
    <w:rPr>
      <w:sz w:val="20"/>
      <w:szCs w:val="20"/>
    </w:rPr>
  </w:style>
  <w:style w:type="numbering" w:customStyle="1" w:styleId="RList1">
    <w:name w:val="R List1"/>
    <w:uiPriority w:val="99"/>
    <w:rsid w:val="005C5475"/>
  </w:style>
  <w:style w:type="numbering" w:customStyle="1" w:styleId="AppendixNumbers1">
    <w:name w:val="Appendix Numbers1"/>
    <w:uiPriority w:val="99"/>
    <w:rsid w:val="005C5475"/>
  </w:style>
  <w:style w:type="numbering" w:customStyle="1" w:styleId="BoxedBullets1">
    <w:name w:val="Boxed Bullets1"/>
    <w:uiPriority w:val="99"/>
    <w:rsid w:val="005C5475"/>
  </w:style>
  <w:style w:type="numbering" w:customStyle="1" w:styleId="DefaultBullets1">
    <w:name w:val="Default Bullets1"/>
    <w:uiPriority w:val="99"/>
    <w:rsid w:val="005C5475"/>
  </w:style>
  <w:style w:type="table" w:customStyle="1" w:styleId="DefaultTable111">
    <w:name w:val="Default Table 111"/>
    <w:basedOn w:val="GridTable5Dark-Accent1"/>
    <w:uiPriority w:val="99"/>
    <w:rsid w:val="005C5475"/>
    <w:pPr>
      <w:spacing w:before="60" w:after="60" w:line="240" w:lineRule="atLeast"/>
    </w:pPr>
    <w:rPr>
      <w:color w:val="000000"/>
      <w:kern w:val="0"/>
      <w:sz w:val="18"/>
      <w:szCs w:val="18"/>
      <w14:ligatures w14:val="none"/>
    </w:rPr>
    <w:tblPr>
      <w:tblBorders>
        <w:top w:val="single" w:sz="4" w:space="0" w:color="005F85"/>
        <w:left w:val="single" w:sz="4" w:space="0" w:color="005F85"/>
        <w:bottom w:val="single" w:sz="4" w:space="0" w:color="005F85"/>
        <w:right w:val="single" w:sz="4" w:space="0" w:color="005F85"/>
        <w:insideH w:val="single" w:sz="4" w:space="0" w:color="005F85"/>
        <w:insideV w:val="single" w:sz="4" w:space="0" w:color="005F85"/>
      </w:tblBorders>
      <w:tblCellMar>
        <w:top w:w="57" w:type="dxa"/>
        <w:bottom w:w="57" w:type="dxa"/>
      </w:tblCellMar>
    </w:tblPr>
    <w:trPr>
      <w:cantSplit/>
    </w:trPr>
    <w:tblStylePr w:type="firstRow">
      <w:pPr>
        <w:wordWrap/>
        <w:spacing w:beforeLines="0" w:before="60" w:beforeAutospacing="0" w:afterLines="0" w:after="60" w:afterAutospacing="0" w:line="240" w:lineRule="auto"/>
      </w:pPr>
      <w:rPr>
        <w:rFonts w:ascii="Arial" w:hAnsi="Arial"/>
        <w:b/>
        <w:bCs/>
        <w:caps w:val="0"/>
        <w:smallCaps w:val="0"/>
        <w:color w:val="FFFFFF"/>
        <w:sz w:val="18"/>
      </w:rPr>
      <w:tblPr/>
      <w:tcPr>
        <w:tcBorders>
          <w:top w:val="single" w:sz="4" w:space="0" w:color="FFFFFF"/>
          <w:left w:val="single" w:sz="4" w:space="0" w:color="FFFFFF"/>
          <w:right w:val="single" w:sz="4" w:space="0" w:color="FFFFFF"/>
          <w:insideH w:val="nil"/>
          <w:insideV w:val="nil"/>
        </w:tcBorders>
        <w:shd w:val="clear" w:color="auto" w:fill="77BCD9"/>
      </w:tcPr>
    </w:tblStylePr>
    <w:tblStylePr w:type="lastRow">
      <w:rPr>
        <w:b/>
        <w:bCs/>
        <w:color w:val="000000"/>
      </w:rPr>
      <w:tblPr/>
      <w:tcPr>
        <w:tcBorders>
          <w:left w:val="single" w:sz="4" w:space="0" w:color="FFFFFF"/>
          <w:bottom w:val="single" w:sz="4" w:space="0" w:color="FFFFFF"/>
          <w:right w:val="single" w:sz="4" w:space="0" w:color="FFFFFF"/>
          <w:insideH w:val="nil"/>
          <w:insideV w:val="nil"/>
        </w:tcBorders>
        <w:shd w:val="clear" w:color="auto" w:fill="77BCD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7BCD9"/>
      </w:tcPr>
    </w:tblStylePr>
    <w:tblStylePr w:type="lastCol">
      <w:pPr>
        <w:jc w:val="right"/>
      </w:pPr>
      <w:rPr>
        <w:b/>
        <w:bCs/>
        <w:color w:val="000000"/>
      </w:rPr>
      <w:tblPr/>
      <w:tcPr>
        <w:tcBorders>
          <w:top w:val="single" w:sz="4" w:space="0" w:color="005F85"/>
          <w:left w:val="single" w:sz="4" w:space="0" w:color="005F85"/>
          <w:bottom w:val="single" w:sz="4" w:space="0" w:color="005F85"/>
          <w:right w:val="single" w:sz="4" w:space="0" w:color="005F85"/>
          <w:insideH w:val="single" w:sz="4" w:space="0" w:color="005F85"/>
          <w:insideV w:val="single" w:sz="4" w:space="0" w:color="005F85"/>
        </w:tcBorders>
        <w:shd w:val="clear" w:color="auto" w:fill="E3F1F7"/>
      </w:tcPr>
    </w:tblStylePr>
    <w:tblStylePr w:type="band1Vert">
      <w:tblPr/>
      <w:tcPr>
        <w:shd w:val="clear" w:color="auto" w:fill="E3F1F7"/>
      </w:tcPr>
    </w:tblStylePr>
    <w:tblStylePr w:type="band2Vert">
      <w:tblPr/>
      <w:tcPr>
        <w:shd w:val="clear" w:color="auto" w:fill="C8E4EF"/>
      </w:tcPr>
    </w:tblStylePr>
    <w:tblStylePr w:type="band1Horz">
      <w:tblPr/>
      <w:tcPr>
        <w:shd w:val="clear" w:color="auto" w:fill="E3F1F7"/>
      </w:tcPr>
    </w:tblStylePr>
    <w:tblStylePr w:type="band2Horz">
      <w:tblPr/>
      <w:tcPr>
        <w:shd w:val="clear" w:color="auto" w:fill="C8E4EF"/>
      </w:tcPr>
    </w:tblStylePr>
  </w:style>
  <w:style w:type="numbering" w:customStyle="1" w:styleId="FigureNumbers1">
    <w:name w:val="Figure Numbers1"/>
    <w:uiPriority w:val="99"/>
    <w:rsid w:val="005C5475"/>
  </w:style>
  <w:style w:type="numbering" w:customStyle="1" w:styleId="KCBullets1">
    <w:name w:val="KC Bullets1"/>
    <w:uiPriority w:val="99"/>
    <w:rsid w:val="005C5475"/>
  </w:style>
  <w:style w:type="numbering" w:customStyle="1" w:styleId="List1Numbered10">
    <w:name w:val="List 1 Numbered1"/>
    <w:uiPriority w:val="99"/>
    <w:rsid w:val="005C5475"/>
  </w:style>
  <w:style w:type="numbering" w:customStyle="1" w:styleId="NumberedHeadings1">
    <w:name w:val="Numbered Headings1"/>
    <w:uiPriority w:val="99"/>
    <w:rsid w:val="005C5475"/>
  </w:style>
  <w:style w:type="numbering" w:customStyle="1" w:styleId="TableNumbers1">
    <w:name w:val="Table Numbers1"/>
    <w:uiPriority w:val="99"/>
    <w:rsid w:val="005C5475"/>
  </w:style>
  <w:style w:type="paragraph" w:customStyle="1" w:styleId="EndnoteText1">
    <w:name w:val="Endnote Text1"/>
    <w:basedOn w:val="Normal"/>
    <w:next w:val="EndnoteText"/>
    <w:link w:val="EndnoteTextChar"/>
    <w:semiHidden/>
    <w:unhideWhenUsed/>
    <w:rsid w:val="005C5475"/>
    <w:pPr>
      <w:spacing w:after="0" w:line="240" w:lineRule="auto"/>
    </w:pPr>
    <w:rPr>
      <w:rFonts w:ascii="Gotham Book" w:eastAsia="Arial" w:hAnsi="Gotham Book" w:cs="Arial"/>
      <w:sz w:val="20"/>
      <w:szCs w:val="20"/>
    </w:rPr>
  </w:style>
  <w:style w:type="character" w:customStyle="1" w:styleId="EndnoteTextChar">
    <w:name w:val="Endnote Text Char"/>
    <w:basedOn w:val="DefaultParagraphFont"/>
    <w:link w:val="EndnoteText1"/>
    <w:semiHidden/>
    <w:rsid w:val="005C5475"/>
    <w:rPr>
      <w:rFonts w:ascii="Gotham Book" w:eastAsia="Arial" w:hAnsi="Gotham Book" w:cs="Arial"/>
      <w:color w:val="auto"/>
      <w:kern w:val="2"/>
      <w:sz w:val="20"/>
      <w:szCs w:val="20"/>
      <w:lang w:eastAsia="en-US"/>
      <w14:ligatures w14:val="standardContextual"/>
    </w:rPr>
  </w:style>
  <w:style w:type="character" w:styleId="EndnoteReference">
    <w:name w:val="endnote reference"/>
    <w:basedOn w:val="DefaultParagraphFont"/>
    <w:semiHidden/>
    <w:unhideWhenUsed/>
    <w:rsid w:val="005C5475"/>
    <w:rPr>
      <w:vertAlign w:val="superscript"/>
    </w:rPr>
  </w:style>
  <w:style w:type="table" w:customStyle="1" w:styleId="GridTable5Dark-Accent21">
    <w:name w:val="Grid Table 5 Dark - Accent 21"/>
    <w:basedOn w:val="TableNormal"/>
    <w:next w:val="GridTable5Dark-Accent2"/>
    <w:uiPriority w:val="50"/>
    <w:rsid w:val="005C5475"/>
    <w:pPr>
      <w:spacing w:before="120" w:after="0" w:line="240" w:lineRule="auto"/>
    </w:pPr>
    <w:rPr>
      <w:rFonts w:eastAsia="SimHei" w:cs="Times New Roman"/>
      <w:color w:val="000000"/>
      <w:kern w:val="0"/>
      <w:sz w:val="18"/>
      <w:szCs w:val="18"/>
      <w:lang w:eastAsia="en-AU"/>
      <w14:ligatures w14:val="none"/>
    </w:rPr>
    <w:tblPr>
      <w:tblStyleRowBandSize w:val="1"/>
      <w:tblStyleColBandSize w:val="1"/>
    </w:tblPr>
    <w:tcPr>
      <w:tcBorders>
        <w:top w:val="single" w:sz="4" w:space="0" w:color="FFFFFF"/>
        <w:bottom w:val="single" w:sz="4" w:space="0" w:color="FFFFFF"/>
        <w:right w:val="single" w:sz="4" w:space="0" w:color="FFFFFF"/>
      </w:tcBorders>
      <w:shd w:val="clear" w:color="auto" w:fill="B3E9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5F8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5F8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5F85"/>
      </w:tcPr>
    </w:tblStylePr>
    <w:tblStylePr w:type="lastCol">
      <w:rPr>
        <w:b/>
        <w:bCs/>
        <w:color w:val="FFFFFF"/>
      </w:rPr>
    </w:tblStylePr>
  </w:style>
  <w:style w:type="table" w:customStyle="1" w:styleId="GridTable5Dark-Accent61">
    <w:name w:val="Grid Table 5 Dark - Accent 61"/>
    <w:basedOn w:val="TableNormal"/>
    <w:next w:val="GridTable5Dark-Accent6"/>
    <w:uiPriority w:val="50"/>
    <w:rsid w:val="005C5475"/>
    <w:pPr>
      <w:spacing w:before="120" w:after="0" w:line="240" w:lineRule="auto"/>
    </w:pPr>
    <w:rPr>
      <w:rFonts w:eastAsia="SimHei" w:cs="Times New Roman"/>
      <w:color w:val="000000"/>
      <w:kern w:val="0"/>
      <w:sz w:val="18"/>
      <w:szCs w:val="18"/>
      <w:lang w:eastAsia="en-AU"/>
      <w14:ligatures w14:val="none"/>
    </w:rPr>
    <w:tblPr>
      <w:tblStyleRowBandSize w:val="1"/>
      <w:tblStyleColBandSize w:val="1"/>
    </w:tblPr>
    <w:tcPr>
      <w:tcBorders>
        <w:left w:val="single" w:sz="4" w:space="0" w:color="FFFFFF"/>
        <w:bottom w:val="single" w:sz="4" w:space="0" w:color="FFFFFF"/>
        <w:right w:val="single" w:sz="4" w:space="0" w:color="FFFFFF"/>
      </w:tcBorders>
      <w:shd w:val="clear" w:color="auto" w:fill="A5F0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353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353F"/>
      </w:tcPr>
    </w:tblStylePr>
    <w:tblStylePr w:type="firstCol">
      <w:rPr>
        <w:b/>
        <w:bCs/>
        <w:color w:val="FFFFFF"/>
      </w:rPr>
    </w:tblStylePr>
    <w:tblStylePr w:type="lastCol">
      <w:rPr>
        <w:b/>
        <w:bCs/>
        <w:color w:val="FFFFFF"/>
      </w:rPr>
    </w:tblStylePr>
  </w:style>
  <w:style w:type="table" w:customStyle="1" w:styleId="GridTable5Dark-Accent31">
    <w:name w:val="Grid Table 5 Dark - Accent 31"/>
    <w:basedOn w:val="TableNormal"/>
    <w:next w:val="GridTable5Dark-Accent3"/>
    <w:uiPriority w:val="50"/>
    <w:rsid w:val="005C5475"/>
    <w:pPr>
      <w:spacing w:before="120" w:after="0" w:line="240" w:lineRule="auto"/>
    </w:pPr>
    <w:rPr>
      <w:rFonts w:eastAsia="SimHei" w:cs="Times New Roman"/>
      <w:color w:val="000000"/>
      <w:kern w:val="0"/>
      <w:sz w:val="18"/>
      <w:szCs w:val="18"/>
      <w:lang w:eastAsia="en-AU"/>
      <w14:ligatures w14:val="none"/>
    </w:rPr>
    <w:tblPr/>
    <w:tblStylePr w:type="firstRow">
      <w:rPr>
        <w:b/>
        <w:bCs/>
        <w:color w:val="FFFFFF"/>
      </w:rPr>
    </w:tblStylePr>
    <w:tblStylePr w:type="lastRow">
      <w:rPr>
        <w:b/>
        <w:bCs/>
        <w:color w:val="FFFFFF"/>
      </w:rPr>
    </w:tblStylePr>
    <w:tblStylePr w:type="firstCol">
      <w:rPr>
        <w:b/>
        <w:bCs/>
        <w:color w:val="FFFFFF"/>
      </w:rPr>
    </w:tblStylePr>
    <w:tblStylePr w:type="lastCol">
      <w:rPr>
        <w:b/>
        <w:bCs/>
        <w:color w:val="FFFFFF"/>
      </w:rPr>
    </w:tblStylePr>
  </w:style>
  <w:style w:type="table" w:customStyle="1" w:styleId="ListTable7Colorful-Accent61">
    <w:name w:val="List Table 7 Colorful - Accent 61"/>
    <w:basedOn w:val="TableNormal"/>
    <w:next w:val="ListTable7Colorful-Accent6"/>
    <w:uiPriority w:val="52"/>
    <w:rsid w:val="005C5475"/>
    <w:pPr>
      <w:spacing w:before="120" w:after="0" w:line="240" w:lineRule="auto"/>
    </w:pPr>
    <w:rPr>
      <w:rFonts w:eastAsia="SimHei" w:cs="Times New Roman"/>
      <w:color w:val="00272F"/>
      <w:kern w:val="0"/>
      <w:sz w:val="18"/>
      <w:szCs w:val="18"/>
      <w:lang w:eastAsia="en-AU"/>
      <w14:ligatures w14:val="none"/>
    </w:rPr>
    <w:tblPr>
      <w:tblStyleRowBandSize w:val="1"/>
      <w:tblStyleColBandSize w:val="1"/>
    </w:tblPr>
    <w:tcPr>
      <w:tcBorders>
        <w:right w:val="single" w:sz="4" w:space="0" w:color="00353F"/>
      </w:tcBorders>
      <w:shd w:val="clear" w:color="auto" w:fill="FFFFFF"/>
    </w:tcPr>
    <w:tblStylePr w:type="firstRow">
      <w:rPr>
        <w:rFonts w:ascii="Arial" w:eastAsia="SimHei" w:hAnsi="Arial" w:cs="Arial"/>
        <w:i/>
        <w:iCs/>
        <w:sz w:val="26"/>
      </w:rPr>
      <w:tblPr/>
      <w:tcPr>
        <w:tcBorders>
          <w:bottom w:val="single" w:sz="4" w:space="0" w:color="00353F"/>
        </w:tcBorders>
        <w:shd w:val="clear" w:color="auto" w:fill="FFFFFF"/>
      </w:tcPr>
    </w:tblStylePr>
    <w:tblStylePr w:type="lastRow">
      <w:rPr>
        <w:rFonts w:ascii="Arial" w:eastAsia="SimHei" w:hAnsi="Arial" w:cs="Arial"/>
        <w:i/>
        <w:iCs/>
        <w:sz w:val="26"/>
      </w:rPr>
      <w:tblPr/>
      <w:tcPr>
        <w:tcBorders>
          <w:top w:val="single" w:sz="4" w:space="0" w:color="00353F"/>
        </w:tcBorders>
        <w:shd w:val="clear" w:color="auto" w:fill="FFFFFF"/>
      </w:tcPr>
    </w:tblStylePr>
    <w:tblStylePr w:type="firstCol">
      <w:pPr>
        <w:jc w:val="right"/>
      </w:pPr>
      <w:rPr>
        <w:rFonts w:ascii="Arial" w:eastAsia="SimHei" w:hAnsi="Arial" w:cs="Arial"/>
        <w:i/>
        <w:iCs/>
        <w:sz w:val="26"/>
      </w:rPr>
    </w:tblStylePr>
    <w:tblStylePr w:type="lastCol">
      <w:rPr>
        <w:rFonts w:ascii="Arial" w:eastAsia="SimHei" w:hAnsi="Arial" w:cs="Arial"/>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6Colorful-Accent21">
    <w:name w:val="List Table 6 Colorful - Accent 21"/>
    <w:basedOn w:val="TableNormal"/>
    <w:next w:val="ListTable6Colorful-Accent2"/>
    <w:uiPriority w:val="51"/>
    <w:rsid w:val="005C5475"/>
    <w:pPr>
      <w:spacing w:before="120" w:after="0" w:line="240" w:lineRule="auto"/>
    </w:pPr>
    <w:rPr>
      <w:rFonts w:eastAsia="SimHei" w:cs="Times New Roman"/>
      <w:color w:val="004663"/>
      <w:kern w:val="0"/>
      <w:sz w:val="18"/>
      <w:szCs w:val="18"/>
      <w:lang w:eastAsia="en-AU"/>
      <w14:ligatures w14:val="none"/>
    </w:rPr>
    <w:tblPr>
      <w:tblStyleRowBandSize w:val="1"/>
      <w:tblStyleColBandSize w:val="1"/>
    </w:tblPr>
    <w:tblStylePr w:type="firstRow">
      <w:rPr>
        <w:b/>
        <w:bCs/>
      </w:rPr>
      <w:tblPr/>
      <w:tcPr>
        <w:tcBorders>
          <w:bottom w:val="single" w:sz="4" w:space="0" w:color="005F85"/>
        </w:tcBorders>
      </w:tcPr>
    </w:tblStylePr>
    <w:tblStylePr w:type="lastRow">
      <w:rPr>
        <w:b/>
        <w:bCs/>
      </w:rPr>
      <w:tblPr/>
      <w:tcPr>
        <w:tcBorders>
          <w:top w:val="double" w:sz="4" w:space="0" w:color="005F85"/>
        </w:tcBorders>
      </w:tcPr>
    </w:tblStylePr>
    <w:tblStylePr w:type="firstCol">
      <w:rPr>
        <w:b/>
        <w:bCs/>
      </w:rPr>
    </w:tblStylePr>
    <w:tblStylePr w:type="lastCol">
      <w:rPr>
        <w:b/>
        <w:bCs/>
      </w:rPr>
    </w:tblStylePr>
    <w:tblStylePr w:type="band1Vert">
      <w:tblPr/>
      <w:tcPr>
        <w:shd w:val="clear" w:color="auto" w:fill="B3E9FF"/>
      </w:tcPr>
    </w:tblStylePr>
    <w:tblStylePr w:type="band1Horz">
      <w:tblPr/>
      <w:tcPr>
        <w:shd w:val="clear" w:color="auto" w:fill="B3E9FF"/>
      </w:tcPr>
    </w:tblStylePr>
  </w:style>
  <w:style w:type="table" w:customStyle="1" w:styleId="ListTable4-Accent61">
    <w:name w:val="List Table 4 - Accent 61"/>
    <w:basedOn w:val="TableNormal"/>
    <w:next w:val="ListTable4-Accent6"/>
    <w:uiPriority w:val="49"/>
    <w:rsid w:val="005C5475"/>
    <w:pPr>
      <w:spacing w:before="120" w:after="0" w:line="240" w:lineRule="auto"/>
    </w:pPr>
    <w:rPr>
      <w:rFonts w:eastAsia="SimHei" w:cs="Times New Roman"/>
      <w:color w:val="000000"/>
      <w:kern w:val="0"/>
      <w:sz w:val="18"/>
      <w:szCs w:val="18"/>
      <w:lang w:eastAsia="en-AU"/>
      <w14:ligatures w14:val="none"/>
    </w:rPr>
    <w:tblPr>
      <w:tblStyleRowBandSize w:val="1"/>
      <w:tblStyleColBandSize w:val="1"/>
    </w:tblPr>
    <w:tblStylePr w:type="firstRow">
      <w:rPr>
        <w:b/>
        <w:bCs/>
        <w:color w:val="FFFFFF"/>
      </w:rPr>
      <w:tblPr/>
      <w:tcPr>
        <w:tcBorders>
          <w:top w:val="single" w:sz="4" w:space="0" w:color="00353F"/>
          <w:left w:val="single" w:sz="4" w:space="0" w:color="00353F"/>
          <w:bottom w:val="single" w:sz="4" w:space="0" w:color="00353F"/>
          <w:right w:val="single" w:sz="4" w:space="0" w:color="00353F"/>
          <w:insideH w:val="nil"/>
        </w:tcBorders>
        <w:shd w:val="clear" w:color="auto" w:fill="00353F"/>
      </w:tcPr>
    </w:tblStylePr>
    <w:tblStylePr w:type="lastRow">
      <w:rPr>
        <w:b/>
        <w:bCs/>
      </w:rPr>
      <w:tblPr/>
      <w:tcPr>
        <w:tcBorders>
          <w:top w:val="double" w:sz="4" w:space="0" w:color="00CAF1"/>
        </w:tcBorders>
      </w:tcPr>
    </w:tblStylePr>
    <w:tblStylePr w:type="firstCol">
      <w:rPr>
        <w:b/>
        <w:bCs/>
      </w:rPr>
    </w:tblStylePr>
    <w:tblStylePr w:type="lastCol">
      <w:rPr>
        <w:b/>
        <w:bCs/>
      </w:rPr>
    </w:tblStylePr>
    <w:tblStylePr w:type="band1Vert">
      <w:tblPr/>
      <w:tcPr>
        <w:shd w:val="clear" w:color="auto" w:fill="A5F0FF"/>
      </w:tcPr>
    </w:tblStylePr>
    <w:tblStylePr w:type="band1Horz">
      <w:tblPr/>
      <w:tcPr>
        <w:shd w:val="clear" w:color="auto" w:fill="A5F0FF"/>
      </w:tcPr>
    </w:tblStylePr>
  </w:style>
  <w:style w:type="table" w:customStyle="1" w:styleId="GridTable4-Accent61">
    <w:name w:val="Grid Table 4 - Accent 61"/>
    <w:basedOn w:val="TableNormal"/>
    <w:next w:val="GridTable4-Accent6"/>
    <w:uiPriority w:val="49"/>
    <w:rsid w:val="005C5475"/>
    <w:pPr>
      <w:spacing w:before="120" w:after="0" w:line="240" w:lineRule="auto"/>
    </w:pPr>
    <w:rPr>
      <w:rFonts w:eastAsia="SimHei" w:cs="Times New Roman"/>
      <w:color w:val="000000"/>
      <w:kern w:val="0"/>
      <w:sz w:val="18"/>
      <w:szCs w:val="18"/>
      <w:lang w:eastAsia="en-AU"/>
      <w14:ligatures w14:val="none"/>
    </w:rPr>
    <w:tblPr>
      <w:tblStyleRowBandSize w:val="1"/>
      <w:tblStyleColBandSize w:val="1"/>
    </w:tblPr>
    <w:tcPr>
      <w:shd w:val="clear" w:color="auto" w:fill="A5F0FF"/>
    </w:tcPr>
    <w:tblStylePr w:type="firstRow">
      <w:rPr>
        <w:b/>
        <w:bCs/>
        <w:color w:val="FFFFFF"/>
      </w:rPr>
      <w:tblPr/>
      <w:tcPr>
        <w:tcBorders>
          <w:top w:val="single" w:sz="4" w:space="0" w:color="00353F"/>
          <w:left w:val="single" w:sz="4" w:space="0" w:color="00353F"/>
          <w:bottom w:val="single" w:sz="4" w:space="0" w:color="00353F"/>
          <w:right w:val="single" w:sz="4" w:space="0" w:color="00353F"/>
          <w:insideH w:val="nil"/>
          <w:insideV w:val="nil"/>
        </w:tcBorders>
        <w:shd w:val="clear" w:color="auto" w:fill="00353F"/>
      </w:tcPr>
    </w:tblStylePr>
    <w:tblStylePr w:type="lastRow">
      <w:rPr>
        <w:b/>
        <w:bCs/>
      </w:rPr>
      <w:tblPr/>
      <w:tcPr>
        <w:tcBorders>
          <w:top w:val="double" w:sz="4" w:space="0" w:color="00353F"/>
        </w:tcBorders>
      </w:tcPr>
    </w:tblStylePr>
    <w:tblStylePr w:type="firstCol">
      <w:rPr>
        <w:b/>
        <w:bCs/>
      </w:rPr>
    </w:tblStylePr>
    <w:tblStylePr w:type="lastCol">
      <w:rPr>
        <w:b/>
        <w:bCs/>
      </w:rPr>
    </w:tblStylePr>
  </w:style>
  <w:style w:type="table" w:customStyle="1" w:styleId="GridTable4-Accent21">
    <w:name w:val="Grid Table 4 - Accent 21"/>
    <w:basedOn w:val="TableNormal"/>
    <w:next w:val="GridTable4-Accent2"/>
    <w:uiPriority w:val="49"/>
    <w:rsid w:val="005C5475"/>
    <w:pPr>
      <w:spacing w:before="120" w:after="0" w:line="240" w:lineRule="auto"/>
    </w:pPr>
    <w:rPr>
      <w:rFonts w:eastAsia="SimHei" w:cs="Times New Roman"/>
      <w:color w:val="000000"/>
      <w:kern w:val="0"/>
      <w:sz w:val="18"/>
      <w:szCs w:val="18"/>
      <w:lang w:eastAsia="en-AU"/>
      <w14:ligatures w14:val="none"/>
    </w:rPr>
    <w:tblPr>
      <w:tblStyleRowBandSize w:val="1"/>
      <w:tblStyleColBandSize w:val="1"/>
    </w:tblPr>
    <w:tcPr>
      <w:shd w:val="clear" w:color="auto" w:fill="B3E9FF"/>
    </w:tcPr>
    <w:tblStylePr w:type="firstRow">
      <w:rPr>
        <w:b/>
        <w:bCs/>
        <w:color w:val="FFFFFF"/>
      </w:rPr>
      <w:tblPr/>
      <w:tcPr>
        <w:tcBorders>
          <w:top w:val="single" w:sz="4" w:space="0" w:color="005F85"/>
          <w:left w:val="single" w:sz="4" w:space="0" w:color="005F85"/>
          <w:bottom w:val="single" w:sz="4" w:space="0" w:color="005F85"/>
          <w:right w:val="single" w:sz="4" w:space="0" w:color="005F85"/>
          <w:insideH w:val="nil"/>
          <w:insideV w:val="nil"/>
        </w:tcBorders>
        <w:shd w:val="clear" w:color="auto" w:fill="005F85"/>
      </w:tcPr>
    </w:tblStylePr>
    <w:tblStylePr w:type="lastRow">
      <w:rPr>
        <w:b/>
        <w:bCs/>
      </w:rPr>
      <w:tblPr/>
      <w:tcPr>
        <w:tcBorders>
          <w:top w:val="double" w:sz="4" w:space="0" w:color="005F85"/>
        </w:tcBorders>
      </w:tcPr>
    </w:tblStylePr>
    <w:tblStylePr w:type="firstCol">
      <w:rPr>
        <w:b/>
        <w:bCs/>
      </w:rPr>
    </w:tblStylePr>
    <w:tblStylePr w:type="lastCol">
      <w:rPr>
        <w:b/>
        <w:bCs/>
      </w:rPr>
    </w:tblStylePr>
  </w:style>
  <w:style w:type="paragraph" w:styleId="EndnoteText">
    <w:name w:val="endnote text"/>
    <w:basedOn w:val="Normal"/>
    <w:link w:val="EndnoteTextChar1"/>
    <w:uiPriority w:val="99"/>
    <w:semiHidden/>
    <w:unhideWhenUsed/>
    <w:rsid w:val="005C5475"/>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5C5475"/>
    <w:rPr>
      <w:sz w:val="20"/>
      <w:szCs w:val="20"/>
    </w:rPr>
  </w:style>
  <w:style w:type="table" w:styleId="GridTable5Dark-Accent2">
    <w:name w:val="Grid Table 5 Dark Accent 2"/>
    <w:basedOn w:val="TableNormal"/>
    <w:uiPriority w:val="50"/>
    <w:rsid w:val="005C5475"/>
    <w:pPr>
      <w:spacing w:after="0" w:line="240" w:lineRule="auto"/>
    </w:pPr>
    <w:tblPr>
      <w:tblStyleRowBandSize w:val="1"/>
      <w:tblStyleColBandSize w:val="1"/>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StylePr>
  </w:style>
  <w:style w:type="table" w:styleId="GridTable5Dark-Accent6">
    <w:name w:val="Grid Table 5 Dark Accent 6"/>
    <w:basedOn w:val="TableNormal"/>
    <w:uiPriority w:val="50"/>
    <w:rsid w:val="005C5475"/>
    <w:pPr>
      <w:spacing w:after="0" w:line="240" w:lineRule="auto"/>
    </w:pPr>
    <w:tblPr>
      <w:tblStyleRowBandSize w:val="1"/>
      <w:tblStyleColBandSize w:val="1"/>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StylePr>
  </w:style>
  <w:style w:type="table" w:styleId="GridTable5Dark-Accent3">
    <w:name w:val="Grid Table 5 Dark Accent 3"/>
    <w:basedOn w:val="TableNormal"/>
    <w:uiPriority w:val="50"/>
    <w:rsid w:val="005C5475"/>
    <w:pPr>
      <w:spacing w:after="0" w:line="240" w:lineRule="auto"/>
    </w:pPr>
    <w:tblPr>
      <w:tblStyleRowBandSize w:val="1"/>
      <w:tblStyleColBandSize w:val="1"/>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StylePr>
  </w:style>
  <w:style w:type="table" w:styleId="ListTable7Colorful-Accent6">
    <w:name w:val="List Table 7 Colorful Accent 6"/>
    <w:basedOn w:val="TableNormal"/>
    <w:uiPriority w:val="52"/>
    <w:rsid w:val="005C5475"/>
    <w:pPr>
      <w:spacing w:after="0" w:line="240" w:lineRule="auto"/>
    </w:pPr>
    <w:rPr>
      <w:color w:val="3A7C22" w:themeColor="accent6" w:themeShade="BF"/>
    </w:rPr>
    <w:tblPr>
      <w:tblStyleRowBandSize w:val="1"/>
      <w:tblStyleColBandSize w:val="1"/>
    </w:tblPr>
    <w:tcPr>
      <w:tcBorders>
        <w:left w:val="single" w:sz="4" w:space="0" w:color="4EA72E" w:themeColor="accent6"/>
      </w:tcBorders>
      <w:shd w:val="clear" w:color="auto" w:fill="D9F2D0" w:themeFill="accent6" w:themeFillTint="33"/>
    </w:tc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2">
    <w:name w:val="List Table 6 Colorful Accent 2"/>
    <w:basedOn w:val="TableNormal"/>
    <w:uiPriority w:val="51"/>
    <w:rsid w:val="005C5475"/>
    <w:pPr>
      <w:spacing w:after="0" w:line="240" w:lineRule="auto"/>
    </w:pPr>
    <w:rPr>
      <w:color w:val="BF4E14" w:themeColor="accent2" w:themeShade="BF"/>
    </w:rPr>
    <w:tblPr>
      <w:tblStyleRowBandSize w:val="1"/>
      <w:tblStyleColBandSize w:val="1"/>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6">
    <w:name w:val="List Table 4 Accent 6"/>
    <w:basedOn w:val="TableNormal"/>
    <w:uiPriority w:val="49"/>
    <w:rsid w:val="005C5475"/>
    <w:pPr>
      <w:spacing w:after="0" w:line="240" w:lineRule="auto"/>
    </w:pPr>
    <w:tblPr>
      <w:tblStyleRowBandSize w:val="1"/>
      <w:tblStyleColBandSize w:val="1"/>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4-Accent6">
    <w:name w:val="Grid Table 4 Accent 6"/>
    <w:basedOn w:val="TableNormal"/>
    <w:uiPriority w:val="49"/>
    <w:rsid w:val="005C5475"/>
    <w:pPr>
      <w:spacing w:after="0" w:line="240" w:lineRule="auto"/>
    </w:pPr>
    <w:tblPr>
      <w:tblStyleRowBandSize w:val="1"/>
      <w:tblStyleColBandSize w:val="1"/>
    </w:tblPr>
    <w:tcPr>
      <w:tcBorders>
        <w:left w:val="single" w:sz="4" w:space="0" w:color="4EA72E" w:themeColor="accent6"/>
        <w:right w:val="single" w:sz="4" w:space="0" w:color="4EA72E" w:themeColor="accent6"/>
      </w:tcBorders>
      <w:shd w:val="clear" w:color="auto" w:fill="D9F2D0" w:themeFill="accent6"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2">
    <w:name w:val="Grid Table 4 Accent 2"/>
    <w:basedOn w:val="TableNormal"/>
    <w:uiPriority w:val="49"/>
    <w:rsid w:val="005C5475"/>
    <w:pPr>
      <w:spacing w:after="0" w:line="240" w:lineRule="auto"/>
    </w:pPr>
    <w:tblPr>
      <w:tblStyleRowBandSize w:val="1"/>
      <w:tblStyleColBandSize w:val="1"/>
    </w:tblPr>
    <w:tcPr>
      <w:tcBorders>
        <w:left w:val="single" w:sz="4" w:space="0" w:color="E97132" w:themeColor="accent2"/>
        <w:right w:val="single" w:sz="4" w:space="0" w:color="E97132" w:themeColor="accent2"/>
      </w:tcBorders>
      <w:shd w:val="clear" w:color="auto" w:fill="FAE2D5" w:themeFill="accent2"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281A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AB6"/>
    <w:rPr>
      <w:rFonts w:ascii="Segoe UI" w:hAnsi="Segoe UI" w:cs="Segoe UI"/>
      <w:sz w:val="18"/>
      <w:szCs w:val="18"/>
    </w:rPr>
  </w:style>
  <w:style w:type="paragraph" w:styleId="Bibliography">
    <w:name w:val="Bibliography"/>
    <w:basedOn w:val="Normal"/>
    <w:next w:val="Normal"/>
    <w:uiPriority w:val="37"/>
    <w:semiHidden/>
    <w:unhideWhenUsed/>
    <w:rsid w:val="00281AB6"/>
  </w:style>
  <w:style w:type="paragraph" w:styleId="BlockText">
    <w:name w:val="Block Text"/>
    <w:basedOn w:val="Normal"/>
    <w:uiPriority w:val="99"/>
    <w:semiHidden/>
    <w:unhideWhenUsed/>
    <w:rsid w:val="00281AB6"/>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odyText">
    <w:name w:val="Body Text"/>
    <w:basedOn w:val="Normal"/>
    <w:link w:val="BodyTextChar"/>
    <w:uiPriority w:val="99"/>
    <w:semiHidden/>
    <w:unhideWhenUsed/>
    <w:rsid w:val="00281AB6"/>
    <w:pPr>
      <w:spacing w:after="120"/>
    </w:pPr>
  </w:style>
  <w:style w:type="character" w:customStyle="1" w:styleId="BodyTextChar">
    <w:name w:val="Body Text Char"/>
    <w:basedOn w:val="DefaultParagraphFont"/>
    <w:link w:val="BodyText"/>
    <w:uiPriority w:val="99"/>
    <w:semiHidden/>
    <w:rsid w:val="00281AB6"/>
  </w:style>
  <w:style w:type="paragraph" w:styleId="BodyText2">
    <w:name w:val="Body Text 2"/>
    <w:basedOn w:val="Normal"/>
    <w:link w:val="BodyText2Char"/>
    <w:uiPriority w:val="99"/>
    <w:semiHidden/>
    <w:unhideWhenUsed/>
    <w:rsid w:val="00281AB6"/>
    <w:pPr>
      <w:spacing w:after="120" w:line="480" w:lineRule="auto"/>
    </w:pPr>
  </w:style>
  <w:style w:type="character" w:customStyle="1" w:styleId="BodyText2Char">
    <w:name w:val="Body Text 2 Char"/>
    <w:basedOn w:val="DefaultParagraphFont"/>
    <w:link w:val="BodyText2"/>
    <w:uiPriority w:val="99"/>
    <w:semiHidden/>
    <w:rsid w:val="00281AB6"/>
  </w:style>
  <w:style w:type="paragraph" w:styleId="BodyText3">
    <w:name w:val="Body Text 3"/>
    <w:basedOn w:val="Normal"/>
    <w:link w:val="BodyText3Char"/>
    <w:uiPriority w:val="99"/>
    <w:semiHidden/>
    <w:unhideWhenUsed/>
    <w:rsid w:val="00281AB6"/>
    <w:pPr>
      <w:spacing w:after="120"/>
    </w:pPr>
    <w:rPr>
      <w:sz w:val="16"/>
      <w:szCs w:val="16"/>
    </w:rPr>
  </w:style>
  <w:style w:type="character" w:customStyle="1" w:styleId="BodyText3Char">
    <w:name w:val="Body Text 3 Char"/>
    <w:basedOn w:val="DefaultParagraphFont"/>
    <w:link w:val="BodyText3"/>
    <w:uiPriority w:val="99"/>
    <w:semiHidden/>
    <w:rsid w:val="00281AB6"/>
    <w:rPr>
      <w:sz w:val="16"/>
      <w:szCs w:val="16"/>
    </w:rPr>
  </w:style>
  <w:style w:type="paragraph" w:styleId="BodyTextFirstIndent">
    <w:name w:val="Body Text First Indent"/>
    <w:basedOn w:val="BodyText"/>
    <w:link w:val="BodyTextFirstIndentChar"/>
    <w:uiPriority w:val="99"/>
    <w:semiHidden/>
    <w:unhideWhenUsed/>
    <w:rsid w:val="00281AB6"/>
    <w:pPr>
      <w:spacing w:after="160"/>
      <w:ind w:firstLine="360"/>
    </w:pPr>
  </w:style>
  <w:style w:type="character" w:customStyle="1" w:styleId="BodyTextFirstIndentChar">
    <w:name w:val="Body Text First Indent Char"/>
    <w:basedOn w:val="BodyTextChar"/>
    <w:link w:val="BodyTextFirstIndent"/>
    <w:uiPriority w:val="99"/>
    <w:semiHidden/>
    <w:rsid w:val="00281AB6"/>
  </w:style>
  <w:style w:type="paragraph" w:styleId="BodyTextIndent">
    <w:name w:val="Body Text Indent"/>
    <w:basedOn w:val="Normal"/>
    <w:link w:val="BodyTextIndentChar"/>
    <w:uiPriority w:val="99"/>
    <w:semiHidden/>
    <w:unhideWhenUsed/>
    <w:rsid w:val="00281AB6"/>
    <w:pPr>
      <w:spacing w:after="120"/>
      <w:ind w:left="283"/>
    </w:pPr>
  </w:style>
  <w:style w:type="character" w:customStyle="1" w:styleId="BodyTextIndentChar">
    <w:name w:val="Body Text Indent Char"/>
    <w:basedOn w:val="DefaultParagraphFont"/>
    <w:link w:val="BodyTextIndent"/>
    <w:uiPriority w:val="99"/>
    <w:semiHidden/>
    <w:rsid w:val="00281AB6"/>
  </w:style>
  <w:style w:type="paragraph" w:styleId="BodyTextFirstIndent2">
    <w:name w:val="Body Text First Indent 2"/>
    <w:basedOn w:val="BodyTextIndent"/>
    <w:link w:val="BodyTextFirstIndent2Char"/>
    <w:uiPriority w:val="99"/>
    <w:semiHidden/>
    <w:unhideWhenUsed/>
    <w:rsid w:val="00281AB6"/>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281AB6"/>
  </w:style>
  <w:style w:type="paragraph" w:styleId="BodyTextIndent2">
    <w:name w:val="Body Text Indent 2"/>
    <w:basedOn w:val="Normal"/>
    <w:link w:val="BodyTextIndent2Char"/>
    <w:uiPriority w:val="99"/>
    <w:semiHidden/>
    <w:unhideWhenUsed/>
    <w:rsid w:val="00281AB6"/>
    <w:pPr>
      <w:spacing w:after="120" w:line="480" w:lineRule="auto"/>
      <w:ind w:left="283"/>
    </w:pPr>
  </w:style>
  <w:style w:type="character" w:customStyle="1" w:styleId="BodyTextIndent2Char">
    <w:name w:val="Body Text Indent 2 Char"/>
    <w:basedOn w:val="DefaultParagraphFont"/>
    <w:link w:val="BodyTextIndent2"/>
    <w:uiPriority w:val="99"/>
    <w:semiHidden/>
    <w:rsid w:val="00281AB6"/>
  </w:style>
  <w:style w:type="paragraph" w:styleId="BodyTextIndent3">
    <w:name w:val="Body Text Indent 3"/>
    <w:basedOn w:val="Normal"/>
    <w:link w:val="BodyTextIndent3Char"/>
    <w:uiPriority w:val="99"/>
    <w:semiHidden/>
    <w:unhideWhenUsed/>
    <w:rsid w:val="00281AB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81AB6"/>
    <w:rPr>
      <w:sz w:val="16"/>
      <w:szCs w:val="16"/>
    </w:rPr>
  </w:style>
  <w:style w:type="paragraph" w:styleId="Closing">
    <w:name w:val="Closing"/>
    <w:basedOn w:val="Normal"/>
    <w:link w:val="ClosingChar"/>
    <w:uiPriority w:val="99"/>
    <w:semiHidden/>
    <w:unhideWhenUsed/>
    <w:rsid w:val="00281AB6"/>
    <w:pPr>
      <w:spacing w:after="0" w:line="240" w:lineRule="auto"/>
      <w:ind w:left="4252"/>
    </w:pPr>
  </w:style>
  <w:style w:type="character" w:customStyle="1" w:styleId="ClosingChar">
    <w:name w:val="Closing Char"/>
    <w:basedOn w:val="DefaultParagraphFont"/>
    <w:link w:val="Closing"/>
    <w:uiPriority w:val="99"/>
    <w:semiHidden/>
    <w:rsid w:val="00281AB6"/>
  </w:style>
  <w:style w:type="paragraph" w:styleId="Date">
    <w:name w:val="Date"/>
    <w:basedOn w:val="Normal"/>
    <w:next w:val="Normal"/>
    <w:link w:val="DateChar"/>
    <w:uiPriority w:val="99"/>
    <w:semiHidden/>
    <w:unhideWhenUsed/>
    <w:rsid w:val="00281AB6"/>
  </w:style>
  <w:style w:type="character" w:customStyle="1" w:styleId="DateChar">
    <w:name w:val="Date Char"/>
    <w:basedOn w:val="DefaultParagraphFont"/>
    <w:link w:val="Date"/>
    <w:uiPriority w:val="99"/>
    <w:semiHidden/>
    <w:rsid w:val="00281AB6"/>
  </w:style>
  <w:style w:type="paragraph" w:styleId="DocumentMap">
    <w:name w:val="Document Map"/>
    <w:basedOn w:val="Normal"/>
    <w:link w:val="DocumentMapChar"/>
    <w:uiPriority w:val="99"/>
    <w:semiHidden/>
    <w:unhideWhenUsed/>
    <w:rsid w:val="00281AB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81AB6"/>
    <w:rPr>
      <w:rFonts w:ascii="Segoe UI" w:hAnsi="Segoe UI" w:cs="Segoe UI"/>
      <w:sz w:val="16"/>
      <w:szCs w:val="16"/>
    </w:rPr>
  </w:style>
  <w:style w:type="paragraph" w:styleId="E-mailSignature">
    <w:name w:val="E-mail Signature"/>
    <w:basedOn w:val="Normal"/>
    <w:link w:val="E-mailSignatureChar"/>
    <w:uiPriority w:val="99"/>
    <w:semiHidden/>
    <w:unhideWhenUsed/>
    <w:rsid w:val="00281AB6"/>
    <w:pPr>
      <w:spacing w:after="0" w:line="240" w:lineRule="auto"/>
    </w:pPr>
  </w:style>
  <w:style w:type="character" w:customStyle="1" w:styleId="E-mailSignatureChar">
    <w:name w:val="E-mail Signature Char"/>
    <w:basedOn w:val="DefaultParagraphFont"/>
    <w:link w:val="E-mailSignature"/>
    <w:uiPriority w:val="99"/>
    <w:semiHidden/>
    <w:rsid w:val="00281AB6"/>
  </w:style>
  <w:style w:type="paragraph" w:styleId="EnvelopeAddress">
    <w:name w:val="envelope address"/>
    <w:basedOn w:val="Normal"/>
    <w:uiPriority w:val="99"/>
    <w:semiHidden/>
    <w:unhideWhenUsed/>
    <w:rsid w:val="00281AB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81AB6"/>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281AB6"/>
    <w:pPr>
      <w:spacing w:after="0" w:line="240" w:lineRule="auto"/>
    </w:pPr>
    <w:rPr>
      <w:i/>
      <w:iCs/>
    </w:rPr>
  </w:style>
  <w:style w:type="character" w:customStyle="1" w:styleId="HTMLAddressChar">
    <w:name w:val="HTML Address Char"/>
    <w:basedOn w:val="DefaultParagraphFont"/>
    <w:link w:val="HTMLAddress"/>
    <w:uiPriority w:val="99"/>
    <w:semiHidden/>
    <w:rsid w:val="00281AB6"/>
    <w:rPr>
      <w:i/>
      <w:iCs/>
    </w:rPr>
  </w:style>
  <w:style w:type="paragraph" w:styleId="HTMLPreformatted">
    <w:name w:val="HTML Preformatted"/>
    <w:basedOn w:val="Normal"/>
    <w:link w:val="HTMLPreformattedChar"/>
    <w:uiPriority w:val="99"/>
    <w:semiHidden/>
    <w:unhideWhenUsed/>
    <w:rsid w:val="00281AB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81AB6"/>
    <w:rPr>
      <w:rFonts w:ascii="Consolas" w:hAnsi="Consolas"/>
      <w:sz w:val="20"/>
      <w:szCs w:val="20"/>
    </w:rPr>
  </w:style>
  <w:style w:type="paragraph" w:styleId="Index1">
    <w:name w:val="index 1"/>
    <w:basedOn w:val="Normal"/>
    <w:next w:val="Normal"/>
    <w:autoRedefine/>
    <w:uiPriority w:val="99"/>
    <w:semiHidden/>
    <w:unhideWhenUsed/>
    <w:rsid w:val="00281AB6"/>
    <w:pPr>
      <w:spacing w:after="0" w:line="240" w:lineRule="auto"/>
      <w:ind w:left="220" w:hanging="220"/>
    </w:pPr>
  </w:style>
  <w:style w:type="paragraph" w:styleId="Index2">
    <w:name w:val="index 2"/>
    <w:basedOn w:val="Normal"/>
    <w:next w:val="Normal"/>
    <w:autoRedefine/>
    <w:uiPriority w:val="99"/>
    <w:semiHidden/>
    <w:unhideWhenUsed/>
    <w:rsid w:val="00281AB6"/>
    <w:pPr>
      <w:spacing w:after="0" w:line="240" w:lineRule="auto"/>
      <w:ind w:left="440" w:hanging="220"/>
    </w:pPr>
  </w:style>
  <w:style w:type="paragraph" w:styleId="Index3">
    <w:name w:val="index 3"/>
    <w:basedOn w:val="Normal"/>
    <w:next w:val="Normal"/>
    <w:autoRedefine/>
    <w:uiPriority w:val="99"/>
    <w:semiHidden/>
    <w:unhideWhenUsed/>
    <w:rsid w:val="00281AB6"/>
    <w:pPr>
      <w:spacing w:after="0" w:line="240" w:lineRule="auto"/>
      <w:ind w:left="660" w:hanging="220"/>
    </w:pPr>
  </w:style>
  <w:style w:type="paragraph" w:styleId="Index4">
    <w:name w:val="index 4"/>
    <w:basedOn w:val="Normal"/>
    <w:next w:val="Normal"/>
    <w:autoRedefine/>
    <w:uiPriority w:val="99"/>
    <w:semiHidden/>
    <w:unhideWhenUsed/>
    <w:rsid w:val="00281AB6"/>
    <w:pPr>
      <w:spacing w:after="0" w:line="240" w:lineRule="auto"/>
      <w:ind w:left="880" w:hanging="220"/>
    </w:pPr>
  </w:style>
  <w:style w:type="paragraph" w:styleId="Index5">
    <w:name w:val="index 5"/>
    <w:basedOn w:val="Normal"/>
    <w:next w:val="Normal"/>
    <w:autoRedefine/>
    <w:uiPriority w:val="99"/>
    <w:semiHidden/>
    <w:unhideWhenUsed/>
    <w:rsid w:val="00281AB6"/>
    <w:pPr>
      <w:spacing w:after="0" w:line="240" w:lineRule="auto"/>
      <w:ind w:left="1100" w:hanging="220"/>
    </w:pPr>
  </w:style>
  <w:style w:type="paragraph" w:styleId="Index6">
    <w:name w:val="index 6"/>
    <w:basedOn w:val="Normal"/>
    <w:next w:val="Normal"/>
    <w:autoRedefine/>
    <w:uiPriority w:val="99"/>
    <w:semiHidden/>
    <w:unhideWhenUsed/>
    <w:rsid w:val="00281AB6"/>
    <w:pPr>
      <w:spacing w:after="0" w:line="240" w:lineRule="auto"/>
      <w:ind w:left="1320" w:hanging="220"/>
    </w:pPr>
  </w:style>
  <w:style w:type="paragraph" w:styleId="Index7">
    <w:name w:val="index 7"/>
    <w:basedOn w:val="Normal"/>
    <w:next w:val="Normal"/>
    <w:autoRedefine/>
    <w:uiPriority w:val="99"/>
    <w:semiHidden/>
    <w:unhideWhenUsed/>
    <w:rsid w:val="00281AB6"/>
    <w:pPr>
      <w:spacing w:after="0" w:line="240" w:lineRule="auto"/>
      <w:ind w:left="1540" w:hanging="220"/>
    </w:pPr>
  </w:style>
  <w:style w:type="paragraph" w:styleId="Index8">
    <w:name w:val="index 8"/>
    <w:basedOn w:val="Normal"/>
    <w:next w:val="Normal"/>
    <w:autoRedefine/>
    <w:uiPriority w:val="99"/>
    <w:semiHidden/>
    <w:unhideWhenUsed/>
    <w:rsid w:val="00281AB6"/>
    <w:pPr>
      <w:spacing w:after="0" w:line="240" w:lineRule="auto"/>
      <w:ind w:left="1760" w:hanging="220"/>
    </w:pPr>
  </w:style>
  <w:style w:type="paragraph" w:styleId="Index9">
    <w:name w:val="index 9"/>
    <w:basedOn w:val="Normal"/>
    <w:next w:val="Normal"/>
    <w:autoRedefine/>
    <w:uiPriority w:val="99"/>
    <w:semiHidden/>
    <w:unhideWhenUsed/>
    <w:rsid w:val="00281AB6"/>
    <w:pPr>
      <w:spacing w:after="0" w:line="240" w:lineRule="auto"/>
      <w:ind w:left="1980" w:hanging="220"/>
    </w:pPr>
  </w:style>
  <w:style w:type="paragraph" w:styleId="IndexHeading">
    <w:name w:val="index heading"/>
    <w:basedOn w:val="Normal"/>
    <w:next w:val="Index1"/>
    <w:uiPriority w:val="99"/>
    <w:semiHidden/>
    <w:unhideWhenUsed/>
    <w:rsid w:val="00281AB6"/>
    <w:rPr>
      <w:rFonts w:asciiTheme="majorHAnsi" w:eastAsiaTheme="majorEastAsia" w:hAnsiTheme="majorHAnsi" w:cstheme="majorBidi"/>
      <w:b/>
      <w:bCs/>
    </w:rPr>
  </w:style>
  <w:style w:type="paragraph" w:styleId="List">
    <w:name w:val="List"/>
    <w:basedOn w:val="Normal"/>
    <w:uiPriority w:val="99"/>
    <w:semiHidden/>
    <w:unhideWhenUsed/>
    <w:rsid w:val="00281AB6"/>
    <w:pPr>
      <w:ind w:left="283" w:hanging="283"/>
      <w:contextualSpacing/>
    </w:pPr>
  </w:style>
  <w:style w:type="paragraph" w:styleId="List2">
    <w:name w:val="List 2"/>
    <w:basedOn w:val="Normal"/>
    <w:uiPriority w:val="99"/>
    <w:semiHidden/>
    <w:unhideWhenUsed/>
    <w:rsid w:val="00281AB6"/>
    <w:pPr>
      <w:ind w:left="566" w:hanging="283"/>
      <w:contextualSpacing/>
    </w:pPr>
  </w:style>
  <w:style w:type="paragraph" w:styleId="List3">
    <w:name w:val="List 3"/>
    <w:basedOn w:val="Normal"/>
    <w:uiPriority w:val="99"/>
    <w:semiHidden/>
    <w:unhideWhenUsed/>
    <w:rsid w:val="00281AB6"/>
    <w:pPr>
      <w:ind w:left="849" w:hanging="283"/>
      <w:contextualSpacing/>
    </w:pPr>
  </w:style>
  <w:style w:type="paragraph" w:styleId="List4">
    <w:name w:val="List 4"/>
    <w:basedOn w:val="Normal"/>
    <w:uiPriority w:val="99"/>
    <w:semiHidden/>
    <w:unhideWhenUsed/>
    <w:rsid w:val="00281AB6"/>
    <w:pPr>
      <w:ind w:left="1132" w:hanging="283"/>
      <w:contextualSpacing/>
    </w:pPr>
  </w:style>
  <w:style w:type="paragraph" w:styleId="List5">
    <w:name w:val="List 5"/>
    <w:basedOn w:val="Normal"/>
    <w:uiPriority w:val="99"/>
    <w:semiHidden/>
    <w:unhideWhenUsed/>
    <w:rsid w:val="00281AB6"/>
    <w:pPr>
      <w:ind w:left="1415" w:hanging="283"/>
      <w:contextualSpacing/>
    </w:pPr>
  </w:style>
  <w:style w:type="paragraph" w:styleId="ListBullet2">
    <w:name w:val="List Bullet 2"/>
    <w:basedOn w:val="Normal"/>
    <w:uiPriority w:val="99"/>
    <w:semiHidden/>
    <w:unhideWhenUsed/>
    <w:rsid w:val="00281AB6"/>
    <w:pPr>
      <w:numPr>
        <w:numId w:val="51"/>
      </w:numPr>
      <w:contextualSpacing/>
    </w:pPr>
  </w:style>
  <w:style w:type="paragraph" w:styleId="ListBullet3">
    <w:name w:val="List Bullet 3"/>
    <w:basedOn w:val="Normal"/>
    <w:uiPriority w:val="99"/>
    <w:semiHidden/>
    <w:unhideWhenUsed/>
    <w:rsid w:val="00281AB6"/>
    <w:pPr>
      <w:numPr>
        <w:numId w:val="52"/>
      </w:numPr>
      <w:contextualSpacing/>
    </w:pPr>
  </w:style>
  <w:style w:type="paragraph" w:styleId="ListBullet4">
    <w:name w:val="List Bullet 4"/>
    <w:basedOn w:val="Normal"/>
    <w:uiPriority w:val="99"/>
    <w:semiHidden/>
    <w:unhideWhenUsed/>
    <w:rsid w:val="00281AB6"/>
    <w:pPr>
      <w:numPr>
        <w:numId w:val="53"/>
      </w:numPr>
      <w:contextualSpacing/>
    </w:pPr>
  </w:style>
  <w:style w:type="paragraph" w:styleId="ListBullet5">
    <w:name w:val="List Bullet 5"/>
    <w:basedOn w:val="Normal"/>
    <w:uiPriority w:val="99"/>
    <w:semiHidden/>
    <w:unhideWhenUsed/>
    <w:rsid w:val="00281AB6"/>
    <w:pPr>
      <w:numPr>
        <w:numId w:val="54"/>
      </w:numPr>
      <w:contextualSpacing/>
    </w:pPr>
  </w:style>
  <w:style w:type="paragraph" w:styleId="ListContinue">
    <w:name w:val="List Continue"/>
    <w:basedOn w:val="Normal"/>
    <w:uiPriority w:val="99"/>
    <w:semiHidden/>
    <w:unhideWhenUsed/>
    <w:rsid w:val="00281AB6"/>
    <w:pPr>
      <w:spacing w:after="120"/>
      <w:ind w:left="283"/>
      <w:contextualSpacing/>
    </w:pPr>
  </w:style>
  <w:style w:type="paragraph" w:styleId="ListContinue2">
    <w:name w:val="List Continue 2"/>
    <w:basedOn w:val="Normal"/>
    <w:uiPriority w:val="99"/>
    <w:semiHidden/>
    <w:unhideWhenUsed/>
    <w:rsid w:val="00281AB6"/>
    <w:pPr>
      <w:spacing w:after="120"/>
      <w:ind w:left="566"/>
      <w:contextualSpacing/>
    </w:pPr>
  </w:style>
  <w:style w:type="paragraph" w:styleId="ListContinue3">
    <w:name w:val="List Continue 3"/>
    <w:basedOn w:val="Normal"/>
    <w:uiPriority w:val="99"/>
    <w:semiHidden/>
    <w:unhideWhenUsed/>
    <w:rsid w:val="00281AB6"/>
    <w:pPr>
      <w:spacing w:after="120"/>
      <w:ind w:left="849"/>
      <w:contextualSpacing/>
    </w:pPr>
  </w:style>
  <w:style w:type="paragraph" w:styleId="ListContinue4">
    <w:name w:val="List Continue 4"/>
    <w:basedOn w:val="Normal"/>
    <w:uiPriority w:val="99"/>
    <w:semiHidden/>
    <w:unhideWhenUsed/>
    <w:rsid w:val="00281AB6"/>
    <w:pPr>
      <w:spacing w:after="120"/>
      <w:ind w:left="1132"/>
      <w:contextualSpacing/>
    </w:pPr>
  </w:style>
  <w:style w:type="paragraph" w:styleId="ListContinue5">
    <w:name w:val="List Continue 5"/>
    <w:basedOn w:val="Normal"/>
    <w:uiPriority w:val="99"/>
    <w:semiHidden/>
    <w:unhideWhenUsed/>
    <w:rsid w:val="00281AB6"/>
    <w:pPr>
      <w:spacing w:after="120"/>
      <w:ind w:left="1415"/>
      <w:contextualSpacing/>
    </w:pPr>
  </w:style>
  <w:style w:type="paragraph" w:styleId="ListNumber">
    <w:name w:val="List Number"/>
    <w:basedOn w:val="Normal"/>
    <w:uiPriority w:val="99"/>
    <w:semiHidden/>
    <w:unhideWhenUsed/>
    <w:rsid w:val="00281AB6"/>
    <w:pPr>
      <w:numPr>
        <w:numId w:val="55"/>
      </w:numPr>
      <w:contextualSpacing/>
    </w:pPr>
  </w:style>
  <w:style w:type="paragraph" w:styleId="ListNumber2">
    <w:name w:val="List Number 2"/>
    <w:basedOn w:val="Normal"/>
    <w:uiPriority w:val="99"/>
    <w:semiHidden/>
    <w:unhideWhenUsed/>
    <w:rsid w:val="00281AB6"/>
    <w:pPr>
      <w:numPr>
        <w:numId w:val="56"/>
      </w:numPr>
      <w:contextualSpacing/>
    </w:pPr>
  </w:style>
  <w:style w:type="paragraph" w:styleId="ListNumber3">
    <w:name w:val="List Number 3"/>
    <w:basedOn w:val="Normal"/>
    <w:uiPriority w:val="99"/>
    <w:semiHidden/>
    <w:unhideWhenUsed/>
    <w:rsid w:val="00281AB6"/>
    <w:pPr>
      <w:numPr>
        <w:numId w:val="57"/>
      </w:numPr>
      <w:contextualSpacing/>
    </w:pPr>
  </w:style>
  <w:style w:type="paragraph" w:styleId="ListNumber4">
    <w:name w:val="List Number 4"/>
    <w:basedOn w:val="Normal"/>
    <w:uiPriority w:val="99"/>
    <w:semiHidden/>
    <w:unhideWhenUsed/>
    <w:rsid w:val="00281AB6"/>
    <w:pPr>
      <w:numPr>
        <w:numId w:val="58"/>
      </w:numPr>
      <w:contextualSpacing/>
    </w:pPr>
  </w:style>
  <w:style w:type="paragraph" w:styleId="ListNumber5">
    <w:name w:val="List Number 5"/>
    <w:basedOn w:val="Normal"/>
    <w:uiPriority w:val="99"/>
    <w:semiHidden/>
    <w:unhideWhenUsed/>
    <w:rsid w:val="00281AB6"/>
    <w:pPr>
      <w:numPr>
        <w:numId w:val="59"/>
      </w:numPr>
      <w:contextualSpacing/>
    </w:pPr>
  </w:style>
  <w:style w:type="paragraph" w:styleId="MacroText">
    <w:name w:val="macro"/>
    <w:link w:val="MacroTextChar"/>
    <w:uiPriority w:val="99"/>
    <w:semiHidden/>
    <w:unhideWhenUsed/>
    <w:rsid w:val="00281AB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281AB6"/>
    <w:rPr>
      <w:rFonts w:ascii="Consolas" w:hAnsi="Consolas"/>
      <w:sz w:val="20"/>
      <w:szCs w:val="20"/>
    </w:rPr>
  </w:style>
  <w:style w:type="paragraph" w:styleId="MessageHeader">
    <w:name w:val="Message Header"/>
    <w:basedOn w:val="Normal"/>
    <w:link w:val="MessageHeaderChar"/>
    <w:uiPriority w:val="99"/>
    <w:semiHidden/>
    <w:unhideWhenUsed/>
    <w:rsid w:val="00281AB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81AB6"/>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281AB6"/>
    <w:pPr>
      <w:ind w:left="720"/>
    </w:pPr>
  </w:style>
  <w:style w:type="paragraph" w:styleId="NoteHeading">
    <w:name w:val="Note Heading"/>
    <w:basedOn w:val="Normal"/>
    <w:next w:val="Normal"/>
    <w:link w:val="NoteHeadingChar"/>
    <w:uiPriority w:val="99"/>
    <w:semiHidden/>
    <w:unhideWhenUsed/>
    <w:rsid w:val="00281AB6"/>
    <w:pPr>
      <w:spacing w:after="0" w:line="240" w:lineRule="auto"/>
    </w:pPr>
  </w:style>
  <w:style w:type="character" w:customStyle="1" w:styleId="NoteHeadingChar">
    <w:name w:val="Note Heading Char"/>
    <w:basedOn w:val="DefaultParagraphFont"/>
    <w:link w:val="NoteHeading"/>
    <w:uiPriority w:val="99"/>
    <w:semiHidden/>
    <w:rsid w:val="00281AB6"/>
  </w:style>
  <w:style w:type="paragraph" w:styleId="PlainText">
    <w:name w:val="Plain Text"/>
    <w:basedOn w:val="Normal"/>
    <w:link w:val="PlainTextChar"/>
    <w:uiPriority w:val="99"/>
    <w:semiHidden/>
    <w:unhideWhenUsed/>
    <w:rsid w:val="00281AB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81AB6"/>
    <w:rPr>
      <w:rFonts w:ascii="Consolas" w:hAnsi="Consolas"/>
      <w:sz w:val="21"/>
      <w:szCs w:val="21"/>
    </w:rPr>
  </w:style>
  <w:style w:type="paragraph" w:styleId="Salutation">
    <w:name w:val="Salutation"/>
    <w:basedOn w:val="Normal"/>
    <w:next w:val="Normal"/>
    <w:link w:val="SalutationChar"/>
    <w:uiPriority w:val="99"/>
    <w:semiHidden/>
    <w:unhideWhenUsed/>
    <w:rsid w:val="00281AB6"/>
  </w:style>
  <w:style w:type="character" w:customStyle="1" w:styleId="SalutationChar">
    <w:name w:val="Salutation Char"/>
    <w:basedOn w:val="DefaultParagraphFont"/>
    <w:link w:val="Salutation"/>
    <w:uiPriority w:val="99"/>
    <w:semiHidden/>
    <w:rsid w:val="00281AB6"/>
  </w:style>
  <w:style w:type="paragraph" w:styleId="Signature">
    <w:name w:val="Signature"/>
    <w:basedOn w:val="Normal"/>
    <w:link w:val="SignatureChar"/>
    <w:uiPriority w:val="99"/>
    <w:semiHidden/>
    <w:unhideWhenUsed/>
    <w:rsid w:val="00281AB6"/>
    <w:pPr>
      <w:spacing w:after="0" w:line="240" w:lineRule="auto"/>
      <w:ind w:left="4252"/>
    </w:pPr>
  </w:style>
  <w:style w:type="character" w:customStyle="1" w:styleId="SignatureChar">
    <w:name w:val="Signature Char"/>
    <w:basedOn w:val="DefaultParagraphFont"/>
    <w:link w:val="Signature"/>
    <w:uiPriority w:val="99"/>
    <w:semiHidden/>
    <w:rsid w:val="00281AB6"/>
  </w:style>
  <w:style w:type="paragraph" w:styleId="TableofAuthorities">
    <w:name w:val="table of authorities"/>
    <w:basedOn w:val="Normal"/>
    <w:next w:val="Normal"/>
    <w:uiPriority w:val="99"/>
    <w:semiHidden/>
    <w:unhideWhenUsed/>
    <w:rsid w:val="00281AB6"/>
    <w:pPr>
      <w:spacing w:after="0"/>
      <w:ind w:left="220" w:hanging="220"/>
    </w:pPr>
  </w:style>
  <w:style w:type="paragraph" w:styleId="TableofFigures">
    <w:name w:val="table of figures"/>
    <w:basedOn w:val="Normal"/>
    <w:next w:val="Normal"/>
    <w:uiPriority w:val="99"/>
    <w:semiHidden/>
    <w:unhideWhenUsed/>
    <w:rsid w:val="00281AB6"/>
    <w:pPr>
      <w:spacing w:after="0"/>
    </w:pPr>
  </w:style>
  <w:style w:type="paragraph" w:styleId="TOAHeading">
    <w:name w:val="toa heading"/>
    <w:basedOn w:val="Normal"/>
    <w:next w:val="Normal"/>
    <w:uiPriority w:val="99"/>
    <w:semiHidden/>
    <w:unhideWhenUsed/>
    <w:rsid w:val="00281AB6"/>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4062">
      <w:bodyDiv w:val="1"/>
      <w:marLeft w:val="0"/>
      <w:marRight w:val="0"/>
      <w:marTop w:val="0"/>
      <w:marBottom w:val="0"/>
      <w:divBdr>
        <w:top w:val="none" w:sz="0" w:space="0" w:color="auto"/>
        <w:left w:val="none" w:sz="0" w:space="0" w:color="auto"/>
        <w:bottom w:val="none" w:sz="0" w:space="0" w:color="auto"/>
        <w:right w:val="none" w:sz="0" w:space="0" w:color="auto"/>
      </w:divBdr>
    </w:div>
    <w:div w:id="31156424">
      <w:bodyDiv w:val="1"/>
      <w:marLeft w:val="0"/>
      <w:marRight w:val="0"/>
      <w:marTop w:val="0"/>
      <w:marBottom w:val="0"/>
      <w:divBdr>
        <w:top w:val="none" w:sz="0" w:space="0" w:color="auto"/>
        <w:left w:val="none" w:sz="0" w:space="0" w:color="auto"/>
        <w:bottom w:val="none" w:sz="0" w:space="0" w:color="auto"/>
        <w:right w:val="none" w:sz="0" w:space="0" w:color="auto"/>
      </w:divBdr>
      <w:divsChild>
        <w:div w:id="122699456">
          <w:marLeft w:val="0"/>
          <w:marRight w:val="0"/>
          <w:marTop w:val="0"/>
          <w:marBottom w:val="0"/>
          <w:divBdr>
            <w:top w:val="none" w:sz="0" w:space="0" w:color="auto"/>
            <w:left w:val="none" w:sz="0" w:space="0" w:color="auto"/>
            <w:bottom w:val="none" w:sz="0" w:space="0" w:color="auto"/>
            <w:right w:val="none" w:sz="0" w:space="0" w:color="auto"/>
          </w:divBdr>
        </w:div>
        <w:div w:id="1439718563">
          <w:marLeft w:val="0"/>
          <w:marRight w:val="0"/>
          <w:marTop w:val="0"/>
          <w:marBottom w:val="0"/>
          <w:divBdr>
            <w:top w:val="none" w:sz="0" w:space="0" w:color="auto"/>
            <w:left w:val="none" w:sz="0" w:space="0" w:color="auto"/>
            <w:bottom w:val="none" w:sz="0" w:space="0" w:color="auto"/>
            <w:right w:val="none" w:sz="0" w:space="0" w:color="auto"/>
          </w:divBdr>
        </w:div>
        <w:div w:id="1831674792">
          <w:marLeft w:val="0"/>
          <w:marRight w:val="0"/>
          <w:marTop w:val="0"/>
          <w:marBottom w:val="0"/>
          <w:divBdr>
            <w:top w:val="none" w:sz="0" w:space="0" w:color="auto"/>
            <w:left w:val="none" w:sz="0" w:space="0" w:color="auto"/>
            <w:bottom w:val="none" w:sz="0" w:space="0" w:color="auto"/>
            <w:right w:val="none" w:sz="0" w:space="0" w:color="auto"/>
          </w:divBdr>
        </w:div>
      </w:divsChild>
    </w:div>
    <w:div w:id="38864455">
      <w:bodyDiv w:val="1"/>
      <w:marLeft w:val="0"/>
      <w:marRight w:val="0"/>
      <w:marTop w:val="0"/>
      <w:marBottom w:val="0"/>
      <w:divBdr>
        <w:top w:val="none" w:sz="0" w:space="0" w:color="auto"/>
        <w:left w:val="none" w:sz="0" w:space="0" w:color="auto"/>
        <w:bottom w:val="none" w:sz="0" w:space="0" w:color="auto"/>
        <w:right w:val="none" w:sz="0" w:space="0" w:color="auto"/>
      </w:divBdr>
    </w:div>
    <w:div w:id="44526397">
      <w:bodyDiv w:val="1"/>
      <w:marLeft w:val="0"/>
      <w:marRight w:val="0"/>
      <w:marTop w:val="0"/>
      <w:marBottom w:val="0"/>
      <w:divBdr>
        <w:top w:val="none" w:sz="0" w:space="0" w:color="auto"/>
        <w:left w:val="none" w:sz="0" w:space="0" w:color="auto"/>
        <w:bottom w:val="none" w:sz="0" w:space="0" w:color="auto"/>
        <w:right w:val="none" w:sz="0" w:space="0" w:color="auto"/>
      </w:divBdr>
    </w:div>
    <w:div w:id="74668607">
      <w:bodyDiv w:val="1"/>
      <w:marLeft w:val="0"/>
      <w:marRight w:val="0"/>
      <w:marTop w:val="0"/>
      <w:marBottom w:val="0"/>
      <w:divBdr>
        <w:top w:val="none" w:sz="0" w:space="0" w:color="auto"/>
        <w:left w:val="none" w:sz="0" w:space="0" w:color="auto"/>
        <w:bottom w:val="none" w:sz="0" w:space="0" w:color="auto"/>
        <w:right w:val="none" w:sz="0" w:space="0" w:color="auto"/>
      </w:divBdr>
      <w:divsChild>
        <w:div w:id="864253022">
          <w:marLeft w:val="0"/>
          <w:marRight w:val="0"/>
          <w:marTop w:val="0"/>
          <w:marBottom w:val="0"/>
          <w:divBdr>
            <w:top w:val="none" w:sz="0" w:space="0" w:color="auto"/>
            <w:left w:val="none" w:sz="0" w:space="0" w:color="auto"/>
            <w:bottom w:val="none" w:sz="0" w:space="0" w:color="auto"/>
            <w:right w:val="none" w:sz="0" w:space="0" w:color="auto"/>
          </w:divBdr>
          <w:divsChild>
            <w:div w:id="1455901622">
              <w:marLeft w:val="0"/>
              <w:marRight w:val="0"/>
              <w:marTop w:val="0"/>
              <w:marBottom w:val="0"/>
              <w:divBdr>
                <w:top w:val="none" w:sz="0" w:space="0" w:color="auto"/>
                <w:left w:val="none" w:sz="0" w:space="0" w:color="auto"/>
                <w:bottom w:val="none" w:sz="0" w:space="0" w:color="auto"/>
                <w:right w:val="none" w:sz="0" w:space="0" w:color="auto"/>
              </w:divBdr>
              <w:divsChild>
                <w:div w:id="522742180">
                  <w:marLeft w:val="0"/>
                  <w:marRight w:val="0"/>
                  <w:marTop w:val="0"/>
                  <w:marBottom w:val="0"/>
                  <w:divBdr>
                    <w:top w:val="none" w:sz="0" w:space="0" w:color="auto"/>
                    <w:left w:val="none" w:sz="0" w:space="0" w:color="auto"/>
                    <w:bottom w:val="none" w:sz="0" w:space="0" w:color="auto"/>
                    <w:right w:val="none" w:sz="0" w:space="0" w:color="auto"/>
                  </w:divBdr>
                  <w:divsChild>
                    <w:div w:id="102459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07948">
      <w:bodyDiv w:val="1"/>
      <w:marLeft w:val="0"/>
      <w:marRight w:val="0"/>
      <w:marTop w:val="0"/>
      <w:marBottom w:val="0"/>
      <w:divBdr>
        <w:top w:val="none" w:sz="0" w:space="0" w:color="auto"/>
        <w:left w:val="none" w:sz="0" w:space="0" w:color="auto"/>
        <w:bottom w:val="none" w:sz="0" w:space="0" w:color="auto"/>
        <w:right w:val="none" w:sz="0" w:space="0" w:color="auto"/>
      </w:divBdr>
      <w:divsChild>
        <w:div w:id="281304848">
          <w:marLeft w:val="0"/>
          <w:marRight w:val="0"/>
          <w:marTop w:val="0"/>
          <w:marBottom w:val="0"/>
          <w:divBdr>
            <w:top w:val="none" w:sz="0" w:space="0" w:color="auto"/>
            <w:left w:val="none" w:sz="0" w:space="0" w:color="auto"/>
            <w:bottom w:val="none" w:sz="0" w:space="0" w:color="auto"/>
            <w:right w:val="none" w:sz="0" w:space="0" w:color="auto"/>
          </w:divBdr>
          <w:divsChild>
            <w:div w:id="467823717">
              <w:marLeft w:val="0"/>
              <w:marRight w:val="0"/>
              <w:marTop w:val="0"/>
              <w:marBottom w:val="0"/>
              <w:divBdr>
                <w:top w:val="none" w:sz="0" w:space="0" w:color="auto"/>
                <w:left w:val="none" w:sz="0" w:space="0" w:color="auto"/>
                <w:bottom w:val="none" w:sz="0" w:space="0" w:color="auto"/>
                <w:right w:val="none" w:sz="0" w:space="0" w:color="auto"/>
              </w:divBdr>
              <w:divsChild>
                <w:div w:id="762071720">
                  <w:marLeft w:val="0"/>
                  <w:marRight w:val="0"/>
                  <w:marTop w:val="0"/>
                  <w:marBottom w:val="0"/>
                  <w:divBdr>
                    <w:top w:val="none" w:sz="0" w:space="0" w:color="auto"/>
                    <w:left w:val="none" w:sz="0" w:space="0" w:color="auto"/>
                    <w:bottom w:val="none" w:sz="0" w:space="0" w:color="auto"/>
                    <w:right w:val="none" w:sz="0" w:space="0" w:color="auto"/>
                  </w:divBdr>
                  <w:divsChild>
                    <w:div w:id="170833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843378">
          <w:marLeft w:val="0"/>
          <w:marRight w:val="0"/>
          <w:marTop w:val="0"/>
          <w:marBottom w:val="0"/>
          <w:divBdr>
            <w:top w:val="none" w:sz="0" w:space="0" w:color="auto"/>
            <w:left w:val="none" w:sz="0" w:space="0" w:color="auto"/>
            <w:bottom w:val="none" w:sz="0" w:space="0" w:color="auto"/>
            <w:right w:val="none" w:sz="0" w:space="0" w:color="auto"/>
          </w:divBdr>
          <w:divsChild>
            <w:div w:id="97625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0476">
      <w:bodyDiv w:val="1"/>
      <w:marLeft w:val="0"/>
      <w:marRight w:val="0"/>
      <w:marTop w:val="0"/>
      <w:marBottom w:val="0"/>
      <w:divBdr>
        <w:top w:val="none" w:sz="0" w:space="0" w:color="auto"/>
        <w:left w:val="none" w:sz="0" w:space="0" w:color="auto"/>
        <w:bottom w:val="none" w:sz="0" w:space="0" w:color="auto"/>
        <w:right w:val="none" w:sz="0" w:space="0" w:color="auto"/>
      </w:divBdr>
    </w:div>
    <w:div w:id="160976535">
      <w:bodyDiv w:val="1"/>
      <w:marLeft w:val="0"/>
      <w:marRight w:val="0"/>
      <w:marTop w:val="0"/>
      <w:marBottom w:val="0"/>
      <w:divBdr>
        <w:top w:val="none" w:sz="0" w:space="0" w:color="auto"/>
        <w:left w:val="none" w:sz="0" w:space="0" w:color="auto"/>
        <w:bottom w:val="none" w:sz="0" w:space="0" w:color="auto"/>
        <w:right w:val="none" w:sz="0" w:space="0" w:color="auto"/>
      </w:divBdr>
    </w:div>
    <w:div w:id="163934761">
      <w:bodyDiv w:val="1"/>
      <w:marLeft w:val="0"/>
      <w:marRight w:val="0"/>
      <w:marTop w:val="0"/>
      <w:marBottom w:val="0"/>
      <w:divBdr>
        <w:top w:val="none" w:sz="0" w:space="0" w:color="auto"/>
        <w:left w:val="none" w:sz="0" w:space="0" w:color="auto"/>
        <w:bottom w:val="none" w:sz="0" w:space="0" w:color="auto"/>
        <w:right w:val="none" w:sz="0" w:space="0" w:color="auto"/>
      </w:divBdr>
      <w:divsChild>
        <w:div w:id="429279860">
          <w:marLeft w:val="0"/>
          <w:marRight w:val="0"/>
          <w:marTop w:val="0"/>
          <w:marBottom w:val="0"/>
          <w:divBdr>
            <w:top w:val="none" w:sz="0" w:space="0" w:color="auto"/>
            <w:left w:val="none" w:sz="0" w:space="0" w:color="auto"/>
            <w:bottom w:val="none" w:sz="0" w:space="0" w:color="auto"/>
            <w:right w:val="none" w:sz="0" w:space="0" w:color="auto"/>
          </w:divBdr>
        </w:div>
        <w:div w:id="1406224262">
          <w:marLeft w:val="0"/>
          <w:marRight w:val="0"/>
          <w:marTop w:val="0"/>
          <w:marBottom w:val="0"/>
          <w:divBdr>
            <w:top w:val="none" w:sz="0" w:space="0" w:color="auto"/>
            <w:left w:val="none" w:sz="0" w:space="0" w:color="auto"/>
            <w:bottom w:val="none" w:sz="0" w:space="0" w:color="auto"/>
            <w:right w:val="none" w:sz="0" w:space="0" w:color="auto"/>
          </w:divBdr>
        </w:div>
        <w:div w:id="1416703930">
          <w:marLeft w:val="0"/>
          <w:marRight w:val="0"/>
          <w:marTop w:val="0"/>
          <w:marBottom w:val="0"/>
          <w:divBdr>
            <w:top w:val="none" w:sz="0" w:space="0" w:color="auto"/>
            <w:left w:val="none" w:sz="0" w:space="0" w:color="auto"/>
            <w:bottom w:val="none" w:sz="0" w:space="0" w:color="auto"/>
            <w:right w:val="none" w:sz="0" w:space="0" w:color="auto"/>
          </w:divBdr>
        </w:div>
        <w:div w:id="1785344849">
          <w:marLeft w:val="0"/>
          <w:marRight w:val="0"/>
          <w:marTop w:val="0"/>
          <w:marBottom w:val="0"/>
          <w:divBdr>
            <w:top w:val="none" w:sz="0" w:space="0" w:color="auto"/>
            <w:left w:val="none" w:sz="0" w:space="0" w:color="auto"/>
            <w:bottom w:val="none" w:sz="0" w:space="0" w:color="auto"/>
            <w:right w:val="none" w:sz="0" w:space="0" w:color="auto"/>
          </w:divBdr>
        </w:div>
      </w:divsChild>
    </w:div>
    <w:div w:id="176039794">
      <w:bodyDiv w:val="1"/>
      <w:marLeft w:val="0"/>
      <w:marRight w:val="0"/>
      <w:marTop w:val="0"/>
      <w:marBottom w:val="0"/>
      <w:divBdr>
        <w:top w:val="none" w:sz="0" w:space="0" w:color="auto"/>
        <w:left w:val="none" w:sz="0" w:space="0" w:color="auto"/>
        <w:bottom w:val="none" w:sz="0" w:space="0" w:color="auto"/>
        <w:right w:val="none" w:sz="0" w:space="0" w:color="auto"/>
      </w:divBdr>
      <w:divsChild>
        <w:div w:id="358360490">
          <w:marLeft w:val="0"/>
          <w:marRight w:val="0"/>
          <w:marTop w:val="0"/>
          <w:marBottom w:val="0"/>
          <w:divBdr>
            <w:top w:val="none" w:sz="0" w:space="0" w:color="auto"/>
            <w:left w:val="none" w:sz="0" w:space="0" w:color="auto"/>
            <w:bottom w:val="none" w:sz="0" w:space="0" w:color="auto"/>
            <w:right w:val="none" w:sz="0" w:space="0" w:color="auto"/>
          </w:divBdr>
        </w:div>
        <w:div w:id="1325206913">
          <w:marLeft w:val="0"/>
          <w:marRight w:val="0"/>
          <w:marTop w:val="0"/>
          <w:marBottom w:val="0"/>
          <w:divBdr>
            <w:top w:val="none" w:sz="0" w:space="0" w:color="auto"/>
            <w:left w:val="none" w:sz="0" w:space="0" w:color="auto"/>
            <w:bottom w:val="none" w:sz="0" w:space="0" w:color="auto"/>
            <w:right w:val="none" w:sz="0" w:space="0" w:color="auto"/>
          </w:divBdr>
        </w:div>
      </w:divsChild>
    </w:div>
    <w:div w:id="213274439">
      <w:bodyDiv w:val="1"/>
      <w:marLeft w:val="0"/>
      <w:marRight w:val="0"/>
      <w:marTop w:val="0"/>
      <w:marBottom w:val="0"/>
      <w:divBdr>
        <w:top w:val="none" w:sz="0" w:space="0" w:color="auto"/>
        <w:left w:val="none" w:sz="0" w:space="0" w:color="auto"/>
        <w:bottom w:val="none" w:sz="0" w:space="0" w:color="auto"/>
        <w:right w:val="none" w:sz="0" w:space="0" w:color="auto"/>
      </w:divBdr>
    </w:div>
    <w:div w:id="228926233">
      <w:bodyDiv w:val="1"/>
      <w:marLeft w:val="0"/>
      <w:marRight w:val="0"/>
      <w:marTop w:val="0"/>
      <w:marBottom w:val="0"/>
      <w:divBdr>
        <w:top w:val="none" w:sz="0" w:space="0" w:color="auto"/>
        <w:left w:val="none" w:sz="0" w:space="0" w:color="auto"/>
        <w:bottom w:val="none" w:sz="0" w:space="0" w:color="auto"/>
        <w:right w:val="none" w:sz="0" w:space="0" w:color="auto"/>
      </w:divBdr>
    </w:div>
    <w:div w:id="247470713">
      <w:bodyDiv w:val="1"/>
      <w:marLeft w:val="0"/>
      <w:marRight w:val="0"/>
      <w:marTop w:val="0"/>
      <w:marBottom w:val="0"/>
      <w:divBdr>
        <w:top w:val="none" w:sz="0" w:space="0" w:color="auto"/>
        <w:left w:val="none" w:sz="0" w:space="0" w:color="auto"/>
        <w:bottom w:val="none" w:sz="0" w:space="0" w:color="auto"/>
        <w:right w:val="none" w:sz="0" w:space="0" w:color="auto"/>
      </w:divBdr>
    </w:div>
    <w:div w:id="261305497">
      <w:bodyDiv w:val="1"/>
      <w:marLeft w:val="0"/>
      <w:marRight w:val="0"/>
      <w:marTop w:val="0"/>
      <w:marBottom w:val="0"/>
      <w:divBdr>
        <w:top w:val="none" w:sz="0" w:space="0" w:color="auto"/>
        <w:left w:val="none" w:sz="0" w:space="0" w:color="auto"/>
        <w:bottom w:val="none" w:sz="0" w:space="0" w:color="auto"/>
        <w:right w:val="none" w:sz="0" w:space="0" w:color="auto"/>
      </w:divBdr>
      <w:divsChild>
        <w:div w:id="153110073">
          <w:marLeft w:val="0"/>
          <w:marRight w:val="0"/>
          <w:marTop w:val="0"/>
          <w:marBottom w:val="0"/>
          <w:divBdr>
            <w:top w:val="none" w:sz="0" w:space="0" w:color="auto"/>
            <w:left w:val="none" w:sz="0" w:space="0" w:color="auto"/>
            <w:bottom w:val="none" w:sz="0" w:space="0" w:color="auto"/>
            <w:right w:val="none" w:sz="0" w:space="0" w:color="auto"/>
          </w:divBdr>
          <w:divsChild>
            <w:div w:id="1632587832">
              <w:marLeft w:val="0"/>
              <w:marRight w:val="0"/>
              <w:marTop w:val="0"/>
              <w:marBottom w:val="0"/>
              <w:divBdr>
                <w:top w:val="none" w:sz="0" w:space="0" w:color="auto"/>
                <w:left w:val="none" w:sz="0" w:space="0" w:color="auto"/>
                <w:bottom w:val="none" w:sz="0" w:space="0" w:color="auto"/>
                <w:right w:val="none" w:sz="0" w:space="0" w:color="auto"/>
              </w:divBdr>
              <w:divsChild>
                <w:div w:id="1931352498">
                  <w:marLeft w:val="0"/>
                  <w:marRight w:val="0"/>
                  <w:marTop w:val="0"/>
                  <w:marBottom w:val="0"/>
                  <w:divBdr>
                    <w:top w:val="none" w:sz="0" w:space="0" w:color="auto"/>
                    <w:left w:val="none" w:sz="0" w:space="0" w:color="auto"/>
                    <w:bottom w:val="none" w:sz="0" w:space="0" w:color="auto"/>
                    <w:right w:val="none" w:sz="0" w:space="0" w:color="auto"/>
                  </w:divBdr>
                  <w:divsChild>
                    <w:div w:id="94715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065563">
      <w:bodyDiv w:val="1"/>
      <w:marLeft w:val="0"/>
      <w:marRight w:val="0"/>
      <w:marTop w:val="0"/>
      <w:marBottom w:val="0"/>
      <w:divBdr>
        <w:top w:val="none" w:sz="0" w:space="0" w:color="auto"/>
        <w:left w:val="none" w:sz="0" w:space="0" w:color="auto"/>
        <w:bottom w:val="none" w:sz="0" w:space="0" w:color="auto"/>
        <w:right w:val="none" w:sz="0" w:space="0" w:color="auto"/>
      </w:divBdr>
    </w:div>
    <w:div w:id="277376455">
      <w:bodyDiv w:val="1"/>
      <w:marLeft w:val="0"/>
      <w:marRight w:val="0"/>
      <w:marTop w:val="0"/>
      <w:marBottom w:val="0"/>
      <w:divBdr>
        <w:top w:val="none" w:sz="0" w:space="0" w:color="auto"/>
        <w:left w:val="none" w:sz="0" w:space="0" w:color="auto"/>
        <w:bottom w:val="none" w:sz="0" w:space="0" w:color="auto"/>
        <w:right w:val="none" w:sz="0" w:space="0" w:color="auto"/>
      </w:divBdr>
    </w:div>
    <w:div w:id="278949663">
      <w:bodyDiv w:val="1"/>
      <w:marLeft w:val="0"/>
      <w:marRight w:val="0"/>
      <w:marTop w:val="0"/>
      <w:marBottom w:val="0"/>
      <w:divBdr>
        <w:top w:val="none" w:sz="0" w:space="0" w:color="auto"/>
        <w:left w:val="none" w:sz="0" w:space="0" w:color="auto"/>
        <w:bottom w:val="none" w:sz="0" w:space="0" w:color="auto"/>
        <w:right w:val="none" w:sz="0" w:space="0" w:color="auto"/>
      </w:divBdr>
    </w:div>
    <w:div w:id="299655089">
      <w:bodyDiv w:val="1"/>
      <w:marLeft w:val="0"/>
      <w:marRight w:val="0"/>
      <w:marTop w:val="0"/>
      <w:marBottom w:val="0"/>
      <w:divBdr>
        <w:top w:val="none" w:sz="0" w:space="0" w:color="auto"/>
        <w:left w:val="none" w:sz="0" w:space="0" w:color="auto"/>
        <w:bottom w:val="none" w:sz="0" w:space="0" w:color="auto"/>
        <w:right w:val="none" w:sz="0" w:space="0" w:color="auto"/>
      </w:divBdr>
    </w:div>
    <w:div w:id="303850838">
      <w:bodyDiv w:val="1"/>
      <w:marLeft w:val="0"/>
      <w:marRight w:val="0"/>
      <w:marTop w:val="0"/>
      <w:marBottom w:val="0"/>
      <w:divBdr>
        <w:top w:val="none" w:sz="0" w:space="0" w:color="auto"/>
        <w:left w:val="none" w:sz="0" w:space="0" w:color="auto"/>
        <w:bottom w:val="none" w:sz="0" w:space="0" w:color="auto"/>
        <w:right w:val="none" w:sz="0" w:space="0" w:color="auto"/>
      </w:divBdr>
    </w:div>
    <w:div w:id="304480599">
      <w:bodyDiv w:val="1"/>
      <w:marLeft w:val="0"/>
      <w:marRight w:val="0"/>
      <w:marTop w:val="0"/>
      <w:marBottom w:val="0"/>
      <w:divBdr>
        <w:top w:val="none" w:sz="0" w:space="0" w:color="auto"/>
        <w:left w:val="none" w:sz="0" w:space="0" w:color="auto"/>
        <w:bottom w:val="none" w:sz="0" w:space="0" w:color="auto"/>
        <w:right w:val="none" w:sz="0" w:space="0" w:color="auto"/>
      </w:divBdr>
    </w:div>
    <w:div w:id="329413344">
      <w:bodyDiv w:val="1"/>
      <w:marLeft w:val="0"/>
      <w:marRight w:val="0"/>
      <w:marTop w:val="0"/>
      <w:marBottom w:val="0"/>
      <w:divBdr>
        <w:top w:val="none" w:sz="0" w:space="0" w:color="auto"/>
        <w:left w:val="none" w:sz="0" w:space="0" w:color="auto"/>
        <w:bottom w:val="none" w:sz="0" w:space="0" w:color="auto"/>
        <w:right w:val="none" w:sz="0" w:space="0" w:color="auto"/>
      </w:divBdr>
    </w:div>
    <w:div w:id="329916935">
      <w:bodyDiv w:val="1"/>
      <w:marLeft w:val="0"/>
      <w:marRight w:val="0"/>
      <w:marTop w:val="0"/>
      <w:marBottom w:val="0"/>
      <w:divBdr>
        <w:top w:val="none" w:sz="0" w:space="0" w:color="auto"/>
        <w:left w:val="none" w:sz="0" w:space="0" w:color="auto"/>
        <w:bottom w:val="none" w:sz="0" w:space="0" w:color="auto"/>
        <w:right w:val="none" w:sz="0" w:space="0" w:color="auto"/>
      </w:divBdr>
    </w:div>
    <w:div w:id="340013277">
      <w:bodyDiv w:val="1"/>
      <w:marLeft w:val="0"/>
      <w:marRight w:val="0"/>
      <w:marTop w:val="0"/>
      <w:marBottom w:val="0"/>
      <w:divBdr>
        <w:top w:val="none" w:sz="0" w:space="0" w:color="auto"/>
        <w:left w:val="none" w:sz="0" w:space="0" w:color="auto"/>
        <w:bottom w:val="none" w:sz="0" w:space="0" w:color="auto"/>
        <w:right w:val="none" w:sz="0" w:space="0" w:color="auto"/>
      </w:divBdr>
    </w:div>
    <w:div w:id="354964444">
      <w:bodyDiv w:val="1"/>
      <w:marLeft w:val="0"/>
      <w:marRight w:val="0"/>
      <w:marTop w:val="0"/>
      <w:marBottom w:val="0"/>
      <w:divBdr>
        <w:top w:val="none" w:sz="0" w:space="0" w:color="auto"/>
        <w:left w:val="none" w:sz="0" w:space="0" w:color="auto"/>
        <w:bottom w:val="none" w:sz="0" w:space="0" w:color="auto"/>
        <w:right w:val="none" w:sz="0" w:space="0" w:color="auto"/>
      </w:divBdr>
    </w:div>
    <w:div w:id="362705325">
      <w:bodyDiv w:val="1"/>
      <w:marLeft w:val="0"/>
      <w:marRight w:val="0"/>
      <w:marTop w:val="0"/>
      <w:marBottom w:val="0"/>
      <w:divBdr>
        <w:top w:val="none" w:sz="0" w:space="0" w:color="auto"/>
        <w:left w:val="none" w:sz="0" w:space="0" w:color="auto"/>
        <w:bottom w:val="none" w:sz="0" w:space="0" w:color="auto"/>
        <w:right w:val="none" w:sz="0" w:space="0" w:color="auto"/>
      </w:divBdr>
    </w:div>
    <w:div w:id="387337024">
      <w:bodyDiv w:val="1"/>
      <w:marLeft w:val="0"/>
      <w:marRight w:val="0"/>
      <w:marTop w:val="0"/>
      <w:marBottom w:val="0"/>
      <w:divBdr>
        <w:top w:val="none" w:sz="0" w:space="0" w:color="auto"/>
        <w:left w:val="none" w:sz="0" w:space="0" w:color="auto"/>
        <w:bottom w:val="none" w:sz="0" w:space="0" w:color="auto"/>
        <w:right w:val="none" w:sz="0" w:space="0" w:color="auto"/>
      </w:divBdr>
    </w:div>
    <w:div w:id="391004554">
      <w:bodyDiv w:val="1"/>
      <w:marLeft w:val="0"/>
      <w:marRight w:val="0"/>
      <w:marTop w:val="0"/>
      <w:marBottom w:val="0"/>
      <w:divBdr>
        <w:top w:val="none" w:sz="0" w:space="0" w:color="auto"/>
        <w:left w:val="none" w:sz="0" w:space="0" w:color="auto"/>
        <w:bottom w:val="none" w:sz="0" w:space="0" w:color="auto"/>
        <w:right w:val="none" w:sz="0" w:space="0" w:color="auto"/>
      </w:divBdr>
    </w:div>
    <w:div w:id="414471175">
      <w:bodyDiv w:val="1"/>
      <w:marLeft w:val="0"/>
      <w:marRight w:val="0"/>
      <w:marTop w:val="0"/>
      <w:marBottom w:val="0"/>
      <w:divBdr>
        <w:top w:val="none" w:sz="0" w:space="0" w:color="auto"/>
        <w:left w:val="none" w:sz="0" w:space="0" w:color="auto"/>
        <w:bottom w:val="none" w:sz="0" w:space="0" w:color="auto"/>
        <w:right w:val="none" w:sz="0" w:space="0" w:color="auto"/>
      </w:divBdr>
    </w:div>
    <w:div w:id="450049809">
      <w:bodyDiv w:val="1"/>
      <w:marLeft w:val="0"/>
      <w:marRight w:val="0"/>
      <w:marTop w:val="0"/>
      <w:marBottom w:val="0"/>
      <w:divBdr>
        <w:top w:val="none" w:sz="0" w:space="0" w:color="auto"/>
        <w:left w:val="none" w:sz="0" w:space="0" w:color="auto"/>
        <w:bottom w:val="none" w:sz="0" w:space="0" w:color="auto"/>
        <w:right w:val="none" w:sz="0" w:space="0" w:color="auto"/>
      </w:divBdr>
    </w:div>
    <w:div w:id="452285158">
      <w:bodyDiv w:val="1"/>
      <w:marLeft w:val="0"/>
      <w:marRight w:val="0"/>
      <w:marTop w:val="0"/>
      <w:marBottom w:val="0"/>
      <w:divBdr>
        <w:top w:val="none" w:sz="0" w:space="0" w:color="auto"/>
        <w:left w:val="none" w:sz="0" w:space="0" w:color="auto"/>
        <w:bottom w:val="none" w:sz="0" w:space="0" w:color="auto"/>
        <w:right w:val="none" w:sz="0" w:space="0" w:color="auto"/>
      </w:divBdr>
    </w:div>
    <w:div w:id="456065338">
      <w:bodyDiv w:val="1"/>
      <w:marLeft w:val="0"/>
      <w:marRight w:val="0"/>
      <w:marTop w:val="0"/>
      <w:marBottom w:val="0"/>
      <w:divBdr>
        <w:top w:val="none" w:sz="0" w:space="0" w:color="auto"/>
        <w:left w:val="none" w:sz="0" w:space="0" w:color="auto"/>
        <w:bottom w:val="none" w:sz="0" w:space="0" w:color="auto"/>
        <w:right w:val="none" w:sz="0" w:space="0" w:color="auto"/>
      </w:divBdr>
    </w:div>
    <w:div w:id="466701561">
      <w:bodyDiv w:val="1"/>
      <w:marLeft w:val="0"/>
      <w:marRight w:val="0"/>
      <w:marTop w:val="0"/>
      <w:marBottom w:val="0"/>
      <w:divBdr>
        <w:top w:val="none" w:sz="0" w:space="0" w:color="auto"/>
        <w:left w:val="none" w:sz="0" w:space="0" w:color="auto"/>
        <w:bottom w:val="none" w:sz="0" w:space="0" w:color="auto"/>
        <w:right w:val="none" w:sz="0" w:space="0" w:color="auto"/>
      </w:divBdr>
    </w:div>
    <w:div w:id="477959010">
      <w:bodyDiv w:val="1"/>
      <w:marLeft w:val="0"/>
      <w:marRight w:val="0"/>
      <w:marTop w:val="0"/>
      <w:marBottom w:val="0"/>
      <w:divBdr>
        <w:top w:val="none" w:sz="0" w:space="0" w:color="auto"/>
        <w:left w:val="none" w:sz="0" w:space="0" w:color="auto"/>
        <w:bottom w:val="none" w:sz="0" w:space="0" w:color="auto"/>
        <w:right w:val="none" w:sz="0" w:space="0" w:color="auto"/>
      </w:divBdr>
      <w:divsChild>
        <w:div w:id="848174173">
          <w:marLeft w:val="0"/>
          <w:marRight w:val="0"/>
          <w:marTop w:val="0"/>
          <w:marBottom w:val="0"/>
          <w:divBdr>
            <w:top w:val="single" w:sz="2" w:space="0" w:color="CACACA"/>
            <w:left w:val="single" w:sz="2" w:space="0" w:color="CACACA"/>
            <w:bottom w:val="single" w:sz="2" w:space="0" w:color="CACACA"/>
            <w:right w:val="single" w:sz="2" w:space="0" w:color="CACACA"/>
          </w:divBdr>
        </w:div>
      </w:divsChild>
    </w:div>
    <w:div w:id="499202891">
      <w:bodyDiv w:val="1"/>
      <w:marLeft w:val="0"/>
      <w:marRight w:val="0"/>
      <w:marTop w:val="0"/>
      <w:marBottom w:val="0"/>
      <w:divBdr>
        <w:top w:val="none" w:sz="0" w:space="0" w:color="auto"/>
        <w:left w:val="none" w:sz="0" w:space="0" w:color="auto"/>
        <w:bottom w:val="none" w:sz="0" w:space="0" w:color="auto"/>
        <w:right w:val="none" w:sz="0" w:space="0" w:color="auto"/>
      </w:divBdr>
    </w:div>
    <w:div w:id="513301328">
      <w:bodyDiv w:val="1"/>
      <w:marLeft w:val="0"/>
      <w:marRight w:val="0"/>
      <w:marTop w:val="0"/>
      <w:marBottom w:val="0"/>
      <w:divBdr>
        <w:top w:val="none" w:sz="0" w:space="0" w:color="auto"/>
        <w:left w:val="none" w:sz="0" w:space="0" w:color="auto"/>
        <w:bottom w:val="none" w:sz="0" w:space="0" w:color="auto"/>
        <w:right w:val="none" w:sz="0" w:space="0" w:color="auto"/>
      </w:divBdr>
    </w:div>
    <w:div w:id="514930235">
      <w:bodyDiv w:val="1"/>
      <w:marLeft w:val="0"/>
      <w:marRight w:val="0"/>
      <w:marTop w:val="0"/>
      <w:marBottom w:val="0"/>
      <w:divBdr>
        <w:top w:val="none" w:sz="0" w:space="0" w:color="auto"/>
        <w:left w:val="none" w:sz="0" w:space="0" w:color="auto"/>
        <w:bottom w:val="none" w:sz="0" w:space="0" w:color="auto"/>
        <w:right w:val="none" w:sz="0" w:space="0" w:color="auto"/>
      </w:divBdr>
    </w:div>
    <w:div w:id="560794119">
      <w:bodyDiv w:val="1"/>
      <w:marLeft w:val="0"/>
      <w:marRight w:val="0"/>
      <w:marTop w:val="0"/>
      <w:marBottom w:val="0"/>
      <w:divBdr>
        <w:top w:val="none" w:sz="0" w:space="0" w:color="auto"/>
        <w:left w:val="none" w:sz="0" w:space="0" w:color="auto"/>
        <w:bottom w:val="none" w:sz="0" w:space="0" w:color="auto"/>
        <w:right w:val="none" w:sz="0" w:space="0" w:color="auto"/>
      </w:divBdr>
    </w:div>
    <w:div w:id="562446626">
      <w:bodyDiv w:val="1"/>
      <w:marLeft w:val="0"/>
      <w:marRight w:val="0"/>
      <w:marTop w:val="0"/>
      <w:marBottom w:val="0"/>
      <w:divBdr>
        <w:top w:val="none" w:sz="0" w:space="0" w:color="auto"/>
        <w:left w:val="none" w:sz="0" w:space="0" w:color="auto"/>
        <w:bottom w:val="none" w:sz="0" w:space="0" w:color="auto"/>
        <w:right w:val="none" w:sz="0" w:space="0" w:color="auto"/>
      </w:divBdr>
    </w:div>
    <w:div w:id="571088009">
      <w:bodyDiv w:val="1"/>
      <w:marLeft w:val="0"/>
      <w:marRight w:val="0"/>
      <w:marTop w:val="0"/>
      <w:marBottom w:val="0"/>
      <w:divBdr>
        <w:top w:val="none" w:sz="0" w:space="0" w:color="auto"/>
        <w:left w:val="none" w:sz="0" w:space="0" w:color="auto"/>
        <w:bottom w:val="none" w:sz="0" w:space="0" w:color="auto"/>
        <w:right w:val="none" w:sz="0" w:space="0" w:color="auto"/>
      </w:divBdr>
      <w:divsChild>
        <w:div w:id="130828745">
          <w:marLeft w:val="0"/>
          <w:marRight w:val="0"/>
          <w:marTop w:val="0"/>
          <w:marBottom w:val="0"/>
          <w:divBdr>
            <w:top w:val="none" w:sz="0" w:space="0" w:color="auto"/>
            <w:left w:val="none" w:sz="0" w:space="0" w:color="auto"/>
            <w:bottom w:val="none" w:sz="0" w:space="0" w:color="auto"/>
            <w:right w:val="none" w:sz="0" w:space="0" w:color="auto"/>
          </w:divBdr>
        </w:div>
        <w:div w:id="1373387891">
          <w:marLeft w:val="0"/>
          <w:marRight w:val="0"/>
          <w:marTop w:val="0"/>
          <w:marBottom w:val="0"/>
          <w:divBdr>
            <w:top w:val="none" w:sz="0" w:space="0" w:color="auto"/>
            <w:left w:val="none" w:sz="0" w:space="0" w:color="auto"/>
            <w:bottom w:val="none" w:sz="0" w:space="0" w:color="auto"/>
            <w:right w:val="none" w:sz="0" w:space="0" w:color="auto"/>
          </w:divBdr>
        </w:div>
      </w:divsChild>
    </w:div>
    <w:div w:id="594552500">
      <w:bodyDiv w:val="1"/>
      <w:marLeft w:val="0"/>
      <w:marRight w:val="0"/>
      <w:marTop w:val="0"/>
      <w:marBottom w:val="0"/>
      <w:divBdr>
        <w:top w:val="none" w:sz="0" w:space="0" w:color="auto"/>
        <w:left w:val="none" w:sz="0" w:space="0" w:color="auto"/>
        <w:bottom w:val="none" w:sz="0" w:space="0" w:color="auto"/>
        <w:right w:val="none" w:sz="0" w:space="0" w:color="auto"/>
      </w:divBdr>
    </w:div>
    <w:div w:id="648754096">
      <w:bodyDiv w:val="1"/>
      <w:marLeft w:val="0"/>
      <w:marRight w:val="0"/>
      <w:marTop w:val="0"/>
      <w:marBottom w:val="0"/>
      <w:divBdr>
        <w:top w:val="none" w:sz="0" w:space="0" w:color="auto"/>
        <w:left w:val="none" w:sz="0" w:space="0" w:color="auto"/>
        <w:bottom w:val="none" w:sz="0" w:space="0" w:color="auto"/>
        <w:right w:val="none" w:sz="0" w:space="0" w:color="auto"/>
      </w:divBdr>
    </w:div>
    <w:div w:id="650989791">
      <w:bodyDiv w:val="1"/>
      <w:marLeft w:val="0"/>
      <w:marRight w:val="0"/>
      <w:marTop w:val="0"/>
      <w:marBottom w:val="0"/>
      <w:divBdr>
        <w:top w:val="none" w:sz="0" w:space="0" w:color="auto"/>
        <w:left w:val="none" w:sz="0" w:space="0" w:color="auto"/>
        <w:bottom w:val="none" w:sz="0" w:space="0" w:color="auto"/>
        <w:right w:val="none" w:sz="0" w:space="0" w:color="auto"/>
      </w:divBdr>
    </w:div>
    <w:div w:id="656687858">
      <w:bodyDiv w:val="1"/>
      <w:marLeft w:val="0"/>
      <w:marRight w:val="0"/>
      <w:marTop w:val="0"/>
      <w:marBottom w:val="0"/>
      <w:divBdr>
        <w:top w:val="none" w:sz="0" w:space="0" w:color="auto"/>
        <w:left w:val="none" w:sz="0" w:space="0" w:color="auto"/>
        <w:bottom w:val="none" w:sz="0" w:space="0" w:color="auto"/>
        <w:right w:val="none" w:sz="0" w:space="0" w:color="auto"/>
      </w:divBdr>
      <w:divsChild>
        <w:div w:id="1158768455">
          <w:marLeft w:val="0"/>
          <w:marRight w:val="0"/>
          <w:marTop w:val="0"/>
          <w:marBottom w:val="0"/>
          <w:divBdr>
            <w:top w:val="none" w:sz="0" w:space="0" w:color="auto"/>
            <w:left w:val="none" w:sz="0" w:space="0" w:color="auto"/>
            <w:bottom w:val="none" w:sz="0" w:space="0" w:color="auto"/>
            <w:right w:val="none" w:sz="0" w:space="0" w:color="auto"/>
          </w:divBdr>
          <w:divsChild>
            <w:div w:id="855342504">
              <w:marLeft w:val="0"/>
              <w:marRight w:val="0"/>
              <w:marTop w:val="0"/>
              <w:marBottom w:val="0"/>
              <w:divBdr>
                <w:top w:val="none" w:sz="0" w:space="0" w:color="auto"/>
                <w:left w:val="none" w:sz="0" w:space="0" w:color="auto"/>
                <w:bottom w:val="none" w:sz="0" w:space="0" w:color="auto"/>
                <w:right w:val="none" w:sz="0" w:space="0" w:color="auto"/>
              </w:divBdr>
              <w:divsChild>
                <w:div w:id="1239171988">
                  <w:marLeft w:val="0"/>
                  <w:marRight w:val="0"/>
                  <w:marTop w:val="0"/>
                  <w:marBottom w:val="0"/>
                  <w:divBdr>
                    <w:top w:val="none" w:sz="0" w:space="0" w:color="auto"/>
                    <w:left w:val="none" w:sz="0" w:space="0" w:color="auto"/>
                    <w:bottom w:val="none" w:sz="0" w:space="0" w:color="auto"/>
                    <w:right w:val="none" w:sz="0" w:space="0" w:color="auto"/>
                  </w:divBdr>
                  <w:divsChild>
                    <w:div w:id="9571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242155">
      <w:bodyDiv w:val="1"/>
      <w:marLeft w:val="0"/>
      <w:marRight w:val="0"/>
      <w:marTop w:val="0"/>
      <w:marBottom w:val="0"/>
      <w:divBdr>
        <w:top w:val="none" w:sz="0" w:space="0" w:color="auto"/>
        <w:left w:val="none" w:sz="0" w:space="0" w:color="auto"/>
        <w:bottom w:val="none" w:sz="0" w:space="0" w:color="auto"/>
        <w:right w:val="none" w:sz="0" w:space="0" w:color="auto"/>
      </w:divBdr>
    </w:div>
    <w:div w:id="692847271">
      <w:bodyDiv w:val="1"/>
      <w:marLeft w:val="0"/>
      <w:marRight w:val="0"/>
      <w:marTop w:val="0"/>
      <w:marBottom w:val="0"/>
      <w:divBdr>
        <w:top w:val="none" w:sz="0" w:space="0" w:color="auto"/>
        <w:left w:val="none" w:sz="0" w:space="0" w:color="auto"/>
        <w:bottom w:val="none" w:sz="0" w:space="0" w:color="auto"/>
        <w:right w:val="none" w:sz="0" w:space="0" w:color="auto"/>
      </w:divBdr>
      <w:divsChild>
        <w:div w:id="199055293">
          <w:marLeft w:val="0"/>
          <w:marRight w:val="0"/>
          <w:marTop w:val="0"/>
          <w:marBottom w:val="0"/>
          <w:divBdr>
            <w:top w:val="none" w:sz="0" w:space="0" w:color="auto"/>
            <w:left w:val="none" w:sz="0" w:space="0" w:color="auto"/>
            <w:bottom w:val="none" w:sz="0" w:space="0" w:color="auto"/>
            <w:right w:val="none" w:sz="0" w:space="0" w:color="auto"/>
          </w:divBdr>
          <w:divsChild>
            <w:div w:id="51656138">
              <w:marLeft w:val="0"/>
              <w:marRight w:val="0"/>
              <w:marTop w:val="0"/>
              <w:marBottom w:val="0"/>
              <w:divBdr>
                <w:top w:val="none" w:sz="0" w:space="0" w:color="auto"/>
                <w:left w:val="none" w:sz="0" w:space="0" w:color="auto"/>
                <w:bottom w:val="none" w:sz="0" w:space="0" w:color="auto"/>
                <w:right w:val="none" w:sz="0" w:space="0" w:color="auto"/>
              </w:divBdr>
              <w:divsChild>
                <w:div w:id="812215864">
                  <w:marLeft w:val="0"/>
                  <w:marRight w:val="0"/>
                  <w:marTop w:val="0"/>
                  <w:marBottom w:val="0"/>
                  <w:divBdr>
                    <w:top w:val="none" w:sz="0" w:space="0" w:color="auto"/>
                    <w:left w:val="none" w:sz="0" w:space="0" w:color="auto"/>
                    <w:bottom w:val="none" w:sz="0" w:space="0" w:color="auto"/>
                    <w:right w:val="none" w:sz="0" w:space="0" w:color="auto"/>
                  </w:divBdr>
                  <w:divsChild>
                    <w:div w:id="37763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677812">
      <w:bodyDiv w:val="1"/>
      <w:marLeft w:val="0"/>
      <w:marRight w:val="0"/>
      <w:marTop w:val="0"/>
      <w:marBottom w:val="0"/>
      <w:divBdr>
        <w:top w:val="none" w:sz="0" w:space="0" w:color="auto"/>
        <w:left w:val="none" w:sz="0" w:space="0" w:color="auto"/>
        <w:bottom w:val="none" w:sz="0" w:space="0" w:color="auto"/>
        <w:right w:val="none" w:sz="0" w:space="0" w:color="auto"/>
      </w:divBdr>
    </w:div>
    <w:div w:id="710033221">
      <w:bodyDiv w:val="1"/>
      <w:marLeft w:val="0"/>
      <w:marRight w:val="0"/>
      <w:marTop w:val="0"/>
      <w:marBottom w:val="0"/>
      <w:divBdr>
        <w:top w:val="none" w:sz="0" w:space="0" w:color="auto"/>
        <w:left w:val="none" w:sz="0" w:space="0" w:color="auto"/>
        <w:bottom w:val="none" w:sz="0" w:space="0" w:color="auto"/>
        <w:right w:val="none" w:sz="0" w:space="0" w:color="auto"/>
      </w:divBdr>
    </w:div>
    <w:div w:id="716855648">
      <w:bodyDiv w:val="1"/>
      <w:marLeft w:val="0"/>
      <w:marRight w:val="0"/>
      <w:marTop w:val="0"/>
      <w:marBottom w:val="0"/>
      <w:divBdr>
        <w:top w:val="none" w:sz="0" w:space="0" w:color="auto"/>
        <w:left w:val="none" w:sz="0" w:space="0" w:color="auto"/>
        <w:bottom w:val="none" w:sz="0" w:space="0" w:color="auto"/>
        <w:right w:val="none" w:sz="0" w:space="0" w:color="auto"/>
      </w:divBdr>
    </w:div>
    <w:div w:id="717705917">
      <w:bodyDiv w:val="1"/>
      <w:marLeft w:val="0"/>
      <w:marRight w:val="0"/>
      <w:marTop w:val="0"/>
      <w:marBottom w:val="0"/>
      <w:divBdr>
        <w:top w:val="none" w:sz="0" w:space="0" w:color="auto"/>
        <w:left w:val="none" w:sz="0" w:space="0" w:color="auto"/>
        <w:bottom w:val="none" w:sz="0" w:space="0" w:color="auto"/>
        <w:right w:val="none" w:sz="0" w:space="0" w:color="auto"/>
      </w:divBdr>
    </w:div>
    <w:div w:id="744298220">
      <w:bodyDiv w:val="1"/>
      <w:marLeft w:val="0"/>
      <w:marRight w:val="0"/>
      <w:marTop w:val="0"/>
      <w:marBottom w:val="0"/>
      <w:divBdr>
        <w:top w:val="none" w:sz="0" w:space="0" w:color="auto"/>
        <w:left w:val="none" w:sz="0" w:space="0" w:color="auto"/>
        <w:bottom w:val="none" w:sz="0" w:space="0" w:color="auto"/>
        <w:right w:val="none" w:sz="0" w:space="0" w:color="auto"/>
      </w:divBdr>
    </w:div>
    <w:div w:id="745886336">
      <w:bodyDiv w:val="1"/>
      <w:marLeft w:val="0"/>
      <w:marRight w:val="0"/>
      <w:marTop w:val="0"/>
      <w:marBottom w:val="0"/>
      <w:divBdr>
        <w:top w:val="none" w:sz="0" w:space="0" w:color="auto"/>
        <w:left w:val="none" w:sz="0" w:space="0" w:color="auto"/>
        <w:bottom w:val="none" w:sz="0" w:space="0" w:color="auto"/>
        <w:right w:val="none" w:sz="0" w:space="0" w:color="auto"/>
      </w:divBdr>
      <w:divsChild>
        <w:div w:id="1901669281">
          <w:marLeft w:val="0"/>
          <w:marRight w:val="0"/>
          <w:marTop w:val="0"/>
          <w:marBottom w:val="0"/>
          <w:divBdr>
            <w:top w:val="none" w:sz="0" w:space="0" w:color="auto"/>
            <w:left w:val="none" w:sz="0" w:space="0" w:color="auto"/>
            <w:bottom w:val="none" w:sz="0" w:space="0" w:color="auto"/>
            <w:right w:val="none" w:sz="0" w:space="0" w:color="auto"/>
          </w:divBdr>
          <w:divsChild>
            <w:div w:id="851722594">
              <w:marLeft w:val="0"/>
              <w:marRight w:val="0"/>
              <w:marTop w:val="0"/>
              <w:marBottom w:val="0"/>
              <w:divBdr>
                <w:top w:val="none" w:sz="0" w:space="0" w:color="auto"/>
                <w:left w:val="none" w:sz="0" w:space="0" w:color="auto"/>
                <w:bottom w:val="none" w:sz="0" w:space="0" w:color="auto"/>
                <w:right w:val="none" w:sz="0" w:space="0" w:color="auto"/>
              </w:divBdr>
              <w:divsChild>
                <w:div w:id="242302668">
                  <w:marLeft w:val="0"/>
                  <w:marRight w:val="0"/>
                  <w:marTop w:val="0"/>
                  <w:marBottom w:val="0"/>
                  <w:divBdr>
                    <w:top w:val="none" w:sz="0" w:space="0" w:color="auto"/>
                    <w:left w:val="none" w:sz="0" w:space="0" w:color="auto"/>
                    <w:bottom w:val="none" w:sz="0" w:space="0" w:color="auto"/>
                    <w:right w:val="none" w:sz="0" w:space="0" w:color="auto"/>
                  </w:divBdr>
                  <w:divsChild>
                    <w:div w:id="110153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506763">
      <w:bodyDiv w:val="1"/>
      <w:marLeft w:val="0"/>
      <w:marRight w:val="0"/>
      <w:marTop w:val="0"/>
      <w:marBottom w:val="0"/>
      <w:divBdr>
        <w:top w:val="none" w:sz="0" w:space="0" w:color="auto"/>
        <w:left w:val="none" w:sz="0" w:space="0" w:color="auto"/>
        <w:bottom w:val="none" w:sz="0" w:space="0" w:color="auto"/>
        <w:right w:val="none" w:sz="0" w:space="0" w:color="auto"/>
      </w:divBdr>
    </w:div>
    <w:div w:id="763258857">
      <w:bodyDiv w:val="1"/>
      <w:marLeft w:val="0"/>
      <w:marRight w:val="0"/>
      <w:marTop w:val="0"/>
      <w:marBottom w:val="0"/>
      <w:divBdr>
        <w:top w:val="none" w:sz="0" w:space="0" w:color="auto"/>
        <w:left w:val="none" w:sz="0" w:space="0" w:color="auto"/>
        <w:bottom w:val="none" w:sz="0" w:space="0" w:color="auto"/>
        <w:right w:val="none" w:sz="0" w:space="0" w:color="auto"/>
      </w:divBdr>
    </w:div>
    <w:div w:id="780999551">
      <w:bodyDiv w:val="1"/>
      <w:marLeft w:val="0"/>
      <w:marRight w:val="0"/>
      <w:marTop w:val="0"/>
      <w:marBottom w:val="0"/>
      <w:divBdr>
        <w:top w:val="none" w:sz="0" w:space="0" w:color="auto"/>
        <w:left w:val="none" w:sz="0" w:space="0" w:color="auto"/>
        <w:bottom w:val="none" w:sz="0" w:space="0" w:color="auto"/>
        <w:right w:val="none" w:sz="0" w:space="0" w:color="auto"/>
      </w:divBdr>
    </w:div>
    <w:div w:id="786120152">
      <w:bodyDiv w:val="1"/>
      <w:marLeft w:val="0"/>
      <w:marRight w:val="0"/>
      <w:marTop w:val="0"/>
      <w:marBottom w:val="0"/>
      <w:divBdr>
        <w:top w:val="none" w:sz="0" w:space="0" w:color="auto"/>
        <w:left w:val="none" w:sz="0" w:space="0" w:color="auto"/>
        <w:bottom w:val="none" w:sz="0" w:space="0" w:color="auto"/>
        <w:right w:val="none" w:sz="0" w:space="0" w:color="auto"/>
      </w:divBdr>
    </w:div>
    <w:div w:id="802161146">
      <w:bodyDiv w:val="1"/>
      <w:marLeft w:val="0"/>
      <w:marRight w:val="0"/>
      <w:marTop w:val="0"/>
      <w:marBottom w:val="0"/>
      <w:divBdr>
        <w:top w:val="none" w:sz="0" w:space="0" w:color="auto"/>
        <w:left w:val="none" w:sz="0" w:space="0" w:color="auto"/>
        <w:bottom w:val="none" w:sz="0" w:space="0" w:color="auto"/>
        <w:right w:val="none" w:sz="0" w:space="0" w:color="auto"/>
      </w:divBdr>
    </w:div>
    <w:div w:id="829558766">
      <w:bodyDiv w:val="1"/>
      <w:marLeft w:val="0"/>
      <w:marRight w:val="0"/>
      <w:marTop w:val="0"/>
      <w:marBottom w:val="0"/>
      <w:divBdr>
        <w:top w:val="none" w:sz="0" w:space="0" w:color="auto"/>
        <w:left w:val="none" w:sz="0" w:space="0" w:color="auto"/>
        <w:bottom w:val="none" w:sz="0" w:space="0" w:color="auto"/>
        <w:right w:val="none" w:sz="0" w:space="0" w:color="auto"/>
      </w:divBdr>
    </w:div>
    <w:div w:id="833227987">
      <w:bodyDiv w:val="1"/>
      <w:marLeft w:val="0"/>
      <w:marRight w:val="0"/>
      <w:marTop w:val="0"/>
      <w:marBottom w:val="0"/>
      <w:divBdr>
        <w:top w:val="none" w:sz="0" w:space="0" w:color="auto"/>
        <w:left w:val="none" w:sz="0" w:space="0" w:color="auto"/>
        <w:bottom w:val="none" w:sz="0" w:space="0" w:color="auto"/>
        <w:right w:val="none" w:sz="0" w:space="0" w:color="auto"/>
      </w:divBdr>
    </w:div>
    <w:div w:id="842279869">
      <w:bodyDiv w:val="1"/>
      <w:marLeft w:val="0"/>
      <w:marRight w:val="0"/>
      <w:marTop w:val="0"/>
      <w:marBottom w:val="0"/>
      <w:divBdr>
        <w:top w:val="none" w:sz="0" w:space="0" w:color="auto"/>
        <w:left w:val="none" w:sz="0" w:space="0" w:color="auto"/>
        <w:bottom w:val="none" w:sz="0" w:space="0" w:color="auto"/>
        <w:right w:val="none" w:sz="0" w:space="0" w:color="auto"/>
      </w:divBdr>
    </w:div>
    <w:div w:id="852577138">
      <w:bodyDiv w:val="1"/>
      <w:marLeft w:val="0"/>
      <w:marRight w:val="0"/>
      <w:marTop w:val="0"/>
      <w:marBottom w:val="0"/>
      <w:divBdr>
        <w:top w:val="none" w:sz="0" w:space="0" w:color="auto"/>
        <w:left w:val="none" w:sz="0" w:space="0" w:color="auto"/>
        <w:bottom w:val="none" w:sz="0" w:space="0" w:color="auto"/>
        <w:right w:val="none" w:sz="0" w:space="0" w:color="auto"/>
      </w:divBdr>
    </w:div>
    <w:div w:id="872155546">
      <w:bodyDiv w:val="1"/>
      <w:marLeft w:val="0"/>
      <w:marRight w:val="0"/>
      <w:marTop w:val="0"/>
      <w:marBottom w:val="0"/>
      <w:divBdr>
        <w:top w:val="none" w:sz="0" w:space="0" w:color="auto"/>
        <w:left w:val="none" w:sz="0" w:space="0" w:color="auto"/>
        <w:bottom w:val="none" w:sz="0" w:space="0" w:color="auto"/>
        <w:right w:val="none" w:sz="0" w:space="0" w:color="auto"/>
      </w:divBdr>
    </w:div>
    <w:div w:id="886142460">
      <w:bodyDiv w:val="1"/>
      <w:marLeft w:val="0"/>
      <w:marRight w:val="0"/>
      <w:marTop w:val="0"/>
      <w:marBottom w:val="0"/>
      <w:divBdr>
        <w:top w:val="none" w:sz="0" w:space="0" w:color="auto"/>
        <w:left w:val="none" w:sz="0" w:space="0" w:color="auto"/>
        <w:bottom w:val="none" w:sz="0" w:space="0" w:color="auto"/>
        <w:right w:val="none" w:sz="0" w:space="0" w:color="auto"/>
      </w:divBdr>
    </w:div>
    <w:div w:id="909923424">
      <w:bodyDiv w:val="1"/>
      <w:marLeft w:val="0"/>
      <w:marRight w:val="0"/>
      <w:marTop w:val="0"/>
      <w:marBottom w:val="0"/>
      <w:divBdr>
        <w:top w:val="none" w:sz="0" w:space="0" w:color="auto"/>
        <w:left w:val="none" w:sz="0" w:space="0" w:color="auto"/>
        <w:bottom w:val="none" w:sz="0" w:space="0" w:color="auto"/>
        <w:right w:val="none" w:sz="0" w:space="0" w:color="auto"/>
      </w:divBdr>
    </w:div>
    <w:div w:id="915675840">
      <w:bodyDiv w:val="1"/>
      <w:marLeft w:val="0"/>
      <w:marRight w:val="0"/>
      <w:marTop w:val="0"/>
      <w:marBottom w:val="0"/>
      <w:divBdr>
        <w:top w:val="none" w:sz="0" w:space="0" w:color="auto"/>
        <w:left w:val="none" w:sz="0" w:space="0" w:color="auto"/>
        <w:bottom w:val="none" w:sz="0" w:space="0" w:color="auto"/>
        <w:right w:val="none" w:sz="0" w:space="0" w:color="auto"/>
      </w:divBdr>
    </w:div>
    <w:div w:id="939027635">
      <w:bodyDiv w:val="1"/>
      <w:marLeft w:val="0"/>
      <w:marRight w:val="0"/>
      <w:marTop w:val="0"/>
      <w:marBottom w:val="0"/>
      <w:divBdr>
        <w:top w:val="none" w:sz="0" w:space="0" w:color="auto"/>
        <w:left w:val="none" w:sz="0" w:space="0" w:color="auto"/>
        <w:bottom w:val="none" w:sz="0" w:space="0" w:color="auto"/>
        <w:right w:val="none" w:sz="0" w:space="0" w:color="auto"/>
      </w:divBdr>
    </w:div>
    <w:div w:id="946891672">
      <w:bodyDiv w:val="1"/>
      <w:marLeft w:val="0"/>
      <w:marRight w:val="0"/>
      <w:marTop w:val="0"/>
      <w:marBottom w:val="0"/>
      <w:divBdr>
        <w:top w:val="none" w:sz="0" w:space="0" w:color="auto"/>
        <w:left w:val="none" w:sz="0" w:space="0" w:color="auto"/>
        <w:bottom w:val="none" w:sz="0" w:space="0" w:color="auto"/>
        <w:right w:val="none" w:sz="0" w:space="0" w:color="auto"/>
      </w:divBdr>
    </w:div>
    <w:div w:id="963653030">
      <w:bodyDiv w:val="1"/>
      <w:marLeft w:val="0"/>
      <w:marRight w:val="0"/>
      <w:marTop w:val="0"/>
      <w:marBottom w:val="0"/>
      <w:divBdr>
        <w:top w:val="none" w:sz="0" w:space="0" w:color="auto"/>
        <w:left w:val="none" w:sz="0" w:space="0" w:color="auto"/>
        <w:bottom w:val="none" w:sz="0" w:space="0" w:color="auto"/>
        <w:right w:val="none" w:sz="0" w:space="0" w:color="auto"/>
      </w:divBdr>
    </w:div>
    <w:div w:id="970284948">
      <w:bodyDiv w:val="1"/>
      <w:marLeft w:val="0"/>
      <w:marRight w:val="0"/>
      <w:marTop w:val="0"/>
      <w:marBottom w:val="0"/>
      <w:divBdr>
        <w:top w:val="none" w:sz="0" w:space="0" w:color="auto"/>
        <w:left w:val="none" w:sz="0" w:space="0" w:color="auto"/>
        <w:bottom w:val="none" w:sz="0" w:space="0" w:color="auto"/>
        <w:right w:val="none" w:sz="0" w:space="0" w:color="auto"/>
      </w:divBdr>
    </w:div>
    <w:div w:id="977489715">
      <w:bodyDiv w:val="1"/>
      <w:marLeft w:val="0"/>
      <w:marRight w:val="0"/>
      <w:marTop w:val="0"/>
      <w:marBottom w:val="0"/>
      <w:divBdr>
        <w:top w:val="none" w:sz="0" w:space="0" w:color="auto"/>
        <w:left w:val="none" w:sz="0" w:space="0" w:color="auto"/>
        <w:bottom w:val="none" w:sz="0" w:space="0" w:color="auto"/>
        <w:right w:val="none" w:sz="0" w:space="0" w:color="auto"/>
      </w:divBdr>
    </w:div>
    <w:div w:id="993335981">
      <w:bodyDiv w:val="1"/>
      <w:marLeft w:val="0"/>
      <w:marRight w:val="0"/>
      <w:marTop w:val="0"/>
      <w:marBottom w:val="0"/>
      <w:divBdr>
        <w:top w:val="none" w:sz="0" w:space="0" w:color="auto"/>
        <w:left w:val="none" w:sz="0" w:space="0" w:color="auto"/>
        <w:bottom w:val="none" w:sz="0" w:space="0" w:color="auto"/>
        <w:right w:val="none" w:sz="0" w:space="0" w:color="auto"/>
      </w:divBdr>
    </w:div>
    <w:div w:id="996804543">
      <w:bodyDiv w:val="1"/>
      <w:marLeft w:val="0"/>
      <w:marRight w:val="0"/>
      <w:marTop w:val="0"/>
      <w:marBottom w:val="0"/>
      <w:divBdr>
        <w:top w:val="none" w:sz="0" w:space="0" w:color="auto"/>
        <w:left w:val="none" w:sz="0" w:space="0" w:color="auto"/>
        <w:bottom w:val="none" w:sz="0" w:space="0" w:color="auto"/>
        <w:right w:val="none" w:sz="0" w:space="0" w:color="auto"/>
      </w:divBdr>
    </w:div>
    <w:div w:id="998115184">
      <w:bodyDiv w:val="1"/>
      <w:marLeft w:val="0"/>
      <w:marRight w:val="0"/>
      <w:marTop w:val="0"/>
      <w:marBottom w:val="0"/>
      <w:divBdr>
        <w:top w:val="none" w:sz="0" w:space="0" w:color="auto"/>
        <w:left w:val="none" w:sz="0" w:space="0" w:color="auto"/>
        <w:bottom w:val="none" w:sz="0" w:space="0" w:color="auto"/>
        <w:right w:val="none" w:sz="0" w:space="0" w:color="auto"/>
      </w:divBdr>
    </w:div>
    <w:div w:id="1021081093">
      <w:bodyDiv w:val="1"/>
      <w:marLeft w:val="0"/>
      <w:marRight w:val="0"/>
      <w:marTop w:val="0"/>
      <w:marBottom w:val="0"/>
      <w:divBdr>
        <w:top w:val="none" w:sz="0" w:space="0" w:color="auto"/>
        <w:left w:val="none" w:sz="0" w:space="0" w:color="auto"/>
        <w:bottom w:val="none" w:sz="0" w:space="0" w:color="auto"/>
        <w:right w:val="none" w:sz="0" w:space="0" w:color="auto"/>
      </w:divBdr>
    </w:div>
    <w:div w:id="1025449187">
      <w:bodyDiv w:val="1"/>
      <w:marLeft w:val="0"/>
      <w:marRight w:val="0"/>
      <w:marTop w:val="0"/>
      <w:marBottom w:val="0"/>
      <w:divBdr>
        <w:top w:val="none" w:sz="0" w:space="0" w:color="auto"/>
        <w:left w:val="none" w:sz="0" w:space="0" w:color="auto"/>
        <w:bottom w:val="none" w:sz="0" w:space="0" w:color="auto"/>
        <w:right w:val="none" w:sz="0" w:space="0" w:color="auto"/>
      </w:divBdr>
    </w:div>
    <w:div w:id="1075784383">
      <w:bodyDiv w:val="1"/>
      <w:marLeft w:val="0"/>
      <w:marRight w:val="0"/>
      <w:marTop w:val="0"/>
      <w:marBottom w:val="0"/>
      <w:divBdr>
        <w:top w:val="none" w:sz="0" w:space="0" w:color="auto"/>
        <w:left w:val="none" w:sz="0" w:space="0" w:color="auto"/>
        <w:bottom w:val="none" w:sz="0" w:space="0" w:color="auto"/>
        <w:right w:val="none" w:sz="0" w:space="0" w:color="auto"/>
      </w:divBdr>
    </w:div>
    <w:div w:id="1095706481">
      <w:bodyDiv w:val="1"/>
      <w:marLeft w:val="0"/>
      <w:marRight w:val="0"/>
      <w:marTop w:val="0"/>
      <w:marBottom w:val="0"/>
      <w:divBdr>
        <w:top w:val="none" w:sz="0" w:space="0" w:color="auto"/>
        <w:left w:val="none" w:sz="0" w:space="0" w:color="auto"/>
        <w:bottom w:val="none" w:sz="0" w:space="0" w:color="auto"/>
        <w:right w:val="none" w:sz="0" w:space="0" w:color="auto"/>
      </w:divBdr>
    </w:div>
    <w:div w:id="1116750918">
      <w:bodyDiv w:val="1"/>
      <w:marLeft w:val="0"/>
      <w:marRight w:val="0"/>
      <w:marTop w:val="0"/>
      <w:marBottom w:val="0"/>
      <w:divBdr>
        <w:top w:val="none" w:sz="0" w:space="0" w:color="auto"/>
        <w:left w:val="none" w:sz="0" w:space="0" w:color="auto"/>
        <w:bottom w:val="none" w:sz="0" w:space="0" w:color="auto"/>
        <w:right w:val="none" w:sz="0" w:space="0" w:color="auto"/>
      </w:divBdr>
    </w:div>
    <w:div w:id="1130048143">
      <w:bodyDiv w:val="1"/>
      <w:marLeft w:val="0"/>
      <w:marRight w:val="0"/>
      <w:marTop w:val="0"/>
      <w:marBottom w:val="0"/>
      <w:divBdr>
        <w:top w:val="none" w:sz="0" w:space="0" w:color="auto"/>
        <w:left w:val="none" w:sz="0" w:space="0" w:color="auto"/>
        <w:bottom w:val="none" w:sz="0" w:space="0" w:color="auto"/>
        <w:right w:val="none" w:sz="0" w:space="0" w:color="auto"/>
      </w:divBdr>
      <w:divsChild>
        <w:div w:id="1425149065">
          <w:marLeft w:val="0"/>
          <w:marRight w:val="0"/>
          <w:marTop w:val="0"/>
          <w:marBottom w:val="0"/>
          <w:divBdr>
            <w:top w:val="none" w:sz="0" w:space="0" w:color="auto"/>
            <w:left w:val="none" w:sz="0" w:space="0" w:color="auto"/>
            <w:bottom w:val="none" w:sz="0" w:space="0" w:color="auto"/>
            <w:right w:val="none" w:sz="0" w:space="0" w:color="auto"/>
          </w:divBdr>
          <w:divsChild>
            <w:div w:id="1302078315">
              <w:marLeft w:val="0"/>
              <w:marRight w:val="0"/>
              <w:marTop w:val="0"/>
              <w:marBottom w:val="0"/>
              <w:divBdr>
                <w:top w:val="none" w:sz="0" w:space="0" w:color="auto"/>
                <w:left w:val="none" w:sz="0" w:space="0" w:color="auto"/>
                <w:bottom w:val="none" w:sz="0" w:space="0" w:color="auto"/>
                <w:right w:val="none" w:sz="0" w:space="0" w:color="auto"/>
              </w:divBdr>
              <w:divsChild>
                <w:div w:id="229539280">
                  <w:marLeft w:val="0"/>
                  <w:marRight w:val="0"/>
                  <w:marTop w:val="0"/>
                  <w:marBottom w:val="0"/>
                  <w:divBdr>
                    <w:top w:val="none" w:sz="0" w:space="0" w:color="auto"/>
                    <w:left w:val="none" w:sz="0" w:space="0" w:color="auto"/>
                    <w:bottom w:val="none" w:sz="0" w:space="0" w:color="auto"/>
                    <w:right w:val="none" w:sz="0" w:space="0" w:color="auto"/>
                  </w:divBdr>
                  <w:divsChild>
                    <w:div w:id="2096244239">
                      <w:marLeft w:val="0"/>
                      <w:marRight w:val="0"/>
                      <w:marTop w:val="0"/>
                      <w:marBottom w:val="0"/>
                      <w:divBdr>
                        <w:top w:val="none" w:sz="0" w:space="0" w:color="auto"/>
                        <w:left w:val="none" w:sz="0" w:space="0" w:color="auto"/>
                        <w:bottom w:val="none" w:sz="0" w:space="0" w:color="auto"/>
                        <w:right w:val="none" w:sz="0" w:space="0" w:color="auto"/>
                      </w:divBdr>
                      <w:divsChild>
                        <w:div w:id="497379152">
                          <w:marLeft w:val="0"/>
                          <w:marRight w:val="0"/>
                          <w:marTop w:val="0"/>
                          <w:marBottom w:val="0"/>
                          <w:divBdr>
                            <w:top w:val="none" w:sz="0" w:space="0" w:color="auto"/>
                            <w:left w:val="none" w:sz="0" w:space="0" w:color="auto"/>
                            <w:bottom w:val="none" w:sz="0" w:space="0" w:color="auto"/>
                            <w:right w:val="none" w:sz="0" w:space="0" w:color="auto"/>
                          </w:divBdr>
                        </w:div>
                        <w:div w:id="128785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349596">
      <w:bodyDiv w:val="1"/>
      <w:marLeft w:val="0"/>
      <w:marRight w:val="0"/>
      <w:marTop w:val="0"/>
      <w:marBottom w:val="0"/>
      <w:divBdr>
        <w:top w:val="none" w:sz="0" w:space="0" w:color="auto"/>
        <w:left w:val="none" w:sz="0" w:space="0" w:color="auto"/>
        <w:bottom w:val="none" w:sz="0" w:space="0" w:color="auto"/>
        <w:right w:val="none" w:sz="0" w:space="0" w:color="auto"/>
      </w:divBdr>
      <w:divsChild>
        <w:div w:id="241259984">
          <w:marLeft w:val="0"/>
          <w:marRight w:val="0"/>
          <w:marTop w:val="0"/>
          <w:marBottom w:val="0"/>
          <w:divBdr>
            <w:top w:val="none" w:sz="0" w:space="0" w:color="auto"/>
            <w:left w:val="none" w:sz="0" w:space="0" w:color="auto"/>
            <w:bottom w:val="none" w:sz="0" w:space="0" w:color="auto"/>
            <w:right w:val="none" w:sz="0" w:space="0" w:color="auto"/>
          </w:divBdr>
        </w:div>
        <w:div w:id="389112456">
          <w:marLeft w:val="0"/>
          <w:marRight w:val="0"/>
          <w:marTop w:val="0"/>
          <w:marBottom w:val="0"/>
          <w:divBdr>
            <w:top w:val="none" w:sz="0" w:space="0" w:color="auto"/>
            <w:left w:val="none" w:sz="0" w:space="0" w:color="auto"/>
            <w:bottom w:val="none" w:sz="0" w:space="0" w:color="auto"/>
            <w:right w:val="none" w:sz="0" w:space="0" w:color="auto"/>
          </w:divBdr>
        </w:div>
        <w:div w:id="916480371">
          <w:marLeft w:val="0"/>
          <w:marRight w:val="0"/>
          <w:marTop w:val="0"/>
          <w:marBottom w:val="0"/>
          <w:divBdr>
            <w:top w:val="none" w:sz="0" w:space="0" w:color="auto"/>
            <w:left w:val="none" w:sz="0" w:space="0" w:color="auto"/>
            <w:bottom w:val="none" w:sz="0" w:space="0" w:color="auto"/>
            <w:right w:val="none" w:sz="0" w:space="0" w:color="auto"/>
          </w:divBdr>
        </w:div>
        <w:div w:id="2007399736">
          <w:marLeft w:val="0"/>
          <w:marRight w:val="0"/>
          <w:marTop w:val="0"/>
          <w:marBottom w:val="0"/>
          <w:divBdr>
            <w:top w:val="none" w:sz="0" w:space="0" w:color="auto"/>
            <w:left w:val="none" w:sz="0" w:space="0" w:color="auto"/>
            <w:bottom w:val="none" w:sz="0" w:space="0" w:color="auto"/>
            <w:right w:val="none" w:sz="0" w:space="0" w:color="auto"/>
          </w:divBdr>
        </w:div>
      </w:divsChild>
    </w:div>
    <w:div w:id="1153987169">
      <w:bodyDiv w:val="1"/>
      <w:marLeft w:val="0"/>
      <w:marRight w:val="0"/>
      <w:marTop w:val="0"/>
      <w:marBottom w:val="0"/>
      <w:divBdr>
        <w:top w:val="none" w:sz="0" w:space="0" w:color="auto"/>
        <w:left w:val="none" w:sz="0" w:space="0" w:color="auto"/>
        <w:bottom w:val="none" w:sz="0" w:space="0" w:color="auto"/>
        <w:right w:val="none" w:sz="0" w:space="0" w:color="auto"/>
      </w:divBdr>
      <w:divsChild>
        <w:div w:id="407197167">
          <w:marLeft w:val="0"/>
          <w:marRight w:val="0"/>
          <w:marTop w:val="0"/>
          <w:marBottom w:val="0"/>
          <w:divBdr>
            <w:top w:val="none" w:sz="0" w:space="0" w:color="auto"/>
            <w:left w:val="none" w:sz="0" w:space="0" w:color="auto"/>
            <w:bottom w:val="none" w:sz="0" w:space="0" w:color="auto"/>
            <w:right w:val="none" w:sz="0" w:space="0" w:color="auto"/>
          </w:divBdr>
          <w:divsChild>
            <w:div w:id="70784432">
              <w:marLeft w:val="0"/>
              <w:marRight w:val="0"/>
              <w:marTop w:val="0"/>
              <w:marBottom w:val="0"/>
              <w:divBdr>
                <w:top w:val="none" w:sz="0" w:space="0" w:color="auto"/>
                <w:left w:val="none" w:sz="0" w:space="0" w:color="auto"/>
                <w:bottom w:val="none" w:sz="0" w:space="0" w:color="auto"/>
                <w:right w:val="none" w:sz="0" w:space="0" w:color="auto"/>
              </w:divBdr>
              <w:divsChild>
                <w:div w:id="1098720842">
                  <w:marLeft w:val="0"/>
                  <w:marRight w:val="0"/>
                  <w:marTop w:val="0"/>
                  <w:marBottom w:val="0"/>
                  <w:divBdr>
                    <w:top w:val="none" w:sz="0" w:space="0" w:color="auto"/>
                    <w:left w:val="none" w:sz="0" w:space="0" w:color="auto"/>
                    <w:bottom w:val="none" w:sz="0" w:space="0" w:color="auto"/>
                    <w:right w:val="none" w:sz="0" w:space="0" w:color="auto"/>
                  </w:divBdr>
                  <w:divsChild>
                    <w:div w:id="19809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350348">
      <w:bodyDiv w:val="1"/>
      <w:marLeft w:val="0"/>
      <w:marRight w:val="0"/>
      <w:marTop w:val="0"/>
      <w:marBottom w:val="0"/>
      <w:divBdr>
        <w:top w:val="none" w:sz="0" w:space="0" w:color="auto"/>
        <w:left w:val="none" w:sz="0" w:space="0" w:color="auto"/>
        <w:bottom w:val="none" w:sz="0" w:space="0" w:color="auto"/>
        <w:right w:val="none" w:sz="0" w:space="0" w:color="auto"/>
      </w:divBdr>
    </w:div>
    <w:div w:id="1183282498">
      <w:bodyDiv w:val="1"/>
      <w:marLeft w:val="0"/>
      <w:marRight w:val="0"/>
      <w:marTop w:val="0"/>
      <w:marBottom w:val="0"/>
      <w:divBdr>
        <w:top w:val="none" w:sz="0" w:space="0" w:color="auto"/>
        <w:left w:val="none" w:sz="0" w:space="0" w:color="auto"/>
        <w:bottom w:val="none" w:sz="0" w:space="0" w:color="auto"/>
        <w:right w:val="none" w:sz="0" w:space="0" w:color="auto"/>
      </w:divBdr>
    </w:div>
    <w:div w:id="1184517461">
      <w:bodyDiv w:val="1"/>
      <w:marLeft w:val="0"/>
      <w:marRight w:val="0"/>
      <w:marTop w:val="0"/>
      <w:marBottom w:val="0"/>
      <w:divBdr>
        <w:top w:val="none" w:sz="0" w:space="0" w:color="auto"/>
        <w:left w:val="none" w:sz="0" w:space="0" w:color="auto"/>
        <w:bottom w:val="none" w:sz="0" w:space="0" w:color="auto"/>
        <w:right w:val="none" w:sz="0" w:space="0" w:color="auto"/>
      </w:divBdr>
      <w:divsChild>
        <w:div w:id="74719293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188641260">
      <w:bodyDiv w:val="1"/>
      <w:marLeft w:val="0"/>
      <w:marRight w:val="0"/>
      <w:marTop w:val="0"/>
      <w:marBottom w:val="0"/>
      <w:divBdr>
        <w:top w:val="none" w:sz="0" w:space="0" w:color="auto"/>
        <w:left w:val="none" w:sz="0" w:space="0" w:color="auto"/>
        <w:bottom w:val="none" w:sz="0" w:space="0" w:color="auto"/>
        <w:right w:val="none" w:sz="0" w:space="0" w:color="auto"/>
      </w:divBdr>
    </w:div>
    <w:div w:id="1195465499">
      <w:bodyDiv w:val="1"/>
      <w:marLeft w:val="0"/>
      <w:marRight w:val="0"/>
      <w:marTop w:val="0"/>
      <w:marBottom w:val="0"/>
      <w:divBdr>
        <w:top w:val="none" w:sz="0" w:space="0" w:color="auto"/>
        <w:left w:val="none" w:sz="0" w:space="0" w:color="auto"/>
        <w:bottom w:val="none" w:sz="0" w:space="0" w:color="auto"/>
        <w:right w:val="none" w:sz="0" w:space="0" w:color="auto"/>
      </w:divBdr>
    </w:div>
    <w:div w:id="1214347273">
      <w:bodyDiv w:val="1"/>
      <w:marLeft w:val="0"/>
      <w:marRight w:val="0"/>
      <w:marTop w:val="0"/>
      <w:marBottom w:val="0"/>
      <w:divBdr>
        <w:top w:val="none" w:sz="0" w:space="0" w:color="auto"/>
        <w:left w:val="none" w:sz="0" w:space="0" w:color="auto"/>
        <w:bottom w:val="none" w:sz="0" w:space="0" w:color="auto"/>
        <w:right w:val="none" w:sz="0" w:space="0" w:color="auto"/>
      </w:divBdr>
    </w:div>
    <w:div w:id="1227687940">
      <w:bodyDiv w:val="1"/>
      <w:marLeft w:val="0"/>
      <w:marRight w:val="0"/>
      <w:marTop w:val="0"/>
      <w:marBottom w:val="0"/>
      <w:divBdr>
        <w:top w:val="none" w:sz="0" w:space="0" w:color="auto"/>
        <w:left w:val="none" w:sz="0" w:space="0" w:color="auto"/>
        <w:bottom w:val="none" w:sz="0" w:space="0" w:color="auto"/>
        <w:right w:val="none" w:sz="0" w:space="0" w:color="auto"/>
      </w:divBdr>
    </w:div>
    <w:div w:id="1247806748">
      <w:bodyDiv w:val="1"/>
      <w:marLeft w:val="0"/>
      <w:marRight w:val="0"/>
      <w:marTop w:val="0"/>
      <w:marBottom w:val="0"/>
      <w:divBdr>
        <w:top w:val="none" w:sz="0" w:space="0" w:color="auto"/>
        <w:left w:val="none" w:sz="0" w:space="0" w:color="auto"/>
        <w:bottom w:val="none" w:sz="0" w:space="0" w:color="auto"/>
        <w:right w:val="none" w:sz="0" w:space="0" w:color="auto"/>
      </w:divBdr>
    </w:div>
    <w:div w:id="1256355859">
      <w:bodyDiv w:val="1"/>
      <w:marLeft w:val="0"/>
      <w:marRight w:val="0"/>
      <w:marTop w:val="0"/>
      <w:marBottom w:val="0"/>
      <w:divBdr>
        <w:top w:val="none" w:sz="0" w:space="0" w:color="auto"/>
        <w:left w:val="none" w:sz="0" w:space="0" w:color="auto"/>
        <w:bottom w:val="none" w:sz="0" w:space="0" w:color="auto"/>
        <w:right w:val="none" w:sz="0" w:space="0" w:color="auto"/>
      </w:divBdr>
    </w:div>
    <w:div w:id="1275745987">
      <w:bodyDiv w:val="1"/>
      <w:marLeft w:val="0"/>
      <w:marRight w:val="0"/>
      <w:marTop w:val="0"/>
      <w:marBottom w:val="0"/>
      <w:divBdr>
        <w:top w:val="none" w:sz="0" w:space="0" w:color="auto"/>
        <w:left w:val="none" w:sz="0" w:space="0" w:color="auto"/>
        <w:bottom w:val="none" w:sz="0" w:space="0" w:color="auto"/>
        <w:right w:val="none" w:sz="0" w:space="0" w:color="auto"/>
      </w:divBdr>
    </w:div>
    <w:div w:id="1282687645">
      <w:bodyDiv w:val="1"/>
      <w:marLeft w:val="0"/>
      <w:marRight w:val="0"/>
      <w:marTop w:val="0"/>
      <w:marBottom w:val="0"/>
      <w:divBdr>
        <w:top w:val="none" w:sz="0" w:space="0" w:color="auto"/>
        <w:left w:val="none" w:sz="0" w:space="0" w:color="auto"/>
        <w:bottom w:val="none" w:sz="0" w:space="0" w:color="auto"/>
        <w:right w:val="none" w:sz="0" w:space="0" w:color="auto"/>
      </w:divBdr>
    </w:div>
    <w:div w:id="1291589475">
      <w:bodyDiv w:val="1"/>
      <w:marLeft w:val="0"/>
      <w:marRight w:val="0"/>
      <w:marTop w:val="0"/>
      <w:marBottom w:val="0"/>
      <w:divBdr>
        <w:top w:val="none" w:sz="0" w:space="0" w:color="auto"/>
        <w:left w:val="none" w:sz="0" w:space="0" w:color="auto"/>
        <w:bottom w:val="none" w:sz="0" w:space="0" w:color="auto"/>
        <w:right w:val="none" w:sz="0" w:space="0" w:color="auto"/>
      </w:divBdr>
    </w:div>
    <w:div w:id="1295598760">
      <w:bodyDiv w:val="1"/>
      <w:marLeft w:val="0"/>
      <w:marRight w:val="0"/>
      <w:marTop w:val="0"/>
      <w:marBottom w:val="0"/>
      <w:divBdr>
        <w:top w:val="none" w:sz="0" w:space="0" w:color="auto"/>
        <w:left w:val="none" w:sz="0" w:space="0" w:color="auto"/>
        <w:bottom w:val="none" w:sz="0" w:space="0" w:color="auto"/>
        <w:right w:val="none" w:sz="0" w:space="0" w:color="auto"/>
      </w:divBdr>
    </w:div>
    <w:div w:id="1327633513">
      <w:bodyDiv w:val="1"/>
      <w:marLeft w:val="0"/>
      <w:marRight w:val="0"/>
      <w:marTop w:val="0"/>
      <w:marBottom w:val="0"/>
      <w:divBdr>
        <w:top w:val="none" w:sz="0" w:space="0" w:color="auto"/>
        <w:left w:val="none" w:sz="0" w:space="0" w:color="auto"/>
        <w:bottom w:val="none" w:sz="0" w:space="0" w:color="auto"/>
        <w:right w:val="none" w:sz="0" w:space="0" w:color="auto"/>
      </w:divBdr>
    </w:div>
    <w:div w:id="1331910744">
      <w:bodyDiv w:val="1"/>
      <w:marLeft w:val="0"/>
      <w:marRight w:val="0"/>
      <w:marTop w:val="0"/>
      <w:marBottom w:val="0"/>
      <w:divBdr>
        <w:top w:val="none" w:sz="0" w:space="0" w:color="auto"/>
        <w:left w:val="none" w:sz="0" w:space="0" w:color="auto"/>
        <w:bottom w:val="none" w:sz="0" w:space="0" w:color="auto"/>
        <w:right w:val="none" w:sz="0" w:space="0" w:color="auto"/>
      </w:divBdr>
    </w:div>
    <w:div w:id="1346326218">
      <w:bodyDiv w:val="1"/>
      <w:marLeft w:val="0"/>
      <w:marRight w:val="0"/>
      <w:marTop w:val="0"/>
      <w:marBottom w:val="0"/>
      <w:divBdr>
        <w:top w:val="none" w:sz="0" w:space="0" w:color="auto"/>
        <w:left w:val="none" w:sz="0" w:space="0" w:color="auto"/>
        <w:bottom w:val="none" w:sz="0" w:space="0" w:color="auto"/>
        <w:right w:val="none" w:sz="0" w:space="0" w:color="auto"/>
      </w:divBdr>
    </w:div>
    <w:div w:id="1351956721">
      <w:bodyDiv w:val="1"/>
      <w:marLeft w:val="0"/>
      <w:marRight w:val="0"/>
      <w:marTop w:val="0"/>
      <w:marBottom w:val="0"/>
      <w:divBdr>
        <w:top w:val="none" w:sz="0" w:space="0" w:color="auto"/>
        <w:left w:val="none" w:sz="0" w:space="0" w:color="auto"/>
        <w:bottom w:val="none" w:sz="0" w:space="0" w:color="auto"/>
        <w:right w:val="none" w:sz="0" w:space="0" w:color="auto"/>
      </w:divBdr>
    </w:div>
    <w:div w:id="1358769700">
      <w:bodyDiv w:val="1"/>
      <w:marLeft w:val="0"/>
      <w:marRight w:val="0"/>
      <w:marTop w:val="0"/>
      <w:marBottom w:val="0"/>
      <w:divBdr>
        <w:top w:val="none" w:sz="0" w:space="0" w:color="auto"/>
        <w:left w:val="none" w:sz="0" w:space="0" w:color="auto"/>
        <w:bottom w:val="none" w:sz="0" w:space="0" w:color="auto"/>
        <w:right w:val="none" w:sz="0" w:space="0" w:color="auto"/>
      </w:divBdr>
    </w:div>
    <w:div w:id="1358969365">
      <w:bodyDiv w:val="1"/>
      <w:marLeft w:val="0"/>
      <w:marRight w:val="0"/>
      <w:marTop w:val="0"/>
      <w:marBottom w:val="0"/>
      <w:divBdr>
        <w:top w:val="none" w:sz="0" w:space="0" w:color="auto"/>
        <w:left w:val="none" w:sz="0" w:space="0" w:color="auto"/>
        <w:bottom w:val="none" w:sz="0" w:space="0" w:color="auto"/>
        <w:right w:val="none" w:sz="0" w:space="0" w:color="auto"/>
      </w:divBdr>
      <w:divsChild>
        <w:div w:id="175465661">
          <w:marLeft w:val="0"/>
          <w:marRight w:val="0"/>
          <w:marTop w:val="0"/>
          <w:marBottom w:val="0"/>
          <w:divBdr>
            <w:top w:val="none" w:sz="0" w:space="0" w:color="auto"/>
            <w:left w:val="none" w:sz="0" w:space="0" w:color="auto"/>
            <w:bottom w:val="none" w:sz="0" w:space="0" w:color="auto"/>
            <w:right w:val="none" w:sz="0" w:space="0" w:color="auto"/>
          </w:divBdr>
        </w:div>
        <w:div w:id="1929805166">
          <w:marLeft w:val="0"/>
          <w:marRight w:val="0"/>
          <w:marTop w:val="0"/>
          <w:marBottom w:val="0"/>
          <w:divBdr>
            <w:top w:val="none" w:sz="0" w:space="0" w:color="auto"/>
            <w:left w:val="none" w:sz="0" w:space="0" w:color="auto"/>
            <w:bottom w:val="none" w:sz="0" w:space="0" w:color="auto"/>
            <w:right w:val="none" w:sz="0" w:space="0" w:color="auto"/>
          </w:divBdr>
        </w:div>
      </w:divsChild>
    </w:div>
    <w:div w:id="1365788588">
      <w:bodyDiv w:val="1"/>
      <w:marLeft w:val="0"/>
      <w:marRight w:val="0"/>
      <w:marTop w:val="0"/>
      <w:marBottom w:val="0"/>
      <w:divBdr>
        <w:top w:val="none" w:sz="0" w:space="0" w:color="auto"/>
        <w:left w:val="none" w:sz="0" w:space="0" w:color="auto"/>
        <w:bottom w:val="none" w:sz="0" w:space="0" w:color="auto"/>
        <w:right w:val="none" w:sz="0" w:space="0" w:color="auto"/>
      </w:divBdr>
    </w:div>
    <w:div w:id="1365790311">
      <w:bodyDiv w:val="1"/>
      <w:marLeft w:val="0"/>
      <w:marRight w:val="0"/>
      <w:marTop w:val="0"/>
      <w:marBottom w:val="0"/>
      <w:divBdr>
        <w:top w:val="none" w:sz="0" w:space="0" w:color="auto"/>
        <w:left w:val="none" w:sz="0" w:space="0" w:color="auto"/>
        <w:bottom w:val="none" w:sz="0" w:space="0" w:color="auto"/>
        <w:right w:val="none" w:sz="0" w:space="0" w:color="auto"/>
      </w:divBdr>
    </w:div>
    <w:div w:id="1424229189">
      <w:bodyDiv w:val="1"/>
      <w:marLeft w:val="0"/>
      <w:marRight w:val="0"/>
      <w:marTop w:val="0"/>
      <w:marBottom w:val="0"/>
      <w:divBdr>
        <w:top w:val="none" w:sz="0" w:space="0" w:color="auto"/>
        <w:left w:val="none" w:sz="0" w:space="0" w:color="auto"/>
        <w:bottom w:val="none" w:sz="0" w:space="0" w:color="auto"/>
        <w:right w:val="none" w:sz="0" w:space="0" w:color="auto"/>
      </w:divBdr>
    </w:div>
    <w:div w:id="1431122993">
      <w:bodyDiv w:val="1"/>
      <w:marLeft w:val="0"/>
      <w:marRight w:val="0"/>
      <w:marTop w:val="0"/>
      <w:marBottom w:val="0"/>
      <w:divBdr>
        <w:top w:val="none" w:sz="0" w:space="0" w:color="auto"/>
        <w:left w:val="none" w:sz="0" w:space="0" w:color="auto"/>
        <w:bottom w:val="none" w:sz="0" w:space="0" w:color="auto"/>
        <w:right w:val="none" w:sz="0" w:space="0" w:color="auto"/>
      </w:divBdr>
    </w:div>
    <w:div w:id="1441878037">
      <w:bodyDiv w:val="1"/>
      <w:marLeft w:val="0"/>
      <w:marRight w:val="0"/>
      <w:marTop w:val="0"/>
      <w:marBottom w:val="0"/>
      <w:divBdr>
        <w:top w:val="none" w:sz="0" w:space="0" w:color="auto"/>
        <w:left w:val="none" w:sz="0" w:space="0" w:color="auto"/>
        <w:bottom w:val="none" w:sz="0" w:space="0" w:color="auto"/>
        <w:right w:val="none" w:sz="0" w:space="0" w:color="auto"/>
      </w:divBdr>
    </w:div>
    <w:div w:id="1474181836">
      <w:bodyDiv w:val="1"/>
      <w:marLeft w:val="0"/>
      <w:marRight w:val="0"/>
      <w:marTop w:val="0"/>
      <w:marBottom w:val="0"/>
      <w:divBdr>
        <w:top w:val="none" w:sz="0" w:space="0" w:color="auto"/>
        <w:left w:val="none" w:sz="0" w:space="0" w:color="auto"/>
        <w:bottom w:val="none" w:sz="0" w:space="0" w:color="auto"/>
        <w:right w:val="none" w:sz="0" w:space="0" w:color="auto"/>
      </w:divBdr>
    </w:div>
    <w:div w:id="1485511151">
      <w:bodyDiv w:val="1"/>
      <w:marLeft w:val="0"/>
      <w:marRight w:val="0"/>
      <w:marTop w:val="0"/>
      <w:marBottom w:val="0"/>
      <w:divBdr>
        <w:top w:val="none" w:sz="0" w:space="0" w:color="auto"/>
        <w:left w:val="none" w:sz="0" w:space="0" w:color="auto"/>
        <w:bottom w:val="none" w:sz="0" w:space="0" w:color="auto"/>
        <w:right w:val="none" w:sz="0" w:space="0" w:color="auto"/>
      </w:divBdr>
      <w:divsChild>
        <w:div w:id="377630095">
          <w:marLeft w:val="0"/>
          <w:marRight w:val="0"/>
          <w:marTop w:val="0"/>
          <w:marBottom w:val="0"/>
          <w:divBdr>
            <w:top w:val="none" w:sz="0" w:space="0" w:color="auto"/>
            <w:left w:val="none" w:sz="0" w:space="0" w:color="auto"/>
            <w:bottom w:val="none" w:sz="0" w:space="0" w:color="auto"/>
            <w:right w:val="none" w:sz="0" w:space="0" w:color="auto"/>
          </w:divBdr>
        </w:div>
        <w:div w:id="613632249">
          <w:marLeft w:val="0"/>
          <w:marRight w:val="0"/>
          <w:marTop w:val="0"/>
          <w:marBottom w:val="0"/>
          <w:divBdr>
            <w:top w:val="none" w:sz="0" w:space="0" w:color="auto"/>
            <w:left w:val="none" w:sz="0" w:space="0" w:color="auto"/>
            <w:bottom w:val="none" w:sz="0" w:space="0" w:color="auto"/>
            <w:right w:val="none" w:sz="0" w:space="0" w:color="auto"/>
          </w:divBdr>
        </w:div>
        <w:div w:id="875580694">
          <w:marLeft w:val="0"/>
          <w:marRight w:val="0"/>
          <w:marTop w:val="0"/>
          <w:marBottom w:val="0"/>
          <w:divBdr>
            <w:top w:val="none" w:sz="0" w:space="0" w:color="auto"/>
            <w:left w:val="none" w:sz="0" w:space="0" w:color="auto"/>
            <w:bottom w:val="none" w:sz="0" w:space="0" w:color="auto"/>
            <w:right w:val="none" w:sz="0" w:space="0" w:color="auto"/>
          </w:divBdr>
        </w:div>
        <w:div w:id="1747728179">
          <w:marLeft w:val="0"/>
          <w:marRight w:val="0"/>
          <w:marTop w:val="0"/>
          <w:marBottom w:val="0"/>
          <w:divBdr>
            <w:top w:val="none" w:sz="0" w:space="0" w:color="auto"/>
            <w:left w:val="none" w:sz="0" w:space="0" w:color="auto"/>
            <w:bottom w:val="none" w:sz="0" w:space="0" w:color="auto"/>
            <w:right w:val="none" w:sz="0" w:space="0" w:color="auto"/>
          </w:divBdr>
        </w:div>
      </w:divsChild>
    </w:div>
    <w:div w:id="1515807871">
      <w:bodyDiv w:val="1"/>
      <w:marLeft w:val="0"/>
      <w:marRight w:val="0"/>
      <w:marTop w:val="0"/>
      <w:marBottom w:val="0"/>
      <w:divBdr>
        <w:top w:val="none" w:sz="0" w:space="0" w:color="auto"/>
        <w:left w:val="none" w:sz="0" w:space="0" w:color="auto"/>
        <w:bottom w:val="none" w:sz="0" w:space="0" w:color="auto"/>
        <w:right w:val="none" w:sz="0" w:space="0" w:color="auto"/>
      </w:divBdr>
    </w:div>
    <w:div w:id="1550074300">
      <w:bodyDiv w:val="1"/>
      <w:marLeft w:val="0"/>
      <w:marRight w:val="0"/>
      <w:marTop w:val="0"/>
      <w:marBottom w:val="0"/>
      <w:divBdr>
        <w:top w:val="none" w:sz="0" w:space="0" w:color="auto"/>
        <w:left w:val="none" w:sz="0" w:space="0" w:color="auto"/>
        <w:bottom w:val="none" w:sz="0" w:space="0" w:color="auto"/>
        <w:right w:val="none" w:sz="0" w:space="0" w:color="auto"/>
      </w:divBdr>
    </w:div>
    <w:div w:id="1553426133">
      <w:bodyDiv w:val="1"/>
      <w:marLeft w:val="0"/>
      <w:marRight w:val="0"/>
      <w:marTop w:val="0"/>
      <w:marBottom w:val="0"/>
      <w:divBdr>
        <w:top w:val="none" w:sz="0" w:space="0" w:color="auto"/>
        <w:left w:val="none" w:sz="0" w:space="0" w:color="auto"/>
        <w:bottom w:val="none" w:sz="0" w:space="0" w:color="auto"/>
        <w:right w:val="none" w:sz="0" w:space="0" w:color="auto"/>
      </w:divBdr>
    </w:div>
    <w:div w:id="1647737492">
      <w:bodyDiv w:val="1"/>
      <w:marLeft w:val="0"/>
      <w:marRight w:val="0"/>
      <w:marTop w:val="0"/>
      <w:marBottom w:val="0"/>
      <w:divBdr>
        <w:top w:val="none" w:sz="0" w:space="0" w:color="auto"/>
        <w:left w:val="none" w:sz="0" w:space="0" w:color="auto"/>
        <w:bottom w:val="none" w:sz="0" w:space="0" w:color="auto"/>
        <w:right w:val="none" w:sz="0" w:space="0" w:color="auto"/>
      </w:divBdr>
    </w:div>
    <w:div w:id="1661032446">
      <w:bodyDiv w:val="1"/>
      <w:marLeft w:val="0"/>
      <w:marRight w:val="0"/>
      <w:marTop w:val="0"/>
      <w:marBottom w:val="0"/>
      <w:divBdr>
        <w:top w:val="none" w:sz="0" w:space="0" w:color="auto"/>
        <w:left w:val="none" w:sz="0" w:space="0" w:color="auto"/>
        <w:bottom w:val="none" w:sz="0" w:space="0" w:color="auto"/>
        <w:right w:val="none" w:sz="0" w:space="0" w:color="auto"/>
      </w:divBdr>
    </w:div>
    <w:div w:id="1677688638">
      <w:bodyDiv w:val="1"/>
      <w:marLeft w:val="0"/>
      <w:marRight w:val="0"/>
      <w:marTop w:val="0"/>
      <w:marBottom w:val="0"/>
      <w:divBdr>
        <w:top w:val="none" w:sz="0" w:space="0" w:color="auto"/>
        <w:left w:val="none" w:sz="0" w:space="0" w:color="auto"/>
        <w:bottom w:val="none" w:sz="0" w:space="0" w:color="auto"/>
        <w:right w:val="none" w:sz="0" w:space="0" w:color="auto"/>
      </w:divBdr>
    </w:div>
    <w:div w:id="1678077224">
      <w:bodyDiv w:val="1"/>
      <w:marLeft w:val="0"/>
      <w:marRight w:val="0"/>
      <w:marTop w:val="0"/>
      <w:marBottom w:val="0"/>
      <w:divBdr>
        <w:top w:val="none" w:sz="0" w:space="0" w:color="auto"/>
        <w:left w:val="none" w:sz="0" w:space="0" w:color="auto"/>
        <w:bottom w:val="none" w:sz="0" w:space="0" w:color="auto"/>
        <w:right w:val="none" w:sz="0" w:space="0" w:color="auto"/>
      </w:divBdr>
    </w:div>
    <w:div w:id="1684239064">
      <w:bodyDiv w:val="1"/>
      <w:marLeft w:val="0"/>
      <w:marRight w:val="0"/>
      <w:marTop w:val="0"/>
      <w:marBottom w:val="0"/>
      <w:divBdr>
        <w:top w:val="none" w:sz="0" w:space="0" w:color="auto"/>
        <w:left w:val="none" w:sz="0" w:space="0" w:color="auto"/>
        <w:bottom w:val="none" w:sz="0" w:space="0" w:color="auto"/>
        <w:right w:val="none" w:sz="0" w:space="0" w:color="auto"/>
      </w:divBdr>
    </w:div>
    <w:div w:id="1684433029">
      <w:bodyDiv w:val="1"/>
      <w:marLeft w:val="0"/>
      <w:marRight w:val="0"/>
      <w:marTop w:val="0"/>
      <w:marBottom w:val="0"/>
      <w:divBdr>
        <w:top w:val="none" w:sz="0" w:space="0" w:color="auto"/>
        <w:left w:val="none" w:sz="0" w:space="0" w:color="auto"/>
        <w:bottom w:val="none" w:sz="0" w:space="0" w:color="auto"/>
        <w:right w:val="none" w:sz="0" w:space="0" w:color="auto"/>
      </w:divBdr>
      <w:divsChild>
        <w:div w:id="1328901087">
          <w:marLeft w:val="0"/>
          <w:marRight w:val="0"/>
          <w:marTop w:val="0"/>
          <w:marBottom w:val="0"/>
          <w:divBdr>
            <w:top w:val="single" w:sz="2" w:space="0" w:color="CACACA"/>
            <w:left w:val="single" w:sz="2" w:space="0" w:color="CACACA"/>
            <w:bottom w:val="single" w:sz="2" w:space="0" w:color="CACACA"/>
            <w:right w:val="single" w:sz="2" w:space="0" w:color="CACACA"/>
          </w:divBdr>
        </w:div>
      </w:divsChild>
    </w:div>
    <w:div w:id="1718236630">
      <w:bodyDiv w:val="1"/>
      <w:marLeft w:val="0"/>
      <w:marRight w:val="0"/>
      <w:marTop w:val="0"/>
      <w:marBottom w:val="0"/>
      <w:divBdr>
        <w:top w:val="none" w:sz="0" w:space="0" w:color="auto"/>
        <w:left w:val="none" w:sz="0" w:space="0" w:color="auto"/>
        <w:bottom w:val="none" w:sz="0" w:space="0" w:color="auto"/>
        <w:right w:val="none" w:sz="0" w:space="0" w:color="auto"/>
      </w:divBdr>
    </w:div>
    <w:div w:id="1730037093">
      <w:bodyDiv w:val="1"/>
      <w:marLeft w:val="0"/>
      <w:marRight w:val="0"/>
      <w:marTop w:val="0"/>
      <w:marBottom w:val="0"/>
      <w:divBdr>
        <w:top w:val="none" w:sz="0" w:space="0" w:color="auto"/>
        <w:left w:val="none" w:sz="0" w:space="0" w:color="auto"/>
        <w:bottom w:val="none" w:sz="0" w:space="0" w:color="auto"/>
        <w:right w:val="none" w:sz="0" w:space="0" w:color="auto"/>
      </w:divBdr>
      <w:divsChild>
        <w:div w:id="48459673">
          <w:marLeft w:val="0"/>
          <w:marRight w:val="0"/>
          <w:marTop w:val="0"/>
          <w:marBottom w:val="0"/>
          <w:divBdr>
            <w:top w:val="none" w:sz="0" w:space="0" w:color="auto"/>
            <w:left w:val="none" w:sz="0" w:space="0" w:color="auto"/>
            <w:bottom w:val="none" w:sz="0" w:space="0" w:color="auto"/>
            <w:right w:val="none" w:sz="0" w:space="0" w:color="auto"/>
          </w:divBdr>
        </w:div>
        <w:div w:id="1814718470">
          <w:marLeft w:val="0"/>
          <w:marRight w:val="0"/>
          <w:marTop w:val="0"/>
          <w:marBottom w:val="0"/>
          <w:divBdr>
            <w:top w:val="none" w:sz="0" w:space="0" w:color="auto"/>
            <w:left w:val="none" w:sz="0" w:space="0" w:color="auto"/>
            <w:bottom w:val="none" w:sz="0" w:space="0" w:color="auto"/>
            <w:right w:val="none" w:sz="0" w:space="0" w:color="auto"/>
          </w:divBdr>
        </w:div>
      </w:divsChild>
    </w:div>
    <w:div w:id="1730885167">
      <w:bodyDiv w:val="1"/>
      <w:marLeft w:val="0"/>
      <w:marRight w:val="0"/>
      <w:marTop w:val="0"/>
      <w:marBottom w:val="0"/>
      <w:divBdr>
        <w:top w:val="none" w:sz="0" w:space="0" w:color="auto"/>
        <w:left w:val="none" w:sz="0" w:space="0" w:color="auto"/>
        <w:bottom w:val="none" w:sz="0" w:space="0" w:color="auto"/>
        <w:right w:val="none" w:sz="0" w:space="0" w:color="auto"/>
      </w:divBdr>
      <w:divsChild>
        <w:div w:id="1747654450">
          <w:marLeft w:val="0"/>
          <w:marRight w:val="0"/>
          <w:marTop w:val="0"/>
          <w:marBottom w:val="0"/>
          <w:divBdr>
            <w:top w:val="none" w:sz="0" w:space="0" w:color="auto"/>
            <w:left w:val="none" w:sz="0" w:space="0" w:color="auto"/>
            <w:bottom w:val="none" w:sz="0" w:space="0" w:color="auto"/>
            <w:right w:val="none" w:sz="0" w:space="0" w:color="auto"/>
          </w:divBdr>
          <w:divsChild>
            <w:div w:id="1184981001">
              <w:marLeft w:val="0"/>
              <w:marRight w:val="0"/>
              <w:marTop w:val="0"/>
              <w:marBottom w:val="0"/>
              <w:divBdr>
                <w:top w:val="none" w:sz="0" w:space="0" w:color="auto"/>
                <w:left w:val="none" w:sz="0" w:space="0" w:color="auto"/>
                <w:bottom w:val="none" w:sz="0" w:space="0" w:color="auto"/>
                <w:right w:val="none" w:sz="0" w:space="0" w:color="auto"/>
              </w:divBdr>
              <w:divsChild>
                <w:div w:id="646251368">
                  <w:marLeft w:val="0"/>
                  <w:marRight w:val="0"/>
                  <w:marTop w:val="0"/>
                  <w:marBottom w:val="0"/>
                  <w:divBdr>
                    <w:top w:val="none" w:sz="0" w:space="0" w:color="auto"/>
                    <w:left w:val="none" w:sz="0" w:space="0" w:color="auto"/>
                    <w:bottom w:val="none" w:sz="0" w:space="0" w:color="auto"/>
                    <w:right w:val="none" w:sz="0" w:space="0" w:color="auto"/>
                  </w:divBdr>
                  <w:divsChild>
                    <w:div w:id="59334470">
                      <w:marLeft w:val="0"/>
                      <w:marRight w:val="0"/>
                      <w:marTop w:val="0"/>
                      <w:marBottom w:val="0"/>
                      <w:divBdr>
                        <w:top w:val="none" w:sz="0" w:space="0" w:color="auto"/>
                        <w:left w:val="none" w:sz="0" w:space="0" w:color="auto"/>
                        <w:bottom w:val="none" w:sz="0" w:space="0" w:color="auto"/>
                        <w:right w:val="none" w:sz="0" w:space="0" w:color="auto"/>
                      </w:divBdr>
                      <w:divsChild>
                        <w:div w:id="1312754001">
                          <w:marLeft w:val="0"/>
                          <w:marRight w:val="0"/>
                          <w:marTop w:val="0"/>
                          <w:marBottom w:val="0"/>
                          <w:divBdr>
                            <w:top w:val="none" w:sz="0" w:space="0" w:color="auto"/>
                            <w:left w:val="none" w:sz="0" w:space="0" w:color="auto"/>
                            <w:bottom w:val="none" w:sz="0" w:space="0" w:color="auto"/>
                            <w:right w:val="none" w:sz="0" w:space="0" w:color="auto"/>
                          </w:divBdr>
                        </w:div>
                        <w:div w:id="168821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287167">
      <w:bodyDiv w:val="1"/>
      <w:marLeft w:val="0"/>
      <w:marRight w:val="0"/>
      <w:marTop w:val="0"/>
      <w:marBottom w:val="0"/>
      <w:divBdr>
        <w:top w:val="none" w:sz="0" w:space="0" w:color="auto"/>
        <w:left w:val="none" w:sz="0" w:space="0" w:color="auto"/>
        <w:bottom w:val="none" w:sz="0" w:space="0" w:color="auto"/>
        <w:right w:val="none" w:sz="0" w:space="0" w:color="auto"/>
      </w:divBdr>
    </w:div>
    <w:div w:id="1781072604">
      <w:bodyDiv w:val="1"/>
      <w:marLeft w:val="0"/>
      <w:marRight w:val="0"/>
      <w:marTop w:val="0"/>
      <w:marBottom w:val="0"/>
      <w:divBdr>
        <w:top w:val="none" w:sz="0" w:space="0" w:color="auto"/>
        <w:left w:val="none" w:sz="0" w:space="0" w:color="auto"/>
        <w:bottom w:val="none" w:sz="0" w:space="0" w:color="auto"/>
        <w:right w:val="none" w:sz="0" w:space="0" w:color="auto"/>
      </w:divBdr>
    </w:div>
    <w:div w:id="1785733392">
      <w:bodyDiv w:val="1"/>
      <w:marLeft w:val="0"/>
      <w:marRight w:val="0"/>
      <w:marTop w:val="0"/>
      <w:marBottom w:val="0"/>
      <w:divBdr>
        <w:top w:val="none" w:sz="0" w:space="0" w:color="auto"/>
        <w:left w:val="none" w:sz="0" w:space="0" w:color="auto"/>
        <w:bottom w:val="none" w:sz="0" w:space="0" w:color="auto"/>
        <w:right w:val="none" w:sz="0" w:space="0" w:color="auto"/>
      </w:divBdr>
    </w:div>
    <w:div w:id="1805387735">
      <w:bodyDiv w:val="1"/>
      <w:marLeft w:val="0"/>
      <w:marRight w:val="0"/>
      <w:marTop w:val="0"/>
      <w:marBottom w:val="0"/>
      <w:divBdr>
        <w:top w:val="none" w:sz="0" w:space="0" w:color="auto"/>
        <w:left w:val="none" w:sz="0" w:space="0" w:color="auto"/>
        <w:bottom w:val="none" w:sz="0" w:space="0" w:color="auto"/>
        <w:right w:val="none" w:sz="0" w:space="0" w:color="auto"/>
      </w:divBdr>
    </w:div>
    <w:div w:id="1816947231">
      <w:bodyDiv w:val="1"/>
      <w:marLeft w:val="0"/>
      <w:marRight w:val="0"/>
      <w:marTop w:val="0"/>
      <w:marBottom w:val="0"/>
      <w:divBdr>
        <w:top w:val="none" w:sz="0" w:space="0" w:color="auto"/>
        <w:left w:val="none" w:sz="0" w:space="0" w:color="auto"/>
        <w:bottom w:val="none" w:sz="0" w:space="0" w:color="auto"/>
        <w:right w:val="none" w:sz="0" w:space="0" w:color="auto"/>
      </w:divBdr>
    </w:div>
    <w:div w:id="1819879280">
      <w:bodyDiv w:val="1"/>
      <w:marLeft w:val="0"/>
      <w:marRight w:val="0"/>
      <w:marTop w:val="0"/>
      <w:marBottom w:val="0"/>
      <w:divBdr>
        <w:top w:val="none" w:sz="0" w:space="0" w:color="auto"/>
        <w:left w:val="none" w:sz="0" w:space="0" w:color="auto"/>
        <w:bottom w:val="none" w:sz="0" w:space="0" w:color="auto"/>
        <w:right w:val="none" w:sz="0" w:space="0" w:color="auto"/>
      </w:divBdr>
    </w:div>
    <w:div w:id="1821725126">
      <w:bodyDiv w:val="1"/>
      <w:marLeft w:val="0"/>
      <w:marRight w:val="0"/>
      <w:marTop w:val="0"/>
      <w:marBottom w:val="0"/>
      <w:divBdr>
        <w:top w:val="none" w:sz="0" w:space="0" w:color="auto"/>
        <w:left w:val="none" w:sz="0" w:space="0" w:color="auto"/>
        <w:bottom w:val="none" w:sz="0" w:space="0" w:color="auto"/>
        <w:right w:val="none" w:sz="0" w:space="0" w:color="auto"/>
      </w:divBdr>
    </w:div>
    <w:div w:id="1822192004">
      <w:bodyDiv w:val="1"/>
      <w:marLeft w:val="0"/>
      <w:marRight w:val="0"/>
      <w:marTop w:val="0"/>
      <w:marBottom w:val="0"/>
      <w:divBdr>
        <w:top w:val="none" w:sz="0" w:space="0" w:color="auto"/>
        <w:left w:val="none" w:sz="0" w:space="0" w:color="auto"/>
        <w:bottom w:val="none" w:sz="0" w:space="0" w:color="auto"/>
        <w:right w:val="none" w:sz="0" w:space="0" w:color="auto"/>
      </w:divBdr>
      <w:divsChild>
        <w:div w:id="513345303">
          <w:marLeft w:val="0"/>
          <w:marRight w:val="0"/>
          <w:marTop w:val="0"/>
          <w:marBottom w:val="0"/>
          <w:divBdr>
            <w:top w:val="none" w:sz="0" w:space="0" w:color="auto"/>
            <w:left w:val="none" w:sz="0" w:space="0" w:color="auto"/>
            <w:bottom w:val="none" w:sz="0" w:space="0" w:color="auto"/>
            <w:right w:val="none" w:sz="0" w:space="0" w:color="auto"/>
          </w:divBdr>
          <w:divsChild>
            <w:div w:id="390734881">
              <w:marLeft w:val="0"/>
              <w:marRight w:val="0"/>
              <w:marTop w:val="0"/>
              <w:marBottom w:val="0"/>
              <w:divBdr>
                <w:top w:val="none" w:sz="0" w:space="0" w:color="auto"/>
                <w:left w:val="none" w:sz="0" w:space="0" w:color="auto"/>
                <w:bottom w:val="none" w:sz="0" w:space="0" w:color="auto"/>
                <w:right w:val="none" w:sz="0" w:space="0" w:color="auto"/>
              </w:divBdr>
            </w:div>
          </w:divsChild>
        </w:div>
        <w:div w:id="875699805">
          <w:marLeft w:val="0"/>
          <w:marRight w:val="0"/>
          <w:marTop w:val="0"/>
          <w:marBottom w:val="0"/>
          <w:divBdr>
            <w:top w:val="none" w:sz="0" w:space="0" w:color="auto"/>
            <w:left w:val="none" w:sz="0" w:space="0" w:color="auto"/>
            <w:bottom w:val="none" w:sz="0" w:space="0" w:color="auto"/>
            <w:right w:val="none" w:sz="0" w:space="0" w:color="auto"/>
          </w:divBdr>
          <w:divsChild>
            <w:div w:id="840586561">
              <w:marLeft w:val="0"/>
              <w:marRight w:val="0"/>
              <w:marTop w:val="0"/>
              <w:marBottom w:val="0"/>
              <w:divBdr>
                <w:top w:val="none" w:sz="0" w:space="0" w:color="auto"/>
                <w:left w:val="none" w:sz="0" w:space="0" w:color="auto"/>
                <w:bottom w:val="none" w:sz="0" w:space="0" w:color="auto"/>
                <w:right w:val="none" w:sz="0" w:space="0" w:color="auto"/>
              </w:divBdr>
              <w:divsChild>
                <w:div w:id="1540163182">
                  <w:marLeft w:val="0"/>
                  <w:marRight w:val="0"/>
                  <w:marTop w:val="0"/>
                  <w:marBottom w:val="0"/>
                  <w:divBdr>
                    <w:top w:val="none" w:sz="0" w:space="0" w:color="auto"/>
                    <w:left w:val="none" w:sz="0" w:space="0" w:color="auto"/>
                    <w:bottom w:val="none" w:sz="0" w:space="0" w:color="auto"/>
                    <w:right w:val="none" w:sz="0" w:space="0" w:color="auto"/>
                  </w:divBdr>
                  <w:divsChild>
                    <w:div w:id="20804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787728">
      <w:bodyDiv w:val="1"/>
      <w:marLeft w:val="0"/>
      <w:marRight w:val="0"/>
      <w:marTop w:val="0"/>
      <w:marBottom w:val="0"/>
      <w:divBdr>
        <w:top w:val="none" w:sz="0" w:space="0" w:color="auto"/>
        <w:left w:val="none" w:sz="0" w:space="0" w:color="auto"/>
        <w:bottom w:val="none" w:sz="0" w:space="0" w:color="auto"/>
        <w:right w:val="none" w:sz="0" w:space="0" w:color="auto"/>
      </w:divBdr>
    </w:div>
    <w:div w:id="1849950791">
      <w:bodyDiv w:val="1"/>
      <w:marLeft w:val="0"/>
      <w:marRight w:val="0"/>
      <w:marTop w:val="0"/>
      <w:marBottom w:val="0"/>
      <w:divBdr>
        <w:top w:val="none" w:sz="0" w:space="0" w:color="auto"/>
        <w:left w:val="none" w:sz="0" w:space="0" w:color="auto"/>
        <w:bottom w:val="none" w:sz="0" w:space="0" w:color="auto"/>
        <w:right w:val="none" w:sz="0" w:space="0" w:color="auto"/>
      </w:divBdr>
      <w:divsChild>
        <w:div w:id="21597165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861435488">
      <w:bodyDiv w:val="1"/>
      <w:marLeft w:val="0"/>
      <w:marRight w:val="0"/>
      <w:marTop w:val="0"/>
      <w:marBottom w:val="0"/>
      <w:divBdr>
        <w:top w:val="none" w:sz="0" w:space="0" w:color="auto"/>
        <w:left w:val="none" w:sz="0" w:space="0" w:color="auto"/>
        <w:bottom w:val="none" w:sz="0" w:space="0" w:color="auto"/>
        <w:right w:val="none" w:sz="0" w:space="0" w:color="auto"/>
      </w:divBdr>
    </w:div>
    <w:div w:id="1863980373">
      <w:bodyDiv w:val="1"/>
      <w:marLeft w:val="0"/>
      <w:marRight w:val="0"/>
      <w:marTop w:val="0"/>
      <w:marBottom w:val="0"/>
      <w:divBdr>
        <w:top w:val="none" w:sz="0" w:space="0" w:color="auto"/>
        <w:left w:val="none" w:sz="0" w:space="0" w:color="auto"/>
        <w:bottom w:val="none" w:sz="0" w:space="0" w:color="auto"/>
        <w:right w:val="none" w:sz="0" w:space="0" w:color="auto"/>
      </w:divBdr>
      <w:divsChild>
        <w:div w:id="738794342">
          <w:marLeft w:val="0"/>
          <w:marRight w:val="0"/>
          <w:marTop w:val="0"/>
          <w:marBottom w:val="0"/>
          <w:divBdr>
            <w:top w:val="none" w:sz="0" w:space="0" w:color="auto"/>
            <w:left w:val="none" w:sz="0" w:space="0" w:color="auto"/>
            <w:bottom w:val="none" w:sz="0" w:space="0" w:color="auto"/>
            <w:right w:val="none" w:sz="0" w:space="0" w:color="auto"/>
          </w:divBdr>
        </w:div>
        <w:div w:id="793904765">
          <w:marLeft w:val="0"/>
          <w:marRight w:val="0"/>
          <w:marTop w:val="0"/>
          <w:marBottom w:val="0"/>
          <w:divBdr>
            <w:top w:val="none" w:sz="0" w:space="0" w:color="auto"/>
            <w:left w:val="none" w:sz="0" w:space="0" w:color="auto"/>
            <w:bottom w:val="none" w:sz="0" w:space="0" w:color="auto"/>
            <w:right w:val="none" w:sz="0" w:space="0" w:color="auto"/>
          </w:divBdr>
        </w:div>
        <w:div w:id="1213805629">
          <w:marLeft w:val="0"/>
          <w:marRight w:val="0"/>
          <w:marTop w:val="0"/>
          <w:marBottom w:val="0"/>
          <w:divBdr>
            <w:top w:val="none" w:sz="0" w:space="0" w:color="auto"/>
            <w:left w:val="none" w:sz="0" w:space="0" w:color="auto"/>
            <w:bottom w:val="none" w:sz="0" w:space="0" w:color="auto"/>
            <w:right w:val="none" w:sz="0" w:space="0" w:color="auto"/>
          </w:divBdr>
        </w:div>
      </w:divsChild>
    </w:div>
    <w:div w:id="1868592592">
      <w:bodyDiv w:val="1"/>
      <w:marLeft w:val="0"/>
      <w:marRight w:val="0"/>
      <w:marTop w:val="0"/>
      <w:marBottom w:val="0"/>
      <w:divBdr>
        <w:top w:val="none" w:sz="0" w:space="0" w:color="auto"/>
        <w:left w:val="none" w:sz="0" w:space="0" w:color="auto"/>
        <w:bottom w:val="none" w:sz="0" w:space="0" w:color="auto"/>
        <w:right w:val="none" w:sz="0" w:space="0" w:color="auto"/>
      </w:divBdr>
      <w:divsChild>
        <w:div w:id="571081738">
          <w:marLeft w:val="0"/>
          <w:marRight w:val="0"/>
          <w:marTop w:val="0"/>
          <w:marBottom w:val="0"/>
          <w:divBdr>
            <w:top w:val="none" w:sz="0" w:space="0" w:color="auto"/>
            <w:left w:val="none" w:sz="0" w:space="0" w:color="auto"/>
            <w:bottom w:val="none" w:sz="0" w:space="0" w:color="auto"/>
            <w:right w:val="none" w:sz="0" w:space="0" w:color="auto"/>
          </w:divBdr>
        </w:div>
        <w:div w:id="1921792284">
          <w:marLeft w:val="0"/>
          <w:marRight w:val="0"/>
          <w:marTop w:val="0"/>
          <w:marBottom w:val="0"/>
          <w:divBdr>
            <w:top w:val="none" w:sz="0" w:space="0" w:color="auto"/>
            <w:left w:val="none" w:sz="0" w:space="0" w:color="auto"/>
            <w:bottom w:val="none" w:sz="0" w:space="0" w:color="auto"/>
            <w:right w:val="none" w:sz="0" w:space="0" w:color="auto"/>
          </w:divBdr>
        </w:div>
        <w:div w:id="1997567302">
          <w:marLeft w:val="0"/>
          <w:marRight w:val="0"/>
          <w:marTop w:val="0"/>
          <w:marBottom w:val="0"/>
          <w:divBdr>
            <w:top w:val="none" w:sz="0" w:space="0" w:color="auto"/>
            <w:left w:val="none" w:sz="0" w:space="0" w:color="auto"/>
            <w:bottom w:val="none" w:sz="0" w:space="0" w:color="auto"/>
            <w:right w:val="none" w:sz="0" w:space="0" w:color="auto"/>
          </w:divBdr>
        </w:div>
      </w:divsChild>
    </w:div>
    <w:div w:id="1879703671">
      <w:bodyDiv w:val="1"/>
      <w:marLeft w:val="0"/>
      <w:marRight w:val="0"/>
      <w:marTop w:val="0"/>
      <w:marBottom w:val="0"/>
      <w:divBdr>
        <w:top w:val="none" w:sz="0" w:space="0" w:color="auto"/>
        <w:left w:val="none" w:sz="0" w:space="0" w:color="auto"/>
        <w:bottom w:val="none" w:sz="0" w:space="0" w:color="auto"/>
        <w:right w:val="none" w:sz="0" w:space="0" w:color="auto"/>
      </w:divBdr>
    </w:div>
    <w:div w:id="1880314971">
      <w:bodyDiv w:val="1"/>
      <w:marLeft w:val="0"/>
      <w:marRight w:val="0"/>
      <w:marTop w:val="0"/>
      <w:marBottom w:val="0"/>
      <w:divBdr>
        <w:top w:val="none" w:sz="0" w:space="0" w:color="auto"/>
        <w:left w:val="none" w:sz="0" w:space="0" w:color="auto"/>
        <w:bottom w:val="none" w:sz="0" w:space="0" w:color="auto"/>
        <w:right w:val="none" w:sz="0" w:space="0" w:color="auto"/>
      </w:divBdr>
    </w:div>
    <w:div w:id="1913613043">
      <w:bodyDiv w:val="1"/>
      <w:marLeft w:val="0"/>
      <w:marRight w:val="0"/>
      <w:marTop w:val="0"/>
      <w:marBottom w:val="0"/>
      <w:divBdr>
        <w:top w:val="none" w:sz="0" w:space="0" w:color="auto"/>
        <w:left w:val="none" w:sz="0" w:space="0" w:color="auto"/>
        <w:bottom w:val="none" w:sz="0" w:space="0" w:color="auto"/>
        <w:right w:val="none" w:sz="0" w:space="0" w:color="auto"/>
      </w:divBdr>
      <w:divsChild>
        <w:div w:id="254943170">
          <w:marLeft w:val="0"/>
          <w:marRight w:val="0"/>
          <w:marTop w:val="0"/>
          <w:marBottom w:val="0"/>
          <w:divBdr>
            <w:top w:val="none" w:sz="0" w:space="0" w:color="auto"/>
            <w:left w:val="none" w:sz="0" w:space="0" w:color="auto"/>
            <w:bottom w:val="none" w:sz="0" w:space="0" w:color="auto"/>
            <w:right w:val="none" w:sz="0" w:space="0" w:color="auto"/>
          </w:divBdr>
        </w:div>
        <w:div w:id="1199589834">
          <w:marLeft w:val="0"/>
          <w:marRight w:val="0"/>
          <w:marTop w:val="0"/>
          <w:marBottom w:val="0"/>
          <w:divBdr>
            <w:top w:val="none" w:sz="0" w:space="0" w:color="auto"/>
            <w:left w:val="none" w:sz="0" w:space="0" w:color="auto"/>
            <w:bottom w:val="none" w:sz="0" w:space="0" w:color="auto"/>
            <w:right w:val="none" w:sz="0" w:space="0" w:color="auto"/>
          </w:divBdr>
        </w:div>
        <w:div w:id="1463884284">
          <w:marLeft w:val="0"/>
          <w:marRight w:val="0"/>
          <w:marTop w:val="0"/>
          <w:marBottom w:val="0"/>
          <w:divBdr>
            <w:top w:val="none" w:sz="0" w:space="0" w:color="auto"/>
            <w:left w:val="none" w:sz="0" w:space="0" w:color="auto"/>
            <w:bottom w:val="none" w:sz="0" w:space="0" w:color="auto"/>
            <w:right w:val="none" w:sz="0" w:space="0" w:color="auto"/>
          </w:divBdr>
        </w:div>
        <w:div w:id="2050494894">
          <w:marLeft w:val="0"/>
          <w:marRight w:val="0"/>
          <w:marTop w:val="0"/>
          <w:marBottom w:val="0"/>
          <w:divBdr>
            <w:top w:val="none" w:sz="0" w:space="0" w:color="auto"/>
            <w:left w:val="none" w:sz="0" w:space="0" w:color="auto"/>
            <w:bottom w:val="none" w:sz="0" w:space="0" w:color="auto"/>
            <w:right w:val="none" w:sz="0" w:space="0" w:color="auto"/>
          </w:divBdr>
        </w:div>
      </w:divsChild>
    </w:div>
    <w:div w:id="1924414582">
      <w:bodyDiv w:val="1"/>
      <w:marLeft w:val="0"/>
      <w:marRight w:val="0"/>
      <w:marTop w:val="0"/>
      <w:marBottom w:val="0"/>
      <w:divBdr>
        <w:top w:val="none" w:sz="0" w:space="0" w:color="auto"/>
        <w:left w:val="none" w:sz="0" w:space="0" w:color="auto"/>
        <w:bottom w:val="none" w:sz="0" w:space="0" w:color="auto"/>
        <w:right w:val="none" w:sz="0" w:space="0" w:color="auto"/>
      </w:divBdr>
    </w:div>
    <w:div w:id="1932733227">
      <w:bodyDiv w:val="1"/>
      <w:marLeft w:val="0"/>
      <w:marRight w:val="0"/>
      <w:marTop w:val="0"/>
      <w:marBottom w:val="0"/>
      <w:divBdr>
        <w:top w:val="none" w:sz="0" w:space="0" w:color="auto"/>
        <w:left w:val="none" w:sz="0" w:space="0" w:color="auto"/>
        <w:bottom w:val="none" w:sz="0" w:space="0" w:color="auto"/>
        <w:right w:val="none" w:sz="0" w:space="0" w:color="auto"/>
      </w:divBdr>
    </w:div>
    <w:div w:id="1938363290">
      <w:bodyDiv w:val="1"/>
      <w:marLeft w:val="0"/>
      <w:marRight w:val="0"/>
      <w:marTop w:val="0"/>
      <w:marBottom w:val="0"/>
      <w:divBdr>
        <w:top w:val="none" w:sz="0" w:space="0" w:color="auto"/>
        <w:left w:val="none" w:sz="0" w:space="0" w:color="auto"/>
        <w:bottom w:val="none" w:sz="0" w:space="0" w:color="auto"/>
        <w:right w:val="none" w:sz="0" w:space="0" w:color="auto"/>
      </w:divBdr>
    </w:div>
    <w:div w:id="1946113066">
      <w:bodyDiv w:val="1"/>
      <w:marLeft w:val="0"/>
      <w:marRight w:val="0"/>
      <w:marTop w:val="0"/>
      <w:marBottom w:val="0"/>
      <w:divBdr>
        <w:top w:val="none" w:sz="0" w:space="0" w:color="auto"/>
        <w:left w:val="none" w:sz="0" w:space="0" w:color="auto"/>
        <w:bottom w:val="none" w:sz="0" w:space="0" w:color="auto"/>
        <w:right w:val="none" w:sz="0" w:space="0" w:color="auto"/>
      </w:divBdr>
    </w:div>
    <w:div w:id="1960793483">
      <w:bodyDiv w:val="1"/>
      <w:marLeft w:val="0"/>
      <w:marRight w:val="0"/>
      <w:marTop w:val="0"/>
      <w:marBottom w:val="0"/>
      <w:divBdr>
        <w:top w:val="none" w:sz="0" w:space="0" w:color="auto"/>
        <w:left w:val="none" w:sz="0" w:space="0" w:color="auto"/>
        <w:bottom w:val="none" w:sz="0" w:space="0" w:color="auto"/>
        <w:right w:val="none" w:sz="0" w:space="0" w:color="auto"/>
      </w:divBdr>
    </w:div>
    <w:div w:id="1976327663">
      <w:bodyDiv w:val="1"/>
      <w:marLeft w:val="0"/>
      <w:marRight w:val="0"/>
      <w:marTop w:val="0"/>
      <w:marBottom w:val="0"/>
      <w:divBdr>
        <w:top w:val="none" w:sz="0" w:space="0" w:color="auto"/>
        <w:left w:val="none" w:sz="0" w:space="0" w:color="auto"/>
        <w:bottom w:val="none" w:sz="0" w:space="0" w:color="auto"/>
        <w:right w:val="none" w:sz="0" w:space="0" w:color="auto"/>
      </w:divBdr>
    </w:div>
    <w:div w:id="1983150236">
      <w:bodyDiv w:val="1"/>
      <w:marLeft w:val="0"/>
      <w:marRight w:val="0"/>
      <w:marTop w:val="0"/>
      <w:marBottom w:val="0"/>
      <w:divBdr>
        <w:top w:val="none" w:sz="0" w:space="0" w:color="auto"/>
        <w:left w:val="none" w:sz="0" w:space="0" w:color="auto"/>
        <w:bottom w:val="none" w:sz="0" w:space="0" w:color="auto"/>
        <w:right w:val="none" w:sz="0" w:space="0" w:color="auto"/>
      </w:divBdr>
    </w:div>
    <w:div w:id="2012296532">
      <w:bodyDiv w:val="1"/>
      <w:marLeft w:val="0"/>
      <w:marRight w:val="0"/>
      <w:marTop w:val="0"/>
      <w:marBottom w:val="0"/>
      <w:divBdr>
        <w:top w:val="none" w:sz="0" w:space="0" w:color="auto"/>
        <w:left w:val="none" w:sz="0" w:space="0" w:color="auto"/>
        <w:bottom w:val="none" w:sz="0" w:space="0" w:color="auto"/>
        <w:right w:val="none" w:sz="0" w:space="0" w:color="auto"/>
      </w:divBdr>
    </w:div>
    <w:div w:id="2014608292">
      <w:bodyDiv w:val="1"/>
      <w:marLeft w:val="0"/>
      <w:marRight w:val="0"/>
      <w:marTop w:val="0"/>
      <w:marBottom w:val="0"/>
      <w:divBdr>
        <w:top w:val="none" w:sz="0" w:space="0" w:color="auto"/>
        <w:left w:val="none" w:sz="0" w:space="0" w:color="auto"/>
        <w:bottom w:val="none" w:sz="0" w:space="0" w:color="auto"/>
        <w:right w:val="none" w:sz="0" w:space="0" w:color="auto"/>
      </w:divBdr>
    </w:div>
    <w:div w:id="2020430599">
      <w:bodyDiv w:val="1"/>
      <w:marLeft w:val="0"/>
      <w:marRight w:val="0"/>
      <w:marTop w:val="0"/>
      <w:marBottom w:val="0"/>
      <w:divBdr>
        <w:top w:val="none" w:sz="0" w:space="0" w:color="auto"/>
        <w:left w:val="none" w:sz="0" w:space="0" w:color="auto"/>
        <w:bottom w:val="none" w:sz="0" w:space="0" w:color="auto"/>
        <w:right w:val="none" w:sz="0" w:space="0" w:color="auto"/>
      </w:divBdr>
    </w:div>
    <w:div w:id="2021659776">
      <w:bodyDiv w:val="1"/>
      <w:marLeft w:val="0"/>
      <w:marRight w:val="0"/>
      <w:marTop w:val="0"/>
      <w:marBottom w:val="0"/>
      <w:divBdr>
        <w:top w:val="none" w:sz="0" w:space="0" w:color="auto"/>
        <w:left w:val="none" w:sz="0" w:space="0" w:color="auto"/>
        <w:bottom w:val="none" w:sz="0" w:space="0" w:color="auto"/>
        <w:right w:val="none" w:sz="0" w:space="0" w:color="auto"/>
      </w:divBdr>
      <w:divsChild>
        <w:div w:id="158891966">
          <w:marLeft w:val="0"/>
          <w:marRight w:val="0"/>
          <w:marTop w:val="0"/>
          <w:marBottom w:val="0"/>
          <w:divBdr>
            <w:top w:val="none" w:sz="0" w:space="0" w:color="auto"/>
            <w:left w:val="none" w:sz="0" w:space="0" w:color="auto"/>
            <w:bottom w:val="none" w:sz="0" w:space="0" w:color="auto"/>
            <w:right w:val="none" w:sz="0" w:space="0" w:color="auto"/>
          </w:divBdr>
          <w:divsChild>
            <w:div w:id="1418088931">
              <w:marLeft w:val="0"/>
              <w:marRight w:val="0"/>
              <w:marTop w:val="0"/>
              <w:marBottom w:val="0"/>
              <w:divBdr>
                <w:top w:val="none" w:sz="0" w:space="0" w:color="auto"/>
                <w:left w:val="none" w:sz="0" w:space="0" w:color="auto"/>
                <w:bottom w:val="none" w:sz="0" w:space="0" w:color="auto"/>
                <w:right w:val="none" w:sz="0" w:space="0" w:color="auto"/>
              </w:divBdr>
              <w:divsChild>
                <w:div w:id="38360479">
                  <w:marLeft w:val="0"/>
                  <w:marRight w:val="0"/>
                  <w:marTop w:val="0"/>
                  <w:marBottom w:val="0"/>
                  <w:divBdr>
                    <w:top w:val="none" w:sz="0" w:space="0" w:color="auto"/>
                    <w:left w:val="none" w:sz="0" w:space="0" w:color="auto"/>
                    <w:bottom w:val="none" w:sz="0" w:space="0" w:color="auto"/>
                    <w:right w:val="none" w:sz="0" w:space="0" w:color="auto"/>
                  </w:divBdr>
                  <w:divsChild>
                    <w:div w:id="97166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052427">
      <w:bodyDiv w:val="1"/>
      <w:marLeft w:val="0"/>
      <w:marRight w:val="0"/>
      <w:marTop w:val="0"/>
      <w:marBottom w:val="0"/>
      <w:divBdr>
        <w:top w:val="none" w:sz="0" w:space="0" w:color="auto"/>
        <w:left w:val="none" w:sz="0" w:space="0" w:color="auto"/>
        <w:bottom w:val="none" w:sz="0" w:space="0" w:color="auto"/>
        <w:right w:val="none" w:sz="0" w:space="0" w:color="auto"/>
      </w:divBdr>
      <w:divsChild>
        <w:div w:id="696778920">
          <w:marLeft w:val="0"/>
          <w:marRight w:val="0"/>
          <w:marTop w:val="0"/>
          <w:marBottom w:val="0"/>
          <w:divBdr>
            <w:top w:val="none" w:sz="0" w:space="0" w:color="auto"/>
            <w:left w:val="none" w:sz="0" w:space="0" w:color="auto"/>
            <w:bottom w:val="none" w:sz="0" w:space="0" w:color="auto"/>
            <w:right w:val="none" w:sz="0" w:space="0" w:color="auto"/>
          </w:divBdr>
        </w:div>
      </w:divsChild>
    </w:div>
    <w:div w:id="2034261265">
      <w:bodyDiv w:val="1"/>
      <w:marLeft w:val="0"/>
      <w:marRight w:val="0"/>
      <w:marTop w:val="0"/>
      <w:marBottom w:val="0"/>
      <w:divBdr>
        <w:top w:val="none" w:sz="0" w:space="0" w:color="auto"/>
        <w:left w:val="none" w:sz="0" w:space="0" w:color="auto"/>
        <w:bottom w:val="none" w:sz="0" w:space="0" w:color="auto"/>
        <w:right w:val="none" w:sz="0" w:space="0" w:color="auto"/>
      </w:divBdr>
    </w:div>
    <w:div w:id="2046099636">
      <w:bodyDiv w:val="1"/>
      <w:marLeft w:val="0"/>
      <w:marRight w:val="0"/>
      <w:marTop w:val="0"/>
      <w:marBottom w:val="0"/>
      <w:divBdr>
        <w:top w:val="none" w:sz="0" w:space="0" w:color="auto"/>
        <w:left w:val="none" w:sz="0" w:space="0" w:color="auto"/>
        <w:bottom w:val="none" w:sz="0" w:space="0" w:color="auto"/>
        <w:right w:val="none" w:sz="0" w:space="0" w:color="auto"/>
      </w:divBdr>
    </w:div>
    <w:div w:id="2065058820">
      <w:bodyDiv w:val="1"/>
      <w:marLeft w:val="0"/>
      <w:marRight w:val="0"/>
      <w:marTop w:val="0"/>
      <w:marBottom w:val="0"/>
      <w:divBdr>
        <w:top w:val="none" w:sz="0" w:space="0" w:color="auto"/>
        <w:left w:val="none" w:sz="0" w:space="0" w:color="auto"/>
        <w:bottom w:val="none" w:sz="0" w:space="0" w:color="auto"/>
        <w:right w:val="none" w:sz="0" w:space="0" w:color="auto"/>
      </w:divBdr>
    </w:div>
    <w:div w:id="2065134127">
      <w:bodyDiv w:val="1"/>
      <w:marLeft w:val="0"/>
      <w:marRight w:val="0"/>
      <w:marTop w:val="0"/>
      <w:marBottom w:val="0"/>
      <w:divBdr>
        <w:top w:val="none" w:sz="0" w:space="0" w:color="auto"/>
        <w:left w:val="none" w:sz="0" w:space="0" w:color="auto"/>
        <w:bottom w:val="none" w:sz="0" w:space="0" w:color="auto"/>
        <w:right w:val="none" w:sz="0" w:space="0" w:color="auto"/>
      </w:divBdr>
    </w:div>
    <w:div w:id="2111853752">
      <w:bodyDiv w:val="1"/>
      <w:marLeft w:val="0"/>
      <w:marRight w:val="0"/>
      <w:marTop w:val="0"/>
      <w:marBottom w:val="0"/>
      <w:divBdr>
        <w:top w:val="none" w:sz="0" w:space="0" w:color="auto"/>
        <w:left w:val="none" w:sz="0" w:space="0" w:color="auto"/>
        <w:bottom w:val="none" w:sz="0" w:space="0" w:color="auto"/>
        <w:right w:val="none" w:sz="0" w:space="0" w:color="auto"/>
      </w:divBdr>
    </w:div>
    <w:div w:id="213104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us01.safelinks.protection.outlook.com/?url=https%3A%2F%2Feur-lex.europa.eu%2Flegal-content%2FEN%2FTXT%2F%3Furi%3DCELEX%3A32023B00576&amp;data=05%7C02%7Cnrv%40nhmrc.gov.au%7C44e49109fe8e4e1b400b08dc288a1916%7C402fca06dc9c412f9bf91a335a4671f7%7C0%7C0%7C638429820841728509%7CUnknown%7CTWFpbGZsb3d8eyJWIjoiMC4wLjAwMDAiLCJQIjoiV2luMzIiLCJBTiI6Ik1haWwiLCJXVCI6Mn0%3D%7C0%7C%7C%7C&amp;sdata=LdmgfzxwuM2383q%2BjXqg2zf8kDcVkcgUQgbzqwTLDHg%3D&amp;reserved=0" TargetMode="External"/><Relationship Id="rId21" Type="http://schemas.openxmlformats.org/officeDocument/2006/relationships/hyperlink" Target="https://www.eatforhealth.gov.au/sites/default/files/files/the_guidelines/n55c_dietary_guidelines_food_modelling.pdf" TargetMode="External"/><Relationship Id="rId42" Type="http://schemas.openxmlformats.org/officeDocument/2006/relationships/hyperlink" Target="https://www.eatforhealth.gov.au/sites/default/files/files/the_guidelines/n55c_dietary_guidelines_food_modelling.pdf" TargetMode="External"/><Relationship Id="rId47" Type="http://schemas.openxmlformats.org/officeDocument/2006/relationships/header" Target="header7.xml"/><Relationship Id="rId63" Type="http://schemas.openxmlformats.org/officeDocument/2006/relationships/hyperlink" Target="https://doi.org/10.3390/nu7042209" TargetMode="External"/><Relationship Id="rId68" Type="http://schemas.openxmlformats.org/officeDocument/2006/relationships/hyperlink" Target="https://doi.org/10.17226/9810" TargetMode="External"/><Relationship Id="rId16" Type="http://schemas.openxmlformats.org/officeDocument/2006/relationships/footer" Target="footer3.xml"/><Relationship Id="rId11" Type="http://schemas.openxmlformats.org/officeDocument/2006/relationships/header" Target="header1.xml"/><Relationship Id="rId32" Type="http://schemas.openxmlformats.org/officeDocument/2006/relationships/hyperlink" Target="https://efsa.onlinelibrary.wiley.com/doi/full/10.2903/j.efsa.2023.7704" TargetMode="External"/><Relationship Id="rId37" Type="http://schemas.openxmlformats.org/officeDocument/2006/relationships/hyperlink" Target="https://efsa.onlinelibrary.wiley.com/doi/full/10.2903/j.efsa.2023.7704" TargetMode="External"/><Relationship Id="rId53" Type="http://schemas.openxmlformats.org/officeDocument/2006/relationships/hyperlink" Target="https://www.abs.gov.au/ausstats/abs@.nsf/dd0ca10eed681f12ca2570ce0082655d/5eaae4309d9a2baeca257aa30014c736!OpenDocument" TargetMode="External"/><Relationship Id="rId58" Type="http://schemas.openxmlformats.org/officeDocument/2006/relationships/hyperlink" Target="https://www.eatforhealth.gov.au/sites/default/files/files/the_guidelines/n55c_australian_dietary_guidelines_food_modelling_140121.pdf" TargetMode="External"/><Relationship Id="rId74" Type="http://schemas.openxmlformats.org/officeDocument/2006/relationships/hyperlink" Target="https://www.nhmrc.gov.au/about-us/publications/australian-drinking-water-guidelines" TargetMode="External"/><Relationship Id="rId79" Type="http://schemas.openxmlformats.org/officeDocument/2006/relationships/hyperlink" Target="https://doi.org/https://doi.org/10.1016/S0378-4274(02)00384-3" TargetMode="External"/><Relationship Id="rId5" Type="http://schemas.openxmlformats.org/officeDocument/2006/relationships/numbering" Target="numbering.xml"/><Relationship Id="rId61" Type="http://schemas.openxmlformats.org/officeDocument/2006/relationships/hyperlink" Target="https://doi.org/10.1158/1055-9965.Epi-05-0950" TargetMode="External"/><Relationship Id="rId19" Type="http://schemas.openxmlformats.org/officeDocument/2006/relationships/hyperlink" Target="https://www.eatforhealth.gov.au/sites/default/files/files/the_guidelines/n55c_dietary_guidelines_food_modelling.pdf" TargetMode="External"/><Relationship Id="rId14" Type="http://schemas.openxmlformats.org/officeDocument/2006/relationships/footer" Target="footer2.xml"/><Relationship Id="rId22" Type="http://schemas.openxmlformats.org/officeDocument/2006/relationships/hyperlink" Target="https://www.eatforhealth.gov.au/sites/default/files/files/the_guidelines/n55c_dietary_guidelines_food_modelling.pdf" TargetMode="External"/><Relationship Id="rId27" Type="http://schemas.openxmlformats.org/officeDocument/2006/relationships/hyperlink" Target="https://efsa.onlinelibrary.wiley.com/doi/full/10.2903/j.efsa.2023.7704" TargetMode="External"/><Relationship Id="rId30" Type="http://schemas.openxmlformats.org/officeDocument/2006/relationships/hyperlink" Target="https://efsa.onlinelibrary.wiley.com/doi/full/10.2903/j.efsa.2023.7704" TargetMode="External"/><Relationship Id="rId35" Type="http://schemas.openxmlformats.org/officeDocument/2006/relationships/hyperlink" Target="https://efsa.onlinelibrary.wiley.com/doi/full/10.2903/j.efsa.2023.7704" TargetMode="External"/><Relationship Id="rId43" Type="http://schemas.openxmlformats.org/officeDocument/2006/relationships/hyperlink" Target="https://www.eatforhealth.gov.au/sites/default/files/files/the_guidelines/n55c_dietary_guidelines_food_modelling.pdf" TargetMode="External"/><Relationship Id="rId48" Type="http://schemas.openxmlformats.org/officeDocument/2006/relationships/hyperlink" Target="https://www.abs.gov.au/statistics/health/health-conditions-and-risks/usual-nutrient-intakes/latest-release" TargetMode="External"/><Relationship Id="rId56" Type="http://schemas.openxmlformats.org/officeDocument/2006/relationships/hyperlink" Target="https://www.legislation.gov.au/F2025L00599/asmade/text" TargetMode="External"/><Relationship Id="rId64" Type="http://schemas.openxmlformats.org/officeDocument/2006/relationships/hyperlink" Target="https://doi.org/https://doi.org/10.2903/j.efsa.2023.7704" TargetMode="External"/><Relationship Id="rId69" Type="http://schemas.openxmlformats.org/officeDocument/2006/relationships/hyperlink" Target="https://doi.org/10.1146/annurev-nutr-062320-121834" TargetMode="External"/><Relationship Id="rId77" Type="http://schemas.openxmlformats.org/officeDocument/2006/relationships/hyperlink" Target="https://doi.org/10.1079/bjn20041110" TargetMode="External"/><Relationship Id="rId8" Type="http://schemas.openxmlformats.org/officeDocument/2006/relationships/webSettings" Target="webSettings.xml"/><Relationship Id="rId51" Type="http://schemas.openxmlformats.org/officeDocument/2006/relationships/hyperlink" Target="https://www.abs.gov.au/statistics/health/food-and-nutrition/dietary-supplements/latest-release" TargetMode="External"/><Relationship Id="rId72" Type="http://schemas.openxmlformats.org/officeDocument/2006/relationships/hyperlink" Target="https://www.health.govt.nz/system/files/2011-11/nzfoodnzchildren.pdf"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doi.org/10.1016/j.jtemb.2017.11.016?url=https%3A%2F%2Fwww.efsa.europa.eu%2Fen%2Fhowwework%2Findependentscience&amp;data=05%7C02%7Cnrv%40nhmrc.gov.au%7C44e49109fe8e4e1b400b08dc288a1916%7C402fca06dc9c412f9bf91a335a4671f7%7C0%7C0%7C638429820841719390%7CUnknown%7CTWFpbGZsb3d8eyJWIjoiMC4wLjAwMDAiLCJQIjoiV2luMzIiLCJBTiI6Ik1haWwiLCJXVCI6Mn0%3D%7C0%7C%7C%7C&amp;sdata=qYMXQ8%2B1bGkN6Sw2v2%2FDAs3CDDvFF8UpyGA4GXOaj%2BE%3D&amp;reserved=0" TargetMode="External"/><Relationship Id="rId33" Type="http://schemas.openxmlformats.org/officeDocument/2006/relationships/hyperlink" Target="https://efsa.onlinelibrary.wiley.com/doi/full/10.2903/j.efsa.2023.7704" TargetMode="External"/><Relationship Id="rId38" Type="http://schemas.openxmlformats.org/officeDocument/2006/relationships/hyperlink" Target="https://www.abs.gov.au/statistics/health/health-conditions-and-risks/usual-nutrient-intakes/latest-release" TargetMode="External"/><Relationship Id="rId46" Type="http://schemas.openxmlformats.org/officeDocument/2006/relationships/footer" Target="footer5.xml"/><Relationship Id="rId59" Type="http://schemas.openxmlformats.org/officeDocument/2006/relationships/hyperlink" Target="https://doi.org/10.1081/clt-100102417" TargetMode="External"/><Relationship Id="rId67" Type="http://schemas.openxmlformats.org/officeDocument/2006/relationships/hyperlink" Target="https://doi.org/10.1016/j.jtemb.2021.126801" TargetMode="External"/><Relationship Id="rId20" Type="http://schemas.openxmlformats.org/officeDocument/2006/relationships/hyperlink" Target="https://www.eatforhealth.gov.au/sites/default/files/files/the_guidelines/n55c_dietary_guidelines_food_modelling.pdf" TargetMode="External"/><Relationship Id="rId41" Type="http://schemas.openxmlformats.org/officeDocument/2006/relationships/hyperlink" Target="https://www.health.govt.nz/system/files/2011-10/a-focus-on-nutrition-v2.pdf" TargetMode="External"/><Relationship Id="rId54" Type="http://schemas.openxmlformats.org/officeDocument/2006/relationships/hyperlink" Target="https://www.legislation.gov.au/F2015L00449/latest/text" TargetMode="External"/><Relationship Id="rId62" Type="http://schemas.openxmlformats.org/officeDocument/2006/relationships/hyperlink" Target="https://doi.org/10.1093/ajcn/53.3.748" TargetMode="External"/><Relationship Id="rId70" Type="http://schemas.openxmlformats.org/officeDocument/2006/relationships/hyperlink" Target="https://doi.org/10.1001/jama.2008.864" TargetMode="External"/><Relationship Id="rId75" Type="http://schemas.openxmlformats.org/officeDocument/2006/relationships/hyperlink" Target="https://doi.org/10.1017/s0007114508922522"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efsa.onlinelibrary.wiley.com/doi/epdf/10.2903/j.efsa.2023.7704" TargetMode="External"/><Relationship Id="rId28" Type="http://schemas.openxmlformats.org/officeDocument/2006/relationships/hyperlink" Target="https://efsa.onlinelibrary.wiley.com/doi/full/10.2903/j.efsa.2023.7704" TargetMode="External"/><Relationship Id="rId36" Type="http://schemas.openxmlformats.org/officeDocument/2006/relationships/hyperlink" Target="https://efsa.onlinelibrary.wiley.com/doi/full/10.2903/j.efsa.2023.7704" TargetMode="External"/><Relationship Id="rId49" Type="http://schemas.openxmlformats.org/officeDocument/2006/relationships/hyperlink" Target="https://www.health.govt.nz/system/files/2011-11/nzfoodnzchildren.pdf" TargetMode="External"/><Relationship Id="rId57" Type="http://schemas.openxmlformats.org/officeDocument/2006/relationships/hyperlink" Target="https://www.legislation.gov.au/F2015L00463/latest/text" TargetMode="External"/><Relationship Id="rId10" Type="http://schemas.openxmlformats.org/officeDocument/2006/relationships/endnotes" Target="endnotes.xml"/><Relationship Id="rId31" Type="http://schemas.openxmlformats.org/officeDocument/2006/relationships/hyperlink" Target="https://efsa.onlinelibrary.wiley.com/doi/full/10.2903/j.efsa.2023.7704" TargetMode="External"/><Relationship Id="rId44" Type="http://schemas.openxmlformats.org/officeDocument/2006/relationships/header" Target="header5.xml"/><Relationship Id="rId52" Type="http://schemas.openxmlformats.org/officeDocument/2006/relationships/hyperlink" Target="https://doi.org/10.29219/fnr.v67.10320" TargetMode="External"/><Relationship Id="rId60" Type="http://schemas.openxmlformats.org/officeDocument/2006/relationships/hyperlink" Target="https://doi.org/10.1146/annurev-nutr-071714-034250" TargetMode="External"/><Relationship Id="rId65" Type="http://schemas.openxmlformats.org/officeDocument/2006/relationships/hyperlink" Target="https://doi.org/10.1024/0300-9831/a000031" TargetMode="External"/><Relationship Id="rId73" Type="http://schemas.openxmlformats.org/officeDocument/2006/relationships/hyperlink" Target="https://www.nhmrc.gov.au/about-us/publications/nutrient-reference-values-australia-and-new-zealand-including-recommended-dietary-intakes" TargetMode="External"/><Relationship Id="rId78" Type="http://schemas.openxmlformats.org/officeDocument/2006/relationships/hyperlink" Target="https://doi.org/10.1093/ajcn/87.2.379" TargetMode="Externa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9" Type="http://schemas.openxmlformats.org/officeDocument/2006/relationships/hyperlink" Target="https://www.health.govt.nz/system/files/2011-10/a-focus-on-nutrition-v2.pdf" TargetMode="External"/><Relationship Id="rId34" Type="http://schemas.openxmlformats.org/officeDocument/2006/relationships/hyperlink" Target="https://efsa.onlinelibrary.wiley.com/doi/full/10.2903/j.efsa.2023.7704" TargetMode="External"/><Relationship Id="rId50" Type="http://schemas.openxmlformats.org/officeDocument/2006/relationships/hyperlink" Target="https://www.abs.gov.au/statistics/health/health-conditions-and-risks/usual-nutrient-intakes/latest-release" TargetMode="External"/><Relationship Id="rId55" Type="http://schemas.openxmlformats.org/officeDocument/2006/relationships/hyperlink" Target="https://www.legislation.gov.au/F2025L00599/asmade/text" TargetMode="External"/><Relationship Id="rId76" Type="http://schemas.openxmlformats.org/officeDocument/2006/relationships/hyperlink" Target="https://doi.org/10.1093/jn/130.7.1653" TargetMode="External"/><Relationship Id="rId7" Type="http://schemas.openxmlformats.org/officeDocument/2006/relationships/settings" Target="settings.xml"/><Relationship Id="rId71" Type="http://schemas.openxmlformats.org/officeDocument/2006/relationships/hyperlink" Target="https://doi.org/10.1007/s12011-008-8208-6" TargetMode="External"/><Relationship Id="rId2" Type="http://schemas.openxmlformats.org/officeDocument/2006/relationships/customXml" Target="../customXml/item2.xml"/><Relationship Id="rId29" Type="http://schemas.openxmlformats.org/officeDocument/2006/relationships/hyperlink" Target="https://efsa.onlinelibrary.wiley.com/doi/full/10.2903/j.efsa.2023.7704" TargetMode="External"/><Relationship Id="rId24" Type="http://schemas.openxmlformats.org/officeDocument/2006/relationships/hyperlink" Target="https://open.efsa.europa.eu/scientific-panel/8" TargetMode="External"/><Relationship Id="rId40" Type="http://schemas.openxmlformats.org/officeDocument/2006/relationships/hyperlink" Target="https://www.abs.gov.au/AUSSTATS/abs@.nsf/DetailsPage/4727.0.55.0052012-13" TargetMode="External"/><Relationship Id="rId45" Type="http://schemas.openxmlformats.org/officeDocument/2006/relationships/header" Target="header6.xml"/><Relationship Id="rId66" Type="http://schemas.openxmlformats.org/officeDocument/2006/relationships/hyperlink" Target="https://afcd.foodstandards.gov.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oodstandards.gov.au/science-data/monitoringnutrients/afcd/le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030A58EFCB05439C4C109195641468" ma:contentTypeVersion="23" ma:contentTypeDescription="Create a new document." ma:contentTypeScope="" ma:versionID="b9e7766e9963014f8442b086c04e1683">
  <xsd:schema xmlns:xsd="http://www.w3.org/2001/XMLSchema" xmlns:xs="http://www.w3.org/2001/XMLSchema" xmlns:p="http://schemas.microsoft.com/office/2006/metadata/properties" xmlns:ns1="http://schemas.microsoft.com/sharepoint/v3" xmlns:ns2="ef8499da-f70f-48c9-a6de-e578977a26c0" xmlns:ns3="f4994564-c68c-4417-8c9c-13eb9ecde3d6" targetNamespace="http://schemas.microsoft.com/office/2006/metadata/properties" ma:root="true" ma:fieldsID="1bc9670c29d119932263ef1494a69450" ns1:_="" ns2:_="" ns3:_="">
    <xsd:import namespace="http://schemas.microsoft.com/sharepoint/v3"/>
    <xsd:import namespace="ef8499da-f70f-48c9-a6de-e578977a26c0"/>
    <xsd:import namespace="f4994564-c68c-4417-8c9c-13eb9ecde3d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2:SharedWithUsers" minOccurs="0"/>
                <xsd:element ref="ns2:SharedWithDetail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element ref="ns3:MediaServiceLocation" minOccurs="0"/>
                <xsd:element ref="ns3:person" minOccurs="0"/>
                <xsd:element ref="ns3:Comments" minOccurs="0"/>
                <xsd:element ref="ns3:Statu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8499da-f70f-48c9-a6de-e578977a26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edc90cd-4b5d-4287-ade8-c7001a6f2aff}" ma:internalName="TaxCatchAll" ma:showField="CatchAllData" ma:web="ef8499da-f70f-48c9-a6de-e578977a26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994564-c68c-4417-8c9c-13eb9ecde3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c482b5b-748e-4687-9c7b-3c897542f2f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description="" ma:indexed="true" ma:internalName="MediaServiceLocation" ma:readOnly="true">
      <xsd:simpleType>
        <xsd:restriction base="dms:Text"/>
      </xsd:simpleType>
    </xsd:element>
    <xsd:element name="person" ma:index="29"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30" nillable="true" ma:displayName="Comments" ma:format="Dropdown" ma:internalName="Comments">
      <xsd:simpleType>
        <xsd:restriction base="dms:Text">
          <xsd:maxLength value="255"/>
        </xsd:restriction>
      </xsd:simpleType>
    </xsd:element>
    <xsd:element name="Status" ma:index="31" nillable="true" ma:displayName="Status" ma:description="Status of document in clearance process" ma:format="Dropdown" ma:internalName="Statu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ef8499da-f70f-48c9-a6de-e578977a26c0">RESTRANS-1864802524-202839</_dlc_DocId>
    <_ip_UnifiedCompliancePolicyUIAction xmlns="http://schemas.microsoft.com/sharepoint/v3" xsi:nil="true"/>
    <Comments xmlns="f4994564-c68c-4417-8c9c-13eb9ecde3d6" xsi:nil="true"/>
    <_ip_UnifiedCompliancePolicyProperties xmlns="http://schemas.microsoft.com/sharepoint/v3" xsi:nil="true"/>
    <person xmlns="f4994564-c68c-4417-8c9c-13eb9ecde3d6">
      <UserInfo>
        <DisplayName/>
        <AccountId xsi:nil="true"/>
        <AccountType/>
      </UserInfo>
    </person>
    <lcf76f155ced4ddcb4097134ff3c332f xmlns="f4994564-c68c-4417-8c9c-13eb9ecde3d6">
      <Terms xmlns="http://schemas.microsoft.com/office/infopath/2007/PartnerControls"/>
    </lcf76f155ced4ddcb4097134ff3c332f>
    <TaxCatchAll xmlns="ef8499da-f70f-48c9-a6de-e578977a26c0" xsi:nil="true"/>
    <Status xmlns="f4994564-c68c-4417-8c9c-13eb9ecde3d6" xsi:nil="true"/>
    <_dlc_DocIdPersistId xmlns="ef8499da-f70f-48c9-a6de-e578977a26c0">false</_dlc_DocIdPersistId>
    <_dlc_DocIdUrl xmlns="ef8499da-f70f-48c9-a6de-e578977a26c0">
      <Url>https://nhmrc.sharepoint.com/sites/restrans/_layouts/15/DocIdRedir.aspx?ID=RESTRANS-1864802524-202839</Url>
      <Description>RESTRANS-1864802524-202839</Description>
    </_dlc_DocIdUrl>
  </documentManagement>
</p:properties>
</file>

<file path=customXml/itemProps1.xml><?xml version="1.0" encoding="utf-8"?>
<ds:datastoreItem xmlns:ds="http://schemas.openxmlformats.org/officeDocument/2006/customXml" ds:itemID="{D5C4DFB7-DE7D-4AB1-BFDA-CE945064B3F4}">
  <ds:schemaRefs>
    <ds:schemaRef ds:uri="http://schemas.microsoft.com/sharepoint/events"/>
  </ds:schemaRefs>
</ds:datastoreItem>
</file>

<file path=customXml/itemProps2.xml><?xml version="1.0" encoding="utf-8"?>
<ds:datastoreItem xmlns:ds="http://schemas.openxmlformats.org/officeDocument/2006/customXml" ds:itemID="{500F2DFB-4061-4B9D-8BF6-66009E7E6725}">
  <ds:schemaRefs>
    <ds:schemaRef ds:uri="http://schemas.microsoft.com/sharepoint/v3/contenttype/forms"/>
  </ds:schemaRefs>
</ds:datastoreItem>
</file>

<file path=customXml/itemProps3.xml><?xml version="1.0" encoding="utf-8"?>
<ds:datastoreItem xmlns:ds="http://schemas.openxmlformats.org/officeDocument/2006/customXml" ds:itemID="{E26D91A2-9318-40F8-8FB4-9EB0AD111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8499da-f70f-48c9-a6de-e578977a26c0"/>
    <ds:schemaRef ds:uri="f4994564-c68c-4417-8c9c-13eb9ecde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98D537-E3E4-4015-B6FF-1840D12CA2F9}">
  <ds:schemaRefs>
    <ds:schemaRef ds:uri="http://schemas.microsoft.com/office/2006/metadata/properties"/>
    <ds:schemaRef ds:uri="http://schemas.microsoft.com/office/infopath/2007/PartnerControls"/>
    <ds:schemaRef ds:uri="ef8499da-f70f-48c9-a6de-e578977a26c0"/>
    <ds:schemaRef ds:uri="http://schemas.microsoft.com/sharepoint/v3"/>
    <ds:schemaRef ds:uri="f4994564-c68c-4417-8c9c-13eb9ecde3d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77</Pages>
  <Words>24237</Words>
  <Characters>149200</Characters>
  <Application>Microsoft Office Word</Application>
  <DocSecurity>8</DocSecurity>
  <Lines>4662</Lines>
  <Paragraphs>3153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170284</CharactersWithSpaces>
  <SharedDoc>false</SharedDoc>
  <HLinks>
    <vt:vector size="1134" baseType="variant">
      <vt:variant>
        <vt:i4>983119</vt:i4>
      </vt:variant>
      <vt:variant>
        <vt:i4>941</vt:i4>
      </vt:variant>
      <vt:variant>
        <vt:i4>0</vt:i4>
      </vt:variant>
      <vt:variant>
        <vt:i4>5</vt:i4>
      </vt:variant>
      <vt:variant>
        <vt:lpwstr>https://doi.org/https://doi.org/10.1016/S0378-4274(02)00384-3</vt:lpwstr>
      </vt:variant>
      <vt:variant>
        <vt:lpwstr/>
      </vt:variant>
      <vt:variant>
        <vt:i4>1114178</vt:i4>
      </vt:variant>
      <vt:variant>
        <vt:i4>938</vt:i4>
      </vt:variant>
      <vt:variant>
        <vt:i4>0</vt:i4>
      </vt:variant>
      <vt:variant>
        <vt:i4>5</vt:i4>
      </vt:variant>
      <vt:variant>
        <vt:lpwstr>https://doi.org/10.1093/ajcn/87.2.379</vt:lpwstr>
      </vt:variant>
      <vt:variant>
        <vt:lpwstr/>
      </vt:variant>
      <vt:variant>
        <vt:i4>8126570</vt:i4>
      </vt:variant>
      <vt:variant>
        <vt:i4>935</vt:i4>
      </vt:variant>
      <vt:variant>
        <vt:i4>0</vt:i4>
      </vt:variant>
      <vt:variant>
        <vt:i4>5</vt:i4>
      </vt:variant>
      <vt:variant>
        <vt:lpwstr>https://doi.org/10.1079/bjn20041110</vt:lpwstr>
      </vt:variant>
      <vt:variant>
        <vt:lpwstr/>
      </vt:variant>
      <vt:variant>
        <vt:i4>4587545</vt:i4>
      </vt:variant>
      <vt:variant>
        <vt:i4>932</vt:i4>
      </vt:variant>
      <vt:variant>
        <vt:i4>0</vt:i4>
      </vt:variant>
      <vt:variant>
        <vt:i4>5</vt:i4>
      </vt:variant>
      <vt:variant>
        <vt:lpwstr>https://doi.org/10.1093/jn/130.7.1653</vt:lpwstr>
      </vt:variant>
      <vt:variant>
        <vt:lpwstr/>
      </vt:variant>
      <vt:variant>
        <vt:i4>1966098</vt:i4>
      </vt:variant>
      <vt:variant>
        <vt:i4>929</vt:i4>
      </vt:variant>
      <vt:variant>
        <vt:i4>0</vt:i4>
      </vt:variant>
      <vt:variant>
        <vt:i4>5</vt:i4>
      </vt:variant>
      <vt:variant>
        <vt:lpwstr>https://doi.org/10.1017/s0007114508922522</vt:lpwstr>
      </vt:variant>
      <vt:variant>
        <vt:lpwstr/>
      </vt:variant>
      <vt:variant>
        <vt:i4>4063356</vt:i4>
      </vt:variant>
      <vt:variant>
        <vt:i4>926</vt:i4>
      </vt:variant>
      <vt:variant>
        <vt:i4>0</vt:i4>
      </vt:variant>
      <vt:variant>
        <vt:i4>5</vt:i4>
      </vt:variant>
      <vt:variant>
        <vt:lpwstr>https://www.nhmrc.gov.au/about-us/publications/australian-drinking-water-guidelines</vt:lpwstr>
      </vt:variant>
      <vt:variant>
        <vt:lpwstr/>
      </vt:variant>
      <vt:variant>
        <vt:i4>1900548</vt:i4>
      </vt:variant>
      <vt:variant>
        <vt:i4>923</vt:i4>
      </vt:variant>
      <vt:variant>
        <vt:i4>0</vt:i4>
      </vt:variant>
      <vt:variant>
        <vt:i4>5</vt:i4>
      </vt:variant>
      <vt:variant>
        <vt:lpwstr>https://www.nhmrc.gov.au/about-us/publications/nutrient-reference-values-australia-and-new-zealand-including-recommended-dietary-intakes</vt:lpwstr>
      </vt:variant>
      <vt:variant>
        <vt:lpwstr/>
      </vt:variant>
      <vt:variant>
        <vt:i4>2031623</vt:i4>
      </vt:variant>
      <vt:variant>
        <vt:i4>920</vt:i4>
      </vt:variant>
      <vt:variant>
        <vt:i4>0</vt:i4>
      </vt:variant>
      <vt:variant>
        <vt:i4>5</vt:i4>
      </vt:variant>
      <vt:variant>
        <vt:lpwstr>https://www.health.govt.nz/system/files/2011-11/nzfoodnzchildren.pdf</vt:lpwstr>
      </vt:variant>
      <vt:variant>
        <vt:lpwstr/>
      </vt:variant>
      <vt:variant>
        <vt:i4>917527</vt:i4>
      </vt:variant>
      <vt:variant>
        <vt:i4>917</vt:i4>
      </vt:variant>
      <vt:variant>
        <vt:i4>0</vt:i4>
      </vt:variant>
      <vt:variant>
        <vt:i4>5</vt:i4>
      </vt:variant>
      <vt:variant>
        <vt:lpwstr>https://doi.org/10.1007/s12011-008-8208-6</vt:lpwstr>
      </vt:variant>
      <vt:variant>
        <vt:lpwstr/>
      </vt:variant>
      <vt:variant>
        <vt:i4>589890</vt:i4>
      </vt:variant>
      <vt:variant>
        <vt:i4>914</vt:i4>
      </vt:variant>
      <vt:variant>
        <vt:i4>0</vt:i4>
      </vt:variant>
      <vt:variant>
        <vt:i4>5</vt:i4>
      </vt:variant>
      <vt:variant>
        <vt:lpwstr>https://doi.org/10.1001/jama.2008.864</vt:lpwstr>
      </vt:variant>
      <vt:variant>
        <vt:lpwstr/>
      </vt:variant>
      <vt:variant>
        <vt:i4>6291559</vt:i4>
      </vt:variant>
      <vt:variant>
        <vt:i4>911</vt:i4>
      </vt:variant>
      <vt:variant>
        <vt:i4>0</vt:i4>
      </vt:variant>
      <vt:variant>
        <vt:i4>5</vt:i4>
      </vt:variant>
      <vt:variant>
        <vt:lpwstr>https://doi.org/10.1146/annurev-nutr-062320-121834</vt:lpwstr>
      </vt:variant>
      <vt:variant>
        <vt:lpwstr/>
      </vt:variant>
      <vt:variant>
        <vt:i4>72</vt:i4>
      </vt:variant>
      <vt:variant>
        <vt:i4>908</vt:i4>
      </vt:variant>
      <vt:variant>
        <vt:i4>0</vt:i4>
      </vt:variant>
      <vt:variant>
        <vt:i4>5</vt:i4>
      </vt:variant>
      <vt:variant>
        <vt:lpwstr>https://doi.org/10.17226/9810</vt:lpwstr>
      </vt:variant>
      <vt:variant>
        <vt:lpwstr/>
      </vt:variant>
      <vt:variant>
        <vt:i4>3997823</vt:i4>
      </vt:variant>
      <vt:variant>
        <vt:i4>905</vt:i4>
      </vt:variant>
      <vt:variant>
        <vt:i4>0</vt:i4>
      </vt:variant>
      <vt:variant>
        <vt:i4>5</vt:i4>
      </vt:variant>
      <vt:variant>
        <vt:lpwstr>https://doi.org/10.1016/j.jtemb.2021.126801</vt:lpwstr>
      </vt:variant>
      <vt:variant>
        <vt:lpwstr/>
      </vt:variant>
      <vt:variant>
        <vt:i4>3276898</vt:i4>
      </vt:variant>
      <vt:variant>
        <vt:i4>902</vt:i4>
      </vt:variant>
      <vt:variant>
        <vt:i4>0</vt:i4>
      </vt:variant>
      <vt:variant>
        <vt:i4>5</vt:i4>
      </vt:variant>
      <vt:variant>
        <vt:lpwstr>https://afcd.foodstandards.gov.au/</vt:lpwstr>
      </vt:variant>
      <vt:variant>
        <vt:lpwstr/>
      </vt:variant>
      <vt:variant>
        <vt:i4>262171</vt:i4>
      </vt:variant>
      <vt:variant>
        <vt:i4>899</vt:i4>
      </vt:variant>
      <vt:variant>
        <vt:i4>0</vt:i4>
      </vt:variant>
      <vt:variant>
        <vt:i4>5</vt:i4>
      </vt:variant>
      <vt:variant>
        <vt:lpwstr>https://doi.org/10.1024/0300-9831/a000031</vt:lpwstr>
      </vt:variant>
      <vt:variant>
        <vt:lpwstr/>
      </vt:variant>
      <vt:variant>
        <vt:i4>1638467</vt:i4>
      </vt:variant>
      <vt:variant>
        <vt:i4>896</vt:i4>
      </vt:variant>
      <vt:variant>
        <vt:i4>0</vt:i4>
      </vt:variant>
      <vt:variant>
        <vt:i4>5</vt:i4>
      </vt:variant>
      <vt:variant>
        <vt:lpwstr>https://doi.org/https://doi.org/10.2903/j.efsa.2023.7704</vt:lpwstr>
      </vt:variant>
      <vt:variant>
        <vt:lpwstr/>
      </vt:variant>
      <vt:variant>
        <vt:i4>6225926</vt:i4>
      </vt:variant>
      <vt:variant>
        <vt:i4>893</vt:i4>
      </vt:variant>
      <vt:variant>
        <vt:i4>0</vt:i4>
      </vt:variant>
      <vt:variant>
        <vt:i4>5</vt:i4>
      </vt:variant>
      <vt:variant>
        <vt:lpwstr>https://doi.org/10.3390/nu7042209</vt:lpwstr>
      </vt:variant>
      <vt:variant>
        <vt:lpwstr/>
      </vt:variant>
      <vt:variant>
        <vt:i4>2031683</vt:i4>
      </vt:variant>
      <vt:variant>
        <vt:i4>890</vt:i4>
      </vt:variant>
      <vt:variant>
        <vt:i4>0</vt:i4>
      </vt:variant>
      <vt:variant>
        <vt:i4>5</vt:i4>
      </vt:variant>
      <vt:variant>
        <vt:lpwstr>https://doi.org/10.1093/ajcn/53.3.748</vt:lpwstr>
      </vt:variant>
      <vt:variant>
        <vt:lpwstr/>
      </vt:variant>
      <vt:variant>
        <vt:i4>6226014</vt:i4>
      </vt:variant>
      <vt:variant>
        <vt:i4>887</vt:i4>
      </vt:variant>
      <vt:variant>
        <vt:i4>0</vt:i4>
      </vt:variant>
      <vt:variant>
        <vt:i4>5</vt:i4>
      </vt:variant>
      <vt:variant>
        <vt:lpwstr>https://doi.org/10.1158/1055-9965.Epi-05-0950</vt:lpwstr>
      </vt:variant>
      <vt:variant>
        <vt:lpwstr/>
      </vt:variant>
      <vt:variant>
        <vt:i4>7274596</vt:i4>
      </vt:variant>
      <vt:variant>
        <vt:i4>884</vt:i4>
      </vt:variant>
      <vt:variant>
        <vt:i4>0</vt:i4>
      </vt:variant>
      <vt:variant>
        <vt:i4>5</vt:i4>
      </vt:variant>
      <vt:variant>
        <vt:lpwstr>https://doi.org/10.1146/annurev-nutr-071714-034250</vt:lpwstr>
      </vt:variant>
      <vt:variant>
        <vt:lpwstr/>
      </vt:variant>
      <vt:variant>
        <vt:i4>5767241</vt:i4>
      </vt:variant>
      <vt:variant>
        <vt:i4>881</vt:i4>
      </vt:variant>
      <vt:variant>
        <vt:i4>0</vt:i4>
      </vt:variant>
      <vt:variant>
        <vt:i4>5</vt:i4>
      </vt:variant>
      <vt:variant>
        <vt:lpwstr>https://doi.org/10.1081/clt-100102417</vt:lpwstr>
      </vt:variant>
      <vt:variant>
        <vt:lpwstr/>
      </vt:variant>
      <vt:variant>
        <vt:i4>7012358</vt:i4>
      </vt:variant>
      <vt:variant>
        <vt:i4>878</vt:i4>
      </vt:variant>
      <vt:variant>
        <vt:i4>0</vt:i4>
      </vt:variant>
      <vt:variant>
        <vt:i4>5</vt:i4>
      </vt:variant>
      <vt:variant>
        <vt:lpwstr>https://www.eatforhealth.gov.au/sites/default/files/files/the_guidelines/n55c_australian_dietary_guidelines_food_modelling_140121.pdf</vt:lpwstr>
      </vt:variant>
      <vt:variant>
        <vt:lpwstr/>
      </vt:variant>
      <vt:variant>
        <vt:i4>2621499</vt:i4>
      </vt:variant>
      <vt:variant>
        <vt:i4>875</vt:i4>
      </vt:variant>
      <vt:variant>
        <vt:i4>0</vt:i4>
      </vt:variant>
      <vt:variant>
        <vt:i4>5</vt:i4>
      </vt:variant>
      <vt:variant>
        <vt:lpwstr>https://www.legislation.gov.au/F2015L00463/latest/text</vt:lpwstr>
      </vt:variant>
      <vt:variant>
        <vt:lpwstr/>
      </vt:variant>
      <vt:variant>
        <vt:i4>2097200</vt:i4>
      </vt:variant>
      <vt:variant>
        <vt:i4>872</vt:i4>
      </vt:variant>
      <vt:variant>
        <vt:i4>0</vt:i4>
      </vt:variant>
      <vt:variant>
        <vt:i4>5</vt:i4>
      </vt:variant>
      <vt:variant>
        <vt:lpwstr>https://www.legislation.gov.au/F2025L00599/asmade/text</vt:lpwstr>
      </vt:variant>
      <vt:variant>
        <vt:lpwstr/>
      </vt:variant>
      <vt:variant>
        <vt:i4>2097200</vt:i4>
      </vt:variant>
      <vt:variant>
        <vt:i4>869</vt:i4>
      </vt:variant>
      <vt:variant>
        <vt:i4>0</vt:i4>
      </vt:variant>
      <vt:variant>
        <vt:i4>5</vt:i4>
      </vt:variant>
      <vt:variant>
        <vt:lpwstr>https://www.legislation.gov.au/F2025L00599/asmade/text</vt:lpwstr>
      </vt:variant>
      <vt:variant>
        <vt:lpwstr/>
      </vt:variant>
      <vt:variant>
        <vt:i4>2228281</vt:i4>
      </vt:variant>
      <vt:variant>
        <vt:i4>866</vt:i4>
      </vt:variant>
      <vt:variant>
        <vt:i4>0</vt:i4>
      </vt:variant>
      <vt:variant>
        <vt:i4>5</vt:i4>
      </vt:variant>
      <vt:variant>
        <vt:lpwstr>https://www.legislation.gov.au/F2015L00449/latest/text</vt:lpwstr>
      </vt:variant>
      <vt:variant>
        <vt:lpwstr/>
      </vt:variant>
      <vt:variant>
        <vt:i4>6225975</vt:i4>
      </vt:variant>
      <vt:variant>
        <vt:i4>863</vt:i4>
      </vt:variant>
      <vt:variant>
        <vt:i4>0</vt:i4>
      </vt:variant>
      <vt:variant>
        <vt:i4>5</vt:i4>
      </vt:variant>
      <vt:variant>
        <vt:lpwstr>https://www.abs.gov.au/ausstats/abs@.nsf/dd0ca10eed681f12ca2570ce0082655d/5eaae4309d9a2baeca257aa30014c736!OpenDocument</vt:lpwstr>
      </vt:variant>
      <vt:variant>
        <vt:lpwstr/>
      </vt:variant>
      <vt:variant>
        <vt:i4>6488103</vt:i4>
      </vt:variant>
      <vt:variant>
        <vt:i4>860</vt:i4>
      </vt:variant>
      <vt:variant>
        <vt:i4>0</vt:i4>
      </vt:variant>
      <vt:variant>
        <vt:i4>5</vt:i4>
      </vt:variant>
      <vt:variant>
        <vt:lpwstr>https://doi.org/10.29219/fnr.v67.10320</vt:lpwstr>
      </vt:variant>
      <vt:variant>
        <vt:lpwstr/>
      </vt:variant>
      <vt:variant>
        <vt:i4>7667814</vt:i4>
      </vt:variant>
      <vt:variant>
        <vt:i4>857</vt:i4>
      </vt:variant>
      <vt:variant>
        <vt:i4>0</vt:i4>
      </vt:variant>
      <vt:variant>
        <vt:i4>5</vt:i4>
      </vt:variant>
      <vt:variant>
        <vt:lpwstr>https://www.abs.gov.au/statistics/health/food-and-nutrition/dietary-supplements/latest-release</vt:lpwstr>
      </vt:variant>
      <vt:variant>
        <vt:lpwstr>:~:text=Methodology-,Key%20statistics,included%20the%20following%20listed%20medicines</vt:lpwstr>
      </vt:variant>
      <vt:variant>
        <vt:i4>2424942</vt:i4>
      </vt:variant>
      <vt:variant>
        <vt:i4>854</vt:i4>
      </vt:variant>
      <vt:variant>
        <vt:i4>0</vt:i4>
      </vt:variant>
      <vt:variant>
        <vt:i4>5</vt:i4>
      </vt:variant>
      <vt:variant>
        <vt:lpwstr>https://www.abs.gov.au/statistics/health/health-conditions-and-risks/usual-nutrient-intakes/latest-release</vt:lpwstr>
      </vt:variant>
      <vt:variant>
        <vt:lpwstr/>
      </vt:variant>
      <vt:variant>
        <vt:i4>2031623</vt:i4>
      </vt:variant>
      <vt:variant>
        <vt:i4>839</vt:i4>
      </vt:variant>
      <vt:variant>
        <vt:i4>0</vt:i4>
      </vt:variant>
      <vt:variant>
        <vt:i4>5</vt:i4>
      </vt:variant>
      <vt:variant>
        <vt:lpwstr>https://www.health.govt.nz/system/files/2011-11/nzfoodnzchildren.pdf</vt:lpwstr>
      </vt:variant>
      <vt:variant>
        <vt:lpwstr/>
      </vt:variant>
      <vt:variant>
        <vt:i4>2424942</vt:i4>
      </vt:variant>
      <vt:variant>
        <vt:i4>833</vt:i4>
      </vt:variant>
      <vt:variant>
        <vt:i4>0</vt:i4>
      </vt:variant>
      <vt:variant>
        <vt:i4>5</vt:i4>
      </vt:variant>
      <vt:variant>
        <vt:lpwstr>https://www.abs.gov.au/statistics/health/health-conditions-and-risks/usual-nutrient-intakes/latest-release</vt:lpwstr>
      </vt:variant>
      <vt:variant>
        <vt:lpwstr/>
      </vt:variant>
      <vt:variant>
        <vt:i4>7340048</vt:i4>
      </vt:variant>
      <vt:variant>
        <vt:i4>818</vt:i4>
      </vt:variant>
      <vt:variant>
        <vt:i4>0</vt:i4>
      </vt:variant>
      <vt:variant>
        <vt:i4>5</vt:i4>
      </vt:variant>
      <vt:variant>
        <vt:lpwstr>https://www.eatforhealth.gov.au/sites/default/files/files/the_guidelines/n55c_dietary_guidelines_food_modelling.pdf</vt:lpwstr>
      </vt:variant>
      <vt:variant>
        <vt:lpwstr/>
      </vt:variant>
      <vt:variant>
        <vt:i4>7340048</vt:i4>
      </vt:variant>
      <vt:variant>
        <vt:i4>812</vt:i4>
      </vt:variant>
      <vt:variant>
        <vt:i4>0</vt:i4>
      </vt:variant>
      <vt:variant>
        <vt:i4>5</vt:i4>
      </vt:variant>
      <vt:variant>
        <vt:lpwstr>https://www.eatforhealth.gov.au/sites/default/files/files/the_guidelines/n55c_dietary_guidelines_food_modelling.pdf</vt:lpwstr>
      </vt:variant>
      <vt:variant>
        <vt:lpwstr/>
      </vt:variant>
      <vt:variant>
        <vt:i4>2490472</vt:i4>
      </vt:variant>
      <vt:variant>
        <vt:i4>788</vt:i4>
      </vt:variant>
      <vt:variant>
        <vt:i4>0</vt:i4>
      </vt:variant>
      <vt:variant>
        <vt:i4>5</vt:i4>
      </vt:variant>
      <vt:variant>
        <vt:lpwstr>https://www.health.govt.nz/system/files/2011-10/a-focus-on-nutrition-v2.pdf</vt:lpwstr>
      </vt:variant>
      <vt:variant>
        <vt:lpwstr/>
      </vt:variant>
      <vt:variant>
        <vt:i4>2883612</vt:i4>
      </vt:variant>
      <vt:variant>
        <vt:i4>785</vt:i4>
      </vt:variant>
      <vt:variant>
        <vt:i4>0</vt:i4>
      </vt:variant>
      <vt:variant>
        <vt:i4>5</vt:i4>
      </vt:variant>
      <vt:variant>
        <vt:lpwstr>https://www.abs.gov.au/AUSSTATS/abs@.nsf/DetailsPage/4727.0.55.0052012-13</vt:lpwstr>
      </vt:variant>
      <vt:variant>
        <vt:lpwstr/>
      </vt:variant>
      <vt:variant>
        <vt:i4>2490472</vt:i4>
      </vt:variant>
      <vt:variant>
        <vt:i4>782</vt:i4>
      </vt:variant>
      <vt:variant>
        <vt:i4>0</vt:i4>
      </vt:variant>
      <vt:variant>
        <vt:i4>5</vt:i4>
      </vt:variant>
      <vt:variant>
        <vt:lpwstr>https://www.health.govt.nz/system/files/2011-10/a-focus-on-nutrition-v2.pdf</vt:lpwstr>
      </vt:variant>
      <vt:variant>
        <vt:lpwstr/>
      </vt:variant>
      <vt:variant>
        <vt:i4>2424942</vt:i4>
      </vt:variant>
      <vt:variant>
        <vt:i4>776</vt:i4>
      </vt:variant>
      <vt:variant>
        <vt:i4>0</vt:i4>
      </vt:variant>
      <vt:variant>
        <vt:i4>5</vt:i4>
      </vt:variant>
      <vt:variant>
        <vt:lpwstr>https://www.abs.gov.au/statistics/health/health-conditions-and-risks/usual-nutrient-intakes/latest-release</vt:lpwstr>
      </vt:variant>
      <vt:variant>
        <vt:lpwstr/>
      </vt:variant>
      <vt:variant>
        <vt:i4>7733345</vt:i4>
      </vt:variant>
      <vt:variant>
        <vt:i4>761</vt:i4>
      </vt:variant>
      <vt:variant>
        <vt:i4>0</vt:i4>
      </vt:variant>
      <vt:variant>
        <vt:i4>5</vt:i4>
      </vt:variant>
      <vt:variant>
        <vt:lpwstr>https://efsa.onlinelibrary.wiley.com/doi/full/10.2903/j.efsa.2023.7704</vt:lpwstr>
      </vt:variant>
      <vt:variant>
        <vt:lpwstr>efs27704-sec-1003</vt:lpwstr>
      </vt:variant>
      <vt:variant>
        <vt:i4>7274605</vt:i4>
      </vt:variant>
      <vt:variant>
        <vt:i4>758</vt:i4>
      </vt:variant>
      <vt:variant>
        <vt:i4>0</vt:i4>
      </vt:variant>
      <vt:variant>
        <vt:i4>5</vt:i4>
      </vt:variant>
      <vt:variant>
        <vt:lpwstr>https://efsa.onlinelibrary.wiley.com/doi/full/10.2903/j.efsa.2023.7704</vt:lpwstr>
      </vt:variant>
      <vt:variant>
        <vt:lpwstr>efs27704-bib-0083</vt:lpwstr>
      </vt:variant>
      <vt:variant>
        <vt:i4>7536737</vt:i4>
      </vt:variant>
      <vt:variant>
        <vt:i4>755</vt:i4>
      </vt:variant>
      <vt:variant>
        <vt:i4>0</vt:i4>
      </vt:variant>
      <vt:variant>
        <vt:i4>5</vt:i4>
      </vt:variant>
      <vt:variant>
        <vt:lpwstr>https://efsa.onlinelibrary.wiley.com/doi/full/10.2903/j.efsa.2023.7704</vt:lpwstr>
      </vt:variant>
      <vt:variant>
        <vt:lpwstr>efs27704-sec-0042</vt:lpwstr>
      </vt:variant>
      <vt:variant>
        <vt:i4>7274604</vt:i4>
      </vt:variant>
      <vt:variant>
        <vt:i4>752</vt:i4>
      </vt:variant>
      <vt:variant>
        <vt:i4>0</vt:i4>
      </vt:variant>
      <vt:variant>
        <vt:i4>5</vt:i4>
      </vt:variant>
      <vt:variant>
        <vt:lpwstr>https://efsa.onlinelibrary.wiley.com/doi/full/10.2903/j.efsa.2023.7704</vt:lpwstr>
      </vt:variant>
      <vt:variant>
        <vt:lpwstr>efs27704-bib-0182</vt:lpwstr>
      </vt:variant>
      <vt:variant>
        <vt:i4>7798880</vt:i4>
      </vt:variant>
      <vt:variant>
        <vt:i4>749</vt:i4>
      </vt:variant>
      <vt:variant>
        <vt:i4>0</vt:i4>
      </vt:variant>
      <vt:variant>
        <vt:i4>5</vt:i4>
      </vt:variant>
      <vt:variant>
        <vt:lpwstr>https://efsa.onlinelibrary.wiley.com/doi/full/10.2903/j.efsa.2023.7704</vt:lpwstr>
      </vt:variant>
      <vt:variant>
        <vt:lpwstr>efs27704-sec-0109</vt:lpwstr>
      </vt:variant>
      <vt:variant>
        <vt:i4>7536737</vt:i4>
      </vt:variant>
      <vt:variant>
        <vt:i4>746</vt:i4>
      </vt:variant>
      <vt:variant>
        <vt:i4>0</vt:i4>
      </vt:variant>
      <vt:variant>
        <vt:i4>5</vt:i4>
      </vt:variant>
      <vt:variant>
        <vt:lpwstr>https://efsa.onlinelibrary.wiley.com/doi/full/10.2903/j.efsa.2023.7704</vt:lpwstr>
      </vt:variant>
      <vt:variant>
        <vt:lpwstr>efs27704-sec-0042</vt:lpwstr>
      </vt:variant>
      <vt:variant>
        <vt:i4>7536737</vt:i4>
      </vt:variant>
      <vt:variant>
        <vt:i4>743</vt:i4>
      </vt:variant>
      <vt:variant>
        <vt:i4>0</vt:i4>
      </vt:variant>
      <vt:variant>
        <vt:i4>5</vt:i4>
      </vt:variant>
      <vt:variant>
        <vt:lpwstr>https://efsa.onlinelibrary.wiley.com/doi/full/10.2903/j.efsa.2023.7704</vt:lpwstr>
      </vt:variant>
      <vt:variant>
        <vt:lpwstr>efs27704-sec-0041</vt:lpwstr>
      </vt:variant>
      <vt:variant>
        <vt:i4>7733345</vt:i4>
      </vt:variant>
      <vt:variant>
        <vt:i4>740</vt:i4>
      </vt:variant>
      <vt:variant>
        <vt:i4>0</vt:i4>
      </vt:variant>
      <vt:variant>
        <vt:i4>5</vt:i4>
      </vt:variant>
      <vt:variant>
        <vt:lpwstr>https://efsa.onlinelibrary.wiley.com/doi/full/10.2903/j.efsa.2023.7704</vt:lpwstr>
      </vt:variant>
      <vt:variant>
        <vt:lpwstr>efs27704-sec-1003</vt:lpwstr>
      </vt:variant>
      <vt:variant>
        <vt:i4>6619247</vt:i4>
      </vt:variant>
      <vt:variant>
        <vt:i4>737</vt:i4>
      </vt:variant>
      <vt:variant>
        <vt:i4>0</vt:i4>
      </vt:variant>
      <vt:variant>
        <vt:i4>5</vt:i4>
      </vt:variant>
      <vt:variant>
        <vt:lpwstr>https://efsa.onlinelibrary.wiley.com/doi/full/10.2903/j.efsa.2023.7704</vt:lpwstr>
      </vt:variant>
      <vt:variant>
        <vt:lpwstr>efs27704-bib-0228</vt:lpwstr>
      </vt:variant>
      <vt:variant>
        <vt:i4>6619247</vt:i4>
      </vt:variant>
      <vt:variant>
        <vt:i4>734</vt:i4>
      </vt:variant>
      <vt:variant>
        <vt:i4>0</vt:i4>
      </vt:variant>
      <vt:variant>
        <vt:i4>5</vt:i4>
      </vt:variant>
      <vt:variant>
        <vt:lpwstr>https://efsa.onlinelibrary.wiley.com/doi/full/10.2903/j.efsa.2023.7704</vt:lpwstr>
      </vt:variant>
      <vt:variant>
        <vt:lpwstr>efs27704-bib-0227</vt:lpwstr>
      </vt:variant>
      <vt:variant>
        <vt:i4>6619247</vt:i4>
      </vt:variant>
      <vt:variant>
        <vt:i4>731</vt:i4>
      </vt:variant>
      <vt:variant>
        <vt:i4>0</vt:i4>
      </vt:variant>
      <vt:variant>
        <vt:i4>5</vt:i4>
      </vt:variant>
      <vt:variant>
        <vt:lpwstr>https://efsa.onlinelibrary.wiley.com/doi/full/10.2903/j.efsa.2023.7704</vt:lpwstr>
      </vt:variant>
      <vt:variant>
        <vt:lpwstr>efs27704-bib-0227</vt:lpwstr>
      </vt:variant>
      <vt:variant>
        <vt:i4>6291582</vt:i4>
      </vt:variant>
      <vt:variant>
        <vt:i4>728</vt:i4>
      </vt:variant>
      <vt:variant>
        <vt:i4>0</vt:i4>
      </vt:variant>
      <vt:variant>
        <vt:i4>5</vt:i4>
      </vt:variant>
      <vt:variant>
        <vt:lpwstr>https://aus01.safelinks.protection.outlook.com/?url=https%3A%2F%2Feur-lex.europa.eu%2Flegal-content%2FEN%2FTXT%2F%3Furi%3DCELEX%3A32023B00576&amp;data=05%7C02%7Cnrv%40nhmrc.gov.au%7C44e49109fe8e4e1b400b08dc288a1916%7C402fca06dc9c412f9bf91a335a4671f7%7C0%7C0%7C638429820841728509%7CUnknown%7CTWFpbGZsb3d8eyJWIjoiMC4wLjAwMDAiLCJQIjoiV2luMzIiLCJBTiI6Ik1haWwiLCJXVCI6Mn0%3D%7C0%7C%7C%7C&amp;sdata=LdmgfzxwuM2383q%2BjXqg2zf8kDcVkcgUQgbzqwTLDHg%3D&amp;reserved=0</vt:lpwstr>
      </vt:variant>
      <vt:variant>
        <vt:lpwstr/>
      </vt:variant>
      <vt:variant>
        <vt:i4>6291562</vt:i4>
      </vt:variant>
      <vt:variant>
        <vt:i4>725</vt:i4>
      </vt:variant>
      <vt:variant>
        <vt:i4>0</vt:i4>
      </vt:variant>
      <vt:variant>
        <vt:i4>5</vt:i4>
      </vt:variant>
      <vt:variant>
        <vt:lpwstr>https://doi.org/10.1016/j.jtemb.2017.11.016?url=https%3A%2F%2Fwww.efsa.europa.eu%2Fen%2Fhowwework%2Findependentscience&amp;data=05%7C02%7Cnrv%40nhmrc.gov.au%7C44e49109fe8e4e1b400b08dc288a1916%7C402fca06dc9c412f9bf91a335a4671f7%7C0%7C0%7C638429820841719390%7CUnknown%7CTWFpbGZsb3d8eyJWIjoiMC4wLjAwMDAiLCJQIjoiV2luMzIiLCJBTiI6Ik1haWwiLCJXVCI6Mn0%3D%7C0%7C%7C%7C&amp;sdata=qYMXQ8%2B1bGkN6Sw2v2%2FDAs3CDDvFF8UpyGA4GXOaj%2BE%3D&amp;reserved=0</vt:lpwstr>
      </vt:variant>
      <vt:variant>
        <vt:lpwstr/>
      </vt:variant>
      <vt:variant>
        <vt:i4>3866669</vt:i4>
      </vt:variant>
      <vt:variant>
        <vt:i4>722</vt:i4>
      </vt:variant>
      <vt:variant>
        <vt:i4>0</vt:i4>
      </vt:variant>
      <vt:variant>
        <vt:i4>5</vt:i4>
      </vt:variant>
      <vt:variant>
        <vt:lpwstr>https://open.efsa.europa.eu/scientific-panel/8</vt:lpwstr>
      </vt:variant>
      <vt:variant>
        <vt:lpwstr/>
      </vt:variant>
      <vt:variant>
        <vt:i4>3866666</vt:i4>
      </vt:variant>
      <vt:variant>
        <vt:i4>719</vt:i4>
      </vt:variant>
      <vt:variant>
        <vt:i4>0</vt:i4>
      </vt:variant>
      <vt:variant>
        <vt:i4>5</vt:i4>
      </vt:variant>
      <vt:variant>
        <vt:lpwstr>https://efsa.onlinelibrary.wiley.com/doi/epdf/10.2903/j.efsa.2023.7704</vt:lpwstr>
      </vt:variant>
      <vt:variant>
        <vt:lpwstr/>
      </vt:variant>
      <vt:variant>
        <vt:i4>1704022</vt:i4>
      </vt:variant>
      <vt:variant>
        <vt:i4>715</vt:i4>
      </vt:variant>
      <vt:variant>
        <vt:i4>0</vt:i4>
      </vt:variant>
      <vt:variant>
        <vt:i4>5</vt:i4>
      </vt:variant>
      <vt:variant>
        <vt:lpwstr>https://doi.org/10.1080/00039890109604483</vt:lpwstr>
      </vt:variant>
      <vt:variant>
        <vt:lpwstr/>
      </vt:variant>
      <vt:variant>
        <vt:i4>2228343</vt:i4>
      </vt:variant>
      <vt:variant>
        <vt:i4>712</vt:i4>
      </vt:variant>
      <vt:variant>
        <vt:i4>0</vt:i4>
      </vt:variant>
      <vt:variant>
        <vt:i4>5</vt:i4>
      </vt:variant>
      <vt:variant>
        <vt:lpwstr>https://doi.org/10.1016/j.jtemb.2017.11.016</vt:lpwstr>
      </vt:variant>
      <vt:variant>
        <vt:lpwstr/>
      </vt:variant>
      <vt:variant>
        <vt:i4>5832721</vt:i4>
      </vt:variant>
      <vt:variant>
        <vt:i4>709</vt:i4>
      </vt:variant>
      <vt:variant>
        <vt:i4>0</vt:i4>
      </vt:variant>
      <vt:variant>
        <vt:i4>5</vt:i4>
      </vt:variant>
      <vt:variant>
        <vt:lpwstr>https://www.who.int/tools/child-growth-standards/standards/weight-for-age</vt:lpwstr>
      </vt:variant>
      <vt:variant>
        <vt:lpwstr/>
      </vt:variant>
      <vt:variant>
        <vt:i4>2228279</vt:i4>
      </vt:variant>
      <vt:variant>
        <vt:i4>706</vt:i4>
      </vt:variant>
      <vt:variant>
        <vt:i4>0</vt:i4>
      </vt:variant>
      <vt:variant>
        <vt:i4>5</vt:i4>
      </vt:variant>
      <vt:variant>
        <vt:lpwstr>https://doi.org/10.1002/14651858.CD005195.pub4</vt:lpwstr>
      </vt:variant>
      <vt:variant>
        <vt:lpwstr/>
      </vt:variant>
      <vt:variant>
        <vt:i4>1310726</vt:i4>
      </vt:variant>
      <vt:variant>
        <vt:i4>703</vt:i4>
      </vt:variant>
      <vt:variant>
        <vt:i4>0</vt:i4>
      </vt:variant>
      <vt:variant>
        <vt:i4>5</vt:i4>
      </vt:variant>
      <vt:variant>
        <vt:lpwstr>https://doi.org/10.2903/j.efsa.2023.7704</vt:lpwstr>
      </vt:variant>
      <vt:variant>
        <vt:lpwstr/>
      </vt:variant>
      <vt:variant>
        <vt:i4>196627</vt:i4>
      </vt:variant>
      <vt:variant>
        <vt:i4>700</vt:i4>
      </vt:variant>
      <vt:variant>
        <vt:i4>0</vt:i4>
      </vt:variant>
      <vt:variant>
        <vt:i4>5</vt:i4>
      </vt:variant>
      <vt:variant>
        <vt:lpwstr>https://doi.org/10.1136/bmjgh-2020-003375</vt:lpwstr>
      </vt:variant>
      <vt:variant>
        <vt:lpwstr/>
      </vt:variant>
      <vt:variant>
        <vt:i4>983119</vt:i4>
      </vt:variant>
      <vt:variant>
        <vt:i4>697</vt:i4>
      </vt:variant>
      <vt:variant>
        <vt:i4>0</vt:i4>
      </vt:variant>
      <vt:variant>
        <vt:i4>5</vt:i4>
      </vt:variant>
      <vt:variant>
        <vt:lpwstr>https://doi.org/https://doi.org/10.1016/S0378-4274(02)00384-3</vt:lpwstr>
      </vt:variant>
      <vt:variant>
        <vt:lpwstr/>
      </vt:variant>
      <vt:variant>
        <vt:i4>1114142</vt:i4>
      </vt:variant>
      <vt:variant>
        <vt:i4>694</vt:i4>
      </vt:variant>
      <vt:variant>
        <vt:i4>0</vt:i4>
      </vt:variant>
      <vt:variant>
        <vt:i4>5</vt:i4>
      </vt:variant>
      <vt:variant>
        <vt:lpwstr>https://doi.org/10.1017/s0007114507336738</vt:lpwstr>
      </vt:variant>
      <vt:variant>
        <vt:lpwstr/>
      </vt:variant>
      <vt:variant>
        <vt:i4>1114178</vt:i4>
      </vt:variant>
      <vt:variant>
        <vt:i4>691</vt:i4>
      </vt:variant>
      <vt:variant>
        <vt:i4>0</vt:i4>
      </vt:variant>
      <vt:variant>
        <vt:i4>5</vt:i4>
      </vt:variant>
      <vt:variant>
        <vt:lpwstr>https://doi.org/10.1093/ajcn/87.2.379</vt:lpwstr>
      </vt:variant>
      <vt:variant>
        <vt:lpwstr/>
      </vt:variant>
      <vt:variant>
        <vt:i4>8126570</vt:i4>
      </vt:variant>
      <vt:variant>
        <vt:i4>688</vt:i4>
      </vt:variant>
      <vt:variant>
        <vt:i4>0</vt:i4>
      </vt:variant>
      <vt:variant>
        <vt:i4>5</vt:i4>
      </vt:variant>
      <vt:variant>
        <vt:lpwstr>https://doi.org/10.1079/bjn20041110</vt:lpwstr>
      </vt:variant>
      <vt:variant>
        <vt:lpwstr/>
      </vt:variant>
      <vt:variant>
        <vt:i4>2752628</vt:i4>
      </vt:variant>
      <vt:variant>
        <vt:i4>685</vt:i4>
      </vt:variant>
      <vt:variant>
        <vt:i4>0</vt:i4>
      </vt:variant>
      <vt:variant>
        <vt:i4>5</vt:i4>
      </vt:variant>
      <vt:variant>
        <vt:lpwstr>https://doi.org/10.1016/j.redox.2022.102236</vt:lpwstr>
      </vt:variant>
      <vt:variant>
        <vt:lpwstr/>
      </vt:variant>
      <vt:variant>
        <vt:i4>4980804</vt:i4>
      </vt:variant>
      <vt:variant>
        <vt:i4>682</vt:i4>
      </vt:variant>
      <vt:variant>
        <vt:i4>0</vt:i4>
      </vt:variant>
      <vt:variant>
        <vt:i4>5</vt:i4>
      </vt:variant>
      <vt:variant>
        <vt:lpwstr>https://doi.org/10.1016/j.envres.2005.12.001</vt:lpwstr>
      </vt:variant>
      <vt:variant>
        <vt:lpwstr/>
      </vt:variant>
      <vt:variant>
        <vt:i4>3670129</vt:i4>
      </vt:variant>
      <vt:variant>
        <vt:i4>679</vt:i4>
      </vt:variant>
      <vt:variant>
        <vt:i4>0</vt:i4>
      </vt:variant>
      <vt:variant>
        <vt:i4>5</vt:i4>
      </vt:variant>
      <vt:variant>
        <vt:lpwstr>https://doi.org/10.1080/00039896.1975.10666686</vt:lpwstr>
      </vt:variant>
      <vt:variant>
        <vt:lpwstr/>
      </vt:variant>
      <vt:variant>
        <vt:i4>2949236</vt:i4>
      </vt:variant>
      <vt:variant>
        <vt:i4>676</vt:i4>
      </vt:variant>
      <vt:variant>
        <vt:i4>0</vt:i4>
      </vt:variant>
      <vt:variant>
        <vt:i4>5</vt:i4>
      </vt:variant>
      <vt:variant>
        <vt:lpwstr>https://doi.org/10.1016/j.jtemb.2018.02.005</vt:lpwstr>
      </vt:variant>
      <vt:variant>
        <vt:lpwstr/>
      </vt:variant>
      <vt:variant>
        <vt:i4>131143</vt:i4>
      </vt:variant>
      <vt:variant>
        <vt:i4>673</vt:i4>
      </vt:variant>
      <vt:variant>
        <vt:i4>0</vt:i4>
      </vt:variant>
      <vt:variant>
        <vt:i4>5</vt:i4>
      </vt:variant>
      <vt:variant>
        <vt:lpwstr>https://doi.org/10.1016/0021-9681(70)90003-2</vt:lpwstr>
      </vt:variant>
      <vt:variant>
        <vt:lpwstr/>
      </vt:variant>
      <vt:variant>
        <vt:i4>4587545</vt:i4>
      </vt:variant>
      <vt:variant>
        <vt:i4>670</vt:i4>
      </vt:variant>
      <vt:variant>
        <vt:i4>0</vt:i4>
      </vt:variant>
      <vt:variant>
        <vt:i4>5</vt:i4>
      </vt:variant>
      <vt:variant>
        <vt:lpwstr>https://doi.org/10.1093/jn/130.7.1653</vt:lpwstr>
      </vt:variant>
      <vt:variant>
        <vt:lpwstr/>
      </vt:variant>
      <vt:variant>
        <vt:i4>1507422</vt:i4>
      </vt:variant>
      <vt:variant>
        <vt:i4>667</vt:i4>
      </vt:variant>
      <vt:variant>
        <vt:i4>0</vt:i4>
      </vt:variant>
      <vt:variant>
        <vt:i4>5</vt:i4>
      </vt:variant>
      <vt:variant>
        <vt:lpwstr>https://doi.org/10.3389/fnut.2021.685517</vt:lpwstr>
      </vt:variant>
      <vt:variant>
        <vt:lpwstr/>
      </vt:variant>
      <vt:variant>
        <vt:i4>5832777</vt:i4>
      </vt:variant>
      <vt:variant>
        <vt:i4>664</vt:i4>
      </vt:variant>
      <vt:variant>
        <vt:i4>0</vt:i4>
      </vt:variant>
      <vt:variant>
        <vt:i4>5</vt:i4>
      </vt:variant>
      <vt:variant>
        <vt:lpwstr>https://assets.publishing.service.gov.uk/media/5a7ea6b440f0b62305b824ce/SACN_Selenium_and_Health_2013.pdf</vt:lpwstr>
      </vt:variant>
      <vt:variant>
        <vt:lpwstr/>
      </vt:variant>
      <vt:variant>
        <vt:i4>1966098</vt:i4>
      </vt:variant>
      <vt:variant>
        <vt:i4>661</vt:i4>
      </vt:variant>
      <vt:variant>
        <vt:i4>0</vt:i4>
      </vt:variant>
      <vt:variant>
        <vt:i4>5</vt:i4>
      </vt:variant>
      <vt:variant>
        <vt:lpwstr>https://doi.org/10.1017/s0007114508922522</vt:lpwstr>
      </vt:variant>
      <vt:variant>
        <vt:lpwstr/>
      </vt:variant>
      <vt:variant>
        <vt:i4>720898</vt:i4>
      </vt:variant>
      <vt:variant>
        <vt:i4>658</vt:i4>
      </vt:variant>
      <vt:variant>
        <vt:i4>0</vt:i4>
      </vt:variant>
      <vt:variant>
        <vt:i4>5</vt:i4>
      </vt:variant>
      <vt:variant>
        <vt:lpwstr>https://doi.org/10.1016/s0140-6736(11)61452-9</vt:lpwstr>
      </vt:variant>
      <vt:variant>
        <vt:lpwstr/>
      </vt:variant>
      <vt:variant>
        <vt:i4>4718687</vt:i4>
      </vt:variant>
      <vt:variant>
        <vt:i4>655</vt:i4>
      </vt:variant>
      <vt:variant>
        <vt:i4>0</vt:i4>
      </vt:variant>
      <vt:variant>
        <vt:i4>5</vt:i4>
      </vt:variant>
      <vt:variant>
        <vt:lpwstr>https://doi.org/10.4162/nrp.2011.5.4.357</vt:lpwstr>
      </vt:variant>
      <vt:variant>
        <vt:lpwstr/>
      </vt:variant>
      <vt:variant>
        <vt:i4>7995444</vt:i4>
      </vt:variant>
      <vt:variant>
        <vt:i4>652</vt:i4>
      </vt:variant>
      <vt:variant>
        <vt:i4>0</vt:i4>
      </vt:variant>
      <vt:variant>
        <vt:i4>5</vt:i4>
      </vt:variant>
      <vt:variant>
        <vt:lpwstr>https://doi.org/10.1007/BF02990125</vt:lpwstr>
      </vt:variant>
      <vt:variant>
        <vt:lpwstr/>
      </vt:variant>
      <vt:variant>
        <vt:i4>4063356</vt:i4>
      </vt:variant>
      <vt:variant>
        <vt:i4>649</vt:i4>
      </vt:variant>
      <vt:variant>
        <vt:i4>0</vt:i4>
      </vt:variant>
      <vt:variant>
        <vt:i4>5</vt:i4>
      </vt:variant>
      <vt:variant>
        <vt:lpwstr>https://www.nhmrc.gov.au/about-us/publications/australian-drinking-water-guidelines</vt:lpwstr>
      </vt:variant>
      <vt:variant>
        <vt:lpwstr/>
      </vt:variant>
      <vt:variant>
        <vt:i4>7929962</vt:i4>
      </vt:variant>
      <vt:variant>
        <vt:i4>646</vt:i4>
      </vt:variant>
      <vt:variant>
        <vt:i4>0</vt:i4>
      </vt:variant>
      <vt:variant>
        <vt:i4>5</vt:i4>
      </vt:variant>
      <vt:variant>
        <vt:lpwstr>https://www.nhmrc.gov.au/sites/default/files/documents/attachments/publications/policy-on-the-disclosure-of-interests-requirements.pdf</vt:lpwstr>
      </vt:variant>
      <vt:variant>
        <vt:lpwstr/>
      </vt:variant>
      <vt:variant>
        <vt:i4>2883623</vt:i4>
      </vt:variant>
      <vt:variant>
        <vt:i4>643</vt:i4>
      </vt:variant>
      <vt:variant>
        <vt:i4>0</vt:i4>
      </vt:variant>
      <vt:variant>
        <vt:i4>5</vt:i4>
      </vt:variant>
      <vt:variant>
        <vt:lpwstr>https://www.nhmrc.gov.au/guidelinesforguidelines/standards</vt:lpwstr>
      </vt:variant>
      <vt:variant>
        <vt:lpwstr/>
      </vt:variant>
      <vt:variant>
        <vt:i4>1900548</vt:i4>
      </vt:variant>
      <vt:variant>
        <vt:i4>640</vt:i4>
      </vt:variant>
      <vt:variant>
        <vt:i4>0</vt:i4>
      </vt:variant>
      <vt:variant>
        <vt:i4>5</vt:i4>
      </vt:variant>
      <vt:variant>
        <vt:lpwstr>https://www.nhmrc.gov.au/about-us/publications/nutrient-reference-values-australia-and-new-zealand-including-recommended-dietary-intakes</vt:lpwstr>
      </vt:variant>
      <vt:variant>
        <vt:lpwstr/>
      </vt:variant>
      <vt:variant>
        <vt:i4>6160390</vt:i4>
      </vt:variant>
      <vt:variant>
        <vt:i4>637</vt:i4>
      </vt:variant>
      <vt:variant>
        <vt:i4>0</vt:i4>
      </vt:variant>
      <vt:variant>
        <vt:i4>5</vt:i4>
      </vt:variant>
      <vt:variant>
        <vt:lpwstr>https://doi.org/10.3390/nu5041024</vt:lpwstr>
      </vt:variant>
      <vt:variant>
        <vt:lpwstr/>
      </vt:variant>
      <vt:variant>
        <vt:i4>2031623</vt:i4>
      </vt:variant>
      <vt:variant>
        <vt:i4>634</vt:i4>
      </vt:variant>
      <vt:variant>
        <vt:i4>0</vt:i4>
      </vt:variant>
      <vt:variant>
        <vt:i4>5</vt:i4>
      </vt:variant>
      <vt:variant>
        <vt:lpwstr>https://www.health.govt.nz/system/files/2011-11/nzfoodnzchildren.pdf</vt:lpwstr>
      </vt:variant>
      <vt:variant>
        <vt:lpwstr/>
      </vt:variant>
      <vt:variant>
        <vt:i4>3473447</vt:i4>
      </vt:variant>
      <vt:variant>
        <vt:i4>631</vt:i4>
      </vt:variant>
      <vt:variant>
        <vt:i4>0</vt:i4>
      </vt:variant>
      <vt:variant>
        <vt:i4>5</vt:i4>
      </vt:variant>
      <vt:variant>
        <vt:lpwstr>https://www.mpi.govt.nz/dmsdocument/43177-2016-NZ-Total-Diet-Study-with-Appendices-report-</vt:lpwstr>
      </vt:variant>
      <vt:variant>
        <vt:lpwstr/>
      </vt:variant>
      <vt:variant>
        <vt:i4>589853</vt:i4>
      </vt:variant>
      <vt:variant>
        <vt:i4>628</vt:i4>
      </vt:variant>
      <vt:variant>
        <vt:i4>0</vt:i4>
      </vt:variant>
      <vt:variant>
        <vt:i4>5</vt:i4>
      </vt:variant>
      <vt:variant>
        <vt:lpwstr>https://doi.org/10.3390/molecules18033292</vt:lpwstr>
      </vt:variant>
      <vt:variant>
        <vt:lpwstr/>
      </vt:variant>
      <vt:variant>
        <vt:i4>6357116</vt:i4>
      </vt:variant>
      <vt:variant>
        <vt:i4>625</vt:i4>
      </vt:variant>
      <vt:variant>
        <vt:i4>0</vt:i4>
      </vt:variant>
      <vt:variant>
        <vt:i4>5</vt:i4>
      </vt:variant>
      <vt:variant>
        <vt:lpwstr>https://doi.org/https://doi.org/10.1093/jn/134.12.3290</vt:lpwstr>
      </vt:variant>
      <vt:variant>
        <vt:lpwstr/>
      </vt:variant>
      <vt:variant>
        <vt:i4>1572944</vt:i4>
      </vt:variant>
      <vt:variant>
        <vt:i4>622</vt:i4>
      </vt:variant>
      <vt:variant>
        <vt:i4>0</vt:i4>
      </vt:variant>
      <vt:variant>
        <vt:i4>5</vt:i4>
      </vt:variant>
      <vt:variant>
        <vt:lpwstr>https://doi.org/10.1177/1178638819879444</vt:lpwstr>
      </vt:variant>
      <vt:variant>
        <vt:lpwstr/>
      </vt:variant>
      <vt:variant>
        <vt:i4>3080234</vt:i4>
      </vt:variant>
      <vt:variant>
        <vt:i4>619</vt:i4>
      </vt:variant>
      <vt:variant>
        <vt:i4>0</vt:i4>
      </vt:variant>
      <vt:variant>
        <vt:i4>5</vt:i4>
      </vt:variant>
      <vt:variant>
        <vt:lpwstr>https://doi.org/10.1001/archinternmed.2009.495</vt:lpwstr>
      </vt:variant>
      <vt:variant>
        <vt:lpwstr/>
      </vt:variant>
      <vt:variant>
        <vt:i4>917527</vt:i4>
      </vt:variant>
      <vt:variant>
        <vt:i4>616</vt:i4>
      </vt:variant>
      <vt:variant>
        <vt:i4>0</vt:i4>
      </vt:variant>
      <vt:variant>
        <vt:i4>5</vt:i4>
      </vt:variant>
      <vt:variant>
        <vt:lpwstr>https://doi.org/10.1007/s12011-008-8208-6</vt:lpwstr>
      </vt:variant>
      <vt:variant>
        <vt:lpwstr/>
      </vt:variant>
      <vt:variant>
        <vt:i4>589890</vt:i4>
      </vt:variant>
      <vt:variant>
        <vt:i4>613</vt:i4>
      </vt:variant>
      <vt:variant>
        <vt:i4>0</vt:i4>
      </vt:variant>
      <vt:variant>
        <vt:i4>5</vt:i4>
      </vt:variant>
      <vt:variant>
        <vt:lpwstr>https://doi.org/10.1001/jama.2008.864</vt:lpwstr>
      </vt:variant>
      <vt:variant>
        <vt:lpwstr/>
      </vt:variant>
      <vt:variant>
        <vt:i4>851999</vt:i4>
      </vt:variant>
      <vt:variant>
        <vt:i4>610</vt:i4>
      </vt:variant>
      <vt:variant>
        <vt:i4>0</vt:i4>
      </vt:variant>
      <vt:variant>
        <vt:i4>5</vt:i4>
      </vt:variant>
      <vt:variant>
        <vt:lpwstr>https://doi.org/10.1007/s00216-010-3544-8</vt:lpwstr>
      </vt:variant>
      <vt:variant>
        <vt:lpwstr/>
      </vt:variant>
      <vt:variant>
        <vt:i4>70</vt:i4>
      </vt:variant>
      <vt:variant>
        <vt:i4>607</vt:i4>
      </vt:variant>
      <vt:variant>
        <vt:i4>0</vt:i4>
      </vt:variant>
      <vt:variant>
        <vt:i4>5</vt:i4>
      </vt:variant>
      <vt:variant>
        <vt:lpwstr>https://openknowledge.fao.org/server/api/core/bitstreams/2033128c-4d26-47d0-8f67-2f736c4a1d29/content</vt:lpwstr>
      </vt:variant>
      <vt:variant>
        <vt:lpwstr/>
      </vt:variant>
      <vt:variant>
        <vt:i4>6291559</vt:i4>
      </vt:variant>
      <vt:variant>
        <vt:i4>604</vt:i4>
      </vt:variant>
      <vt:variant>
        <vt:i4>0</vt:i4>
      </vt:variant>
      <vt:variant>
        <vt:i4>5</vt:i4>
      </vt:variant>
      <vt:variant>
        <vt:lpwstr>https://doi.org/10.1146/annurev-nutr-062320-121834</vt:lpwstr>
      </vt:variant>
      <vt:variant>
        <vt:lpwstr/>
      </vt:variant>
      <vt:variant>
        <vt:i4>6488119</vt:i4>
      </vt:variant>
      <vt:variant>
        <vt:i4>601</vt:i4>
      </vt:variant>
      <vt:variant>
        <vt:i4>0</vt:i4>
      </vt:variant>
      <vt:variant>
        <vt:i4>5</vt:i4>
      </vt:variant>
      <vt:variant>
        <vt:lpwstr>https://doi.org/10.3390/nu15163538</vt:lpwstr>
      </vt:variant>
      <vt:variant>
        <vt:lpwstr/>
      </vt:variant>
      <vt:variant>
        <vt:i4>6553660</vt:i4>
      </vt:variant>
      <vt:variant>
        <vt:i4>598</vt:i4>
      </vt:variant>
      <vt:variant>
        <vt:i4>0</vt:i4>
      </vt:variant>
      <vt:variant>
        <vt:i4>5</vt:i4>
      </vt:variant>
      <vt:variant>
        <vt:lpwstr>https://doi.org/10.1038/sj.ejcn.1602628</vt:lpwstr>
      </vt:variant>
      <vt:variant>
        <vt:lpwstr/>
      </vt:variant>
      <vt:variant>
        <vt:i4>72</vt:i4>
      </vt:variant>
      <vt:variant>
        <vt:i4>595</vt:i4>
      </vt:variant>
      <vt:variant>
        <vt:i4>0</vt:i4>
      </vt:variant>
      <vt:variant>
        <vt:i4>5</vt:i4>
      </vt:variant>
      <vt:variant>
        <vt:lpwstr>https://doi.org/10.17226/9810</vt:lpwstr>
      </vt:variant>
      <vt:variant>
        <vt:lpwstr/>
      </vt:variant>
      <vt:variant>
        <vt:i4>72</vt:i4>
      </vt:variant>
      <vt:variant>
        <vt:i4>592</vt:i4>
      </vt:variant>
      <vt:variant>
        <vt:i4>0</vt:i4>
      </vt:variant>
      <vt:variant>
        <vt:i4>5</vt:i4>
      </vt:variant>
      <vt:variant>
        <vt:lpwstr>https://doi.org/10.17226/9810</vt:lpwstr>
      </vt:variant>
      <vt:variant>
        <vt:lpwstr/>
      </vt:variant>
      <vt:variant>
        <vt:i4>3342448</vt:i4>
      </vt:variant>
      <vt:variant>
        <vt:i4>589</vt:i4>
      </vt:variant>
      <vt:variant>
        <vt:i4>0</vt:i4>
      </vt:variant>
      <vt:variant>
        <vt:i4>5</vt:i4>
      </vt:variant>
      <vt:variant>
        <vt:lpwstr>https://doi.org/10.3945/ajcn.2009.28169</vt:lpwstr>
      </vt:variant>
      <vt:variant>
        <vt:lpwstr/>
      </vt:variant>
      <vt:variant>
        <vt:i4>4587613</vt:i4>
      </vt:variant>
      <vt:variant>
        <vt:i4>586</vt:i4>
      </vt:variant>
      <vt:variant>
        <vt:i4>0</vt:i4>
      </vt:variant>
      <vt:variant>
        <vt:i4>5</vt:i4>
      </vt:variant>
      <vt:variant>
        <vt:lpwstr>https://doi.org/10.1089/ars.2011.4145</vt:lpwstr>
      </vt:variant>
      <vt:variant>
        <vt:lpwstr/>
      </vt:variant>
      <vt:variant>
        <vt:i4>3997823</vt:i4>
      </vt:variant>
      <vt:variant>
        <vt:i4>583</vt:i4>
      </vt:variant>
      <vt:variant>
        <vt:i4>0</vt:i4>
      </vt:variant>
      <vt:variant>
        <vt:i4>5</vt:i4>
      </vt:variant>
      <vt:variant>
        <vt:lpwstr>https://doi.org/10.1016/j.jtemb.2021.126801</vt:lpwstr>
      </vt:variant>
      <vt:variant>
        <vt:lpwstr/>
      </vt:variant>
      <vt:variant>
        <vt:i4>7012385</vt:i4>
      </vt:variant>
      <vt:variant>
        <vt:i4>580</vt:i4>
      </vt:variant>
      <vt:variant>
        <vt:i4>0</vt:i4>
      </vt:variant>
      <vt:variant>
        <vt:i4>5</vt:i4>
      </vt:variant>
      <vt:variant>
        <vt:lpwstr>https://doi.org/10.1074/jbc.M116.756155</vt:lpwstr>
      </vt:variant>
      <vt:variant>
        <vt:lpwstr/>
      </vt:variant>
      <vt:variant>
        <vt:i4>3276898</vt:i4>
      </vt:variant>
      <vt:variant>
        <vt:i4>577</vt:i4>
      </vt:variant>
      <vt:variant>
        <vt:i4>0</vt:i4>
      </vt:variant>
      <vt:variant>
        <vt:i4>5</vt:i4>
      </vt:variant>
      <vt:variant>
        <vt:lpwstr>https://afcd.foodstandards.gov.au/</vt:lpwstr>
      </vt:variant>
      <vt:variant>
        <vt:lpwstr/>
      </vt:variant>
      <vt:variant>
        <vt:i4>589846</vt:i4>
      </vt:variant>
      <vt:variant>
        <vt:i4>574</vt:i4>
      </vt:variant>
      <vt:variant>
        <vt:i4>0</vt:i4>
      </vt:variant>
      <vt:variant>
        <vt:i4>5</vt:i4>
      </vt:variant>
      <vt:variant>
        <vt:lpwstr>https://openknowledge.fao.org/server/api/core/bitstreams/63710348-ae8f-414a-912f-d7670717c874/content</vt:lpwstr>
      </vt:variant>
      <vt:variant>
        <vt:lpwstr/>
      </vt:variant>
      <vt:variant>
        <vt:i4>262171</vt:i4>
      </vt:variant>
      <vt:variant>
        <vt:i4>571</vt:i4>
      </vt:variant>
      <vt:variant>
        <vt:i4>0</vt:i4>
      </vt:variant>
      <vt:variant>
        <vt:i4>5</vt:i4>
      </vt:variant>
      <vt:variant>
        <vt:lpwstr>https://doi.org/10.1024/0300-9831/a000031</vt:lpwstr>
      </vt:variant>
      <vt:variant>
        <vt:lpwstr/>
      </vt:variant>
      <vt:variant>
        <vt:i4>1638467</vt:i4>
      </vt:variant>
      <vt:variant>
        <vt:i4>568</vt:i4>
      </vt:variant>
      <vt:variant>
        <vt:i4>0</vt:i4>
      </vt:variant>
      <vt:variant>
        <vt:i4>5</vt:i4>
      </vt:variant>
      <vt:variant>
        <vt:lpwstr>https://doi.org/https://doi.org/10.2903/j.efsa.2023.7704</vt:lpwstr>
      </vt:variant>
      <vt:variant>
        <vt:lpwstr/>
      </vt:variant>
      <vt:variant>
        <vt:i4>2424892</vt:i4>
      </vt:variant>
      <vt:variant>
        <vt:i4>565</vt:i4>
      </vt:variant>
      <vt:variant>
        <vt:i4>0</vt:i4>
      </vt:variant>
      <vt:variant>
        <vt:i4>5</vt:i4>
      </vt:variant>
      <vt:variant>
        <vt:lpwstr>https://doi.org/10.17925/USE.2015.11.02.97</vt:lpwstr>
      </vt:variant>
      <vt:variant>
        <vt:lpwstr/>
      </vt:variant>
      <vt:variant>
        <vt:i4>1048649</vt:i4>
      </vt:variant>
      <vt:variant>
        <vt:i4>562</vt:i4>
      </vt:variant>
      <vt:variant>
        <vt:i4>0</vt:i4>
      </vt:variant>
      <vt:variant>
        <vt:i4>5</vt:i4>
      </vt:variant>
      <vt:variant>
        <vt:lpwstr>https://doi.org/10.1093/ajcn/70.5.896</vt:lpwstr>
      </vt:variant>
      <vt:variant>
        <vt:lpwstr/>
      </vt:variant>
      <vt:variant>
        <vt:i4>6160469</vt:i4>
      </vt:variant>
      <vt:variant>
        <vt:i4>559</vt:i4>
      </vt:variant>
      <vt:variant>
        <vt:i4>0</vt:i4>
      </vt:variant>
      <vt:variant>
        <vt:i4>5</vt:i4>
      </vt:variant>
      <vt:variant>
        <vt:lpwstr>https://doi.org/10.1046/j.1464-410x.2003.04167.x</vt:lpwstr>
      </vt:variant>
      <vt:variant>
        <vt:lpwstr/>
      </vt:variant>
      <vt:variant>
        <vt:i4>3014773</vt:i4>
      </vt:variant>
      <vt:variant>
        <vt:i4>556</vt:i4>
      </vt:variant>
      <vt:variant>
        <vt:i4>0</vt:i4>
      </vt:variant>
      <vt:variant>
        <vt:i4>5</vt:i4>
      </vt:variant>
      <vt:variant>
        <vt:lpwstr>https://doi.org/10.5694/j.1326-5377.2004.tb05986.x</vt:lpwstr>
      </vt:variant>
      <vt:variant>
        <vt:lpwstr/>
      </vt:variant>
      <vt:variant>
        <vt:i4>1048604</vt:i4>
      </vt:variant>
      <vt:variant>
        <vt:i4>553</vt:i4>
      </vt:variant>
      <vt:variant>
        <vt:i4>0</vt:i4>
      </vt:variant>
      <vt:variant>
        <vt:i4>5</vt:i4>
      </vt:variant>
      <vt:variant>
        <vt:lpwstr>https://doi.org/10.1017/S0007114522002379</vt:lpwstr>
      </vt:variant>
      <vt:variant>
        <vt:lpwstr/>
      </vt:variant>
      <vt:variant>
        <vt:i4>1245211</vt:i4>
      </vt:variant>
      <vt:variant>
        <vt:i4>550</vt:i4>
      </vt:variant>
      <vt:variant>
        <vt:i4>0</vt:i4>
      </vt:variant>
      <vt:variant>
        <vt:i4>5</vt:i4>
      </vt:variant>
      <vt:variant>
        <vt:lpwstr>https://doi.org/10.1017/s0007114511004715</vt:lpwstr>
      </vt:variant>
      <vt:variant>
        <vt:lpwstr/>
      </vt:variant>
      <vt:variant>
        <vt:i4>6225926</vt:i4>
      </vt:variant>
      <vt:variant>
        <vt:i4>547</vt:i4>
      </vt:variant>
      <vt:variant>
        <vt:i4>0</vt:i4>
      </vt:variant>
      <vt:variant>
        <vt:i4>5</vt:i4>
      </vt:variant>
      <vt:variant>
        <vt:lpwstr>https://doi.org/10.3390/nu7042209</vt:lpwstr>
      </vt:variant>
      <vt:variant>
        <vt:lpwstr/>
      </vt:variant>
      <vt:variant>
        <vt:i4>3342458</vt:i4>
      </vt:variant>
      <vt:variant>
        <vt:i4>544</vt:i4>
      </vt:variant>
      <vt:variant>
        <vt:i4>0</vt:i4>
      </vt:variant>
      <vt:variant>
        <vt:i4>5</vt:i4>
      </vt:variant>
      <vt:variant>
        <vt:lpwstr>https://doi.org/10.1080/00039896.1982.10667551</vt:lpwstr>
      </vt:variant>
      <vt:variant>
        <vt:lpwstr/>
      </vt:variant>
      <vt:variant>
        <vt:i4>5177354</vt:i4>
      </vt:variant>
      <vt:variant>
        <vt:i4>541</vt:i4>
      </vt:variant>
      <vt:variant>
        <vt:i4>0</vt:i4>
      </vt:variant>
      <vt:variant>
        <vt:i4>5</vt:i4>
      </vt:variant>
      <vt:variant>
        <vt:lpwstr>https://www.mdpi.com/2072-6643/10/12/1847</vt:lpwstr>
      </vt:variant>
      <vt:variant>
        <vt:lpwstr/>
      </vt:variant>
      <vt:variant>
        <vt:i4>2031683</vt:i4>
      </vt:variant>
      <vt:variant>
        <vt:i4>538</vt:i4>
      </vt:variant>
      <vt:variant>
        <vt:i4>0</vt:i4>
      </vt:variant>
      <vt:variant>
        <vt:i4>5</vt:i4>
      </vt:variant>
      <vt:variant>
        <vt:lpwstr>https://doi.org/10.1093/ajcn/53.3.748</vt:lpwstr>
      </vt:variant>
      <vt:variant>
        <vt:lpwstr/>
      </vt:variant>
      <vt:variant>
        <vt:i4>6226014</vt:i4>
      </vt:variant>
      <vt:variant>
        <vt:i4>535</vt:i4>
      </vt:variant>
      <vt:variant>
        <vt:i4>0</vt:i4>
      </vt:variant>
      <vt:variant>
        <vt:i4>5</vt:i4>
      </vt:variant>
      <vt:variant>
        <vt:lpwstr>https://doi.org/10.1158/1055-9965.Epi-05-0950</vt:lpwstr>
      </vt:variant>
      <vt:variant>
        <vt:lpwstr/>
      </vt:variant>
      <vt:variant>
        <vt:i4>7274596</vt:i4>
      </vt:variant>
      <vt:variant>
        <vt:i4>532</vt:i4>
      </vt:variant>
      <vt:variant>
        <vt:i4>0</vt:i4>
      </vt:variant>
      <vt:variant>
        <vt:i4>5</vt:i4>
      </vt:variant>
      <vt:variant>
        <vt:lpwstr>https://doi.org/10.1146/annurev-nutr-071714-034250</vt:lpwstr>
      </vt:variant>
      <vt:variant>
        <vt:lpwstr/>
      </vt:variant>
      <vt:variant>
        <vt:i4>4390915</vt:i4>
      </vt:variant>
      <vt:variant>
        <vt:i4>529</vt:i4>
      </vt:variant>
      <vt:variant>
        <vt:i4>0</vt:i4>
      </vt:variant>
      <vt:variant>
        <vt:i4>5</vt:i4>
      </vt:variant>
      <vt:variant>
        <vt:lpwstr>https://doi.org/10.1016/s0946-672x(04)80033-6</vt:lpwstr>
      </vt:variant>
      <vt:variant>
        <vt:lpwstr/>
      </vt:variant>
      <vt:variant>
        <vt:i4>1966106</vt:i4>
      </vt:variant>
      <vt:variant>
        <vt:i4>526</vt:i4>
      </vt:variant>
      <vt:variant>
        <vt:i4>0</vt:i4>
      </vt:variant>
      <vt:variant>
        <vt:i4>5</vt:i4>
      </vt:variant>
      <vt:variant>
        <vt:lpwstr>https://doi.org/10.1017/s0007114511000687</vt:lpwstr>
      </vt:variant>
      <vt:variant>
        <vt:lpwstr/>
      </vt:variant>
      <vt:variant>
        <vt:i4>5767241</vt:i4>
      </vt:variant>
      <vt:variant>
        <vt:i4>523</vt:i4>
      </vt:variant>
      <vt:variant>
        <vt:i4>0</vt:i4>
      </vt:variant>
      <vt:variant>
        <vt:i4>5</vt:i4>
      </vt:variant>
      <vt:variant>
        <vt:lpwstr>https://doi.org/10.1081/clt-100102417</vt:lpwstr>
      </vt:variant>
      <vt:variant>
        <vt:lpwstr/>
      </vt:variant>
      <vt:variant>
        <vt:i4>7012358</vt:i4>
      </vt:variant>
      <vt:variant>
        <vt:i4>520</vt:i4>
      </vt:variant>
      <vt:variant>
        <vt:i4>0</vt:i4>
      </vt:variant>
      <vt:variant>
        <vt:i4>5</vt:i4>
      </vt:variant>
      <vt:variant>
        <vt:lpwstr>https://www.eatforhealth.gov.au/sites/default/files/files/the_guidelines/n55c_australian_dietary_guidelines_food_modelling_140121.pdf</vt:lpwstr>
      </vt:variant>
      <vt:variant>
        <vt:lpwstr/>
      </vt:variant>
      <vt:variant>
        <vt:i4>2621499</vt:i4>
      </vt:variant>
      <vt:variant>
        <vt:i4>517</vt:i4>
      </vt:variant>
      <vt:variant>
        <vt:i4>0</vt:i4>
      </vt:variant>
      <vt:variant>
        <vt:i4>5</vt:i4>
      </vt:variant>
      <vt:variant>
        <vt:lpwstr>https://www.legislation.gov.au/F2015L00463/latest/text</vt:lpwstr>
      </vt:variant>
      <vt:variant>
        <vt:lpwstr/>
      </vt:variant>
      <vt:variant>
        <vt:i4>2228281</vt:i4>
      </vt:variant>
      <vt:variant>
        <vt:i4>514</vt:i4>
      </vt:variant>
      <vt:variant>
        <vt:i4>0</vt:i4>
      </vt:variant>
      <vt:variant>
        <vt:i4>5</vt:i4>
      </vt:variant>
      <vt:variant>
        <vt:lpwstr>https://www.legislation.gov.au/F2015L00449/latest/text</vt:lpwstr>
      </vt:variant>
      <vt:variant>
        <vt:lpwstr/>
      </vt:variant>
      <vt:variant>
        <vt:i4>6225987</vt:i4>
      </vt:variant>
      <vt:variant>
        <vt:i4>511</vt:i4>
      </vt:variant>
      <vt:variant>
        <vt:i4>0</vt:i4>
      </vt:variant>
      <vt:variant>
        <vt:i4>5</vt:i4>
      </vt:variant>
      <vt:variant>
        <vt:lpwstr>https://doi.org/10.3945/ajcn.2009.27230F</vt:lpwstr>
      </vt:variant>
      <vt:variant>
        <vt:lpwstr/>
      </vt:variant>
      <vt:variant>
        <vt:i4>6488103</vt:i4>
      </vt:variant>
      <vt:variant>
        <vt:i4>508</vt:i4>
      </vt:variant>
      <vt:variant>
        <vt:i4>0</vt:i4>
      </vt:variant>
      <vt:variant>
        <vt:i4>5</vt:i4>
      </vt:variant>
      <vt:variant>
        <vt:lpwstr>https://doi.org/10.29219/fnr.v67.10320</vt:lpwstr>
      </vt:variant>
      <vt:variant>
        <vt:lpwstr/>
      </vt:variant>
      <vt:variant>
        <vt:i4>6225975</vt:i4>
      </vt:variant>
      <vt:variant>
        <vt:i4>505</vt:i4>
      </vt:variant>
      <vt:variant>
        <vt:i4>0</vt:i4>
      </vt:variant>
      <vt:variant>
        <vt:i4>5</vt:i4>
      </vt:variant>
      <vt:variant>
        <vt:lpwstr>https://www.abs.gov.au/ausstats/abs@.nsf/dd0ca10eed681f12ca2570ce0082655d/5eaae4309d9a2baeca257aa30014c736!OpenDocument</vt:lpwstr>
      </vt:variant>
      <vt:variant>
        <vt:lpwstr/>
      </vt:variant>
      <vt:variant>
        <vt:i4>2883612</vt:i4>
      </vt:variant>
      <vt:variant>
        <vt:i4>502</vt:i4>
      </vt:variant>
      <vt:variant>
        <vt:i4>0</vt:i4>
      </vt:variant>
      <vt:variant>
        <vt:i4>5</vt:i4>
      </vt:variant>
      <vt:variant>
        <vt:lpwstr>https://www.abs.gov.au/AUSSTATS/abs@.nsf/DetailsPage/4727.0.55.0052012-13</vt:lpwstr>
      </vt:variant>
      <vt:variant>
        <vt:lpwstr/>
      </vt:variant>
      <vt:variant>
        <vt:i4>2424942</vt:i4>
      </vt:variant>
      <vt:variant>
        <vt:i4>499</vt:i4>
      </vt:variant>
      <vt:variant>
        <vt:i4>0</vt:i4>
      </vt:variant>
      <vt:variant>
        <vt:i4>5</vt:i4>
      </vt:variant>
      <vt:variant>
        <vt:lpwstr>https://www.abs.gov.au/statistics/health/health-conditions-and-risks/usual-nutrient-intakes/latest-release</vt:lpwstr>
      </vt:variant>
      <vt:variant>
        <vt:lpwstr/>
      </vt:variant>
      <vt:variant>
        <vt:i4>7340048</vt:i4>
      </vt:variant>
      <vt:variant>
        <vt:i4>494</vt:i4>
      </vt:variant>
      <vt:variant>
        <vt:i4>0</vt:i4>
      </vt:variant>
      <vt:variant>
        <vt:i4>5</vt:i4>
      </vt:variant>
      <vt:variant>
        <vt:lpwstr>https://www.eatforhealth.gov.au/sites/default/files/files/the_guidelines/n55c_dietary_guidelines_food_modelling.pdf</vt:lpwstr>
      </vt:variant>
      <vt:variant>
        <vt:lpwstr/>
      </vt:variant>
      <vt:variant>
        <vt:i4>7340048</vt:i4>
      </vt:variant>
      <vt:variant>
        <vt:i4>479</vt:i4>
      </vt:variant>
      <vt:variant>
        <vt:i4>0</vt:i4>
      </vt:variant>
      <vt:variant>
        <vt:i4>5</vt:i4>
      </vt:variant>
      <vt:variant>
        <vt:lpwstr>https://www.eatforhealth.gov.au/sites/default/files/files/the_guidelines/n55c_dietary_guidelines_food_modelling.pdf</vt:lpwstr>
      </vt:variant>
      <vt:variant>
        <vt:lpwstr/>
      </vt:variant>
      <vt:variant>
        <vt:i4>7340048</vt:i4>
      </vt:variant>
      <vt:variant>
        <vt:i4>473</vt:i4>
      </vt:variant>
      <vt:variant>
        <vt:i4>0</vt:i4>
      </vt:variant>
      <vt:variant>
        <vt:i4>5</vt:i4>
      </vt:variant>
      <vt:variant>
        <vt:lpwstr>https://www.eatforhealth.gov.au/sites/default/files/files/the_guidelines/n55c_dietary_guidelines_food_modelling.pdf</vt:lpwstr>
      </vt:variant>
      <vt:variant>
        <vt:lpwstr/>
      </vt:variant>
      <vt:variant>
        <vt:i4>7340048</vt:i4>
      </vt:variant>
      <vt:variant>
        <vt:i4>467</vt:i4>
      </vt:variant>
      <vt:variant>
        <vt:i4>0</vt:i4>
      </vt:variant>
      <vt:variant>
        <vt:i4>5</vt:i4>
      </vt:variant>
      <vt:variant>
        <vt:lpwstr>https://www.eatforhealth.gov.au/sites/default/files/files/the_guidelines/n55c_dietary_guidelines_food_modelling.pdf</vt:lpwstr>
      </vt:variant>
      <vt:variant>
        <vt:lpwstr/>
      </vt:variant>
      <vt:variant>
        <vt:i4>1769528</vt:i4>
      </vt:variant>
      <vt:variant>
        <vt:i4>344</vt:i4>
      </vt:variant>
      <vt:variant>
        <vt:i4>0</vt:i4>
      </vt:variant>
      <vt:variant>
        <vt:i4>5</vt:i4>
      </vt:variant>
      <vt:variant>
        <vt:lpwstr/>
      </vt:variant>
      <vt:variant>
        <vt:lpwstr>_Toc218528001</vt:lpwstr>
      </vt:variant>
      <vt:variant>
        <vt:i4>1769528</vt:i4>
      </vt:variant>
      <vt:variant>
        <vt:i4>338</vt:i4>
      </vt:variant>
      <vt:variant>
        <vt:i4>0</vt:i4>
      </vt:variant>
      <vt:variant>
        <vt:i4>5</vt:i4>
      </vt:variant>
      <vt:variant>
        <vt:lpwstr/>
      </vt:variant>
      <vt:variant>
        <vt:lpwstr>_Toc218528000</vt:lpwstr>
      </vt:variant>
      <vt:variant>
        <vt:i4>1900593</vt:i4>
      </vt:variant>
      <vt:variant>
        <vt:i4>332</vt:i4>
      </vt:variant>
      <vt:variant>
        <vt:i4>0</vt:i4>
      </vt:variant>
      <vt:variant>
        <vt:i4>5</vt:i4>
      </vt:variant>
      <vt:variant>
        <vt:lpwstr/>
      </vt:variant>
      <vt:variant>
        <vt:lpwstr>_Toc218527999</vt:lpwstr>
      </vt:variant>
      <vt:variant>
        <vt:i4>1900593</vt:i4>
      </vt:variant>
      <vt:variant>
        <vt:i4>326</vt:i4>
      </vt:variant>
      <vt:variant>
        <vt:i4>0</vt:i4>
      </vt:variant>
      <vt:variant>
        <vt:i4>5</vt:i4>
      </vt:variant>
      <vt:variant>
        <vt:lpwstr/>
      </vt:variant>
      <vt:variant>
        <vt:lpwstr>_Toc218527998</vt:lpwstr>
      </vt:variant>
      <vt:variant>
        <vt:i4>1900593</vt:i4>
      </vt:variant>
      <vt:variant>
        <vt:i4>320</vt:i4>
      </vt:variant>
      <vt:variant>
        <vt:i4>0</vt:i4>
      </vt:variant>
      <vt:variant>
        <vt:i4>5</vt:i4>
      </vt:variant>
      <vt:variant>
        <vt:lpwstr/>
      </vt:variant>
      <vt:variant>
        <vt:lpwstr>_Toc218527997</vt:lpwstr>
      </vt:variant>
      <vt:variant>
        <vt:i4>1900593</vt:i4>
      </vt:variant>
      <vt:variant>
        <vt:i4>314</vt:i4>
      </vt:variant>
      <vt:variant>
        <vt:i4>0</vt:i4>
      </vt:variant>
      <vt:variant>
        <vt:i4>5</vt:i4>
      </vt:variant>
      <vt:variant>
        <vt:lpwstr/>
      </vt:variant>
      <vt:variant>
        <vt:lpwstr>_Toc218527996</vt:lpwstr>
      </vt:variant>
      <vt:variant>
        <vt:i4>1900593</vt:i4>
      </vt:variant>
      <vt:variant>
        <vt:i4>308</vt:i4>
      </vt:variant>
      <vt:variant>
        <vt:i4>0</vt:i4>
      </vt:variant>
      <vt:variant>
        <vt:i4>5</vt:i4>
      </vt:variant>
      <vt:variant>
        <vt:lpwstr/>
      </vt:variant>
      <vt:variant>
        <vt:lpwstr>_Toc218527995</vt:lpwstr>
      </vt:variant>
      <vt:variant>
        <vt:i4>1900593</vt:i4>
      </vt:variant>
      <vt:variant>
        <vt:i4>302</vt:i4>
      </vt:variant>
      <vt:variant>
        <vt:i4>0</vt:i4>
      </vt:variant>
      <vt:variant>
        <vt:i4>5</vt:i4>
      </vt:variant>
      <vt:variant>
        <vt:lpwstr/>
      </vt:variant>
      <vt:variant>
        <vt:lpwstr>_Toc218527994</vt:lpwstr>
      </vt:variant>
      <vt:variant>
        <vt:i4>1900593</vt:i4>
      </vt:variant>
      <vt:variant>
        <vt:i4>296</vt:i4>
      </vt:variant>
      <vt:variant>
        <vt:i4>0</vt:i4>
      </vt:variant>
      <vt:variant>
        <vt:i4>5</vt:i4>
      </vt:variant>
      <vt:variant>
        <vt:lpwstr/>
      </vt:variant>
      <vt:variant>
        <vt:lpwstr>_Toc218527993</vt:lpwstr>
      </vt:variant>
      <vt:variant>
        <vt:i4>1900593</vt:i4>
      </vt:variant>
      <vt:variant>
        <vt:i4>290</vt:i4>
      </vt:variant>
      <vt:variant>
        <vt:i4>0</vt:i4>
      </vt:variant>
      <vt:variant>
        <vt:i4>5</vt:i4>
      </vt:variant>
      <vt:variant>
        <vt:lpwstr/>
      </vt:variant>
      <vt:variant>
        <vt:lpwstr>_Toc218527992</vt:lpwstr>
      </vt:variant>
      <vt:variant>
        <vt:i4>1900593</vt:i4>
      </vt:variant>
      <vt:variant>
        <vt:i4>284</vt:i4>
      </vt:variant>
      <vt:variant>
        <vt:i4>0</vt:i4>
      </vt:variant>
      <vt:variant>
        <vt:i4>5</vt:i4>
      </vt:variant>
      <vt:variant>
        <vt:lpwstr/>
      </vt:variant>
      <vt:variant>
        <vt:lpwstr>_Toc218527991</vt:lpwstr>
      </vt:variant>
      <vt:variant>
        <vt:i4>1900593</vt:i4>
      </vt:variant>
      <vt:variant>
        <vt:i4>278</vt:i4>
      </vt:variant>
      <vt:variant>
        <vt:i4>0</vt:i4>
      </vt:variant>
      <vt:variant>
        <vt:i4>5</vt:i4>
      </vt:variant>
      <vt:variant>
        <vt:lpwstr/>
      </vt:variant>
      <vt:variant>
        <vt:lpwstr>_Toc218527990</vt:lpwstr>
      </vt:variant>
      <vt:variant>
        <vt:i4>1835057</vt:i4>
      </vt:variant>
      <vt:variant>
        <vt:i4>272</vt:i4>
      </vt:variant>
      <vt:variant>
        <vt:i4>0</vt:i4>
      </vt:variant>
      <vt:variant>
        <vt:i4>5</vt:i4>
      </vt:variant>
      <vt:variant>
        <vt:lpwstr/>
      </vt:variant>
      <vt:variant>
        <vt:lpwstr>_Toc218527989</vt:lpwstr>
      </vt:variant>
      <vt:variant>
        <vt:i4>1835057</vt:i4>
      </vt:variant>
      <vt:variant>
        <vt:i4>266</vt:i4>
      </vt:variant>
      <vt:variant>
        <vt:i4>0</vt:i4>
      </vt:variant>
      <vt:variant>
        <vt:i4>5</vt:i4>
      </vt:variant>
      <vt:variant>
        <vt:lpwstr/>
      </vt:variant>
      <vt:variant>
        <vt:lpwstr>_Toc218527988</vt:lpwstr>
      </vt:variant>
      <vt:variant>
        <vt:i4>1835057</vt:i4>
      </vt:variant>
      <vt:variant>
        <vt:i4>260</vt:i4>
      </vt:variant>
      <vt:variant>
        <vt:i4>0</vt:i4>
      </vt:variant>
      <vt:variant>
        <vt:i4>5</vt:i4>
      </vt:variant>
      <vt:variant>
        <vt:lpwstr/>
      </vt:variant>
      <vt:variant>
        <vt:lpwstr>_Toc218527987</vt:lpwstr>
      </vt:variant>
      <vt:variant>
        <vt:i4>1835057</vt:i4>
      </vt:variant>
      <vt:variant>
        <vt:i4>254</vt:i4>
      </vt:variant>
      <vt:variant>
        <vt:i4>0</vt:i4>
      </vt:variant>
      <vt:variant>
        <vt:i4>5</vt:i4>
      </vt:variant>
      <vt:variant>
        <vt:lpwstr/>
      </vt:variant>
      <vt:variant>
        <vt:lpwstr>_Toc218527986</vt:lpwstr>
      </vt:variant>
      <vt:variant>
        <vt:i4>1835057</vt:i4>
      </vt:variant>
      <vt:variant>
        <vt:i4>248</vt:i4>
      </vt:variant>
      <vt:variant>
        <vt:i4>0</vt:i4>
      </vt:variant>
      <vt:variant>
        <vt:i4>5</vt:i4>
      </vt:variant>
      <vt:variant>
        <vt:lpwstr/>
      </vt:variant>
      <vt:variant>
        <vt:lpwstr>_Toc218527985</vt:lpwstr>
      </vt:variant>
      <vt:variant>
        <vt:i4>1835057</vt:i4>
      </vt:variant>
      <vt:variant>
        <vt:i4>242</vt:i4>
      </vt:variant>
      <vt:variant>
        <vt:i4>0</vt:i4>
      </vt:variant>
      <vt:variant>
        <vt:i4>5</vt:i4>
      </vt:variant>
      <vt:variant>
        <vt:lpwstr/>
      </vt:variant>
      <vt:variant>
        <vt:lpwstr>_Toc218527984</vt:lpwstr>
      </vt:variant>
      <vt:variant>
        <vt:i4>1835057</vt:i4>
      </vt:variant>
      <vt:variant>
        <vt:i4>236</vt:i4>
      </vt:variant>
      <vt:variant>
        <vt:i4>0</vt:i4>
      </vt:variant>
      <vt:variant>
        <vt:i4>5</vt:i4>
      </vt:variant>
      <vt:variant>
        <vt:lpwstr/>
      </vt:variant>
      <vt:variant>
        <vt:lpwstr>_Toc218527983</vt:lpwstr>
      </vt:variant>
      <vt:variant>
        <vt:i4>1835057</vt:i4>
      </vt:variant>
      <vt:variant>
        <vt:i4>230</vt:i4>
      </vt:variant>
      <vt:variant>
        <vt:i4>0</vt:i4>
      </vt:variant>
      <vt:variant>
        <vt:i4>5</vt:i4>
      </vt:variant>
      <vt:variant>
        <vt:lpwstr/>
      </vt:variant>
      <vt:variant>
        <vt:lpwstr>_Toc218527982</vt:lpwstr>
      </vt:variant>
      <vt:variant>
        <vt:i4>1835057</vt:i4>
      </vt:variant>
      <vt:variant>
        <vt:i4>224</vt:i4>
      </vt:variant>
      <vt:variant>
        <vt:i4>0</vt:i4>
      </vt:variant>
      <vt:variant>
        <vt:i4>5</vt:i4>
      </vt:variant>
      <vt:variant>
        <vt:lpwstr/>
      </vt:variant>
      <vt:variant>
        <vt:lpwstr>_Toc218527981</vt:lpwstr>
      </vt:variant>
      <vt:variant>
        <vt:i4>1835057</vt:i4>
      </vt:variant>
      <vt:variant>
        <vt:i4>218</vt:i4>
      </vt:variant>
      <vt:variant>
        <vt:i4>0</vt:i4>
      </vt:variant>
      <vt:variant>
        <vt:i4>5</vt:i4>
      </vt:variant>
      <vt:variant>
        <vt:lpwstr/>
      </vt:variant>
      <vt:variant>
        <vt:lpwstr>_Toc218527980</vt:lpwstr>
      </vt:variant>
      <vt:variant>
        <vt:i4>1245233</vt:i4>
      </vt:variant>
      <vt:variant>
        <vt:i4>212</vt:i4>
      </vt:variant>
      <vt:variant>
        <vt:i4>0</vt:i4>
      </vt:variant>
      <vt:variant>
        <vt:i4>5</vt:i4>
      </vt:variant>
      <vt:variant>
        <vt:lpwstr/>
      </vt:variant>
      <vt:variant>
        <vt:lpwstr>_Toc218527979</vt:lpwstr>
      </vt:variant>
      <vt:variant>
        <vt:i4>1245233</vt:i4>
      </vt:variant>
      <vt:variant>
        <vt:i4>206</vt:i4>
      </vt:variant>
      <vt:variant>
        <vt:i4>0</vt:i4>
      </vt:variant>
      <vt:variant>
        <vt:i4>5</vt:i4>
      </vt:variant>
      <vt:variant>
        <vt:lpwstr/>
      </vt:variant>
      <vt:variant>
        <vt:lpwstr>_Toc218527978</vt:lpwstr>
      </vt:variant>
      <vt:variant>
        <vt:i4>1245233</vt:i4>
      </vt:variant>
      <vt:variant>
        <vt:i4>200</vt:i4>
      </vt:variant>
      <vt:variant>
        <vt:i4>0</vt:i4>
      </vt:variant>
      <vt:variant>
        <vt:i4>5</vt:i4>
      </vt:variant>
      <vt:variant>
        <vt:lpwstr/>
      </vt:variant>
      <vt:variant>
        <vt:lpwstr>_Toc218527977</vt:lpwstr>
      </vt:variant>
      <vt:variant>
        <vt:i4>1245233</vt:i4>
      </vt:variant>
      <vt:variant>
        <vt:i4>194</vt:i4>
      </vt:variant>
      <vt:variant>
        <vt:i4>0</vt:i4>
      </vt:variant>
      <vt:variant>
        <vt:i4>5</vt:i4>
      </vt:variant>
      <vt:variant>
        <vt:lpwstr/>
      </vt:variant>
      <vt:variant>
        <vt:lpwstr>_Toc218527976</vt:lpwstr>
      </vt:variant>
      <vt:variant>
        <vt:i4>1245233</vt:i4>
      </vt:variant>
      <vt:variant>
        <vt:i4>188</vt:i4>
      </vt:variant>
      <vt:variant>
        <vt:i4>0</vt:i4>
      </vt:variant>
      <vt:variant>
        <vt:i4>5</vt:i4>
      </vt:variant>
      <vt:variant>
        <vt:lpwstr/>
      </vt:variant>
      <vt:variant>
        <vt:lpwstr>_Toc218527975</vt:lpwstr>
      </vt:variant>
      <vt:variant>
        <vt:i4>1245233</vt:i4>
      </vt:variant>
      <vt:variant>
        <vt:i4>182</vt:i4>
      </vt:variant>
      <vt:variant>
        <vt:i4>0</vt:i4>
      </vt:variant>
      <vt:variant>
        <vt:i4>5</vt:i4>
      </vt:variant>
      <vt:variant>
        <vt:lpwstr/>
      </vt:variant>
      <vt:variant>
        <vt:lpwstr>_Toc218527974</vt:lpwstr>
      </vt:variant>
      <vt:variant>
        <vt:i4>1245233</vt:i4>
      </vt:variant>
      <vt:variant>
        <vt:i4>176</vt:i4>
      </vt:variant>
      <vt:variant>
        <vt:i4>0</vt:i4>
      </vt:variant>
      <vt:variant>
        <vt:i4>5</vt:i4>
      </vt:variant>
      <vt:variant>
        <vt:lpwstr/>
      </vt:variant>
      <vt:variant>
        <vt:lpwstr>_Toc218527973</vt:lpwstr>
      </vt:variant>
      <vt:variant>
        <vt:i4>1245233</vt:i4>
      </vt:variant>
      <vt:variant>
        <vt:i4>170</vt:i4>
      </vt:variant>
      <vt:variant>
        <vt:i4>0</vt:i4>
      </vt:variant>
      <vt:variant>
        <vt:i4>5</vt:i4>
      </vt:variant>
      <vt:variant>
        <vt:lpwstr/>
      </vt:variant>
      <vt:variant>
        <vt:lpwstr>_Toc218527972</vt:lpwstr>
      </vt:variant>
      <vt:variant>
        <vt:i4>1245233</vt:i4>
      </vt:variant>
      <vt:variant>
        <vt:i4>164</vt:i4>
      </vt:variant>
      <vt:variant>
        <vt:i4>0</vt:i4>
      </vt:variant>
      <vt:variant>
        <vt:i4>5</vt:i4>
      </vt:variant>
      <vt:variant>
        <vt:lpwstr/>
      </vt:variant>
      <vt:variant>
        <vt:lpwstr>_Toc218527971</vt:lpwstr>
      </vt:variant>
      <vt:variant>
        <vt:i4>1245233</vt:i4>
      </vt:variant>
      <vt:variant>
        <vt:i4>158</vt:i4>
      </vt:variant>
      <vt:variant>
        <vt:i4>0</vt:i4>
      </vt:variant>
      <vt:variant>
        <vt:i4>5</vt:i4>
      </vt:variant>
      <vt:variant>
        <vt:lpwstr/>
      </vt:variant>
      <vt:variant>
        <vt:lpwstr>_Toc218527970</vt:lpwstr>
      </vt:variant>
      <vt:variant>
        <vt:i4>1179697</vt:i4>
      </vt:variant>
      <vt:variant>
        <vt:i4>152</vt:i4>
      </vt:variant>
      <vt:variant>
        <vt:i4>0</vt:i4>
      </vt:variant>
      <vt:variant>
        <vt:i4>5</vt:i4>
      </vt:variant>
      <vt:variant>
        <vt:lpwstr/>
      </vt:variant>
      <vt:variant>
        <vt:lpwstr>_Toc218527969</vt:lpwstr>
      </vt:variant>
      <vt:variant>
        <vt:i4>1179697</vt:i4>
      </vt:variant>
      <vt:variant>
        <vt:i4>146</vt:i4>
      </vt:variant>
      <vt:variant>
        <vt:i4>0</vt:i4>
      </vt:variant>
      <vt:variant>
        <vt:i4>5</vt:i4>
      </vt:variant>
      <vt:variant>
        <vt:lpwstr/>
      </vt:variant>
      <vt:variant>
        <vt:lpwstr>_Toc218527968</vt:lpwstr>
      </vt:variant>
      <vt:variant>
        <vt:i4>1179697</vt:i4>
      </vt:variant>
      <vt:variant>
        <vt:i4>140</vt:i4>
      </vt:variant>
      <vt:variant>
        <vt:i4>0</vt:i4>
      </vt:variant>
      <vt:variant>
        <vt:i4>5</vt:i4>
      </vt:variant>
      <vt:variant>
        <vt:lpwstr/>
      </vt:variant>
      <vt:variant>
        <vt:lpwstr>_Toc218527967</vt:lpwstr>
      </vt:variant>
      <vt:variant>
        <vt:i4>1179697</vt:i4>
      </vt:variant>
      <vt:variant>
        <vt:i4>134</vt:i4>
      </vt:variant>
      <vt:variant>
        <vt:i4>0</vt:i4>
      </vt:variant>
      <vt:variant>
        <vt:i4>5</vt:i4>
      </vt:variant>
      <vt:variant>
        <vt:lpwstr/>
      </vt:variant>
      <vt:variant>
        <vt:lpwstr>_Toc218527966</vt:lpwstr>
      </vt:variant>
      <vt:variant>
        <vt:i4>1179697</vt:i4>
      </vt:variant>
      <vt:variant>
        <vt:i4>128</vt:i4>
      </vt:variant>
      <vt:variant>
        <vt:i4>0</vt:i4>
      </vt:variant>
      <vt:variant>
        <vt:i4>5</vt:i4>
      </vt:variant>
      <vt:variant>
        <vt:lpwstr/>
      </vt:variant>
      <vt:variant>
        <vt:lpwstr>_Toc218527965</vt:lpwstr>
      </vt:variant>
      <vt:variant>
        <vt:i4>1179697</vt:i4>
      </vt:variant>
      <vt:variant>
        <vt:i4>122</vt:i4>
      </vt:variant>
      <vt:variant>
        <vt:i4>0</vt:i4>
      </vt:variant>
      <vt:variant>
        <vt:i4>5</vt:i4>
      </vt:variant>
      <vt:variant>
        <vt:lpwstr/>
      </vt:variant>
      <vt:variant>
        <vt:lpwstr>_Toc218527964</vt:lpwstr>
      </vt:variant>
      <vt:variant>
        <vt:i4>1179697</vt:i4>
      </vt:variant>
      <vt:variant>
        <vt:i4>116</vt:i4>
      </vt:variant>
      <vt:variant>
        <vt:i4>0</vt:i4>
      </vt:variant>
      <vt:variant>
        <vt:i4>5</vt:i4>
      </vt:variant>
      <vt:variant>
        <vt:lpwstr/>
      </vt:variant>
      <vt:variant>
        <vt:lpwstr>_Toc218527963</vt:lpwstr>
      </vt:variant>
      <vt:variant>
        <vt:i4>1179697</vt:i4>
      </vt:variant>
      <vt:variant>
        <vt:i4>110</vt:i4>
      </vt:variant>
      <vt:variant>
        <vt:i4>0</vt:i4>
      </vt:variant>
      <vt:variant>
        <vt:i4>5</vt:i4>
      </vt:variant>
      <vt:variant>
        <vt:lpwstr/>
      </vt:variant>
      <vt:variant>
        <vt:lpwstr>_Toc218527962</vt:lpwstr>
      </vt:variant>
      <vt:variant>
        <vt:i4>1179697</vt:i4>
      </vt:variant>
      <vt:variant>
        <vt:i4>104</vt:i4>
      </vt:variant>
      <vt:variant>
        <vt:i4>0</vt:i4>
      </vt:variant>
      <vt:variant>
        <vt:i4>5</vt:i4>
      </vt:variant>
      <vt:variant>
        <vt:lpwstr/>
      </vt:variant>
      <vt:variant>
        <vt:lpwstr>_Toc218527961</vt:lpwstr>
      </vt:variant>
      <vt:variant>
        <vt:i4>1179697</vt:i4>
      </vt:variant>
      <vt:variant>
        <vt:i4>98</vt:i4>
      </vt:variant>
      <vt:variant>
        <vt:i4>0</vt:i4>
      </vt:variant>
      <vt:variant>
        <vt:i4>5</vt:i4>
      </vt:variant>
      <vt:variant>
        <vt:lpwstr/>
      </vt:variant>
      <vt:variant>
        <vt:lpwstr>_Toc218527960</vt:lpwstr>
      </vt:variant>
      <vt:variant>
        <vt:i4>1114161</vt:i4>
      </vt:variant>
      <vt:variant>
        <vt:i4>92</vt:i4>
      </vt:variant>
      <vt:variant>
        <vt:i4>0</vt:i4>
      </vt:variant>
      <vt:variant>
        <vt:i4>5</vt:i4>
      </vt:variant>
      <vt:variant>
        <vt:lpwstr/>
      </vt:variant>
      <vt:variant>
        <vt:lpwstr>_Toc218527959</vt:lpwstr>
      </vt:variant>
      <vt:variant>
        <vt:i4>1114161</vt:i4>
      </vt:variant>
      <vt:variant>
        <vt:i4>86</vt:i4>
      </vt:variant>
      <vt:variant>
        <vt:i4>0</vt:i4>
      </vt:variant>
      <vt:variant>
        <vt:i4>5</vt:i4>
      </vt:variant>
      <vt:variant>
        <vt:lpwstr/>
      </vt:variant>
      <vt:variant>
        <vt:lpwstr>_Toc218527958</vt:lpwstr>
      </vt:variant>
      <vt:variant>
        <vt:i4>1114161</vt:i4>
      </vt:variant>
      <vt:variant>
        <vt:i4>80</vt:i4>
      </vt:variant>
      <vt:variant>
        <vt:i4>0</vt:i4>
      </vt:variant>
      <vt:variant>
        <vt:i4>5</vt:i4>
      </vt:variant>
      <vt:variant>
        <vt:lpwstr/>
      </vt:variant>
      <vt:variant>
        <vt:lpwstr>_Toc218527957</vt:lpwstr>
      </vt:variant>
      <vt:variant>
        <vt:i4>1114161</vt:i4>
      </vt:variant>
      <vt:variant>
        <vt:i4>74</vt:i4>
      </vt:variant>
      <vt:variant>
        <vt:i4>0</vt:i4>
      </vt:variant>
      <vt:variant>
        <vt:i4>5</vt:i4>
      </vt:variant>
      <vt:variant>
        <vt:lpwstr/>
      </vt:variant>
      <vt:variant>
        <vt:lpwstr>_Toc218527956</vt:lpwstr>
      </vt:variant>
      <vt:variant>
        <vt:i4>1114161</vt:i4>
      </vt:variant>
      <vt:variant>
        <vt:i4>68</vt:i4>
      </vt:variant>
      <vt:variant>
        <vt:i4>0</vt:i4>
      </vt:variant>
      <vt:variant>
        <vt:i4>5</vt:i4>
      </vt:variant>
      <vt:variant>
        <vt:lpwstr/>
      </vt:variant>
      <vt:variant>
        <vt:lpwstr>_Toc218527955</vt:lpwstr>
      </vt:variant>
      <vt:variant>
        <vt:i4>1114161</vt:i4>
      </vt:variant>
      <vt:variant>
        <vt:i4>62</vt:i4>
      </vt:variant>
      <vt:variant>
        <vt:i4>0</vt:i4>
      </vt:variant>
      <vt:variant>
        <vt:i4>5</vt:i4>
      </vt:variant>
      <vt:variant>
        <vt:lpwstr/>
      </vt:variant>
      <vt:variant>
        <vt:lpwstr>_Toc218527954</vt:lpwstr>
      </vt:variant>
      <vt:variant>
        <vt:i4>1114161</vt:i4>
      </vt:variant>
      <vt:variant>
        <vt:i4>56</vt:i4>
      </vt:variant>
      <vt:variant>
        <vt:i4>0</vt:i4>
      </vt:variant>
      <vt:variant>
        <vt:i4>5</vt:i4>
      </vt:variant>
      <vt:variant>
        <vt:lpwstr/>
      </vt:variant>
      <vt:variant>
        <vt:lpwstr>_Toc218527953</vt:lpwstr>
      </vt:variant>
      <vt:variant>
        <vt:i4>1114161</vt:i4>
      </vt:variant>
      <vt:variant>
        <vt:i4>50</vt:i4>
      </vt:variant>
      <vt:variant>
        <vt:i4>0</vt:i4>
      </vt:variant>
      <vt:variant>
        <vt:i4>5</vt:i4>
      </vt:variant>
      <vt:variant>
        <vt:lpwstr/>
      </vt:variant>
      <vt:variant>
        <vt:lpwstr>_Toc218527952</vt:lpwstr>
      </vt:variant>
      <vt:variant>
        <vt:i4>1114161</vt:i4>
      </vt:variant>
      <vt:variant>
        <vt:i4>44</vt:i4>
      </vt:variant>
      <vt:variant>
        <vt:i4>0</vt:i4>
      </vt:variant>
      <vt:variant>
        <vt:i4>5</vt:i4>
      </vt:variant>
      <vt:variant>
        <vt:lpwstr/>
      </vt:variant>
      <vt:variant>
        <vt:lpwstr>_Toc218527951</vt:lpwstr>
      </vt:variant>
      <vt:variant>
        <vt:i4>1114161</vt:i4>
      </vt:variant>
      <vt:variant>
        <vt:i4>38</vt:i4>
      </vt:variant>
      <vt:variant>
        <vt:i4>0</vt:i4>
      </vt:variant>
      <vt:variant>
        <vt:i4>5</vt:i4>
      </vt:variant>
      <vt:variant>
        <vt:lpwstr/>
      </vt:variant>
      <vt:variant>
        <vt:lpwstr>_Toc218527950</vt:lpwstr>
      </vt:variant>
      <vt:variant>
        <vt:i4>1048625</vt:i4>
      </vt:variant>
      <vt:variant>
        <vt:i4>32</vt:i4>
      </vt:variant>
      <vt:variant>
        <vt:i4>0</vt:i4>
      </vt:variant>
      <vt:variant>
        <vt:i4>5</vt:i4>
      </vt:variant>
      <vt:variant>
        <vt:lpwstr/>
      </vt:variant>
      <vt:variant>
        <vt:lpwstr>_Toc218527949</vt:lpwstr>
      </vt:variant>
      <vt:variant>
        <vt:i4>1048625</vt:i4>
      </vt:variant>
      <vt:variant>
        <vt:i4>26</vt:i4>
      </vt:variant>
      <vt:variant>
        <vt:i4>0</vt:i4>
      </vt:variant>
      <vt:variant>
        <vt:i4>5</vt:i4>
      </vt:variant>
      <vt:variant>
        <vt:lpwstr/>
      </vt:variant>
      <vt:variant>
        <vt:lpwstr>_Toc218527948</vt:lpwstr>
      </vt:variant>
      <vt:variant>
        <vt:i4>1048625</vt:i4>
      </vt:variant>
      <vt:variant>
        <vt:i4>20</vt:i4>
      </vt:variant>
      <vt:variant>
        <vt:i4>0</vt:i4>
      </vt:variant>
      <vt:variant>
        <vt:i4>5</vt:i4>
      </vt:variant>
      <vt:variant>
        <vt:lpwstr/>
      </vt:variant>
      <vt:variant>
        <vt:lpwstr>_Toc218527947</vt:lpwstr>
      </vt:variant>
      <vt:variant>
        <vt:i4>1048625</vt:i4>
      </vt:variant>
      <vt:variant>
        <vt:i4>14</vt:i4>
      </vt:variant>
      <vt:variant>
        <vt:i4>0</vt:i4>
      </vt:variant>
      <vt:variant>
        <vt:i4>5</vt:i4>
      </vt:variant>
      <vt:variant>
        <vt:lpwstr/>
      </vt:variant>
      <vt:variant>
        <vt:lpwstr>_Toc218527946</vt:lpwstr>
      </vt:variant>
      <vt:variant>
        <vt:i4>1048625</vt:i4>
      </vt:variant>
      <vt:variant>
        <vt:i4>8</vt:i4>
      </vt:variant>
      <vt:variant>
        <vt:i4>0</vt:i4>
      </vt:variant>
      <vt:variant>
        <vt:i4>5</vt:i4>
      </vt:variant>
      <vt:variant>
        <vt:lpwstr/>
      </vt:variant>
      <vt:variant>
        <vt:lpwstr>_Toc218527945</vt:lpwstr>
      </vt:variant>
      <vt:variant>
        <vt:i4>1048625</vt:i4>
      </vt:variant>
      <vt:variant>
        <vt:i4>2</vt:i4>
      </vt:variant>
      <vt:variant>
        <vt:i4>0</vt:i4>
      </vt:variant>
      <vt:variant>
        <vt:i4>5</vt:i4>
      </vt:variant>
      <vt:variant>
        <vt:lpwstr/>
      </vt:variant>
      <vt:variant>
        <vt:lpwstr>_Toc218527944</vt:lpwstr>
      </vt:variant>
      <vt:variant>
        <vt:i4>5439493</vt:i4>
      </vt:variant>
      <vt:variant>
        <vt:i4>0</vt:i4>
      </vt:variant>
      <vt:variant>
        <vt:i4>0</vt:i4>
      </vt:variant>
      <vt:variant>
        <vt:i4>5</vt:i4>
      </vt:variant>
      <vt:variant>
        <vt:lpwstr>https://www.foodstandards.gov.au/science-data/monitoringnutrients/afcd/legal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Emma Reynolds</cp:lastModifiedBy>
  <cp:revision>4</cp:revision>
  <dcterms:created xsi:type="dcterms:W3CDTF">2026-02-04T02:30:00Z</dcterms:created>
  <dcterms:modified xsi:type="dcterms:W3CDTF">2026-02-05T06:22:00Z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468888a1,f2e3cfd,3eb4927f,751238f0,14933d8,398dc18a,2dd30319</vt:lpwstr>
  </property>
  <property fmtid="{D5CDD505-2E9C-101B-9397-08002B2CF9AE}" pid="3" name="ClassificationContentMarkingHeaderFontProps">
    <vt:lpwstr>#000000,10,Aptos</vt:lpwstr>
  </property>
  <property fmtid="{D5CDD505-2E9C-101B-9397-08002B2CF9AE}" pid="4" name="ClassificationContentMarkingHeaderText">
    <vt:lpwstr>OFFICIAL</vt:lpwstr>
  </property>
  <property fmtid="{D5CDD505-2E9C-101B-9397-08002B2CF9AE}" pid="5" name="ClassificationContentMarkingFooterShapeIds">
    <vt:lpwstr>6e39db85,6f9d50cd,2d43730b,6c22c09d,6d4c088d</vt:lpwstr>
  </property>
  <property fmtid="{D5CDD505-2E9C-101B-9397-08002B2CF9AE}" pid="6" name="ClassificationContentMarkingFooterFontProps">
    <vt:lpwstr>#000000,10,Aptos</vt:lpwstr>
  </property>
  <property fmtid="{D5CDD505-2E9C-101B-9397-08002B2CF9AE}" pid="7" name="ClassificationContentMarkingFooterText">
    <vt:lpwstr>OFFICIAL</vt:lpwstr>
  </property>
  <property fmtid="{D5CDD505-2E9C-101B-9397-08002B2CF9AE}" pid="8" name="MSIP_Label_9a5e7792-7543-4db2-bcc9-9caeff0b8eb1_Enabled">
    <vt:lpwstr>true</vt:lpwstr>
  </property>
  <property fmtid="{D5CDD505-2E9C-101B-9397-08002B2CF9AE}" pid="9" name="MSIP_Label_9a5e7792-7543-4db2-bcc9-9caeff0b8eb1_SetDate">
    <vt:lpwstr>2026-02-04T02:31:25Z</vt:lpwstr>
  </property>
  <property fmtid="{D5CDD505-2E9C-101B-9397-08002B2CF9AE}" pid="10" name="MSIP_Label_9a5e7792-7543-4db2-bcc9-9caeff0b8eb1_Method">
    <vt:lpwstr>Privileged</vt:lpwstr>
  </property>
  <property fmtid="{D5CDD505-2E9C-101B-9397-08002B2CF9AE}" pid="11" name="MSIP_Label_9a5e7792-7543-4db2-bcc9-9caeff0b8eb1_Name">
    <vt:lpwstr>OFFICIAL</vt:lpwstr>
  </property>
  <property fmtid="{D5CDD505-2E9C-101B-9397-08002B2CF9AE}" pid="12" name="MSIP_Label_9a5e7792-7543-4db2-bcc9-9caeff0b8eb1_SiteId">
    <vt:lpwstr>402fca06-dc9c-412f-9bf9-1a335a4671f7</vt:lpwstr>
  </property>
  <property fmtid="{D5CDD505-2E9C-101B-9397-08002B2CF9AE}" pid="13" name="MSIP_Label_9a5e7792-7543-4db2-bcc9-9caeff0b8eb1_ActionId">
    <vt:lpwstr>a248f5a0-0793-4fa6-898e-7f966f31c4cb</vt:lpwstr>
  </property>
  <property fmtid="{D5CDD505-2E9C-101B-9397-08002B2CF9AE}" pid="14" name="MSIP_Label_9a5e7792-7543-4db2-bcc9-9caeff0b8eb1_ContentBits">
    <vt:lpwstr>3</vt:lpwstr>
  </property>
  <property fmtid="{D5CDD505-2E9C-101B-9397-08002B2CF9AE}" pid="15" name="MSIP_Label_9a5e7792-7543-4db2-bcc9-9caeff0b8eb1_Tag">
    <vt:lpwstr>10, 0, 1, 1</vt:lpwstr>
  </property>
  <property fmtid="{D5CDD505-2E9C-101B-9397-08002B2CF9AE}" pid="16" name="MediaServiceImageTags">
    <vt:lpwstr/>
  </property>
  <property fmtid="{D5CDD505-2E9C-101B-9397-08002B2CF9AE}" pid="17" name="xd_ProgID">
    <vt:lpwstr/>
  </property>
  <property fmtid="{D5CDD505-2E9C-101B-9397-08002B2CF9AE}" pid="18" name="ContentTypeId">
    <vt:lpwstr>0x01010018030A58EFCB05439C4C109195641468</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docLang">
    <vt:lpwstr>en</vt:lpwstr>
  </property>
  <property fmtid="{D5CDD505-2E9C-101B-9397-08002B2CF9AE}" pid="23" name="xd_Signature">
    <vt:bool>false</vt:bool>
  </property>
  <property fmtid="{D5CDD505-2E9C-101B-9397-08002B2CF9AE}" pid="24" name="GrammarlyDocumentId">
    <vt:lpwstr>cb6d8a59-d61b-4948-a6e6-93a3c731b09c</vt:lpwstr>
  </property>
  <property fmtid="{D5CDD505-2E9C-101B-9397-08002B2CF9AE}" pid="25" name="_dlc_DocIdItemGuid">
    <vt:lpwstr>e3187982-d2c2-4f57-8f75-0a28c35b2c94</vt:lpwstr>
  </property>
  <property fmtid="{D5CDD505-2E9C-101B-9397-08002B2CF9AE}" pid="26" name="TriggerFlowInfo">
    <vt:lpwstr/>
  </property>
  <property fmtid="{D5CDD505-2E9C-101B-9397-08002B2CF9AE}" pid="27" name="Order">
    <vt:r8>19081500</vt:r8>
  </property>
</Properties>
</file>