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footer1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5.xml" ContentType="application/vnd.openxmlformats-officedocument.wordprocessingml.footer+xml"/>
  <Override PartName="/word/header28.xml" ContentType="application/vnd.openxmlformats-officedocument.wordprocessingml.header+xml"/>
  <Override PartName="/word/footer16.xml" ContentType="application/vnd.openxmlformats-officedocument.wordprocessingml.footer+xml"/>
  <Override PartName="/word/header2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813E2" w14:textId="5C967C63" w:rsidR="00BC2A2A" w:rsidRDefault="00BC2A2A" w:rsidP="00BC2A2A"/>
    <w:p w14:paraId="1F3176A3" w14:textId="77777777" w:rsidR="00E23C9C" w:rsidRDefault="00E23C9C" w:rsidP="00BC2A2A"/>
    <w:p w14:paraId="11796BC2" w14:textId="77777777" w:rsidR="003D3D17" w:rsidRDefault="003D3D17" w:rsidP="00BC2A2A"/>
    <w:p w14:paraId="3CBFA0BD" w14:textId="77777777" w:rsidR="00BC2A2A" w:rsidRDefault="00BC2A2A" w:rsidP="00BC2A2A"/>
    <w:p w14:paraId="1E86521F" w14:textId="77777777" w:rsidR="00BC2A2A" w:rsidRDefault="00BC2A2A" w:rsidP="00BC2A2A"/>
    <w:p w14:paraId="22093279" w14:textId="77777777" w:rsidR="00BC2A2A" w:rsidRDefault="00BC2A2A" w:rsidP="00BC2A2A"/>
    <w:p w14:paraId="549666CE" w14:textId="5495F9B2" w:rsidR="00823595" w:rsidRPr="00561D83" w:rsidRDefault="00823595" w:rsidP="00561D83">
      <w:pPr>
        <w:pStyle w:val="Heading1"/>
        <w:numPr>
          <w:ilvl w:val="0"/>
          <w:numId w:val="0"/>
        </w:numPr>
        <w:pBdr>
          <w:bottom w:val="none" w:sz="0" w:space="0" w:color="auto"/>
        </w:pBdr>
        <w:rPr>
          <w:sz w:val="48"/>
          <w:szCs w:val="48"/>
        </w:rPr>
      </w:pPr>
      <w:r w:rsidRPr="00561D83">
        <w:rPr>
          <w:sz w:val="48"/>
          <w:szCs w:val="48"/>
        </w:rPr>
        <w:t>Methodological Framework for the</w:t>
      </w:r>
      <w:r w:rsidR="00561D83" w:rsidRPr="00561D83">
        <w:rPr>
          <w:sz w:val="48"/>
          <w:szCs w:val="48"/>
        </w:rPr>
        <w:t xml:space="preserve"> </w:t>
      </w:r>
      <w:r w:rsidRPr="00561D83">
        <w:rPr>
          <w:sz w:val="48"/>
          <w:szCs w:val="48"/>
        </w:rPr>
        <w:t xml:space="preserve">Review of Nutrient Reference Values </w:t>
      </w:r>
    </w:p>
    <w:p w14:paraId="3D24D21B" w14:textId="5C9FA903" w:rsidR="00823595" w:rsidRDefault="00823595" w:rsidP="00EE0822">
      <w:pPr>
        <w:pStyle w:val="Subtitle"/>
      </w:pPr>
    </w:p>
    <w:p w14:paraId="2159CDA7" w14:textId="77777777" w:rsidR="00EE0822" w:rsidRPr="00EE0822" w:rsidRDefault="00EE0822" w:rsidP="00EE0822"/>
    <w:p w14:paraId="4E646640" w14:textId="33D9C4FE" w:rsidR="00133DD8" w:rsidRDefault="008122AA" w:rsidP="00EE0822">
      <w:pPr>
        <w:pStyle w:val="Subtitle"/>
      </w:pPr>
      <w:r>
        <w:t xml:space="preserve">V3.5 </w:t>
      </w:r>
      <w:r w:rsidR="005064F6">
        <w:t>October</w:t>
      </w:r>
      <w:r w:rsidR="009463E7">
        <w:t xml:space="preserve"> </w:t>
      </w:r>
      <w:r w:rsidR="00596EE1" w:rsidRPr="00080256">
        <w:t>202</w:t>
      </w:r>
      <w:r w:rsidR="006E7894" w:rsidRPr="00080256">
        <w:t>5</w:t>
      </w:r>
    </w:p>
    <w:p w14:paraId="1066C144" w14:textId="44424729" w:rsidR="00950D92" w:rsidRDefault="00BF7429" w:rsidP="00950D92">
      <w:r>
        <w:br w:type="page"/>
      </w:r>
    </w:p>
    <w:p w14:paraId="465DB2ED" w14:textId="67D777D0" w:rsidR="003F63A3" w:rsidRPr="00FC6C06" w:rsidRDefault="003F63A3" w:rsidP="00950D92">
      <w:pPr>
        <w:rPr>
          <w:highlight w:val="yellow"/>
        </w:rPr>
      </w:pPr>
      <w:r w:rsidRPr="00FC6C06">
        <w:rPr>
          <w:highlight w:val="yellow"/>
        </w:rPr>
        <w:lastRenderedPageBreak/>
        <w:t>date of publication</w:t>
      </w:r>
      <w:r w:rsidR="00BF0018">
        <w:rPr>
          <w:highlight w:val="yellow"/>
        </w:rPr>
        <w:t>: 2025</w:t>
      </w:r>
      <w:r w:rsidRPr="00FC6C06">
        <w:rPr>
          <w:highlight w:val="yellow"/>
        </w:rPr>
        <w:t xml:space="preserve"> </w:t>
      </w:r>
    </w:p>
    <w:p w14:paraId="507DB65E" w14:textId="26FBFF54" w:rsidR="003C68F8" w:rsidRPr="00FC6C06" w:rsidRDefault="003F63A3" w:rsidP="00950D92">
      <w:pPr>
        <w:rPr>
          <w:highlight w:val="yellow"/>
        </w:rPr>
      </w:pPr>
      <w:r w:rsidRPr="00FC6C06">
        <w:rPr>
          <w:highlight w:val="yellow"/>
        </w:rPr>
        <w:t>authorship</w:t>
      </w:r>
      <w:r w:rsidR="00BF0018">
        <w:rPr>
          <w:highlight w:val="yellow"/>
        </w:rPr>
        <w:t xml:space="preserve">: National Health and Medical Research Council </w:t>
      </w:r>
      <w:r w:rsidRPr="00FC6C06">
        <w:rPr>
          <w:highlight w:val="yellow"/>
        </w:rPr>
        <w:t xml:space="preserve"> </w:t>
      </w:r>
    </w:p>
    <w:p w14:paraId="29225D03" w14:textId="117CB633" w:rsidR="003C68F8" w:rsidRPr="00FC6C06" w:rsidRDefault="003F63A3" w:rsidP="00950D92">
      <w:pPr>
        <w:rPr>
          <w:highlight w:val="yellow"/>
        </w:rPr>
      </w:pPr>
      <w:r w:rsidRPr="00FC6C06">
        <w:rPr>
          <w:highlight w:val="yellow"/>
        </w:rPr>
        <w:t>c</w:t>
      </w:r>
      <w:r w:rsidR="003C68F8" w:rsidRPr="00FC6C06">
        <w:rPr>
          <w:highlight w:val="yellow"/>
        </w:rPr>
        <w:t xml:space="preserve">opyright information </w:t>
      </w:r>
    </w:p>
    <w:p w14:paraId="4672FFF1" w14:textId="5D79C46C" w:rsidR="003C68F8" w:rsidRPr="00FC6C06" w:rsidRDefault="003F63A3" w:rsidP="00950D92">
      <w:pPr>
        <w:rPr>
          <w:highlight w:val="yellow"/>
        </w:rPr>
      </w:pPr>
      <w:r w:rsidRPr="00FC6C06">
        <w:rPr>
          <w:highlight w:val="yellow"/>
        </w:rPr>
        <w:t>a</w:t>
      </w:r>
      <w:r w:rsidR="003C68F8" w:rsidRPr="00FC6C06">
        <w:rPr>
          <w:highlight w:val="yellow"/>
        </w:rPr>
        <w:t>ddress for requesting permission to reproduce material in the text</w:t>
      </w:r>
      <w:r w:rsidR="003C68F8">
        <w:rPr>
          <w:highlight w:val="yellow"/>
        </w:rPr>
        <w:t xml:space="preserve"> </w:t>
      </w:r>
      <w:r w:rsidR="001C6CC3">
        <w:t>nhmrc.publications@nhmrc.gov.au</w:t>
      </w:r>
      <w:r w:rsidR="00FB45B6">
        <w:t xml:space="preserve"> </w:t>
      </w:r>
    </w:p>
    <w:p w14:paraId="04B6D755" w14:textId="6E368FBE" w:rsidR="003C68F8" w:rsidRPr="00FC6C06" w:rsidRDefault="003C68F8" w:rsidP="00950D92">
      <w:pPr>
        <w:rPr>
          <w:highlight w:val="yellow"/>
        </w:rPr>
      </w:pPr>
      <w:r w:rsidRPr="00FC6C06">
        <w:rPr>
          <w:highlight w:val="yellow"/>
        </w:rPr>
        <w:t xml:space="preserve">ISBN number </w:t>
      </w:r>
    </w:p>
    <w:p w14:paraId="3914108B" w14:textId="521468A0" w:rsidR="003C68F8" w:rsidRDefault="003C68F8" w:rsidP="00950D92">
      <w:r w:rsidRPr="00FC6C06">
        <w:rPr>
          <w:highlight w:val="yellow"/>
        </w:rPr>
        <w:t>preferred citation for the guideline publication</w:t>
      </w:r>
      <w:r w:rsidR="000A61A2">
        <w:t>: NHMRC</w:t>
      </w:r>
      <w:r w:rsidR="005D214B">
        <w:t xml:space="preserve"> (2025) </w:t>
      </w:r>
      <w:r w:rsidR="005D214B" w:rsidRPr="005D214B">
        <w:t>Methodological Framework for the Review of Nutrient Reference Values</w:t>
      </w:r>
    </w:p>
    <w:p w14:paraId="10D4CA9C" w14:textId="77777777" w:rsidR="003C68F8" w:rsidRDefault="003C68F8">
      <w:pPr>
        <w:spacing w:line="240" w:lineRule="atLeast"/>
      </w:pPr>
      <w:r>
        <w:br w:type="page"/>
      </w:r>
    </w:p>
    <w:p w14:paraId="276F95BA" w14:textId="559009CB" w:rsidR="0085498B" w:rsidRPr="00561D83" w:rsidRDefault="0085498B" w:rsidP="00561D83">
      <w:pPr>
        <w:pStyle w:val="Heading2noline"/>
        <w:numPr>
          <w:ilvl w:val="0"/>
          <w:numId w:val="0"/>
        </w:numPr>
        <w:ind w:left="431" w:hanging="431"/>
        <w:jc w:val="center"/>
      </w:pPr>
      <w:r w:rsidRPr="0085498B">
        <w:lastRenderedPageBreak/>
        <w:t>Version</w:t>
      </w:r>
    </w:p>
    <w:tbl>
      <w:tblPr>
        <w:tblStyle w:val="DefaultTable1"/>
        <w:tblW w:w="5000" w:type="pct"/>
        <w:tblLook w:val="0620" w:firstRow="1" w:lastRow="0" w:firstColumn="0" w:lastColumn="0" w:noHBand="1" w:noVBand="1"/>
      </w:tblPr>
      <w:tblGrid>
        <w:gridCol w:w="1988"/>
        <w:gridCol w:w="2141"/>
        <w:gridCol w:w="5726"/>
      </w:tblGrid>
      <w:tr w:rsidR="00B068DF" w:rsidRPr="0085498B" w14:paraId="0A786E41" w14:textId="77777777" w:rsidTr="00F31715">
        <w:trPr>
          <w:cnfStyle w:val="100000000000" w:firstRow="1" w:lastRow="0" w:firstColumn="0" w:lastColumn="0" w:oddVBand="0" w:evenVBand="0" w:oddHBand="0" w:evenHBand="0" w:firstRowFirstColumn="0" w:firstRowLastColumn="0" w:lastRowFirstColumn="0" w:lastRowLastColumn="0"/>
        </w:trPr>
        <w:tc>
          <w:tcPr>
            <w:tcW w:w="1009" w:type="pct"/>
          </w:tcPr>
          <w:p w14:paraId="7ECFD11D" w14:textId="1388087E" w:rsidR="0085498B" w:rsidRPr="0085498B" w:rsidRDefault="0085498B" w:rsidP="00F31715">
            <w:pPr>
              <w:spacing w:after="120" w:line="259" w:lineRule="auto"/>
              <w:rPr>
                <w:b w:val="0"/>
                <w:color w:val="FFFFFF"/>
                <w:szCs w:val="20"/>
              </w:rPr>
            </w:pPr>
            <w:r w:rsidRPr="0085498B">
              <w:rPr>
                <w:color w:val="FFFFFF"/>
                <w:szCs w:val="20"/>
              </w:rPr>
              <w:t>Year</w:t>
            </w:r>
          </w:p>
        </w:tc>
        <w:tc>
          <w:tcPr>
            <w:tcW w:w="1086" w:type="pct"/>
          </w:tcPr>
          <w:p w14:paraId="05964FDB" w14:textId="77777777" w:rsidR="0085498B" w:rsidRPr="0085498B" w:rsidRDefault="0085498B" w:rsidP="00F31715">
            <w:pPr>
              <w:spacing w:after="120" w:line="259" w:lineRule="auto"/>
              <w:rPr>
                <w:b w:val="0"/>
                <w:color w:val="FFFFFF"/>
                <w:szCs w:val="20"/>
              </w:rPr>
            </w:pPr>
            <w:r w:rsidRPr="0085498B">
              <w:rPr>
                <w:color w:val="FFFFFF"/>
                <w:szCs w:val="20"/>
              </w:rPr>
              <w:t>Version</w:t>
            </w:r>
          </w:p>
        </w:tc>
        <w:tc>
          <w:tcPr>
            <w:tcW w:w="2905" w:type="pct"/>
          </w:tcPr>
          <w:p w14:paraId="72824405" w14:textId="77777777" w:rsidR="0085498B" w:rsidRPr="0085498B" w:rsidRDefault="0085498B" w:rsidP="00F31715">
            <w:pPr>
              <w:spacing w:after="120" w:line="259" w:lineRule="auto"/>
              <w:rPr>
                <w:b w:val="0"/>
                <w:color w:val="FFFFFF"/>
                <w:szCs w:val="20"/>
              </w:rPr>
            </w:pPr>
            <w:r w:rsidRPr="0085498B">
              <w:rPr>
                <w:color w:val="FFFFFF"/>
                <w:szCs w:val="20"/>
              </w:rPr>
              <w:t>Comment</w:t>
            </w:r>
          </w:p>
        </w:tc>
      </w:tr>
      <w:tr w:rsidR="00B068DF" w:rsidRPr="0085498B" w14:paraId="4C48908B" w14:textId="77777777" w:rsidTr="00F31715">
        <w:tc>
          <w:tcPr>
            <w:tcW w:w="1009" w:type="pct"/>
          </w:tcPr>
          <w:p w14:paraId="492A5F99" w14:textId="77777777" w:rsidR="0085498B" w:rsidRPr="0085498B" w:rsidRDefault="0085498B" w:rsidP="0085498B">
            <w:pPr>
              <w:spacing w:after="120" w:line="259" w:lineRule="auto"/>
              <w:rPr>
                <w:szCs w:val="20"/>
              </w:rPr>
            </w:pPr>
            <w:r w:rsidRPr="0085498B">
              <w:rPr>
                <w:szCs w:val="20"/>
              </w:rPr>
              <w:t>2015</w:t>
            </w:r>
          </w:p>
        </w:tc>
        <w:tc>
          <w:tcPr>
            <w:tcW w:w="1086" w:type="pct"/>
          </w:tcPr>
          <w:p w14:paraId="79A23BF5" w14:textId="77777777" w:rsidR="0085498B" w:rsidRPr="0085498B" w:rsidRDefault="0085498B" w:rsidP="0085498B">
            <w:pPr>
              <w:spacing w:after="120" w:line="259" w:lineRule="auto"/>
              <w:rPr>
                <w:szCs w:val="20"/>
              </w:rPr>
            </w:pPr>
            <w:r w:rsidRPr="0085498B">
              <w:rPr>
                <w:szCs w:val="20"/>
              </w:rPr>
              <w:t>v1.0</w:t>
            </w:r>
          </w:p>
        </w:tc>
        <w:tc>
          <w:tcPr>
            <w:tcW w:w="2905" w:type="pct"/>
          </w:tcPr>
          <w:p w14:paraId="26B0E2D9" w14:textId="5C18227E" w:rsidR="0085498B" w:rsidRPr="0085498B" w:rsidRDefault="0075219F" w:rsidP="0085498B">
            <w:pPr>
              <w:spacing w:after="120" w:line="259" w:lineRule="auto"/>
              <w:rPr>
                <w:szCs w:val="20"/>
              </w:rPr>
            </w:pPr>
            <w:r>
              <w:rPr>
                <w:szCs w:val="20"/>
              </w:rPr>
              <w:t xml:space="preserve">Australian </w:t>
            </w:r>
            <w:r w:rsidR="00261631">
              <w:rPr>
                <w:szCs w:val="20"/>
              </w:rPr>
              <w:t xml:space="preserve">Department of Health contracted Nous Consulting </w:t>
            </w:r>
            <w:r w:rsidR="00E86650">
              <w:rPr>
                <w:szCs w:val="20"/>
              </w:rPr>
              <w:t>to d</w:t>
            </w:r>
            <w:r w:rsidR="00A44319">
              <w:rPr>
                <w:szCs w:val="20"/>
              </w:rPr>
              <w:t>evelop a c</w:t>
            </w:r>
            <w:r w:rsidR="0085498B" w:rsidRPr="0085498B">
              <w:rPr>
                <w:szCs w:val="20"/>
              </w:rPr>
              <w:t>omprehensive report on the scoping and methodology underpinning the advice that future reviews of nutrients should be targeted.</w:t>
            </w:r>
          </w:p>
          <w:p w14:paraId="6AFB7872" w14:textId="77777777" w:rsidR="0085498B" w:rsidRPr="0085498B" w:rsidRDefault="0085498B" w:rsidP="0085498B">
            <w:pPr>
              <w:spacing w:after="120" w:line="259" w:lineRule="auto"/>
              <w:rPr>
                <w:i/>
                <w:szCs w:val="20"/>
              </w:rPr>
            </w:pPr>
            <w:r w:rsidRPr="0085498B">
              <w:rPr>
                <w:i/>
                <w:szCs w:val="20"/>
              </w:rPr>
              <w:t xml:space="preserve">Under this framework, NHMRC’s role is through third party guideline approval.  </w:t>
            </w:r>
          </w:p>
        </w:tc>
      </w:tr>
      <w:tr w:rsidR="00592D0B" w:rsidRPr="0085498B" w14:paraId="040563BB" w14:textId="77777777" w:rsidTr="00F31715">
        <w:tc>
          <w:tcPr>
            <w:tcW w:w="1009" w:type="pct"/>
          </w:tcPr>
          <w:p w14:paraId="16DE0A54" w14:textId="77777777" w:rsidR="0085498B" w:rsidRPr="0085498B" w:rsidRDefault="0085498B" w:rsidP="0085498B">
            <w:pPr>
              <w:spacing w:after="120" w:line="259" w:lineRule="auto"/>
              <w:rPr>
                <w:szCs w:val="20"/>
              </w:rPr>
            </w:pPr>
            <w:r w:rsidRPr="0085498B">
              <w:rPr>
                <w:szCs w:val="20"/>
              </w:rPr>
              <w:t>2020</w:t>
            </w:r>
          </w:p>
        </w:tc>
        <w:tc>
          <w:tcPr>
            <w:tcW w:w="1086" w:type="pct"/>
          </w:tcPr>
          <w:p w14:paraId="5F3EE638" w14:textId="77777777" w:rsidR="0085498B" w:rsidRPr="0085498B" w:rsidRDefault="0085498B" w:rsidP="0085498B">
            <w:pPr>
              <w:spacing w:after="120" w:line="259" w:lineRule="auto"/>
              <w:rPr>
                <w:szCs w:val="20"/>
              </w:rPr>
            </w:pPr>
            <w:r w:rsidRPr="0085498B">
              <w:rPr>
                <w:szCs w:val="20"/>
              </w:rPr>
              <w:t>v2.0</w:t>
            </w:r>
          </w:p>
        </w:tc>
        <w:tc>
          <w:tcPr>
            <w:tcW w:w="2905" w:type="pct"/>
          </w:tcPr>
          <w:p w14:paraId="0B12EAE8" w14:textId="77777777" w:rsidR="0085498B" w:rsidRPr="0085498B" w:rsidRDefault="0085498B" w:rsidP="0085498B">
            <w:pPr>
              <w:spacing w:after="120" w:line="259" w:lineRule="auto"/>
              <w:rPr>
                <w:szCs w:val="20"/>
              </w:rPr>
            </w:pPr>
            <w:r w:rsidRPr="0085498B">
              <w:rPr>
                <w:szCs w:val="20"/>
              </w:rPr>
              <w:t xml:space="preserve">Updated during the pilot period to align with methodological updates and changes to the governance structure. </w:t>
            </w:r>
          </w:p>
          <w:p w14:paraId="6FCA83B8" w14:textId="77777777" w:rsidR="0085498B" w:rsidRPr="0085498B" w:rsidRDefault="0085498B" w:rsidP="0085498B">
            <w:pPr>
              <w:spacing w:after="120" w:line="259" w:lineRule="auto"/>
              <w:rPr>
                <w:szCs w:val="20"/>
              </w:rPr>
            </w:pPr>
          </w:p>
          <w:p w14:paraId="472C27F3" w14:textId="77777777" w:rsidR="0085498B" w:rsidRPr="0085498B" w:rsidRDefault="0085498B" w:rsidP="0085498B">
            <w:pPr>
              <w:spacing w:after="120" w:line="259" w:lineRule="auto"/>
              <w:rPr>
                <w:szCs w:val="20"/>
              </w:rPr>
            </w:pPr>
            <w:r w:rsidRPr="0085498B">
              <w:rPr>
                <w:i/>
                <w:szCs w:val="20"/>
              </w:rPr>
              <w:t xml:space="preserve">Under this framework, NHMRC’s role is as project manager and author. </w:t>
            </w:r>
          </w:p>
        </w:tc>
      </w:tr>
      <w:tr w:rsidR="00592D0B" w:rsidRPr="0085498B" w14:paraId="6BB9381A" w14:textId="77777777" w:rsidTr="00F31715">
        <w:tc>
          <w:tcPr>
            <w:tcW w:w="1009" w:type="pct"/>
          </w:tcPr>
          <w:p w14:paraId="5DCFB73A" w14:textId="77777777" w:rsidR="0085498B" w:rsidRPr="0085498B" w:rsidRDefault="0085498B" w:rsidP="0085498B">
            <w:pPr>
              <w:spacing w:after="120" w:line="259" w:lineRule="auto"/>
              <w:rPr>
                <w:szCs w:val="20"/>
              </w:rPr>
            </w:pPr>
            <w:r w:rsidRPr="0085498B">
              <w:rPr>
                <w:szCs w:val="20"/>
              </w:rPr>
              <w:t>2023</w:t>
            </w:r>
          </w:p>
        </w:tc>
        <w:tc>
          <w:tcPr>
            <w:tcW w:w="1086" w:type="pct"/>
          </w:tcPr>
          <w:p w14:paraId="04B5120D" w14:textId="4305A225" w:rsidR="0085498B" w:rsidRPr="0085498B" w:rsidRDefault="002905C3" w:rsidP="0085498B">
            <w:pPr>
              <w:spacing w:after="120" w:line="259" w:lineRule="auto"/>
              <w:rPr>
                <w:szCs w:val="20"/>
              </w:rPr>
            </w:pPr>
            <w:r w:rsidRPr="0085498B">
              <w:rPr>
                <w:szCs w:val="20"/>
              </w:rPr>
              <w:t>V</w:t>
            </w:r>
            <w:r>
              <w:rPr>
                <w:szCs w:val="20"/>
              </w:rPr>
              <w:t xml:space="preserve">3.0 </w:t>
            </w:r>
          </w:p>
        </w:tc>
        <w:tc>
          <w:tcPr>
            <w:tcW w:w="2905" w:type="pct"/>
          </w:tcPr>
          <w:p w14:paraId="3182385E" w14:textId="2427AA80" w:rsidR="0085498B" w:rsidRPr="0085498B" w:rsidRDefault="006A7EEE" w:rsidP="0085498B">
            <w:pPr>
              <w:spacing w:after="120" w:line="259" w:lineRule="auto"/>
              <w:rPr>
                <w:szCs w:val="20"/>
              </w:rPr>
            </w:pPr>
            <w:r>
              <w:rPr>
                <w:szCs w:val="20"/>
              </w:rPr>
              <w:t>Updated</w:t>
            </w:r>
            <w:r w:rsidR="007F7E14">
              <w:rPr>
                <w:szCs w:val="20"/>
              </w:rPr>
              <w:t xml:space="preserve"> </w:t>
            </w:r>
            <w:r w:rsidR="00842108">
              <w:rPr>
                <w:szCs w:val="20"/>
              </w:rPr>
              <w:t xml:space="preserve">following </w:t>
            </w:r>
            <w:r w:rsidR="007A23D8">
              <w:rPr>
                <w:szCs w:val="20"/>
              </w:rPr>
              <w:t>feedback from</w:t>
            </w:r>
            <w:r w:rsidR="00D04ABD">
              <w:rPr>
                <w:szCs w:val="20"/>
              </w:rPr>
              <w:t xml:space="preserve"> evidence reviewers and the </w:t>
            </w:r>
            <w:r w:rsidR="00D04ABD" w:rsidRPr="0085498B">
              <w:rPr>
                <w:szCs w:val="20"/>
              </w:rPr>
              <w:t>Steering Group Advisory Committee</w:t>
            </w:r>
            <w:r w:rsidR="00D04ABD">
              <w:rPr>
                <w:szCs w:val="20"/>
              </w:rPr>
              <w:t xml:space="preserve"> meeting on</w:t>
            </w:r>
            <w:r w:rsidR="007A23D8">
              <w:rPr>
                <w:szCs w:val="20"/>
              </w:rPr>
              <w:t xml:space="preserve"> the </w:t>
            </w:r>
            <w:r w:rsidR="006C2E31">
              <w:rPr>
                <w:szCs w:val="20"/>
              </w:rPr>
              <w:t>8 March 2023</w:t>
            </w:r>
            <w:r w:rsidR="00915AAC">
              <w:rPr>
                <w:szCs w:val="20"/>
              </w:rPr>
              <w:t>.</w:t>
            </w:r>
          </w:p>
        </w:tc>
      </w:tr>
      <w:tr w:rsidR="00592D0B" w:rsidRPr="0085498B" w14:paraId="7E43048A" w14:textId="77777777" w:rsidTr="00F31715">
        <w:tc>
          <w:tcPr>
            <w:tcW w:w="1009" w:type="pct"/>
          </w:tcPr>
          <w:p w14:paraId="606E5197" w14:textId="26B3A2BB" w:rsidR="00F73E05" w:rsidRPr="0085498B" w:rsidRDefault="00F73E05" w:rsidP="0085498B">
            <w:pPr>
              <w:spacing w:after="120" w:line="259" w:lineRule="auto"/>
              <w:rPr>
                <w:szCs w:val="20"/>
              </w:rPr>
            </w:pPr>
            <w:r>
              <w:rPr>
                <w:szCs w:val="20"/>
              </w:rPr>
              <w:t>2023</w:t>
            </w:r>
          </w:p>
        </w:tc>
        <w:tc>
          <w:tcPr>
            <w:tcW w:w="1086" w:type="pct"/>
          </w:tcPr>
          <w:p w14:paraId="033CE873" w14:textId="4EDBA2C0" w:rsidR="00F73E05" w:rsidRPr="0085498B" w:rsidRDefault="00BA68D7" w:rsidP="0085498B">
            <w:pPr>
              <w:spacing w:after="120" w:line="259" w:lineRule="auto"/>
              <w:rPr>
                <w:szCs w:val="20"/>
              </w:rPr>
            </w:pPr>
            <w:r>
              <w:rPr>
                <w:szCs w:val="20"/>
              </w:rPr>
              <w:t>V</w:t>
            </w:r>
            <w:r w:rsidR="006A7EEE">
              <w:rPr>
                <w:szCs w:val="20"/>
              </w:rPr>
              <w:t>3.1</w:t>
            </w:r>
          </w:p>
        </w:tc>
        <w:tc>
          <w:tcPr>
            <w:tcW w:w="2905" w:type="pct"/>
          </w:tcPr>
          <w:p w14:paraId="52AE280B" w14:textId="0F2549A8" w:rsidR="00F73E05" w:rsidRPr="0085498B" w:rsidRDefault="006A7EEE" w:rsidP="0085498B">
            <w:pPr>
              <w:spacing w:after="120" w:line="259" w:lineRule="auto"/>
              <w:rPr>
                <w:szCs w:val="20"/>
              </w:rPr>
            </w:pPr>
            <w:r w:rsidRPr="0085498B">
              <w:rPr>
                <w:szCs w:val="20"/>
              </w:rPr>
              <w:t xml:space="preserve">Updated following feedback from Steering Group Advisory Committee </w:t>
            </w:r>
            <w:r w:rsidR="00D04ABD">
              <w:rPr>
                <w:szCs w:val="20"/>
              </w:rPr>
              <w:t xml:space="preserve">on the </w:t>
            </w:r>
            <w:r w:rsidR="00890298">
              <w:rPr>
                <w:szCs w:val="20"/>
              </w:rPr>
              <w:t xml:space="preserve">21 November 2023. </w:t>
            </w:r>
          </w:p>
        </w:tc>
      </w:tr>
      <w:tr w:rsidR="00B068DF" w:rsidRPr="0085498B" w14:paraId="0CFE9DA0" w14:textId="77777777" w:rsidTr="00F31715">
        <w:tc>
          <w:tcPr>
            <w:tcW w:w="1009" w:type="pct"/>
          </w:tcPr>
          <w:p w14:paraId="222E1F94" w14:textId="29DC8D4C" w:rsidR="00B068DF" w:rsidRDefault="00B068DF" w:rsidP="00B068DF">
            <w:pPr>
              <w:spacing w:after="120" w:line="259" w:lineRule="auto"/>
              <w:rPr>
                <w:szCs w:val="20"/>
              </w:rPr>
            </w:pPr>
            <w:r>
              <w:rPr>
                <w:szCs w:val="20"/>
              </w:rPr>
              <w:t>Feb 2024</w:t>
            </w:r>
          </w:p>
        </w:tc>
        <w:tc>
          <w:tcPr>
            <w:tcW w:w="1086" w:type="pct"/>
          </w:tcPr>
          <w:p w14:paraId="5E7E3087" w14:textId="0D25721B" w:rsidR="00B068DF" w:rsidRDefault="00B068DF" w:rsidP="00B068DF">
            <w:pPr>
              <w:spacing w:after="120" w:line="259" w:lineRule="auto"/>
              <w:rPr>
                <w:szCs w:val="20"/>
              </w:rPr>
            </w:pPr>
            <w:r>
              <w:rPr>
                <w:szCs w:val="20"/>
              </w:rPr>
              <w:t>V3.2</w:t>
            </w:r>
          </w:p>
        </w:tc>
        <w:tc>
          <w:tcPr>
            <w:tcW w:w="2905" w:type="pct"/>
          </w:tcPr>
          <w:p w14:paraId="2A189AFD" w14:textId="13831D4C" w:rsidR="00B068DF" w:rsidRPr="0085498B" w:rsidRDefault="00B068DF" w:rsidP="00B068DF">
            <w:pPr>
              <w:spacing w:after="120" w:line="259" w:lineRule="auto"/>
              <w:rPr>
                <w:szCs w:val="20"/>
              </w:rPr>
            </w:pPr>
            <w:r>
              <w:rPr>
                <w:szCs w:val="20"/>
              </w:rPr>
              <w:t xml:space="preserve">Steering Group Advisory Committee comments </w:t>
            </w:r>
            <w:r w:rsidR="003C15BE">
              <w:rPr>
                <w:szCs w:val="20"/>
              </w:rPr>
              <w:t>incorporated</w:t>
            </w:r>
          </w:p>
        </w:tc>
      </w:tr>
      <w:tr w:rsidR="00EC4A77" w:rsidRPr="0085498B" w14:paraId="6BA639D2" w14:textId="77777777" w:rsidTr="00F31715">
        <w:tc>
          <w:tcPr>
            <w:tcW w:w="1009" w:type="pct"/>
          </w:tcPr>
          <w:p w14:paraId="230BD069" w14:textId="2FBD0E16" w:rsidR="00EC4A77" w:rsidRDefault="00EC4A77" w:rsidP="00B068DF">
            <w:pPr>
              <w:spacing w:after="120" w:line="259" w:lineRule="auto"/>
              <w:rPr>
                <w:szCs w:val="20"/>
              </w:rPr>
            </w:pPr>
            <w:r>
              <w:rPr>
                <w:szCs w:val="20"/>
              </w:rPr>
              <w:t xml:space="preserve">April </w:t>
            </w:r>
            <w:r w:rsidRPr="00A31CEF">
              <w:rPr>
                <w:szCs w:val="20"/>
              </w:rPr>
              <w:t>2024</w:t>
            </w:r>
            <w:r w:rsidR="004F5F7A" w:rsidRPr="00A31CEF">
              <w:rPr>
                <w:szCs w:val="20"/>
              </w:rPr>
              <w:t xml:space="preserve"> &amp; June 2024</w:t>
            </w:r>
          </w:p>
        </w:tc>
        <w:tc>
          <w:tcPr>
            <w:tcW w:w="1086" w:type="pct"/>
          </w:tcPr>
          <w:p w14:paraId="1746FF8C" w14:textId="6A41B9F6" w:rsidR="00EC4A77" w:rsidRDefault="00EC4A77" w:rsidP="00B068DF">
            <w:pPr>
              <w:spacing w:after="120" w:line="259" w:lineRule="auto"/>
              <w:rPr>
                <w:szCs w:val="20"/>
              </w:rPr>
            </w:pPr>
            <w:r>
              <w:rPr>
                <w:szCs w:val="20"/>
              </w:rPr>
              <w:t>V3.3</w:t>
            </w:r>
          </w:p>
        </w:tc>
        <w:tc>
          <w:tcPr>
            <w:tcW w:w="2905" w:type="pct"/>
          </w:tcPr>
          <w:p w14:paraId="19C66891" w14:textId="6D2B27FB" w:rsidR="00EC4A77" w:rsidRDefault="00EC4A77" w:rsidP="00B068DF">
            <w:pPr>
              <w:spacing w:after="120" w:line="259" w:lineRule="auto"/>
              <w:rPr>
                <w:szCs w:val="20"/>
              </w:rPr>
            </w:pPr>
            <w:r>
              <w:rPr>
                <w:szCs w:val="20"/>
              </w:rPr>
              <w:t>Steering Group Advisory Committee comments incorporated</w:t>
            </w:r>
          </w:p>
        </w:tc>
      </w:tr>
      <w:tr w:rsidR="00DB1233" w:rsidRPr="0085498B" w14:paraId="5F34101B" w14:textId="77777777" w:rsidTr="00F31715">
        <w:tc>
          <w:tcPr>
            <w:tcW w:w="1009" w:type="pct"/>
          </w:tcPr>
          <w:p w14:paraId="1088F792" w14:textId="694699D8" w:rsidR="00DB1233" w:rsidRDefault="005D3B79" w:rsidP="00B068DF">
            <w:pPr>
              <w:spacing w:after="120" w:line="259" w:lineRule="auto"/>
              <w:rPr>
                <w:szCs w:val="20"/>
              </w:rPr>
            </w:pPr>
            <w:r>
              <w:rPr>
                <w:szCs w:val="20"/>
              </w:rPr>
              <w:t>May</w:t>
            </w:r>
            <w:r w:rsidR="00BF25A2">
              <w:rPr>
                <w:szCs w:val="20"/>
              </w:rPr>
              <w:t xml:space="preserve"> 2025</w:t>
            </w:r>
          </w:p>
        </w:tc>
        <w:tc>
          <w:tcPr>
            <w:tcW w:w="1086" w:type="pct"/>
          </w:tcPr>
          <w:p w14:paraId="718E4C5D" w14:textId="34D29598" w:rsidR="00DB1233" w:rsidRDefault="00DB1233" w:rsidP="00B068DF">
            <w:pPr>
              <w:spacing w:after="120" w:line="259" w:lineRule="auto"/>
              <w:rPr>
                <w:szCs w:val="20"/>
              </w:rPr>
            </w:pPr>
            <w:r>
              <w:rPr>
                <w:szCs w:val="20"/>
              </w:rPr>
              <w:t>V3.4</w:t>
            </w:r>
          </w:p>
        </w:tc>
        <w:tc>
          <w:tcPr>
            <w:tcW w:w="2905" w:type="pct"/>
          </w:tcPr>
          <w:p w14:paraId="7B14920E" w14:textId="5CA1A54E" w:rsidR="00DB1233" w:rsidRDefault="00BF25A2" w:rsidP="00B068DF">
            <w:pPr>
              <w:spacing w:after="120" w:line="259" w:lineRule="auto"/>
              <w:rPr>
                <w:szCs w:val="20"/>
              </w:rPr>
            </w:pPr>
            <w:r>
              <w:rPr>
                <w:szCs w:val="20"/>
              </w:rPr>
              <w:t xml:space="preserve">Preparing for public consultation. </w:t>
            </w:r>
            <w:r w:rsidR="0002194E">
              <w:rPr>
                <w:szCs w:val="20"/>
              </w:rPr>
              <w:t>Steering Group Advisory Committee comments incorporated</w:t>
            </w:r>
            <w:r w:rsidR="00E843C4">
              <w:rPr>
                <w:szCs w:val="20"/>
              </w:rPr>
              <w:t>, updates to age groupings</w:t>
            </w:r>
            <w:r w:rsidR="006B5203">
              <w:rPr>
                <w:szCs w:val="20"/>
              </w:rPr>
              <w:t xml:space="preserve"> and reference weights</w:t>
            </w:r>
            <w:r w:rsidR="002325E4">
              <w:rPr>
                <w:szCs w:val="20"/>
              </w:rPr>
              <w:t xml:space="preserve">, </w:t>
            </w:r>
            <w:r w:rsidR="00646E38">
              <w:rPr>
                <w:szCs w:val="20"/>
              </w:rPr>
              <w:t>u</w:t>
            </w:r>
            <w:r w:rsidR="00E40A22">
              <w:rPr>
                <w:szCs w:val="20"/>
              </w:rPr>
              <w:t xml:space="preserve">pper </w:t>
            </w:r>
            <w:r w:rsidR="00646E38">
              <w:rPr>
                <w:szCs w:val="20"/>
              </w:rPr>
              <w:t>l</w:t>
            </w:r>
            <w:r w:rsidR="00E40A22">
              <w:rPr>
                <w:szCs w:val="20"/>
              </w:rPr>
              <w:t xml:space="preserve">evel </w:t>
            </w:r>
            <w:r w:rsidR="00646E38">
              <w:rPr>
                <w:szCs w:val="20"/>
              </w:rPr>
              <w:t>(</w:t>
            </w:r>
            <w:r w:rsidR="002325E4">
              <w:rPr>
                <w:szCs w:val="20"/>
              </w:rPr>
              <w:t>UL</w:t>
            </w:r>
            <w:r w:rsidR="00646E38">
              <w:rPr>
                <w:szCs w:val="20"/>
              </w:rPr>
              <w:t xml:space="preserve">) </w:t>
            </w:r>
            <w:r w:rsidR="00E40A22">
              <w:rPr>
                <w:szCs w:val="20"/>
              </w:rPr>
              <w:t xml:space="preserve">and </w:t>
            </w:r>
            <w:r w:rsidR="000518D5">
              <w:rPr>
                <w:szCs w:val="20"/>
              </w:rPr>
              <w:t>uncertainty factor</w:t>
            </w:r>
            <w:r w:rsidR="00646E38">
              <w:rPr>
                <w:szCs w:val="20"/>
              </w:rPr>
              <w:t xml:space="preserve"> (UF) </w:t>
            </w:r>
            <w:r w:rsidR="002325E4">
              <w:rPr>
                <w:szCs w:val="20"/>
              </w:rPr>
              <w:t xml:space="preserve">methodology, </w:t>
            </w:r>
            <w:r>
              <w:rPr>
                <w:szCs w:val="20"/>
              </w:rPr>
              <w:t>diagrams added with permission from authors</w:t>
            </w:r>
            <w:r w:rsidR="006B5203">
              <w:rPr>
                <w:szCs w:val="20"/>
              </w:rPr>
              <w:t>, other edits for better clarity</w:t>
            </w:r>
          </w:p>
        </w:tc>
      </w:tr>
      <w:tr w:rsidR="00E2373B" w:rsidRPr="0085498B" w14:paraId="39DE504F" w14:textId="77777777" w:rsidTr="00F31715">
        <w:tc>
          <w:tcPr>
            <w:tcW w:w="1009" w:type="pct"/>
          </w:tcPr>
          <w:p w14:paraId="2935D2BE" w14:textId="57D378CC" w:rsidR="00E2373B" w:rsidRDefault="00E2373B" w:rsidP="00B068DF">
            <w:pPr>
              <w:spacing w:after="120" w:line="259" w:lineRule="auto"/>
              <w:rPr>
                <w:szCs w:val="20"/>
              </w:rPr>
            </w:pPr>
            <w:r>
              <w:rPr>
                <w:szCs w:val="20"/>
              </w:rPr>
              <w:t>October 2025</w:t>
            </w:r>
          </w:p>
        </w:tc>
        <w:tc>
          <w:tcPr>
            <w:tcW w:w="1086" w:type="pct"/>
          </w:tcPr>
          <w:p w14:paraId="10E28FE7" w14:textId="38AA0938" w:rsidR="00E2373B" w:rsidRDefault="00E2373B" w:rsidP="00B068DF">
            <w:pPr>
              <w:spacing w:after="120" w:line="259" w:lineRule="auto"/>
              <w:rPr>
                <w:szCs w:val="20"/>
              </w:rPr>
            </w:pPr>
            <w:r>
              <w:rPr>
                <w:szCs w:val="20"/>
              </w:rPr>
              <w:t>V3.5</w:t>
            </w:r>
          </w:p>
        </w:tc>
        <w:tc>
          <w:tcPr>
            <w:tcW w:w="2905" w:type="pct"/>
          </w:tcPr>
          <w:p w14:paraId="5EB75254" w14:textId="0DAF81D1" w:rsidR="00E2373B" w:rsidRDefault="00E2373B" w:rsidP="00B068DF">
            <w:pPr>
              <w:spacing w:after="120" w:line="259" w:lineRule="auto"/>
              <w:rPr>
                <w:szCs w:val="20"/>
              </w:rPr>
            </w:pPr>
            <w:r>
              <w:rPr>
                <w:szCs w:val="20"/>
              </w:rPr>
              <w:t>Version for public consultation</w:t>
            </w:r>
          </w:p>
        </w:tc>
      </w:tr>
    </w:tbl>
    <w:p w14:paraId="1725E593" w14:textId="77777777" w:rsidR="00B068DF" w:rsidRDefault="00B068DF" w:rsidP="00B35D1F"/>
    <w:p w14:paraId="231F870C" w14:textId="77777777" w:rsidR="00B068DF" w:rsidRDefault="00B068DF">
      <w:pPr>
        <w:spacing w:line="240" w:lineRule="atLeast"/>
        <w:rPr>
          <w:rFonts w:ascii="Gotham Medium" w:eastAsiaTheme="majorEastAsia" w:hAnsi="Gotham Medium" w:cstheme="majorBidi"/>
          <w:color w:val="09002E" w:themeColor="text2"/>
          <w:kern w:val="28"/>
          <w:sz w:val="48"/>
          <w:szCs w:val="56"/>
        </w:rPr>
      </w:pPr>
      <w:r>
        <w:br w:type="page"/>
      </w:r>
    </w:p>
    <w:p w14:paraId="51111928" w14:textId="23E4FF36" w:rsidR="00950D92" w:rsidRPr="0035735C" w:rsidRDefault="00BF7429" w:rsidP="00561D83">
      <w:pPr>
        <w:pStyle w:val="Heading2"/>
        <w:numPr>
          <w:ilvl w:val="0"/>
          <w:numId w:val="0"/>
        </w:numPr>
        <w:ind w:left="431" w:hanging="431"/>
      </w:pPr>
      <w:r w:rsidRPr="0035735C">
        <w:lastRenderedPageBreak/>
        <w:t>Contents</w:t>
      </w:r>
    </w:p>
    <w:p w14:paraId="5C926D6E" w14:textId="6569E5EB" w:rsidR="00A61285" w:rsidRDefault="00A72089">
      <w:pPr>
        <w:pStyle w:val="TOC1"/>
        <w:tabs>
          <w:tab w:val="left" w:pos="1540"/>
        </w:tabs>
        <w:rPr>
          <w:rFonts w:asciiTheme="minorHAnsi" w:hAnsiTheme="minorHAnsi" w:cstheme="minorBidi"/>
          <w:noProof/>
          <w:kern w:val="2"/>
          <w:szCs w:val="24"/>
          <w14:ligatures w14:val="standardContextual"/>
        </w:rPr>
      </w:pPr>
      <w:r>
        <w:rPr>
          <w:highlight w:val="yellow"/>
        </w:rPr>
        <w:fldChar w:fldCharType="begin"/>
      </w:r>
      <w:r>
        <w:rPr>
          <w:highlight w:val="yellow"/>
        </w:rPr>
        <w:instrText xml:space="preserve"> TOC \o "1-7" \h \z \u </w:instrText>
      </w:r>
      <w:r>
        <w:rPr>
          <w:highlight w:val="yellow"/>
        </w:rPr>
        <w:fldChar w:fldCharType="separate"/>
      </w:r>
      <w:hyperlink w:anchor="_Toc207824505" w:history="1">
        <w:r w:rsidR="00A61285" w:rsidRPr="000C01C3">
          <w:rPr>
            <w:rStyle w:val="Hyperlink"/>
            <w:noProof/>
          </w:rPr>
          <w:t>Chapter 1:</w:t>
        </w:r>
        <w:r w:rsidR="00A61285">
          <w:rPr>
            <w:rFonts w:asciiTheme="minorHAnsi" w:hAnsiTheme="minorHAnsi" w:cstheme="minorBidi"/>
            <w:noProof/>
            <w:kern w:val="2"/>
            <w:szCs w:val="24"/>
            <w14:ligatures w14:val="standardContextual"/>
          </w:rPr>
          <w:tab/>
        </w:r>
        <w:r w:rsidR="00A61285" w:rsidRPr="000C01C3">
          <w:rPr>
            <w:rStyle w:val="Hyperlink"/>
            <w:noProof/>
          </w:rPr>
          <w:t>Introduction</w:t>
        </w:r>
        <w:r w:rsidR="00A61285">
          <w:rPr>
            <w:noProof/>
            <w:webHidden/>
          </w:rPr>
          <w:tab/>
        </w:r>
        <w:r w:rsidR="00A61285">
          <w:rPr>
            <w:noProof/>
            <w:webHidden/>
          </w:rPr>
          <w:fldChar w:fldCharType="begin"/>
        </w:r>
        <w:r w:rsidR="00A61285">
          <w:rPr>
            <w:noProof/>
            <w:webHidden/>
          </w:rPr>
          <w:instrText xml:space="preserve"> PAGEREF _Toc207824505 \h </w:instrText>
        </w:r>
        <w:r w:rsidR="00A61285">
          <w:rPr>
            <w:noProof/>
            <w:webHidden/>
          </w:rPr>
        </w:r>
        <w:r w:rsidR="00A61285">
          <w:rPr>
            <w:noProof/>
            <w:webHidden/>
          </w:rPr>
          <w:fldChar w:fldCharType="separate"/>
        </w:r>
        <w:r w:rsidR="00A61285">
          <w:rPr>
            <w:noProof/>
            <w:webHidden/>
          </w:rPr>
          <w:t>7</w:t>
        </w:r>
        <w:r w:rsidR="00A61285">
          <w:rPr>
            <w:noProof/>
            <w:webHidden/>
          </w:rPr>
          <w:fldChar w:fldCharType="end"/>
        </w:r>
      </w:hyperlink>
    </w:p>
    <w:p w14:paraId="787D01FA" w14:textId="4774E138" w:rsidR="00A61285" w:rsidRDefault="00A61285">
      <w:pPr>
        <w:pStyle w:val="TOC2"/>
        <w:rPr>
          <w:rFonts w:asciiTheme="minorHAnsi" w:hAnsiTheme="minorHAnsi" w:cstheme="minorBidi"/>
          <w:noProof/>
          <w:color w:val="auto"/>
          <w:kern w:val="2"/>
          <w:sz w:val="24"/>
          <w:szCs w:val="24"/>
          <w14:ligatures w14:val="standardContextual"/>
        </w:rPr>
      </w:pPr>
      <w:hyperlink w:anchor="_Toc207824506" w:history="1">
        <w:r w:rsidRPr="000C01C3">
          <w:rPr>
            <w:rStyle w:val="Hyperlink"/>
            <w:noProof/>
          </w:rPr>
          <w:t>1.1</w:t>
        </w:r>
        <w:r>
          <w:rPr>
            <w:rFonts w:asciiTheme="minorHAnsi" w:hAnsiTheme="minorHAnsi" w:cstheme="minorBidi"/>
            <w:noProof/>
            <w:color w:val="auto"/>
            <w:kern w:val="2"/>
            <w:sz w:val="24"/>
            <w:szCs w:val="24"/>
            <w14:ligatures w14:val="standardContextual"/>
          </w:rPr>
          <w:tab/>
        </w:r>
        <w:r w:rsidRPr="000C01C3">
          <w:rPr>
            <w:rStyle w:val="Hyperlink"/>
            <w:noProof/>
          </w:rPr>
          <w:t>Background</w:t>
        </w:r>
        <w:r>
          <w:rPr>
            <w:noProof/>
            <w:webHidden/>
          </w:rPr>
          <w:tab/>
        </w:r>
        <w:r>
          <w:rPr>
            <w:noProof/>
            <w:webHidden/>
          </w:rPr>
          <w:fldChar w:fldCharType="begin"/>
        </w:r>
        <w:r>
          <w:rPr>
            <w:noProof/>
            <w:webHidden/>
          </w:rPr>
          <w:instrText xml:space="preserve"> PAGEREF _Toc207824506 \h </w:instrText>
        </w:r>
        <w:r>
          <w:rPr>
            <w:noProof/>
            <w:webHidden/>
          </w:rPr>
        </w:r>
        <w:r>
          <w:rPr>
            <w:noProof/>
            <w:webHidden/>
          </w:rPr>
          <w:fldChar w:fldCharType="separate"/>
        </w:r>
        <w:r>
          <w:rPr>
            <w:noProof/>
            <w:webHidden/>
          </w:rPr>
          <w:t>7</w:t>
        </w:r>
        <w:r>
          <w:rPr>
            <w:noProof/>
            <w:webHidden/>
          </w:rPr>
          <w:fldChar w:fldCharType="end"/>
        </w:r>
      </w:hyperlink>
    </w:p>
    <w:p w14:paraId="6EC1DF09" w14:textId="5E6DB9E6" w:rsidR="00A61285" w:rsidRDefault="00A61285">
      <w:pPr>
        <w:pStyle w:val="TOC2"/>
        <w:rPr>
          <w:rFonts w:asciiTheme="minorHAnsi" w:hAnsiTheme="minorHAnsi" w:cstheme="minorBidi"/>
          <w:noProof/>
          <w:color w:val="auto"/>
          <w:kern w:val="2"/>
          <w:sz w:val="24"/>
          <w:szCs w:val="24"/>
          <w14:ligatures w14:val="standardContextual"/>
        </w:rPr>
      </w:pPr>
      <w:hyperlink w:anchor="_Toc207824507" w:history="1">
        <w:r w:rsidRPr="000C01C3">
          <w:rPr>
            <w:rStyle w:val="Hyperlink"/>
            <w:noProof/>
          </w:rPr>
          <w:t>1.2</w:t>
        </w:r>
        <w:r>
          <w:rPr>
            <w:rFonts w:asciiTheme="minorHAnsi" w:hAnsiTheme="minorHAnsi" w:cstheme="minorBidi"/>
            <w:noProof/>
            <w:color w:val="auto"/>
            <w:kern w:val="2"/>
            <w:sz w:val="24"/>
            <w:szCs w:val="24"/>
            <w14:ligatures w14:val="standardContextual"/>
          </w:rPr>
          <w:tab/>
        </w:r>
        <w:r w:rsidRPr="000C01C3">
          <w:rPr>
            <w:rStyle w:val="Hyperlink"/>
            <w:noProof/>
          </w:rPr>
          <w:t>Scope and objectives</w:t>
        </w:r>
        <w:r>
          <w:rPr>
            <w:noProof/>
            <w:webHidden/>
          </w:rPr>
          <w:tab/>
        </w:r>
        <w:r>
          <w:rPr>
            <w:noProof/>
            <w:webHidden/>
          </w:rPr>
          <w:fldChar w:fldCharType="begin"/>
        </w:r>
        <w:r>
          <w:rPr>
            <w:noProof/>
            <w:webHidden/>
          </w:rPr>
          <w:instrText xml:space="preserve"> PAGEREF _Toc207824507 \h </w:instrText>
        </w:r>
        <w:r>
          <w:rPr>
            <w:noProof/>
            <w:webHidden/>
          </w:rPr>
        </w:r>
        <w:r>
          <w:rPr>
            <w:noProof/>
            <w:webHidden/>
          </w:rPr>
          <w:fldChar w:fldCharType="separate"/>
        </w:r>
        <w:r>
          <w:rPr>
            <w:noProof/>
            <w:webHidden/>
          </w:rPr>
          <w:t>7</w:t>
        </w:r>
        <w:r>
          <w:rPr>
            <w:noProof/>
            <w:webHidden/>
          </w:rPr>
          <w:fldChar w:fldCharType="end"/>
        </w:r>
      </w:hyperlink>
    </w:p>
    <w:p w14:paraId="1E9648FE" w14:textId="2EFF1780" w:rsidR="00A61285" w:rsidRDefault="00A61285">
      <w:pPr>
        <w:pStyle w:val="TOC2"/>
        <w:rPr>
          <w:rFonts w:asciiTheme="minorHAnsi" w:hAnsiTheme="minorHAnsi" w:cstheme="minorBidi"/>
          <w:noProof/>
          <w:color w:val="auto"/>
          <w:kern w:val="2"/>
          <w:sz w:val="24"/>
          <w:szCs w:val="24"/>
          <w14:ligatures w14:val="standardContextual"/>
        </w:rPr>
      </w:pPr>
      <w:hyperlink w:anchor="_Toc207824508" w:history="1">
        <w:r w:rsidRPr="000C01C3">
          <w:rPr>
            <w:rStyle w:val="Hyperlink"/>
            <w:noProof/>
          </w:rPr>
          <w:t>1.3</w:t>
        </w:r>
        <w:r>
          <w:rPr>
            <w:rFonts w:asciiTheme="minorHAnsi" w:hAnsiTheme="minorHAnsi" w:cstheme="minorBidi"/>
            <w:noProof/>
            <w:color w:val="auto"/>
            <w:kern w:val="2"/>
            <w:sz w:val="24"/>
            <w:szCs w:val="24"/>
            <w14:ligatures w14:val="standardContextual"/>
          </w:rPr>
          <w:tab/>
        </w:r>
        <w:r w:rsidRPr="000C01C3">
          <w:rPr>
            <w:rStyle w:val="Hyperlink"/>
            <w:noProof/>
          </w:rPr>
          <w:t>Process overview</w:t>
        </w:r>
        <w:r>
          <w:rPr>
            <w:noProof/>
            <w:webHidden/>
          </w:rPr>
          <w:tab/>
        </w:r>
        <w:r>
          <w:rPr>
            <w:noProof/>
            <w:webHidden/>
          </w:rPr>
          <w:fldChar w:fldCharType="begin"/>
        </w:r>
        <w:r>
          <w:rPr>
            <w:noProof/>
            <w:webHidden/>
          </w:rPr>
          <w:instrText xml:space="preserve"> PAGEREF _Toc207824508 \h </w:instrText>
        </w:r>
        <w:r>
          <w:rPr>
            <w:noProof/>
            <w:webHidden/>
          </w:rPr>
        </w:r>
        <w:r>
          <w:rPr>
            <w:noProof/>
            <w:webHidden/>
          </w:rPr>
          <w:fldChar w:fldCharType="separate"/>
        </w:r>
        <w:r>
          <w:rPr>
            <w:noProof/>
            <w:webHidden/>
          </w:rPr>
          <w:t>10</w:t>
        </w:r>
        <w:r>
          <w:rPr>
            <w:noProof/>
            <w:webHidden/>
          </w:rPr>
          <w:fldChar w:fldCharType="end"/>
        </w:r>
      </w:hyperlink>
    </w:p>
    <w:p w14:paraId="067B0155" w14:textId="19FD149C" w:rsidR="00A61285" w:rsidRDefault="00A61285">
      <w:pPr>
        <w:pStyle w:val="TOC2"/>
        <w:rPr>
          <w:rFonts w:asciiTheme="minorHAnsi" w:hAnsiTheme="minorHAnsi" w:cstheme="minorBidi"/>
          <w:noProof/>
          <w:color w:val="auto"/>
          <w:kern w:val="2"/>
          <w:sz w:val="24"/>
          <w:szCs w:val="24"/>
          <w14:ligatures w14:val="standardContextual"/>
        </w:rPr>
      </w:pPr>
      <w:hyperlink w:anchor="_Toc207824509" w:history="1">
        <w:r w:rsidRPr="000C01C3">
          <w:rPr>
            <w:rStyle w:val="Hyperlink"/>
            <w:noProof/>
          </w:rPr>
          <w:t>1.4</w:t>
        </w:r>
        <w:r>
          <w:rPr>
            <w:rFonts w:asciiTheme="minorHAnsi" w:hAnsiTheme="minorHAnsi" w:cstheme="minorBidi"/>
            <w:noProof/>
            <w:color w:val="auto"/>
            <w:kern w:val="2"/>
            <w:sz w:val="24"/>
            <w:szCs w:val="24"/>
            <w14:ligatures w14:val="standardContextual"/>
          </w:rPr>
          <w:tab/>
        </w:r>
        <w:r w:rsidRPr="000C01C3">
          <w:rPr>
            <w:rStyle w:val="Hyperlink"/>
            <w:noProof/>
          </w:rPr>
          <w:t>Key reference sources</w:t>
        </w:r>
        <w:r>
          <w:rPr>
            <w:noProof/>
            <w:webHidden/>
          </w:rPr>
          <w:tab/>
        </w:r>
        <w:r>
          <w:rPr>
            <w:noProof/>
            <w:webHidden/>
          </w:rPr>
          <w:fldChar w:fldCharType="begin"/>
        </w:r>
        <w:r>
          <w:rPr>
            <w:noProof/>
            <w:webHidden/>
          </w:rPr>
          <w:instrText xml:space="preserve"> PAGEREF _Toc207824509 \h </w:instrText>
        </w:r>
        <w:r>
          <w:rPr>
            <w:noProof/>
            <w:webHidden/>
          </w:rPr>
        </w:r>
        <w:r>
          <w:rPr>
            <w:noProof/>
            <w:webHidden/>
          </w:rPr>
          <w:fldChar w:fldCharType="separate"/>
        </w:r>
        <w:r>
          <w:rPr>
            <w:noProof/>
            <w:webHidden/>
          </w:rPr>
          <w:t>11</w:t>
        </w:r>
        <w:r>
          <w:rPr>
            <w:noProof/>
            <w:webHidden/>
          </w:rPr>
          <w:fldChar w:fldCharType="end"/>
        </w:r>
      </w:hyperlink>
    </w:p>
    <w:p w14:paraId="37EED12D" w14:textId="7D2B80A5" w:rsidR="00A61285" w:rsidRDefault="00A61285">
      <w:pPr>
        <w:pStyle w:val="TOC2"/>
        <w:rPr>
          <w:rFonts w:asciiTheme="minorHAnsi" w:hAnsiTheme="minorHAnsi" w:cstheme="minorBidi"/>
          <w:noProof/>
          <w:color w:val="auto"/>
          <w:kern w:val="2"/>
          <w:sz w:val="24"/>
          <w:szCs w:val="24"/>
          <w14:ligatures w14:val="standardContextual"/>
        </w:rPr>
      </w:pPr>
      <w:hyperlink w:anchor="_Toc207824510" w:history="1">
        <w:r w:rsidRPr="000C01C3">
          <w:rPr>
            <w:rStyle w:val="Hyperlink"/>
            <w:noProof/>
          </w:rPr>
          <w:t>1.5</w:t>
        </w:r>
        <w:r>
          <w:rPr>
            <w:rFonts w:asciiTheme="minorHAnsi" w:hAnsiTheme="minorHAnsi" w:cstheme="minorBidi"/>
            <w:noProof/>
            <w:color w:val="auto"/>
            <w:kern w:val="2"/>
            <w:sz w:val="24"/>
            <w:szCs w:val="24"/>
            <w14:ligatures w14:val="standardContextual"/>
          </w:rPr>
          <w:tab/>
        </w:r>
        <w:r w:rsidRPr="000C01C3">
          <w:rPr>
            <w:rStyle w:val="Hyperlink"/>
            <w:noProof/>
          </w:rPr>
          <w:t>Governance</w:t>
        </w:r>
        <w:r>
          <w:rPr>
            <w:noProof/>
            <w:webHidden/>
          </w:rPr>
          <w:tab/>
        </w:r>
        <w:r>
          <w:rPr>
            <w:noProof/>
            <w:webHidden/>
          </w:rPr>
          <w:fldChar w:fldCharType="begin"/>
        </w:r>
        <w:r>
          <w:rPr>
            <w:noProof/>
            <w:webHidden/>
          </w:rPr>
          <w:instrText xml:space="preserve"> PAGEREF _Toc207824510 \h </w:instrText>
        </w:r>
        <w:r>
          <w:rPr>
            <w:noProof/>
            <w:webHidden/>
          </w:rPr>
        </w:r>
        <w:r>
          <w:rPr>
            <w:noProof/>
            <w:webHidden/>
          </w:rPr>
          <w:fldChar w:fldCharType="separate"/>
        </w:r>
        <w:r>
          <w:rPr>
            <w:noProof/>
            <w:webHidden/>
          </w:rPr>
          <w:t>12</w:t>
        </w:r>
        <w:r>
          <w:rPr>
            <w:noProof/>
            <w:webHidden/>
          </w:rPr>
          <w:fldChar w:fldCharType="end"/>
        </w:r>
      </w:hyperlink>
    </w:p>
    <w:p w14:paraId="5FDB8722" w14:textId="77AE1C4E" w:rsidR="00A61285" w:rsidRDefault="00A61285">
      <w:pPr>
        <w:pStyle w:val="TOC3"/>
        <w:rPr>
          <w:rFonts w:asciiTheme="minorHAnsi" w:hAnsiTheme="minorHAnsi" w:cstheme="minorBidi"/>
          <w:color w:val="auto"/>
          <w:kern w:val="2"/>
          <w:sz w:val="24"/>
          <w:szCs w:val="24"/>
          <w14:ligatures w14:val="standardContextual"/>
        </w:rPr>
      </w:pPr>
      <w:hyperlink w:anchor="_Toc207824511" w:history="1">
        <w:r w:rsidRPr="000C01C3">
          <w:rPr>
            <w:rStyle w:val="Hyperlink"/>
          </w:rPr>
          <w:t>1.5.1</w:t>
        </w:r>
        <w:r>
          <w:rPr>
            <w:rFonts w:asciiTheme="minorHAnsi" w:hAnsiTheme="minorHAnsi" w:cstheme="minorBidi"/>
            <w:color w:val="auto"/>
            <w:kern w:val="2"/>
            <w:sz w:val="24"/>
            <w:szCs w:val="24"/>
            <w14:ligatures w14:val="standardContextual"/>
          </w:rPr>
          <w:tab/>
        </w:r>
        <w:r w:rsidRPr="000C01C3">
          <w:rPr>
            <w:rStyle w:val="Hyperlink"/>
          </w:rPr>
          <w:t>Steering Group</w:t>
        </w:r>
        <w:r>
          <w:rPr>
            <w:webHidden/>
          </w:rPr>
          <w:tab/>
        </w:r>
        <w:r>
          <w:rPr>
            <w:webHidden/>
          </w:rPr>
          <w:fldChar w:fldCharType="begin"/>
        </w:r>
        <w:r>
          <w:rPr>
            <w:webHidden/>
          </w:rPr>
          <w:instrText xml:space="preserve"> PAGEREF _Toc207824511 \h </w:instrText>
        </w:r>
        <w:r>
          <w:rPr>
            <w:webHidden/>
          </w:rPr>
        </w:r>
        <w:r>
          <w:rPr>
            <w:webHidden/>
          </w:rPr>
          <w:fldChar w:fldCharType="separate"/>
        </w:r>
        <w:r>
          <w:rPr>
            <w:webHidden/>
          </w:rPr>
          <w:t>12</w:t>
        </w:r>
        <w:r>
          <w:rPr>
            <w:webHidden/>
          </w:rPr>
          <w:fldChar w:fldCharType="end"/>
        </w:r>
      </w:hyperlink>
    </w:p>
    <w:p w14:paraId="03DC10C0" w14:textId="00A56DD2" w:rsidR="00A61285" w:rsidRDefault="00A61285">
      <w:pPr>
        <w:pStyle w:val="TOC3"/>
        <w:rPr>
          <w:rFonts w:asciiTheme="minorHAnsi" w:hAnsiTheme="minorHAnsi" w:cstheme="minorBidi"/>
          <w:color w:val="auto"/>
          <w:kern w:val="2"/>
          <w:sz w:val="24"/>
          <w:szCs w:val="24"/>
          <w14:ligatures w14:val="standardContextual"/>
        </w:rPr>
      </w:pPr>
      <w:hyperlink w:anchor="_Toc207824512" w:history="1">
        <w:r w:rsidRPr="000C01C3">
          <w:rPr>
            <w:rStyle w:val="Hyperlink"/>
          </w:rPr>
          <w:t>1.5.2</w:t>
        </w:r>
        <w:r>
          <w:rPr>
            <w:rFonts w:asciiTheme="minorHAnsi" w:hAnsiTheme="minorHAnsi" w:cstheme="minorBidi"/>
            <w:color w:val="auto"/>
            <w:kern w:val="2"/>
            <w:sz w:val="24"/>
            <w:szCs w:val="24"/>
            <w14:ligatures w14:val="standardContextual"/>
          </w:rPr>
          <w:tab/>
        </w:r>
        <w:r w:rsidRPr="000C01C3">
          <w:rPr>
            <w:rStyle w:val="Hyperlink"/>
          </w:rPr>
          <w:t>NHMRC</w:t>
        </w:r>
        <w:r>
          <w:rPr>
            <w:webHidden/>
          </w:rPr>
          <w:tab/>
        </w:r>
        <w:r>
          <w:rPr>
            <w:webHidden/>
          </w:rPr>
          <w:fldChar w:fldCharType="begin"/>
        </w:r>
        <w:r>
          <w:rPr>
            <w:webHidden/>
          </w:rPr>
          <w:instrText xml:space="preserve"> PAGEREF _Toc207824512 \h </w:instrText>
        </w:r>
        <w:r>
          <w:rPr>
            <w:webHidden/>
          </w:rPr>
        </w:r>
        <w:r>
          <w:rPr>
            <w:webHidden/>
          </w:rPr>
          <w:fldChar w:fldCharType="separate"/>
        </w:r>
        <w:r>
          <w:rPr>
            <w:webHidden/>
          </w:rPr>
          <w:t>12</w:t>
        </w:r>
        <w:r>
          <w:rPr>
            <w:webHidden/>
          </w:rPr>
          <w:fldChar w:fldCharType="end"/>
        </w:r>
      </w:hyperlink>
    </w:p>
    <w:p w14:paraId="2C7B50B8" w14:textId="0057D4D8" w:rsidR="00A61285" w:rsidRDefault="00A61285">
      <w:pPr>
        <w:pStyle w:val="TOC3"/>
        <w:rPr>
          <w:rFonts w:asciiTheme="minorHAnsi" w:hAnsiTheme="minorHAnsi" w:cstheme="minorBidi"/>
          <w:color w:val="auto"/>
          <w:kern w:val="2"/>
          <w:sz w:val="24"/>
          <w:szCs w:val="24"/>
          <w14:ligatures w14:val="standardContextual"/>
        </w:rPr>
      </w:pPr>
      <w:hyperlink w:anchor="_Toc207824513" w:history="1">
        <w:r w:rsidRPr="000C01C3">
          <w:rPr>
            <w:rStyle w:val="Hyperlink"/>
          </w:rPr>
          <w:t>1.5.3</w:t>
        </w:r>
        <w:r>
          <w:rPr>
            <w:rFonts w:asciiTheme="minorHAnsi" w:hAnsiTheme="minorHAnsi" w:cstheme="minorBidi"/>
            <w:color w:val="auto"/>
            <w:kern w:val="2"/>
            <w:sz w:val="24"/>
            <w:szCs w:val="24"/>
            <w14:ligatures w14:val="standardContextual"/>
          </w:rPr>
          <w:tab/>
        </w:r>
        <w:r w:rsidRPr="000C01C3">
          <w:rPr>
            <w:rStyle w:val="Hyperlink"/>
          </w:rPr>
          <w:t>Council and committees</w:t>
        </w:r>
        <w:r>
          <w:rPr>
            <w:webHidden/>
          </w:rPr>
          <w:tab/>
        </w:r>
        <w:r>
          <w:rPr>
            <w:webHidden/>
          </w:rPr>
          <w:fldChar w:fldCharType="begin"/>
        </w:r>
        <w:r>
          <w:rPr>
            <w:webHidden/>
          </w:rPr>
          <w:instrText xml:space="preserve"> PAGEREF _Toc207824513 \h </w:instrText>
        </w:r>
        <w:r>
          <w:rPr>
            <w:webHidden/>
          </w:rPr>
        </w:r>
        <w:r>
          <w:rPr>
            <w:webHidden/>
          </w:rPr>
          <w:fldChar w:fldCharType="separate"/>
        </w:r>
        <w:r>
          <w:rPr>
            <w:webHidden/>
          </w:rPr>
          <w:t>12</w:t>
        </w:r>
        <w:r>
          <w:rPr>
            <w:webHidden/>
          </w:rPr>
          <w:fldChar w:fldCharType="end"/>
        </w:r>
      </w:hyperlink>
    </w:p>
    <w:p w14:paraId="11D47AD0" w14:textId="735ED8C8" w:rsidR="00A61285" w:rsidRDefault="00A61285">
      <w:pPr>
        <w:pStyle w:val="TOC4"/>
        <w:rPr>
          <w:rFonts w:asciiTheme="minorHAnsi" w:hAnsiTheme="minorHAnsi" w:cstheme="minorBidi"/>
          <w:noProof/>
          <w:color w:val="auto"/>
          <w:kern w:val="2"/>
          <w:sz w:val="24"/>
          <w:szCs w:val="24"/>
          <w14:ligatures w14:val="standardContextual"/>
        </w:rPr>
      </w:pPr>
      <w:hyperlink w:anchor="_Toc207824514" w:history="1">
        <w:r w:rsidRPr="000C01C3">
          <w:rPr>
            <w:rStyle w:val="Hyperlink"/>
            <w:noProof/>
          </w:rPr>
          <w:t>1.5.3.1</w:t>
        </w:r>
        <w:r>
          <w:rPr>
            <w:rFonts w:asciiTheme="minorHAnsi" w:hAnsiTheme="minorHAnsi" w:cstheme="minorBidi"/>
            <w:noProof/>
            <w:color w:val="auto"/>
            <w:kern w:val="2"/>
            <w:sz w:val="24"/>
            <w:szCs w:val="24"/>
            <w14:ligatures w14:val="standardContextual"/>
          </w:rPr>
          <w:tab/>
        </w:r>
        <w:r w:rsidRPr="000C01C3">
          <w:rPr>
            <w:rStyle w:val="Hyperlink"/>
            <w:noProof/>
          </w:rPr>
          <w:t>Council of NHMRC</w:t>
        </w:r>
        <w:r>
          <w:rPr>
            <w:noProof/>
            <w:webHidden/>
          </w:rPr>
          <w:tab/>
        </w:r>
        <w:r>
          <w:rPr>
            <w:noProof/>
            <w:webHidden/>
          </w:rPr>
          <w:fldChar w:fldCharType="begin"/>
        </w:r>
        <w:r>
          <w:rPr>
            <w:noProof/>
            <w:webHidden/>
          </w:rPr>
          <w:instrText xml:space="preserve"> PAGEREF _Toc207824514 \h </w:instrText>
        </w:r>
        <w:r>
          <w:rPr>
            <w:noProof/>
            <w:webHidden/>
          </w:rPr>
        </w:r>
        <w:r>
          <w:rPr>
            <w:noProof/>
            <w:webHidden/>
          </w:rPr>
          <w:fldChar w:fldCharType="separate"/>
        </w:r>
        <w:r>
          <w:rPr>
            <w:noProof/>
            <w:webHidden/>
          </w:rPr>
          <w:t>12</w:t>
        </w:r>
        <w:r>
          <w:rPr>
            <w:noProof/>
            <w:webHidden/>
          </w:rPr>
          <w:fldChar w:fldCharType="end"/>
        </w:r>
      </w:hyperlink>
    </w:p>
    <w:p w14:paraId="1F783A7B" w14:textId="1EA04D0D" w:rsidR="00A61285" w:rsidRDefault="00A61285">
      <w:pPr>
        <w:pStyle w:val="TOC4"/>
        <w:tabs>
          <w:tab w:val="left" w:pos="1135"/>
        </w:tabs>
        <w:rPr>
          <w:rFonts w:asciiTheme="minorHAnsi" w:hAnsiTheme="minorHAnsi" w:cstheme="minorBidi"/>
          <w:noProof/>
          <w:color w:val="auto"/>
          <w:kern w:val="2"/>
          <w:sz w:val="24"/>
          <w:szCs w:val="24"/>
          <w14:ligatures w14:val="standardContextual"/>
        </w:rPr>
      </w:pPr>
      <w:hyperlink w:anchor="_Toc207824515" w:history="1">
        <w:r w:rsidRPr="000C01C3">
          <w:rPr>
            <w:rStyle w:val="Hyperlink"/>
            <w:noProof/>
          </w:rPr>
          <w:t>1.5.3.2</w:t>
        </w:r>
        <w:r>
          <w:rPr>
            <w:rFonts w:asciiTheme="minorHAnsi" w:hAnsiTheme="minorHAnsi" w:cstheme="minorBidi"/>
            <w:noProof/>
            <w:color w:val="auto"/>
            <w:kern w:val="2"/>
            <w:sz w:val="24"/>
            <w:szCs w:val="24"/>
            <w14:ligatures w14:val="standardContextual"/>
          </w:rPr>
          <w:tab/>
        </w:r>
        <w:r w:rsidRPr="000C01C3">
          <w:rPr>
            <w:rStyle w:val="Hyperlink"/>
            <w:noProof/>
          </w:rPr>
          <w:t>Section 39 Committees</w:t>
        </w:r>
        <w:r>
          <w:rPr>
            <w:noProof/>
            <w:webHidden/>
          </w:rPr>
          <w:tab/>
        </w:r>
        <w:r>
          <w:rPr>
            <w:noProof/>
            <w:webHidden/>
          </w:rPr>
          <w:fldChar w:fldCharType="begin"/>
        </w:r>
        <w:r>
          <w:rPr>
            <w:noProof/>
            <w:webHidden/>
          </w:rPr>
          <w:instrText xml:space="preserve"> PAGEREF _Toc207824515 \h </w:instrText>
        </w:r>
        <w:r>
          <w:rPr>
            <w:noProof/>
            <w:webHidden/>
          </w:rPr>
        </w:r>
        <w:r>
          <w:rPr>
            <w:noProof/>
            <w:webHidden/>
          </w:rPr>
          <w:fldChar w:fldCharType="separate"/>
        </w:r>
        <w:r>
          <w:rPr>
            <w:noProof/>
            <w:webHidden/>
          </w:rPr>
          <w:t>13</w:t>
        </w:r>
        <w:r>
          <w:rPr>
            <w:noProof/>
            <w:webHidden/>
          </w:rPr>
          <w:fldChar w:fldCharType="end"/>
        </w:r>
      </w:hyperlink>
    </w:p>
    <w:p w14:paraId="62684E02" w14:textId="7704B390" w:rsidR="00A61285" w:rsidRDefault="00A61285">
      <w:pPr>
        <w:pStyle w:val="TOC5"/>
        <w:rPr>
          <w:rFonts w:asciiTheme="minorHAnsi" w:hAnsiTheme="minorHAnsi"/>
          <w:sz w:val="24"/>
          <w:szCs w:val="24"/>
          <w14:ligatures w14:val="standardContextual"/>
        </w:rPr>
      </w:pPr>
      <w:hyperlink w:anchor="_Toc207824516" w:history="1">
        <w:r w:rsidRPr="000C01C3">
          <w:rPr>
            <w:rStyle w:val="Hyperlink"/>
          </w:rPr>
          <w:t>1.5.3.2.1</w:t>
        </w:r>
        <w:r>
          <w:rPr>
            <w:rFonts w:asciiTheme="minorHAnsi" w:hAnsiTheme="minorHAnsi"/>
            <w:sz w:val="24"/>
            <w:szCs w:val="24"/>
            <w14:ligatures w14:val="standardContextual"/>
          </w:rPr>
          <w:tab/>
        </w:r>
        <w:r w:rsidRPr="000C01C3">
          <w:rPr>
            <w:rStyle w:val="Hyperlink"/>
          </w:rPr>
          <w:t>Steering Group Advisory Committee</w:t>
        </w:r>
        <w:r>
          <w:rPr>
            <w:webHidden/>
          </w:rPr>
          <w:tab/>
        </w:r>
        <w:r>
          <w:rPr>
            <w:webHidden/>
          </w:rPr>
          <w:fldChar w:fldCharType="begin"/>
        </w:r>
        <w:r>
          <w:rPr>
            <w:webHidden/>
          </w:rPr>
          <w:instrText xml:space="preserve"> PAGEREF _Toc207824516 \h </w:instrText>
        </w:r>
        <w:r>
          <w:rPr>
            <w:webHidden/>
          </w:rPr>
        </w:r>
        <w:r>
          <w:rPr>
            <w:webHidden/>
          </w:rPr>
          <w:fldChar w:fldCharType="separate"/>
        </w:r>
        <w:r>
          <w:rPr>
            <w:webHidden/>
          </w:rPr>
          <w:t>13</w:t>
        </w:r>
        <w:r>
          <w:rPr>
            <w:webHidden/>
          </w:rPr>
          <w:fldChar w:fldCharType="end"/>
        </w:r>
      </w:hyperlink>
    </w:p>
    <w:p w14:paraId="56858DF3" w14:textId="0EF05A9B" w:rsidR="00A61285" w:rsidRDefault="00A61285">
      <w:pPr>
        <w:pStyle w:val="TOC5"/>
        <w:rPr>
          <w:rFonts w:asciiTheme="minorHAnsi" w:hAnsiTheme="minorHAnsi"/>
          <w:sz w:val="24"/>
          <w:szCs w:val="24"/>
          <w14:ligatures w14:val="standardContextual"/>
        </w:rPr>
      </w:pPr>
      <w:hyperlink w:anchor="_Toc207824517" w:history="1">
        <w:r w:rsidRPr="000C01C3">
          <w:rPr>
            <w:rStyle w:val="Hyperlink"/>
          </w:rPr>
          <w:t>1.5.3.2.2</w:t>
        </w:r>
        <w:r>
          <w:rPr>
            <w:rFonts w:asciiTheme="minorHAnsi" w:hAnsiTheme="minorHAnsi"/>
            <w:sz w:val="24"/>
            <w:szCs w:val="24"/>
            <w14:ligatures w14:val="standardContextual"/>
          </w:rPr>
          <w:tab/>
        </w:r>
        <w:r w:rsidRPr="000C01C3">
          <w:rPr>
            <w:rStyle w:val="Hyperlink"/>
          </w:rPr>
          <w:t>Nutrient-specific expert working groups</w:t>
        </w:r>
        <w:r>
          <w:rPr>
            <w:webHidden/>
          </w:rPr>
          <w:tab/>
        </w:r>
        <w:r>
          <w:rPr>
            <w:webHidden/>
          </w:rPr>
          <w:fldChar w:fldCharType="begin"/>
        </w:r>
        <w:r>
          <w:rPr>
            <w:webHidden/>
          </w:rPr>
          <w:instrText xml:space="preserve"> PAGEREF _Toc207824517 \h </w:instrText>
        </w:r>
        <w:r>
          <w:rPr>
            <w:webHidden/>
          </w:rPr>
        </w:r>
        <w:r>
          <w:rPr>
            <w:webHidden/>
          </w:rPr>
          <w:fldChar w:fldCharType="separate"/>
        </w:r>
        <w:r>
          <w:rPr>
            <w:webHidden/>
          </w:rPr>
          <w:t>13</w:t>
        </w:r>
        <w:r>
          <w:rPr>
            <w:webHidden/>
          </w:rPr>
          <w:fldChar w:fldCharType="end"/>
        </w:r>
      </w:hyperlink>
    </w:p>
    <w:p w14:paraId="5CA37A58" w14:textId="1F18D8FF" w:rsidR="00A61285" w:rsidRDefault="00A61285">
      <w:pPr>
        <w:pStyle w:val="TOC3"/>
        <w:rPr>
          <w:rFonts w:asciiTheme="minorHAnsi" w:hAnsiTheme="minorHAnsi" w:cstheme="minorBidi"/>
          <w:color w:val="auto"/>
          <w:kern w:val="2"/>
          <w:sz w:val="24"/>
          <w:szCs w:val="24"/>
          <w14:ligatures w14:val="standardContextual"/>
        </w:rPr>
      </w:pPr>
      <w:hyperlink w:anchor="_Toc207824518" w:history="1">
        <w:r w:rsidRPr="000C01C3">
          <w:rPr>
            <w:rStyle w:val="Hyperlink"/>
          </w:rPr>
          <w:t>1.5.4</w:t>
        </w:r>
        <w:r>
          <w:rPr>
            <w:rFonts w:asciiTheme="minorHAnsi" w:hAnsiTheme="minorHAnsi" w:cstheme="minorBidi"/>
            <w:color w:val="auto"/>
            <w:kern w:val="2"/>
            <w:sz w:val="24"/>
            <w:szCs w:val="24"/>
            <w14:ligatures w14:val="standardContextual"/>
          </w:rPr>
          <w:tab/>
        </w:r>
        <w:r w:rsidRPr="000C01C3">
          <w:rPr>
            <w:rStyle w:val="Hyperlink"/>
          </w:rPr>
          <w:t>Governing standards for guideline development</w:t>
        </w:r>
        <w:r>
          <w:rPr>
            <w:webHidden/>
          </w:rPr>
          <w:tab/>
        </w:r>
        <w:r>
          <w:rPr>
            <w:webHidden/>
          </w:rPr>
          <w:fldChar w:fldCharType="begin"/>
        </w:r>
        <w:r>
          <w:rPr>
            <w:webHidden/>
          </w:rPr>
          <w:instrText xml:space="preserve"> PAGEREF _Toc207824518 \h </w:instrText>
        </w:r>
        <w:r>
          <w:rPr>
            <w:webHidden/>
          </w:rPr>
        </w:r>
        <w:r>
          <w:rPr>
            <w:webHidden/>
          </w:rPr>
          <w:fldChar w:fldCharType="separate"/>
        </w:r>
        <w:r>
          <w:rPr>
            <w:webHidden/>
          </w:rPr>
          <w:t>13</w:t>
        </w:r>
        <w:r>
          <w:rPr>
            <w:webHidden/>
          </w:rPr>
          <w:fldChar w:fldCharType="end"/>
        </w:r>
      </w:hyperlink>
    </w:p>
    <w:p w14:paraId="06995E5C" w14:textId="77878A36" w:rsidR="00A61285" w:rsidRDefault="00A61285">
      <w:pPr>
        <w:pStyle w:val="TOC3"/>
        <w:rPr>
          <w:rFonts w:asciiTheme="minorHAnsi" w:hAnsiTheme="minorHAnsi" w:cstheme="minorBidi"/>
          <w:color w:val="auto"/>
          <w:kern w:val="2"/>
          <w:sz w:val="24"/>
          <w:szCs w:val="24"/>
          <w14:ligatures w14:val="standardContextual"/>
        </w:rPr>
      </w:pPr>
      <w:hyperlink w:anchor="_Toc207824519" w:history="1">
        <w:r w:rsidRPr="000C01C3">
          <w:rPr>
            <w:rStyle w:val="Hyperlink"/>
          </w:rPr>
          <w:t>1.5.5</w:t>
        </w:r>
        <w:r>
          <w:rPr>
            <w:rFonts w:asciiTheme="minorHAnsi" w:hAnsiTheme="minorHAnsi" w:cstheme="minorBidi"/>
            <w:color w:val="auto"/>
            <w:kern w:val="2"/>
            <w:sz w:val="24"/>
            <w:szCs w:val="24"/>
            <w14:ligatures w14:val="standardContextual"/>
          </w:rPr>
          <w:tab/>
        </w:r>
        <w:r w:rsidRPr="000C01C3">
          <w:rPr>
            <w:rStyle w:val="Hyperlink"/>
          </w:rPr>
          <w:t>Independent third-party review processes</w:t>
        </w:r>
        <w:r>
          <w:rPr>
            <w:webHidden/>
          </w:rPr>
          <w:tab/>
        </w:r>
        <w:r>
          <w:rPr>
            <w:webHidden/>
          </w:rPr>
          <w:fldChar w:fldCharType="begin"/>
        </w:r>
        <w:r>
          <w:rPr>
            <w:webHidden/>
          </w:rPr>
          <w:instrText xml:space="preserve"> PAGEREF _Toc207824519 \h </w:instrText>
        </w:r>
        <w:r>
          <w:rPr>
            <w:webHidden/>
          </w:rPr>
        </w:r>
        <w:r>
          <w:rPr>
            <w:webHidden/>
          </w:rPr>
          <w:fldChar w:fldCharType="separate"/>
        </w:r>
        <w:r>
          <w:rPr>
            <w:webHidden/>
          </w:rPr>
          <w:t>13</w:t>
        </w:r>
        <w:r>
          <w:rPr>
            <w:webHidden/>
          </w:rPr>
          <w:fldChar w:fldCharType="end"/>
        </w:r>
      </w:hyperlink>
    </w:p>
    <w:p w14:paraId="44C5A179" w14:textId="7014C712" w:rsidR="00A61285" w:rsidRDefault="00A61285">
      <w:pPr>
        <w:pStyle w:val="TOC4"/>
        <w:rPr>
          <w:rFonts w:asciiTheme="minorHAnsi" w:hAnsiTheme="minorHAnsi" w:cstheme="minorBidi"/>
          <w:noProof/>
          <w:color w:val="auto"/>
          <w:kern w:val="2"/>
          <w:sz w:val="24"/>
          <w:szCs w:val="24"/>
          <w14:ligatures w14:val="standardContextual"/>
        </w:rPr>
      </w:pPr>
      <w:hyperlink w:anchor="_Toc207824520" w:history="1">
        <w:r w:rsidRPr="000C01C3">
          <w:rPr>
            <w:rStyle w:val="Hyperlink"/>
            <w:noProof/>
          </w:rPr>
          <w:t>1.5.5.1</w:t>
        </w:r>
        <w:r>
          <w:rPr>
            <w:rFonts w:asciiTheme="minorHAnsi" w:hAnsiTheme="minorHAnsi" w:cstheme="minorBidi"/>
            <w:noProof/>
            <w:color w:val="auto"/>
            <w:kern w:val="2"/>
            <w:sz w:val="24"/>
            <w:szCs w:val="24"/>
            <w14:ligatures w14:val="standardContextual"/>
          </w:rPr>
          <w:tab/>
        </w:r>
        <w:r w:rsidRPr="000C01C3">
          <w:rPr>
            <w:rStyle w:val="Hyperlink"/>
            <w:noProof/>
          </w:rPr>
          <w:t>Methodological review</w:t>
        </w:r>
        <w:r>
          <w:rPr>
            <w:noProof/>
            <w:webHidden/>
          </w:rPr>
          <w:tab/>
        </w:r>
        <w:r>
          <w:rPr>
            <w:noProof/>
            <w:webHidden/>
          </w:rPr>
          <w:fldChar w:fldCharType="begin"/>
        </w:r>
        <w:r>
          <w:rPr>
            <w:noProof/>
            <w:webHidden/>
          </w:rPr>
          <w:instrText xml:space="preserve"> PAGEREF _Toc207824520 \h </w:instrText>
        </w:r>
        <w:r>
          <w:rPr>
            <w:noProof/>
            <w:webHidden/>
          </w:rPr>
        </w:r>
        <w:r>
          <w:rPr>
            <w:noProof/>
            <w:webHidden/>
          </w:rPr>
          <w:fldChar w:fldCharType="separate"/>
        </w:r>
        <w:r>
          <w:rPr>
            <w:noProof/>
            <w:webHidden/>
          </w:rPr>
          <w:t>13</w:t>
        </w:r>
        <w:r>
          <w:rPr>
            <w:noProof/>
            <w:webHidden/>
          </w:rPr>
          <w:fldChar w:fldCharType="end"/>
        </w:r>
      </w:hyperlink>
    </w:p>
    <w:p w14:paraId="6CD085AE" w14:textId="11E671FB" w:rsidR="00A61285" w:rsidRDefault="00A61285">
      <w:pPr>
        <w:pStyle w:val="TOC4"/>
        <w:tabs>
          <w:tab w:val="left" w:pos="1135"/>
        </w:tabs>
        <w:rPr>
          <w:rFonts w:asciiTheme="minorHAnsi" w:hAnsiTheme="minorHAnsi" w:cstheme="minorBidi"/>
          <w:noProof/>
          <w:color w:val="auto"/>
          <w:kern w:val="2"/>
          <w:sz w:val="24"/>
          <w:szCs w:val="24"/>
          <w14:ligatures w14:val="standardContextual"/>
        </w:rPr>
      </w:pPr>
      <w:hyperlink w:anchor="_Toc207824521" w:history="1">
        <w:r w:rsidRPr="000C01C3">
          <w:rPr>
            <w:rStyle w:val="Hyperlink"/>
            <w:noProof/>
          </w:rPr>
          <w:t>1.5.5.2</w:t>
        </w:r>
        <w:r>
          <w:rPr>
            <w:rFonts w:asciiTheme="minorHAnsi" w:hAnsiTheme="minorHAnsi" w:cstheme="minorBidi"/>
            <w:noProof/>
            <w:color w:val="auto"/>
            <w:kern w:val="2"/>
            <w:sz w:val="24"/>
            <w:szCs w:val="24"/>
            <w14:ligatures w14:val="standardContextual"/>
          </w:rPr>
          <w:tab/>
        </w:r>
        <w:r w:rsidRPr="000C01C3">
          <w:rPr>
            <w:rStyle w:val="Hyperlink"/>
            <w:noProof/>
          </w:rPr>
          <w:t>Expert review</w:t>
        </w:r>
        <w:r>
          <w:rPr>
            <w:noProof/>
            <w:webHidden/>
          </w:rPr>
          <w:tab/>
        </w:r>
        <w:r>
          <w:rPr>
            <w:noProof/>
            <w:webHidden/>
          </w:rPr>
          <w:fldChar w:fldCharType="begin"/>
        </w:r>
        <w:r>
          <w:rPr>
            <w:noProof/>
            <w:webHidden/>
          </w:rPr>
          <w:instrText xml:space="preserve"> PAGEREF _Toc207824521 \h </w:instrText>
        </w:r>
        <w:r>
          <w:rPr>
            <w:noProof/>
            <w:webHidden/>
          </w:rPr>
        </w:r>
        <w:r>
          <w:rPr>
            <w:noProof/>
            <w:webHidden/>
          </w:rPr>
          <w:fldChar w:fldCharType="separate"/>
        </w:r>
        <w:r>
          <w:rPr>
            <w:noProof/>
            <w:webHidden/>
          </w:rPr>
          <w:t>14</w:t>
        </w:r>
        <w:r>
          <w:rPr>
            <w:noProof/>
            <w:webHidden/>
          </w:rPr>
          <w:fldChar w:fldCharType="end"/>
        </w:r>
      </w:hyperlink>
    </w:p>
    <w:p w14:paraId="16A5658A" w14:textId="74D974D8" w:rsidR="00A61285" w:rsidRDefault="00A61285">
      <w:pPr>
        <w:pStyle w:val="TOC3"/>
        <w:rPr>
          <w:rFonts w:asciiTheme="minorHAnsi" w:hAnsiTheme="minorHAnsi" w:cstheme="minorBidi"/>
          <w:color w:val="auto"/>
          <w:kern w:val="2"/>
          <w:sz w:val="24"/>
          <w:szCs w:val="24"/>
          <w14:ligatures w14:val="standardContextual"/>
        </w:rPr>
      </w:pPr>
      <w:hyperlink w:anchor="_Toc207824522" w:history="1">
        <w:r w:rsidRPr="000C01C3">
          <w:rPr>
            <w:rStyle w:val="Hyperlink"/>
          </w:rPr>
          <w:t>1.5.6</w:t>
        </w:r>
        <w:r>
          <w:rPr>
            <w:rFonts w:asciiTheme="minorHAnsi" w:hAnsiTheme="minorHAnsi" w:cstheme="minorBidi"/>
            <w:color w:val="auto"/>
            <w:kern w:val="2"/>
            <w:sz w:val="24"/>
            <w:szCs w:val="24"/>
            <w14:ligatures w14:val="standardContextual"/>
          </w:rPr>
          <w:tab/>
        </w:r>
        <w:r w:rsidRPr="000C01C3">
          <w:rPr>
            <w:rStyle w:val="Hyperlink"/>
          </w:rPr>
          <w:t>Public consultation</w:t>
        </w:r>
        <w:r>
          <w:rPr>
            <w:webHidden/>
          </w:rPr>
          <w:tab/>
        </w:r>
        <w:r>
          <w:rPr>
            <w:webHidden/>
          </w:rPr>
          <w:fldChar w:fldCharType="begin"/>
        </w:r>
        <w:r>
          <w:rPr>
            <w:webHidden/>
          </w:rPr>
          <w:instrText xml:space="preserve"> PAGEREF _Toc207824522 \h </w:instrText>
        </w:r>
        <w:r>
          <w:rPr>
            <w:webHidden/>
          </w:rPr>
        </w:r>
        <w:r>
          <w:rPr>
            <w:webHidden/>
          </w:rPr>
          <w:fldChar w:fldCharType="separate"/>
        </w:r>
        <w:r>
          <w:rPr>
            <w:webHidden/>
          </w:rPr>
          <w:t>14</w:t>
        </w:r>
        <w:r>
          <w:rPr>
            <w:webHidden/>
          </w:rPr>
          <w:fldChar w:fldCharType="end"/>
        </w:r>
      </w:hyperlink>
    </w:p>
    <w:p w14:paraId="62352663" w14:textId="0C322F72" w:rsidR="00A61285" w:rsidRDefault="00A61285">
      <w:pPr>
        <w:pStyle w:val="TOC3"/>
        <w:rPr>
          <w:rFonts w:asciiTheme="minorHAnsi" w:hAnsiTheme="minorHAnsi" w:cstheme="minorBidi"/>
          <w:color w:val="auto"/>
          <w:kern w:val="2"/>
          <w:sz w:val="24"/>
          <w:szCs w:val="24"/>
          <w14:ligatures w14:val="standardContextual"/>
        </w:rPr>
      </w:pPr>
      <w:hyperlink w:anchor="_Toc207824523" w:history="1">
        <w:r w:rsidRPr="000C01C3">
          <w:rPr>
            <w:rStyle w:val="Hyperlink"/>
          </w:rPr>
          <w:t>1.5.7</w:t>
        </w:r>
        <w:r>
          <w:rPr>
            <w:rFonts w:asciiTheme="minorHAnsi" w:hAnsiTheme="minorHAnsi" w:cstheme="minorBidi"/>
            <w:color w:val="auto"/>
            <w:kern w:val="2"/>
            <w:sz w:val="24"/>
            <w:szCs w:val="24"/>
            <w14:ligatures w14:val="standardContextual"/>
          </w:rPr>
          <w:tab/>
        </w:r>
        <w:r w:rsidRPr="000C01C3">
          <w:rPr>
            <w:rStyle w:val="Hyperlink"/>
          </w:rPr>
          <w:t>Managing interests</w:t>
        </w:r>
        <w:r>
          <w:rPr>
            <w:webHidden/>
          </w:rPr>
          <w:tab/>
        </w:r>
        <w:r>
          <w:rPr>
            <w:webHidden/>
          </w:rPr>
          <w:fldChar w:fldCharType="begin"/>
        </w:r>
        <w:r>
          <w:rPr>
            <w:webHidden/>
          </w:rPr>
          <w:instrText xml:space="preserve"> PAGEREF _Toc207824523 \h </w:instrText>
        </w:r>
        <w:r>
          <w:rPr>
            <w:webHidden/>
          </w:rPr>
        </w:r>
        <w:r>
          <w:rPr>
            <w:webHidden/>
          </w:rPr>
          <w:fldChar w:fldCharType="separate"/>
        </w:r>
        <w:r>
          <w:rPr>
            <w:webHidden/>
          </w:rPr>
          <w:t>14</w:t>
        </w:r>
        <w:r>
          <w:rPr>
            <w:webHidden/>
          </w:rPr>
          <w:fldChar w:fldCharType="end"/>
        </w:r>
      </w:hyperlink>
    </w:p>
    <w:p w14:paraId="2C0E9A34" w14:textId="1040BD39" w:rsidR="00A61285" w:rsidRDefault="00A61285">
      <w:pPr>
        <w:pStyle w:val="TOC1"/>
        <w:tabs>
          <w:tab w:val="left" w:pos="1540"/>
        </w:tabs>
        <w:rPr>
          <w:rFonts w:asciiTheme="minorHAnsi" w:hAnsiTheme="minorHAnsi" w:cstheme="minorBidi"/>
          <w:noProof/>
          <w:kern w:val="2"/>
          <w:szCs w:val="24"/>
          <w14:ligatures w14:val="standardContextual"/>
        </w:rPr>
      </w:pPr>
      <w:hyperlink w:anchor="_Toc207824524" w:history="1">
        <w:r w:rsidRPr="000C01C3">
          <w:rPr>
            <w:rStyle w:val="Hyperlink"/>
            <w:noProof/>
          </w:rPr>
          <w:t>Chapter 2:</w:t>
        </w:r>
        <w:r>
          <w:rPr>
            <w:rFonts w:asciiTheme="minorHAnsi" w:hAnsiTheme="minorHAnsi" w:cstheme="minorBidi"/>
            <w:noProof/>
            <w:kern w:val="2"/>
            <w:szCs w:val="24"/>
            <w14:ligatures w14:val="standardContextual"/>
          </w:rPr>
          <w:tab/>
        </w:r>
        <w:r w:rsidRPr="000C01C3">
          <w:rPr>
            <w:rStyle w:val="Hyperlink"/>
            <w:noProof/>
          </w:rPr>
          <w:t>Definition and summary of NRVs</w:t>
        </w:r>
        <w:r>
          <w:rPr>
            <w:noProof/>
            <w:webHidden/>
          </w:rPr>
          <w:tab/>
        </w:r>
        <w:r>
          <w:rPr>
            <w:noProof/>
            <w:webHidden/>
          </w:rPr>
          <w:fldChar w:fldCharType="begin"/>
        </w:r>
        <w:r>
          <w:rPr>
            <w:noProof/>
            <w:webHidden/>
          </w:rPr>
          <w:instrText xml:space="preserve"> PAGEREF _Toc207824524 \h </w:instrText>
        </w:r>
        <w:r>
          <w:rPr>
            <w:noProof/>
            <w:webHidden/>
          </w:rPr>
        </w:r>
        <w:r>
          <w:rPr>
            <w:noProof/>
            <w:webHidden/>
          </w:rPr>
          <w:fldChar w:fldCharType="separate"/>
        </w:r>
        <w:r>
          <w:rPr>
            <w:noProof/>
            <w:webHidden/>
          </w:rPr>
          <w:t>15</w:t>
        </w:r>
        <w:r>
          <w:rPr>
            <w:noProof/>
            <w:webHidden/>
          </w:rPr>
          <w:fldChar w:fldCharType="end"/>
        </w:r>
      </w:hyperlink>
    </w:p>
    <w:p w14:paraId="473E887E" w14:textId="28AD9B26" w:rsidR="00A61285" w:rsidRDefault="00A61285">
      <w:pPr>
        <w:pStyle w:val="TOC2"/>
        <w:rPr>
          <w:rFonts w:asciiTheme="minorHAnsi" w:hAnsiTheme="minorHAnsi" w:cstheme="minorBidi"/>
          <w:noProof/>
          <w:color w:val="auto"/>
          <w:kern w:val="2"/>
          <w:sz w:val="24"/>
          <w:szCs w:val="24"/>
          <w14:ligatures w14:val="standardContextual"/>
        </w:rPr>
      </w:pPr>
      <w:hyperlink w:anchor="_Toc207824525" w:history="1">
        <w:r w:rsidRPr="000C01C3">
          <w:rPr>
            <w:rStyle w:val="Hyperlink"/>
            <w:noProof/>
          </w:rPr>
          <w:t>2.1</w:t>
        </w:r>
        <w:r>
          <w:rPr>
            <w:rFonts w:asciiTheme="minorHAnsi" w:hAnsiTheme="minorHAnsi" w:cstheme="minorBidi"/>
            <w:noProof/>
            <w:color w:val="auto"/>
            <w:kern w:val="2"/>
            <w:sz w:val="24"/>
            <w:szCs w:val="24"/>
            <w14:ligatures w14:val="standardContextual"/>
          </w:rPr>
          <w:tab/>
        </w:r>
        <w:r w:rsidRPr="000C01C3">
          <w:rPr>
            <w:rStyle w:val="Hyperlink"/>
            <w:noProof/>
          </w:rPr>
          <w:t>Scope and applications of NRVs</w:t>
        </w:r>
        <w:r>
          <w:rPr>
            <w:noProof/>
            <w:webHidden/>
          </w:rPr>
          <w:tab/>
        </w:r>
        <w:r>
          <w:rPr>
            <w:noProof/>
            <w:webHidden/>
          </w:rPr>
          <w:fldChar w:fldCharType="begin"/>
        </w:r>
        <w:r>
          <w:rPr>
            <w:noProof/>
            <w:webHidden/>
          </w:rPr>
          <w:instrText xml:space="preserve"> PAGEREF _Toc207824525 \h </w:instrText>
        </w:r>
        <w:r>
          <w:rPr>
            <w:noProof/>
            <w:webHidden/>
          </w:rPr>
        </w:r>
        <w:r>
          <w:rPr>
            <w:noProof/>
            <w:webHidden/>
          </w:rPr>
          <w:fldChar w:fldCharType="separate"/>
        </w:r>
        <w:r>
          <w:rPr>
            <w:noProof/>
            <w:webHidden/>
          </w:rPr>
          <w:t>15</w:t>
        </w:r>
        <w:r>
          <w:rPr>
            <w:noProof/>
            <w:webHidden/>
          </w:rPr>
          <w:fldChar w:fldCharType="end"/>
        </w:r>
      </w:hyperlink>
    </w:p>
    <w:p w14:paraId="45072E2D" w14:textId="6D17791A" w:rsidR="00A61285" w:rsidRDefault="00A61285">
      <w:pPr>
        <w:pStyle w:val="TOC2"/>
        <w:rPr>
          <w:rFonts w:asciiTheme="minorHAnsi" w:hAnsiTheme="minorHAnsi" w:cstheme="minorBidi"/>
          <w:noProof/>
          <w:color w:val="auto"/>
          <w:kern w:val="2"/>
          <w:sz w:val="24"/>
          <w:szCs w:val="24"/>
          <w14:ligatures w14:val="standardContextual"/>
        </w:rPr>
      </w:pPr>
      <w:hyperlink w:anchor="_Toc207824526" w:history="1">
        <w:r w:rsidRPr="000C01C3">
          <w:rPr>
            <w:rStyle w:val="Hyperlink"/>
            <w:noProof/>
          </w:rPr>
          <w:t>2.2</w:t>
        </w:r>
        <w:r>
          <w:rPr>
            <w:rFonts w:asciiTheme="minorHAnsi" w:hAnsiTheme="minorHAnsi" w:cstheme="minorBidi"/>
            <w:noProof/>
            <w:color w:val="auto"/>
            <w:kern w:val="2"/>
            <w:sz w:val="24"/>
            <w:szCs w:val="24"/>
            <w14:ligatures w14:val="standardContextual"/>
          </w:rPr>
          <w:tab/>
        </w:r>
        <w:r w:rsidRPr="000C01C3">
          <w:rPr>
            <w:rStyle w:val="Hyperlink"/>
            <w:noProof/>
          </w:rPr>
          <w:t>Overview of NRVs for Australia and New Zealand</w:t>
        </w:r>
        <w:r>
          <w:rPr>
            <w:noProof/>
            <w:webHidden/>
          </w:rPr>
          <w:tab/>
        </w:r>
        <w:r>
          <w:rPr>
            <w:noProof/>
            <w:webHidden/>
          </w:rPr>
          <w:fldChar w:fldCharType="begin"/>
        </w:r>
        <w:r>
          <w:rPr>
            <w:noProof/>
            <w:webHidden/>
          </w:rPr>
          <w:instrText xml:space="preserve"> PAGEREF _Toc207824526 \h </w:instrText>
        </w:r>
        <w:r>
          <w:rPr>
            <w:noProof/>
            <w:webHidden/>
          </w:rPr>
        </w:r>
        <w:r>
          <w:rPr>
            <w:noProof/>
            <w:webHidden/>
          </w:rPr>
          <w:fldChar w:fldCharType="separate"/>
        </w:r>
        <w:r>
          <w:rPr>
            <w:noProof/>
            <w:webHidden/>
          </w:rPr>
          <w:t>15</w:t>
        </w:r>
        <w:r>
          <w:rPr>
            <w:noProof/>
            <w:webHidden/>
          </w:rPr>
          <w:fldChar w:fldCharType="end"/>
        </w:r>
      </w:hyperlink>
    </w:p>
    <w:p w14:paraId="3F835D79" w14:textId="319A4BA0" w:rsidR="00A61285" w:rsidRDefault="00A61285">
      <w:pPr>
        <w:pStyle w:val="TOC3"/>
        <w:rPr>
          <w:rFonts w:asciiTheme="minorHAnsi" w:hAnsiTheme="minorHAnsi" w:cstheme="minorBidi"/>
          <w:color w:val="auto"/>
          <w:kern w:val="2"/>
          <w:sz w:val="24"/>
          <w:szCs w:val="24"/>
          <w14:ligatures w14:val="standardContextual"/>
        </w:rPr>
      </w:pPr>
      <w:hyperlink w:anchor="_Toc207824527" w:history="1">
        <w:r w:rsidRPr="000C01C3">
          <w:rPr>
            <w:rStyle w:val="Hyperlink"/>
          </w:rPr>
          <w:t>2.2.1</w:t>
        </w:r>
        <w:r>
          <w:rPr>
            <w:rFonts w:asciiTheme="minorHAnsi" w:hAnsiTheme="minorHAnsi" w:cstheme="minorBidi"/>
            <w:color w:val="auto"/>
            <w:kern w:val="2"/>
            <w:sz w:val="24"/>
            <w:szCs w:val="24"/>
            <w14:ligatures w14:val="standardContextual"/>
          </w:rPr>
          <w:tab/>
        </w:r>
        <w:r w:rsidRPr="000C01C3">
          <w:rPr>
            <w:rStyle w:val="Hyperlink"/>
          </w:rPr>
          <w:t>Estimated Average Requirement (EAR)</w:t>
        </w:r>
        <w:r>
          <w:rPr>
            <w:webHidden/>
          </w:rPr>
          <w:tab/>
        </w:r>
        <w:r>
          <w:rPr>
            <w:webHidden/>
          </w:rPr>
          <w:fldChar w:fldCharType="begin"/>
        </w:r>
        <w:r>
          <w:rPr>
            <w:webHidden/>
          </w:rPr>
          <w:instrText xml:space="preserve"> PAGEREF _Toc207824527 \h </w:instrText>
        </w:r>
        <w:r>
          <w:rPr>
            <w:webHidden/>
          </w:rPr>
        </w:r>
        <w:r>
          <w:rPr>
            <w:webHidden/>
          </w:rPr>
          <w:fldChar w:fldCharType="separate"/>
        </w:r>
        <w:r>
          <w:rPr>
            <w:webHidden/>
          </w:rPr>
          <w:t>16</w:t>
        </w:r>
        <w:r>
          <w:rPr>
            <w:webHidden/>
          </w:rPr>
          <w:fldChar w:fldCharType="end"/>
        </w:r>
      </w:hyperlink>
    </w:p>
    <w:p w14:paraId="2DA5BEBA" w14:textId="3FA4BCB0" w:rsidR="00A61285" w:rsidRDefault="00A61285">
      <w:pPr>
        <w:pStyle w:val="TOC3"/>
        <w:rPr>
          <w:rFonts w:asciiTheme="minorHAnsi" w:hAnsiTheme="minorHAnsi" w:cstheme="minorBidi"/>
          <w:color w:val="auto"/>
          <w:kern w:val="2"/>
          <w:sz w:val="24"/>
          <w:szCs w:val="24"/>
          <w14:ligatures w14:val="standardContextual"/>
        </w:rPr>
      </w:pPr>
      <w:hyperlink w:anchor="_Toc207824528" w:history="1">
        <w:r w:rsidRPr="000C01C3">
          <w:rPr>
            <w:rStyle w:val="Hyperlink"/>
          </w:rPr>
          <w:t>2.2.2</w:t>
        </w:r>
        <w:r>
          <w:rPr>
            <w:rFonts w:asciiTheme="minorHAnsi" w:hAnsiTheme="minorHAnsi" w:cstheme="minorBidi"/>
            <w:color w:val="auto"/>
            <w:kern w:val="2"/>
            <w:sz w:val="24"/>
            <w:szCs w:val="24"/>
            <w14:ligatures w14:val="standardContextual"/>
          </w:rPr>
          <w:tab/>
        </w:r>
        <w:r w:rsidRPr="000C01C3">
          <w:rPr>
            <w:rStyle w:val="Hyperlink"/>
          </w:rPr>
          <w:t>Recommended Dietary Intake (RDI)</w:t>
        </w:r>
        <w:r>
          <w:rPr>
            <w:webHidden/>
          </w:rPr>
          <w:tab/>
        </w:r>
        <w:r>
          <w:rPr>
            <w:webHidden/>
          </w:rPr>
          <w:fldChar w:fldCharType="begin"/>
        </w:r>
        <w:r>
          <w:rPr>
            <w:webHidden/>
          </w:rPr>
          <w:instrText xml:space="preserve"> PAGEREF _Toc207824528 \h </w:instrText>
        </w:r>
        <w:r>
          <w:rPr>
            <w:webHidden/>
          </w:rPr>
        </w:r>
        <w:r>
          <w:rPr>
            <w:webHidden/>
          </w:rPr>
          <w:fldChar w:fldCharType="separate"/>
        </w:r>
        <w:r>
          <w:rPr>
            <w:webHidden/>
          </w:rPr>
          <w:t>16</w:t>
        </w:r>
        <w:r>
          <w:rPr>
            <w:webHidden/>
          </w:rPr>
          <w:fldChar w:fldCharType="end"/>
        </w:r>
      </w:hyperlink>
    </w:p>
    <w:p w14:paraId="4A92C242" w14:textId="247A26AF" w:rsidR="00A61285" w:rsidRDefault="00A61285">
      <w:pPr>
        <w:pStyle w:val="TOC3"/>
        <w:rPr>
          <w:rFonts w:asciiTheme="minorHAnsi" w:hAnsiTheme="minorHAnsi" w:cstheme="minorBidi"/>
          <w:color w:val="auto"/>
          <w:kern w:val="2"/>
          <w:sz w:val="24"/>
          <w:szCs w:val="24"/>
          <w14:ligatures w14:val="standardContextual"/>
        </w:rPr>
      </w:pPr>
      <w:hyperlink w:anchor="_Toc207824529" w:history="1">
        <w:r w:rsidRPr="000C01C3">
          <w:rPr>
            <w:rStyle w:val="Hyperlink"/>
          </w:rPr>
          <w:t>2.2.3</w:t>
        </w:r>
        <w:r>
          <w:rPr>
            <w:rFonts w:asciiTheme="minorHAnsi" w:hAnsiTheme="minorHAnsi" w:cstheme="minorBidi"/>
            <w:color w:val="auto"/>
            <w:kern w:val="2"/>
            <w:sz w:val="24"/>
            <w:szCs w:val="24"/>
            <w14:ligatures w14:val="standardContextual"/>
          </w:rPr>
          <w:tab/>
        </w:r>
        <w:r w:rsidRPr="000C01C3">
          <w:rPr>
            <w:rStyle w:val="Hyperlink"/>
          </w:rPr>
          <w:t>Upper Level of Intake (UL)</w:t>
        </w:r>
        <w:r>
          <w:rPr>
            <w:webHidden/>
          </w:rPr>
          <w:tab/>
        </w:r>
        <w:r>
          <w:rPr>
            <w:webHidden/>
          </w:rPr>
          <w:fldChar w:fldCharType="begin"/>
        </w:r>
        <w:r>
          <w:rPr>
            <w:webHidden/>
          </w:rPr>
          <w:instrText xml:space="preserve"> PAGEREF _Toc207824529 \h </w:instrText>
        </w:r>
        <w:r>
          <w:rPr>
            <w:webHidden/>
          </w:rPr>
        </w:r>
        <w:r>
          <w:rPr>
            <w:webHidden/>
          </w:rPr>
          <w:fldChar w:fldCharType="separate"/>
        </w:r>
        <w:r>
          <w:rPr>
            <w:webHidden/>
          </w:rPr>
          <w:t>17</w:t>
        </w:r>
        <w:r>
          <w:rPr>
            <w:webHidden/>
          </w:rPr>
          <w:fldChar w:fldCharType="end"/>
        </w:r>
      </w:hyperlink>
    </w:p>
    <w:p w14:paraId="7B332BE6" w14:textId="6F6464B5" w:rsidR="00A61285" w:rsidRDefault="00A61285">
      <w:pPr>
        <w:pStyle w:val="TOC3"/>
        <w:rPr>
          <w:rFonts w:asciiTheme="minorHAnsi" w:hAnsiTheme="minorHAnsi" w:cstheme="minorBidi"/>
          <w:color w:val="auto"/>
          <w:kern w:val="2"/>
          <w:sz w:val="24"/>
          <w:szCs w:val="24"/>
          <w14:ligatures w14:val="standardContextual"/>
        </w:rPr>
      </w:pPr>
      <w:hyperlink w:anchor="_Toc207824530" w:history="1">
        <w:r w:rsidRPr="000C01C3">
          <w:rPr>
            <w:rStyle w:val="Hyperlink"/>
          </w:rPr>
          <w:t>2.2.4</w:t>
        </w:r>
        <w:r>
          <w:rPr>
            <w:rFonts w:asciiTheme="minorHAnsi" w:hAnsiTheme="minorHAnsi" w:cstheme="minorBidi"/>
            <w:color w:val="auto"/>
            <w:kern w:val="2"/>
            <w:sz w:val="24"/>
            <w:szCs w:val="24"/>
            <w14:ligatures w14:val="standardContextual"/>
          </w:rPr>
          <w:tab/>
        </w:r>
        <w:r w:rsidRPr="000C01C3">
          <w:rPr>
            <w:rStyle w:val="Hyperlink"/>
          </w:rPr>
          <w:t>Adequate Intake (AI)</w:t>
        </w:r>
        <w:r>
          <w:rPr>
            <w:webHidden/>
          </w:rPr>
          <w:tab/>
        </w:r>
        <w:r>
          <w:rPr>
            <w:webHidden/>
          </w:rPr>
          <w:fldChar w:fldCharType="begin"/>
        </w:r>
        <w:r>
          <w:rPr>
            <w:webHidden/>
          </w:rPr>
          <w:instrText xml:space="preserve"> PAGEREF _Toc207824530 \h </w:instrText>
        </w:r>
        <w:r>
          <w:rPr>
            <w:webHidden/>
          </w:rPr>
        </w:r>
        <w:r>
          <w:rPr>
            <w:webHidden/>
          </w:rPr>
          <w:fldChar w:fldCharType="separate"/>
        </w:r>
        <w:r>
          <w:rPr>
            <w:webHidden/>
          </w:rPr>
          <w:t>18</w:t>
        </w:r>
        <w:r>
          <w:rPr>
            <w:webHidden/>
          </w:rPr>
          <w:fldChar w:fldCharType="end"/>
        </w:r>
      </w:hyperlink>
    </w:p>
    <w:p w14:paraId="75281328" w14:textId="187C0400" w:rsidR="00A61285" w:rsidRDefault="00A61285">
      <w:pPr>
        <w:pStyle w:val="TOC3"/>
        <w:rPr>
          <w:rFonts w:asciiTheme="minorHAnsi" w:hAnsiTheme="minorHAnsi" w:cstheme="minorBidi"/>
          <w:color w:val="auto"/>
          <w:kern w:val="2"/>
          <w:sz w:val="24"/>
          <w:szCs w:val="24"/>
          <w14:ligatures w14:val="standardContextual"/>
        </w:rPr>
      </w:pPr>
      <w:hyperlink w:anchor="_Toc207824531" w:history="1">
        <w:r w:rsidRPr="000C01C3">
          <w:rPr>
            <w:rStyle w:val="Hyperlink"/>
          </w:rPr>
          <w:t>2.2.5</w:t>
        </w:r>
        <w:r>
          <w:rPr>
            <w:rFonts w:asciiTheme="minorHAnsi" w:hAnsiTheme="minorHAnsi" w:cstheme="minorBidi"/>
            <w:color w:val="auto"/>
            <w:kern w:val="2"/>
            <w:sz w:val="24"/>
            <w:szCs w:val="24"/>
            <w14:ligatures w14:val="standardContextual"/>
          </w:rPr>
          <w:tab/>
        </w:r>
        <w:r w:rsidRPr="000C01C3">
          <w:rPr>
            <w:rStyle w:val="Hyperlink"/>
          </w:rPr>
          <w:t>Suggested Dietary Target (SDT) and Chronic Disease Risk Reduction (CDRR)</w:t>
        </w:r>
        <w:r>
          <w:rPr>
            <w:webHidden/>
          </w:rPr>
          <w:tab/>
        </w:r>
        <w:r>
          <w:rPr>
            <w:webHidden/>
          </w:rPr>
          <w:fldChar w:fldCharType="begin"/>
        </w:r>
        <w:r>
          <w:rPr>
            <w:webHidden/>
          </w:rPr>
          <w:instrText xml:space="preserve"> PAGEREF _Toc207824531 \h </w:instrText>
        </w:r>
        <w:r>
          <w:rPr>
            <w:webHidden/>
          </w:rPr>
        </w:r>
        <w:r>
          <w:rPr>
            <w:webHidden/>
          </w:rPr>
          <w:fldChar w:fldCharType="separate"/>
        </w:r>
        <w:r>
          <w:rPr>
            <w:webHidden/>
          </w:rPr>
          <w:t>18</w:t>
        </w:r>
        <w:r>
          <w:rPr>
            <w:webHidden/>
          </w:rPr>
          <w:fldChar w:fldCharType="end"/>
        </w:r>
      </w:hyperlink>
    </w:p>
    <w:p w14:paraId="1D73E86F" w14:textId="18E89F3B" w:rsidR="00A61285" w:rsidRDefault="00A61285">
      <w:pPr>
        <w:pStyle w:val="TOC3"/>
        <w:rPr>
          <w:rFonts w:asciiTheme="minorHAnsi" w:hAnsiTheme="minorHAnsi" w:cstheme="minorBidi"/>
          <w:color w:val="auto"/>
          <w:kern w:val="2"/>
          <w:sz w:val="24"/>
          <w:szCs w:val="24"/>
          <w14:ligatures w14:val="standardContextual"/>
        </w:rPr>
      </w:pPr>
      <w:hyperlink w:anchor="_Toc207824532" w:history="1">
        <w:r w:rsidRPr="000C01C3">
          <w:rPr>
            <w:rStyle w:val="Hyperlink"/>
          </w:rPr>
          <w:t>2.2.6</w:t>
        </w:r>
        <w:r>
          <w:rPr>
            <w:rFonts w:asciiTheme="minorHAnsi" w:hAnsiTheme="minorHAnsi" w:cstheme="minorBidi"/>
            <w:color w:val="auto"/>
            <w:kern w:val="2"/>
            <w:sz w:val="24"/>
            <w:szCs w:val="24"/>
            <w14:ligatures w14:val="standardContextual"/>
          </w:rPr>
          <w:tab/>
        </w:r>
        <w:r w:rsidRPr="000C01C3">
          <w:rPr>
            <w:rStyle w:val="Hyperlink"/>
          </w:rPr>
          <w:t>Acceptable Macronutrient Distribution Range (AMDR)</w:t>
        </w:r>
        <w:r>
          <w:rPr>
            <w:webHidden/>
          </w:rPr>
          <w:tab/>
        </w:r>
        <w:r>
          <w:rPr>
            <w:webHidden/>
          </w:rPr>
          <w:fldChar w:fldCharType="begin"/>
        </w:r>
        <w:r>
          <w:rPr>
            <w:webHidden/>
          </w:rPr>
          <w:instrText xml:space="preserve"> PAGEREF _Toc207824532 \h </w:instrText>
        </w:r>
        <w:r>
          <w:rPr>
            <w:webHidden/>
          </w:rPr>
        </w:r>
        <w:r>
          <w:rPr>
            <w:webHidden/>
          </w:rPr>
          <w:fldChar w:fldCharType="separate"/>
        </w:r>
        <w:r>
          <w:rPr>
            <w:webHidden/>
          </w:rPr>
          <w:t>19</w:t>
        </w:r>
        <w:r>
          <w:rPr>
            <w:webHidden/>
          </w:rPr>
          <w:fldChar w:fldCharType="end"/>
        </w:r>
      </w:hyperlink>
    </w:p>
    <w:p w14:paraId="02A8AA64" w14:textId="1518CC32" w:rsidR="00A61285" w:rsidRDefault="00A61285">
      <w:pPr>
        <w:pStyle w:val="TOC2"/>
        <w:rPr>
          <w:rFonts w:asciiTheme="minorHAnsi" w:hAnsiTheme="minorHAnsi" w:cstheme="minorBidi"/>
          <w:noProof/>
          <w:color w:val="auto"/>
          <w:kern w:val="2"/>
          <w:sz w:val="24"/>
          <w:szCs w:val="24"/>
          <w14:ligatures w14:val="standardContextual"/>
        </w:rPr>
      </w:pPr>
      <w:hyperlink w:anchor="_Toc207824533" w:history="1">
        <w:r w:rsidRPr="000C01C3">
          <w:rPr>
            <w:rStyle w:val="Hyperlink"/>
            <w:noProof/>
          </w:rPr>
          <w:t>2.3</w:t>
        </w:r>
        <w:r>
          <w:rPr>
            <w:rFonts w:asciiTheme="minorHAnsi" w:hAnsiTheme="minorHAnsi" w:cstheme="minorBidi"/>
            <w:noProof/>
            <w:color w:val="auto"/>
            <w:kern w:val="2"/>
            <w:sz w:val="24"/>
            <w:szCs w:val="24"/>
            <w14:ligatures w14:val="standardContextual"/>
          </w:rPr>
          <w:tab/>
        </w:r>
        <w:r w:rsidRPr="000C01C3">
          <w:rPr>
            <w:rStyle w:val="Hyperlink"/>
            <w:noProof/>
          </w:rPr>
          <w:t>International nutrient recommendations</w:t>
        </w:r>
        <w:r>
          <w:rPr>
            <w:noProof/>
            <w:webHidden/>
          </w:rPr>
          <w:tab/>
        </w:r>
        <w:r>
          <w:rPr>
            <w:noProof/>
            <w:webHidden/>
          </w:rPr>
          <w:fldChar w:fldCharType="begin"/>
        </w:r>
        <w:r>
          <w:rPr>
            <w:noProof/>
            <w:webHidden/>
          </w:rPr>
          <w:instrText xml:space="preserve"> PAGEREF _Toc207824533 \h </w:instrText>
        </w:r>
        <w:r>
          <w:rPr>
            <w:noProof/>
            <w:webHidden/>
          </w:rPr>
        </w:r>
        <w:r>
          <w:rPr>
            <w:noProof/>
            <w:webHidden/>
          </w:rPr>
          <w:fldChar w:fldCharType="separate"/>
        </w:r>
        <w:r>
          <w:rPr>
            <w:noProof/>
            <w:webHidden/>
          </w:rPr>
          <w:t>19</w:t>
        </w:r>
        <w:r>
          <w:rPr>
            <w:noProof/>
            <w:webHidden/>
          </w:rPr>
          <w:fldChar w:fldCharType="end"/>
        </w:r>
      </w:hyperlink>
    </w:p>
    <w:p w14:paraId="1B9D7D6C" w14:textId="02D869A2" w:rsidR="00A61285" w:rsidRDefault="00A61285">
      <w:pPr>
        <w:pStyle w:val="TOC1"/>
        <w:tabs>
          <w:tab w:val="left" w:pos="1540"/>
        </w:tabs>
        <w:rPr>
          <w:rFonts w:asciiTheme="minorHAnsi" w:hAnsiTheme="minorHAnsi" w:cstheme="minorBidi"/>
          <w:noProof/>
          <w:kern w:val="2"/>
          <w:szCs w:val="24"/>
          <w14:ligatures w14:val="standardContextual"/>
        </w:rPr>
      </w:pPr>
      <w:hyperlink w:anchor="_Toc207824534" w:history="1">
        <w:r w:rsidRPr="000C01C3">
          <w:rPr>
            <w:rStyle w:val="Hyperlink"/>
            <w:noProof/>
          </w:rPr>
          <w:t>Chapter 3:</w:t>
        </w:r>
        <w:r>
          <w:rPr>
            <w:rFonts w:asciiTheme="minorHAnsi" w:hAnsiTheme="minorHAnsi" w:cstheme="minorBidi"/>
            <w:noProof/>
            <w:kern w:val="2"/>
            <w:szCs w:val="24"/>
            <w14:ligatures w14:val="standardContextual"/>
          </w:rPr>
          <w:tab/>
        </w:r>
        <w:r w:rsidRPr="000C01C3">
          <w:rPr>
            <w:rStyle w:val="Hyperlink"/>
            <w:noProof/>
          </w:rPr>
          <w:t>Prioritising NRVs for review</w:t>
        </w:r>
        <w:r>
          <w:rPr>
            <w:noProof/>
            <w:webHidden/>
          </w:rPr>
          <w:tab/>
        </w:r>
        <w:r>
          <w:rPr>
            <w:noProof/>
            <w:webHidden/>
          </w:rPr>
          <w:fldChar w:fldCharType="begin"/>
        </w:r>
        <w:r>
          <w:rPr>
            <w:noProof/>
            <w:webHidden/>
          </w:rPr>
          <w:instrText xml:space="preserve"> PAGEREF _Toc207824534 \h </w:instrText>
        </w:r>
        <w:r>
          <w:rPr>
            <w:noProof/>
            <w:webHidden/>
          </w:rPr>
        </w:r>
        <w:r>
          <w:rPr>
            <w:noProof/>
            <w:webHidden/>
          </w:rPr>
          <w:fldChar w:fldCharType="separate"/>
        </w:r>
        <w:r>
          <w:rPr>
            <w:noProof/>
            <w:webHidden/>
          </w:rPr>
          <w:t>21</w:t>
        </w:r>
        <w:r>
          <w:rPr>
            <w:noProof/>
            <w:webHidden/>
          </w:rPr>
          <w:fldChar w:fldCharType="end"/>
        </w:r>
      </w:hyperlink>
    </w:p>
    <w:p w14:paraId="03E14978" w14:textId="4FA30DB4" w:rsidR="00A61285" w:rsidRDefault="00A61285">
      <w:pPr>
        <w:pStyle w:val="TOC2"/>
        <w:rPr>
          <w:rFonts w:asciiTheme="minorHAnsi" w:hAnsiTheme="minorHAnsi" w:cstheme="minorBidi"/>
          <w:noProof/>
          <w:color w:val="auto"/>
          <w:kern w:val="2"/>
          <w:sz w:val="24"/>
          <w:szCs w:val="24"/>
          <w14:ligatures w14:val="standardContextual"/>
        </w:rPr>
      </w:pPr>
      <w:hyperlink w:anchor="_Toc207824535" w:history="1">
        <w:r w:rsidRPr="000C01C3">
          <w:rPr>
            <w:rStyle w:val="Hyperlink"/>
            <w:noProof/>
          </w:rPr>
          <w:t>3.1</w:t>
        </w:r>
        <w:r>
          <w:rPr>
            <w:rFonts w:asciiTheme="minorHAnsi" w:hAnsiTheme="minorHAnsi" w:cstheme="minorBidi"/>
            <w:noProof/>
            <w:color w:val="auto"/>
            <w:kern w:val="2"/>
            <w:sz w:val="24"/>
            <w:szCs w:val="24"/>
            <w14:ligatures w14:val="standardContextual"/>
          </w:rPr>
          <w:tab/>
        </w:r>
        <w:r w:rsidRPr="000C01C3">
          <w:rPr>
            <w:rStyle w:val="Hyperlink"/>
            <w:noProof/>
          </w:rPr>
          <w:t>Identifying priority NRVs for review</w:t>
        </w:r>
        <w:r>
          <w:rPr>
            <w:noProof/>
            <w:webHidden/>
          </w:rPr>
          <w:tab/>
        </w:r>
        <w:r>
          <w:rPr>
            <w:noProof/>
            <w:webHidden/>
          </w:rPr>
          <w:fldChar w:fldCharType="begin"/>
        </w:r>
        <w:r>
          <w:rPr>
            <w:noProof/>
            <w:webHidden/>
          </w:rPr>
          <w:instrText xml:space="preserve"> PAGEREF _Toc207824535 \h </w:instrText>
        </w:r>
        <w:r>
          <w:rPr>
            <w:noProof/>
            <w:webHidden/>
          </w:rPr>
        </w:r>
        <w:r>
          <w:rPr>
            <w:noProof/>
            <w:webHidden/>
          </w:rPr>
          <w:fldChar w:fldCharType="separate"/>
        </w:r>
        <w:r>
          <w:rPr>
            <w:noProof/>
            <w:webHidden/>
          </w:rPr>
          <w:t>21</w:t>
        </w:r>
        <w:r>
          <w:rPr>
            <w:noProof/>
            <w:webHidden/>
          </w:rPr>
          <w:fldChar w:fldCharType="end"/>
        </w:r>
      </w:hyperlink>
    </w:p>
    <w:p w14:paraId="74CC31AB" w14:textId="7D0A5EC4" w:rsidR="00A61285" w:rsidRDefault="00A61285">
      <w:pPr>
        <w:pStyle w:val="TOC3"/>
        <w:rPr>
          <w:rFonts w:asciiTheme="minorHAnsi" w:hAnsiTheme="minorHAnsi" w:cstheme="minorBidi"/>
          <w:color w:val="auto"/>
          <w:kern w:val="2"/>
          <w:sz w:val="24"/>
          <w:szCs w:val="24"/>
          <w14:ligatures w14:val="standardContextual"/>
        </w:rPr>
      </w:pPr>
      <w:hyperlink w:anchor="_Toc207824536" w:history="1">
        <w:r w:rsidRPr="000C01C3">
          <w:rPr>
            <w:rStyle w:val="Hyperlink"/>
          </w:rPr>
          <w:t>3.1.1</w:t>
        </w:r>
        <w:r>
          <w:rPr>
            <w:rFonts w:asciiTheme="minorHAnsi" w:hAnsiTheme="minorHAnsi" w:cstheme="minorBidi"/>
            <w:color w:val="auto"/>
            <w:kern w:val="2"/>
            <w:sz w:val="24"/>
            <w:szCs w:val="24"/>
            <w14:ligatures w14:val="standardContextual"/>
          </w:rPr>
          <w:tab/>
        </w:r>
        <w:r w:rsidRPr="000C01C3">
          <w:rPr>
            <w:rStyle w:val="Hyperlink"/>
          </w:rPr>
          <w:t>Prioritisation principles</w:t>
        </w:r>
        <w:r>
          <w:rPr>
            <w:webHidden/>
          </w:rPr>
          <w:tab/>
        </w:r>
        <w:r>
          <w:rPr>
            <w:webHidden/>
          </w:rPr>
          <w:fldChar w:fldCharType="begin"/>
        </w:r>
        <w:r>
          <w:rPr>
            <w:webHidden/>
          </w:rPr>
          <w:instrText xml:space="preserve"> PAGEREF _Toc207824536 \h </w:instrText>
        </w:r>
        <w:r>
          <w:rPr>
            <w:webHidden/>
          </w:rPr>
        </w:r>
        <w:r>
          <w:rPr>
            <w:webHidden/>
          </w:rPr>
          <w:fldChar w:fldCharType="separate"/>
        </w:r>
        <w:r>
          <w:rPr>
            <w:webHidden/>
          </w:rPr>
          <w:t>21</w:t>
        </w:r>
        <w:r>
          <w:rPr>
            <w:webHidden/>
          </w:rPr>
          <w:fldChar w:fldCharType="end"/>
        </w:r>
      </w:hyperlink>
    </w:p>
    <w:p w14:paraId="589A6C59" w14:textId="388F6AD7" w:rsidR="00A61285" w:rsidRDefault="00A61285">
      <w:pPr>
        <w:pStyle w:val="TOC3"/>
        <w:rPr>
          <w:rFonts w:asciiTheme="minorHAnsi" w:hAnsiTheme="minorHAnsi" w:cstheme="minorBidi"/>
          <w:color w:val="auto"/>
          <w:kern w:val="2"/>
          <w:sz w:val="24"/>
          <w:szCs w:val="24"/>
          <w14:ligatures w14:val="standardContextual"/>
        </w:rPr>
      </w:pPr>
      <w:hyperlink w:anchor="_Toc207824537" w:history="1">
        <w:r w:rsidRPr="000C01C3">
          <w:rPr>
            <w:rStyle w:val="Hyperlink"/>
          </w:rPr>
          <w:t>3.1.2</w:t>
        </w:r>
        <w:r>
          <w:rPr>
            <w:rFonts w:asciiTheme="minorHAnsi" w:hAnsiTheme="minorHAnsi" w:cstheme="minorBidi"/>
            <w:color w:val="auto"/>
            <w:kern w:val="2"/>
            <w:sz w:val="24"/>
            <w:szCs w:val="24"/>
            <w14:ligatures w14:val="standardContextual"/>
          </w:rPr>
          <w:tab/>
        </w:r>
        <w:r w:rsidRPr="000C01C3">
          <w:rPr>
            <w:rStyle w:val="Hyperlink"/>
          </w:rPr>
          <w:t>Mandatory fortification programs</w:t>
        </w:r>
        <w:r>
          <w:rPr>
            <w:webHidden/>
          </w:rPr>
          <w:tab/>
        </w:r>
        <w:r>
          <w:rPr>
            <w:webHidden/>
          </w:rPr>
          <w:fldChar w:fldCharType="begin"/>
        </w:r>
        <w:r>
          <w:rPr>
            <w:webHidden/>
          </w:rPr>
          <w:instrText xml:space="preserve"> PAGEREF _Toc207824537 \h </w:instrText>
        </w:r>
        <w:r>
          <w:rPr>
            <w:webHidden/>
          </w:rPr>
        </w:r>
        <w:r>
          <w:rPr>
            <w:webHidden/>
          </w:rPr>
          <w:fldChar w:fldCharType="separate"/>
        </w:r>
        <w:r>
          <w:rPr>
            <w:webHidden/>
          </w:rPr>
          <w:t>22</w:t>
        </w:r>
        <w:r>
          <w:rPr>
            <w:webHidden/>
          </w:rPr>
          <w:fldChar w:fldCharType="end"/>
        </w:r>
      </w:hyperlink>
    </w:p>
    <w:p w14:paraId="373B7CA8" w14:textId="080FBDD4" w:rsidR="00A61285" w:rsidRDefault="00A61285">
      <w:pPr>
        <w:pStyle w:val="TOC1"/>
        <w:tabs>
          <w:tab w:val="left" w:pos="1540"/>
        </w:tabs>
        <w:rPr>
          <w:rFonts w:asciiTheme="minorHAnsi" w:hAnsiTheme="minorHAnsi" w:cstheme="minorBidi"/>
          <w:noProof/>
          <w:kern w:val="2"/>
          <w:szCs w:val="24"/>
          <w14:ligatures w14:val="standardContextual"/>
        </w:rPr>
      </w:pPr>
      <w:hyperlink w:anchor="_Toc207824538" w:history="1">
        <w:r w:rsidRPr="000C01C3">
          <w:rPr>
            <w:rStyle w:val="Hyperlink"/>
            <w:noProof/>
          </w:rPr>
          <w:t>Chapter 4:</w:t>
        </w:r>
        <w:r>
          <w:rPr>
            <w:rFonts w:asciiTheme="minorHAnsi" w:hAnsiTheme="minorHAnsi" w:cstheme="minorBidi"/>
            <w:noProof/>
            <w:kern w:val="2"/>
            <w:szCs w:val="24"/>
            <w14:ligatures w14:val="standardContextual"/>
          </w:rPr>
          <w:tab/>
        </w:r>
        <w:r w:rsidRPr="000C01C3">
          <w:rPr>
            <w:rStyle w:val="Hyperlink"/>
            <w:noProof/>
          </w:rPr>
          <w:t>Scoping NRVs for review</w:t>
        </w:r>
        <w:r>
          <w:rPr>
            <w:noProof/>
            <w:webHidden/>
          </w:rPr>
          <w:tab/>
        </w:r>
        <w:r>
          <w:rPr>
            <w:noProof/>
            <w:webHidden/>
          </w:rPr>
          <w:fldChar w:fldCharType="begin"/>
        </w:r>
        <w:r>
          <w:rPr>
            <w:noProof/>
            <w:webHidden/>
          </w:rPr>
          <w:instrText xml:space="preserve"> PAGEREF _Toc207824538 \h </w:instrText>
        </w:r>
        <w:r>
          <w:rPr>
            <w:noProof/>
            <w:webHidden/>
          </w:rPr>
        </w:r>
        <w:r>
          <w:rPr>
            <w:noProof/>
            <w:webHidden/>
          </w:rPr>
          <w:fldChar w:fldCharType="separate"/>
        </w:r>
        <w:r>
          <w:rPr>
            <w:noProof/>
            <w:webHidden/>
          </w:rPr>
          <w:t>23</w:t>
        </w:r>
        <w:r>
          <w:rPr>
            <w:noProof/>
            <w:webHidden/>
          </w:rPr>
          <w:fldChar w:fldCharType="end"/>
        </w:r>
      </w:hyperlink>
    </w:p>
    <w:p w14:paraId="002A0935" w14:textId="07AB8B17" w:rsidR="00A61285" w:rsidRDefault="00A61285">
      <w:pPr>
        <w:pStyle w:val="TOC2"/>
        <w:rPr>
          <w:rFonts w:asciiTheme="minorHAnsi" w:hAnsiTheme="minorHAnsi" w:cstheme="minorBidi"/>
          <w:noProof/>
          <w:color w:val="auto"/>
          <w:kern w:val="2"/>
          <w:sz w:val="24"/>
          <w:szCs w:val="24"/>
          <w14:ligatures w14:val="standardContextual"/>
        </w:rPr>
      </w:pPr>
      <w:hyperlink w:anchor="_Toc207824539" w:history="1">
        <w:r w:rsidRPr="000C01C3">
          <w:rPr>
            <w:rStyle w:val="Hyperlink"/>
            <w:noProof/>
          </w:rPr>
          <w:t>4.1</w:t>
        </w:r>
        <w:r>
          <w:rPr>
            <w:rFonts w:asciiTheme="minorHAnsi" w:hAnsiTheme="minorHAnsi" w:cstheme="minorBidi"/>
            <w:noProof/>
            <w:color w:val="auto"/>
            <w:kern w:val="2"/>
            <w:sz w:val="24"/>
            <w:szCs w:val="24"/>
            <w14:ligatures w14:val="standardContextual"/>
          </w:rPr>
          <w:tab/>
        </w:r>
        <w:r w:rsidRPr="000C01C3">
          <w:rPr>
            <w:rStyle w:val="Hyperlink"/>
            <w:noProof/>
          </w:rPr>
          <w:t>Understanding the context</w:t>
        </w:r>
        <w:r>
          <w:rPr>
            <w:noProof/>
            <w:webHidden/>
          </w:rPr>
          <w:tab/>
        </w:r>
        <w:r>
          <w:rPr>
            <w:noProof/>
            <w:webHidden/>
          </w:rPr>
          <w:fldChar w:fldCharType="begin"/>
        </w:r>
        <w:r>
          <w:rPr>
            <w:noProof/>
            <w:webHidden/>
          </w:rPr>
          <w:instrText xml:space="preserve"> PAGEREF _Toc207824539 \h </w:instrText>
        </w:r>
        <w:r>
          <w:rPr>
            <w:noProof/>
            <w:webHidden/>
          </w:rPr>
        </w:r>
        <w:r>
          <w:rPr>
            <w:noProof/>
            <w:webHidden/>
          </w:rPr>
          <w:fldChar w:fldCharType="separate"/>
        </w:r>
        <w:r>
          <w:rPr>
            <w:noProof/>
            <w:webHidden/>
          </w:rPr>
          <w:t>23</w:t>
        </w:r>
        <w:r>
          <w:rPr>
            <w:noProof/>
            <w:webHidden/>
          </w:rPr>
          <w:fldChar w:fldCharType="end"/>
        </w:r>
      </w:hyperlink>
    </w:p>
    <w:p w14:paraId="67AFF75D" w14:textId="3683C94B" w:rsidR="00A61285" w:rsidRDefault="00A61285">
      <w:pPr>
        <w:pStyle w:val="TOC3"/>
        <w:rPr>
          <w:rFonts w:asciiTheme="minorHAnsi" w:hAnsiTheme="minorHAnsi" w:cstheme="minorBidi"/>
          <w:color w:val="auto"/>
          <w:kern w:val="2"/>
          <w:sz w:val="24"/>
          <w:szCs w:val="24"/>
          <w14:ligatures w14:val="standardContextual"/>
        </w:rPr>
      </w:pPr>
      <w:hyperlink w:anchor="_Toc207824540" w:history="1">
        <w:r w:rsidRPr="000C01C3">
          <w:rPr>
            <w:rStyle w:val="Hyperlink"/>
          </w:rPr>
          <w:t>4.1.1</w:t>
        </w:r>
        <w:r>
          <w:rPr>
            <w:rFonts w:asciiTheme="minorHAnsi" w:hAnsiTheme="minorHAnsi" w:cstheme="minorBidi"/>
            <w:color w:val="auto"/>
            <w:kern w:val="2"/>
            <w:sz w:val="24"/>
            <w:szCs w:val="24"/>
            <w14:ligatures w14:val="standardContextual"/>
          </w:rPr>
          <w:tab/>
        </w:r>
        <w:r w:rsidRPr="000C01C3">
          <w:rPr>
            <w:rStyle w:val="Hyperlink"/>
          </w:rPr>
          <w:t>Nutrition-specific context</w:t>
        </w:r>
        <w:r>
          <w:rPr>
            <w:webHidden/>
          </w:rPr>
          <w:tab/>
        </w:r>
        <w:r>
          <w:rPr>
            <w:webHidden/>
          </w:rPr>
          <w:fldChar w:fldCharType="begin"/>
        </w:r>
        <w:r>
          <w:rPr>
            <w:webHidden/>
          </w:rPr>
          <w:instrText xml:space="preserve"> PAGEREF _Toc207824540 \h </w:instrText>
        </w:r>
        <w:r>
          <w:rPr>
            <w:webHidden/>
          </w:rPr>
        </w:r>
        <w:r>
          <w:rPr>
            <w:webHidden/>
          </w:rPr>
          <w:fldChar w:fldCharType="separate"/>
        </w:r>
        <w:r>
          <w:rPr>
            <w:webHidden/>
          </w:rPr>
          <w:t>23</w:t>
        </w:r>
        <w:r>
          <w:rPr>
            <w:webHidden/>
          </w:rPr>
          <w:fldChar w:fldCharType="end"/>
        </w:r>
      </w:hyperlink>
    </w:p>
    <w:p w14:paraId="64B1A511" w14:textId="1377A7EE" w:rsidR="00A61285" w:rsidRDefault="00A61285">
      <w:pPr>
        <w:pStyle w:val="TOC3"/>
        <w:rPr>
          <w:rFonts w:asciiTheme="minorHAnsi" w:hAnsiTheme="minorHAnsi" w:cstheme="minorBidi"/>
          <w:color w:val="auto"/>
          <w:kern w:val="2"/>
          <w:sz w:val="24"/>
          <w:szCs w:val="24"/>
          <w14:ligatures w14:val="standardContextual"/>
        </w:rPr>
      </w:pPr>
      <w:hyperlink w:anchor="_Toc207824541" w:history="1">
        <w:r w:rsidRPr="000C01C3">
          <w:rPr>
            <w:rStyle w:val="Hyperlink"/>
          </w:rPr>
          <w:t>4.1.2</w:t>
        </w:r>
        <w:r>
          <w:rPr>
            <w:rFonts w:asciiTheme="minorHAnsi" w:hAnsiTheme="minorHAnsi" w:cstheme="minorBidi"/>
            <w:color w:val="auto"/>
            <w:kern w:val="2"/>
            <w:sz w:val="24"/>
            <w:szCs w:val="24"/>
            <w14:ligatures w14:val="standardContextual"/>
          </w:rPr>
          <w:tab/>
        </w:r>
        <w:r w:rsidRPr="000C01C3">
          <w:rPr>
            <w:rStyle w:val="Hyperlink"/>
          </w:rPr>
          <w:t>Country-specific context</w:t>
        </w:r>
        <w:r>
          <w:rPr>
            <w:webHidden/>
          </w:rPr>
          <w:tab/>
        </w:r>
        <w:r>
          <w:rPr>
            <w:webHidden/>
          </w:rPr>
          <w:fldChar w:fldCharType="begin"/>
        </w:r>
        <w:r>
          <w:rPr>
            <w:webHidden/>
          </w:rPr>
          <w:instrText xml:space="preserve"> PAGEREF _Toc207824541 \h </w:instrText>
        </w:r>
        <w:r>
          <w:rPr>
            <w:webHidden/>
          </w:rPr>
        </w:r>
        <w:r>
          <w:rPr>
            <w:webHidden/>
          </w:rPr>
          <w:fldChar w:fldCharType="separate"/>
        </w:r>
        <w:r>
          <w:rPr>
            <w:webHidden/>
          </w:rPr>
          <w:t>24</w:t>
        </w:r>
        <w:r>
          <w:rPr>
            <w:webHidden/>
          </w:rPr>
          <w:fldChar w:fldCharType="end"/>
        </w:r>
      </w:hyperlink>
    </w:p>
    <w:p w14:paraId="0E167630" w14:textId="6285A895" w:rsidR="00A61285" w:rsidRDefault="00A61285">
      <w:pPr>
        <w:pStyle w:val="TOC2"/>
        <w:rPr>
          <w:rFonts w:asciiTheme="minorHAnsi" w:hAnsiTheme="minorHAnsi" w:cstheme="minorBidi"/>
          <w:noProof/>
          <w:color w:val="auto"/>
          <w:kern w:val="2"/>
          <w:sz w:val="24"/>
          <w:szCs w:val="24"/>
          <w14:ligatures w14:val="standardContextual"/>
        </w:rPr>
      </w:pPr>
      <w:hyperlink w:anchor="_Toc207824542" w:history="1">
        <w:r w:rsidRPr="000C01C3">
          <w:rPr>
            <w:rStyle w:val="Hyperlink"/>
            <w:noProof/>
          </w:rPr>
          <w:t>4.2</w:t>
        </w:r>
        <w:r>
          <w:rPr>
            <w:rFonts w:asciiTheme="minorHAnsi" w:hAnsiTheme="minorHAnsi" w:cstheme="minorBidi"/>
            <w:noProof/>
            <w:color w:val="auto"/>
            <w:kern w:val="2"/>
            <w:sz w:val="24"/>
            <w:szCs w:val="24"/>
            <w14:ligatures w14:val="standardContextual"/>
          </w:rPr>
          <w:tab/>
        </w:r>
        <w:r w:rsidRPr="000C01C3">
          <w:rPr>
            <w:rStyle w:val="Hyperlink"/>
            <w:noProof/>
          </w:rPr>
          <w:t>Identifying evidence requirements to derive NRVs</w:t>
        </w:r>
        <w:r>
          <w:rPr>
            <w:noProof/>
            <w:webHidden/>
          </w:rPr>
          <w:tab/>
        </w:r>
        <w:r>
          <w:rPr>
            <w:noProof/>
            <w:webHidden/>
          </w:rPr>
          <w:fldChar w:fldCharType="begin"/>
        </w:r>
        <w:r>
          <w:rPr>
            <w:noProof/>
            <w:webHidden/>
          </w:rPr>
          <w:instrText xml:space="preserve"> PAGEREF _Toc207824542 \h </w:instrText>
        </w:r>
        <w:r>
          <w:rPr>
            <w:noProof/>
            <w:webHidden/>
          </w:rPr>
        </w:r>
        <w:r>
          <w:rPr>
            <w:noProof/>
            <w:webHidden/>
          </w:rPr>
          <w:fldChar w:fldCharType="separate"/>
        </w:r>
        <w:r>
          <w:rPr>
            <w:noProof/>
            <w:webHidden/>
          </w:rPr>
          <w:t>26</w:t>
        </w:r>
        <w:r>
          <w:rPr>
            <w:noProof/>
            <w:webHidden/>
          </w:rPr>
          <w:fldChar w:fldCharType="end"/>
        </w:r>
      </w:hyperlink>
    </w:p>
    <w:p w14:paraId="0EC0D054" w14:textId="104CB502" w:rsidR="00A61285" w:rsidRDefault="00A61285">
      <w:pPr>
        <w:pStyle w:val="TOC3"/>
        <w:rPr>
          <w:rFonts w:asciiTheme="minorHAnsi" w:hAnsiTheme="minorHAnsi" w:cstheme="minorBidi"/>
          <w:color w:val="auto"/>
          <w:kern w:val="2"/>
          <w:sz w:val="24"/>
          <w:szCs w:val="24"/>
          <w14:ligatures w14:val="standardContextual"/>
        </w:rPr>
      </w:pPr>
      <w:hyperlink w:anchor="_Toc207824543" w:history="1">
        <w:r w:rsidRPr="000C01C3">
          <w:rPr>
            <w:rStyle w:val="Hyperlink"/>
          </w:rPr>
          <w:t>4.2.1</w:t>
        </w:r>
        <w:r>
          <w:rPr>
            <w:rFonts w:asciiTheme="minorHAnsi" w:hAnsiTheme="minorHAnsi" w:cstheme="minorBidi"/>
            <w:color w:val="auto"/>
            <w:kern w:val="2"/>
            <w:sz w:val="24"/>
            <w:szCs w:val="24"/>
            <w14:ligatures w14:val="standardContextual"/>
          </w:rPr>
          <w:tab/>
        </w:r>
        <w:r w:rsidRPr="000C01C3">
          <w:rPr>
            <w:rStyle w:val="Hyperlink"/>
          </w:rPr>
          <w:t>Identifying key inclusion and exclusion criteria</w:t>
        </w:r>
        <w:r>
          <w:rPr>
            <w:webHidden/>
          </w:rPr>
          <w:tab/>
        </w:r>
        <w:r>
          <w:rPr>
            <w:webHidden/>
          </w:rPr>
          <w:fldChar w:fldCharType="begin"/>
        </w:r>
        <w:r>
          <w:rPr>
            <w:webHidden/>
          </w:rPr>
          <w:instrText xml:space="preserve"> PAGEREF _Toc207824543 \h </w:instrText>
        </w:r>
        <w:r>
          <w:rPr>
            <w:webHidden/>
          </w:rPr>
        </w:r>
        <w:r>
          <w:rPr>
            <w:webHidden/>
          </w:rPr>
          <w:fldChar w:fldCharType="separate"/>
        </w:r>
        <w:r>
          <w:rPr>
            <w:webHidden/>
          </w:rPr>
          <w:t>27</w:t>
        </w:r>
        <w:r>
          <w:rPr>
            <w:webHidden/>
          </w:rPr>
          <w:fldChar w:fldCharType="end"/>
        </w:r>
      </w:hyperlink>
    </w:p>
    <w:p w14:paraId="1604E589" w14:textId="58C7D59C" w:rsidR="00A61285" w:rsidRDefault="00A61285">
      <w:pPr>
        <w:pStyle w:val="TOC4"/>
        <w:rPr>
          <w:rFonts w:asciiTheme="minorHAnsi" w:hAnsiTheme="minorHAnsi" w:cstheme="minorBidi"/>
          <w:noProof/>
          <w:color w:val="auto"/>
          <w:kern w:val="2"/>
          <w:sz w:val="24"/>
          <w:szCs w:val="24"/>
          <w14:ligatures w14:val="standardContextual"/>
        </w:rPr>
      </w:pPr>
      <w:hyperlink w:anchor="_Toc207824544" w:history="1">
        <w:r w:rsidRPr="000C01C3">
          <w:rPr>
            <w:rStyle w:val="Hyperlink"/>
            <w:noProof/>
          </w:rPr>
          <w:t>4.2.1.1</w:t>
        </w:r>
        <w:r>
          <w:rPr>
            <w:rFonts w:asciiTheme="minorHAnsi" w:hAnsiTheme="minorHAnsi" w:cstheme="minorBidi"/>
            <w:noProof/>
            <w:color w:val="auto"/>
            <w:kern w:val="2"/>
            <w:sz w:val="24"/>
            <w:szCs w:val="24"/>
            <w14:ligatures w14:val="standardContextual"/>
          </w:rPr>
          <w:tab/>
        </w:r>
        <w:r w:rsidRPr="000C01C3">
          <w:rPr>
            <w:rStyle w:val="Hyperlink"/>
            <w:noProof/>
          </w:rPr>
          <w:t>Study designs</w:t>
        </w:r>
        <w:r>
          <w:rPr>
            <w:noProof/>
            <w:webHidden/>
          </w:rPr>
          <w:tab/>
        </w:r>
        <w:r>
          <w:rPr>
            <w:noProof/>
            <w:webHidden/>
          </w:rPr>
          <w:fldChar w:fldCharType="begin"/>
        </w:r>
        <w:r>
          <w:rPr>
            <w:noProof/>
            <w:webHidden/>
          </w:rPr>
          <w:instrText xml:space="preserve"> PAGEREF _Toc207824544 \h </w:instrText>
        </w:r>
        <w:r>
          <w:rPr>
            <w:noProof/>
            <w:webHidden/>
          </w:rPr>
        </w:r>
        <w:r>
          <w:rPr>
            <w:noProof/>
            <w:webHidden/>
          </w:rPr>
          <w:fldChar w:fldCharType="separate"/>
        </w:r>
        <w:r>
          <w:rPr>
            <w:noProof/>
            <w:webHidden/>
          </w:rPr>
          <w:t>27</w:t>
        </w:r>
        <w:r>
          <w:rPr>
            <w:noProof/>
            <w:webHidden/>
          </w:rPr>
          <w:fldChar w:fldCharType="end"/>
        </w:r>
      </w:hyperlink>
    </w:p>
    <w:p w14:paraId="54E66307" w14:textId="00C4B9FD" w:rsidR="00A61285" w:rsidRDefault="00A61285">
      <w:pPr>
        <w:pStyle w:val="TOC4"/>
        <w:tabs>
          <w:tab w:val="left" w:pos="1135"/>
        </w:tabs>
        <w:rPr>
          <w:rFonts w:asciiTheme="minorHAnsi" w:hAnsiTheme="minorHAnsi" w:cstheme="minorBidi"/>
          <w:noProof/>
          <w:color w:val="auto"/>
          <w:kern w:val="2"/>
          <w:sz w:val="24"/>
          <w:szCs w:val="24"/>
          <w14:ligatures w14:val="standardContextual"/>
        </w:rPr>
      </w:pPr>
      <w:hyperlink w:anchor="_Toc207824545" w:history="1">
        <w:r w:rsidRPr="000C01C3">
          <w:rPr>
            <w:rStyle w:val="Hyperlink"/>
            <w:noProof/>
          </w:rPr>
          <w:t>4.2.1.2</w:t>
        </w:r>
        <w:r>
          <w:rPr>
            <w:rFonts w:asciiTheme="minorHAnsi" w:hAnsiTheme="minorHAnsi" w:cstheme="minorBidi"/>
            <w:noProof/>
            <w:color w:val="auto"/>
            <w:kern w:val="2"/>
            <w:sz w:val="24"/>
            <w:szCs w:val="24"/>
            <w14:ligatures w14:val="standardContextual"/>
          </w:rPr>
          <w:tab/>
        </w:r>
        <w:r w:rsidRPr="000C01C3">
          <w:rPr>
            <w:rStyle w:val="Hyperlink"/>
            <w:noProof/>
          </w:rPr>
          <w:t>Population groups</w:t>
        </w:r>
        <w:r>
          <w:rPr>
            <w:noProof/>
            <w:webHidden/>
          </w:rPr>
          <w:tab/>
        </w:r>
        <w:r>
          <w:rPr>
            <w:noProof/>
            <w:webHidden/>
          </w:rPr>
          <w:fldChar w:fldCharType="begin"/>
        </w:r>
        <w:r>
          <w:rPr>
            <w:noProof/>
            <w:webHidden/>
          </w:rPr>
          <w:instrText xml:space="preserve"> PAGEREF _Toc207824545 \h </w:instrText>
        </w:r>
        <w:r>
          <w:rPr>
            <w:noProof/>
            <w:webHidden/>
          </w:rPr>
        </w:r>
        <w:r>
          <w:rPr>
            <w:noProof/>
            <w:webHidden/>
          </w:rPr>
          <w:fldChar w:fldCharType="separate"/>
        </w:r>
        <w:r>
          <w:rPr>
            <w:noProof/>
            <w:webHidden/>
          </w:rPr>
          <w:t>27</w:t>
        </w:r>
        <w:r>
          <w:rPr>
            <w:noProof/>
            <w:webHidden/>
          </w:rPr>
          <w:fldChar w:fldCharType="end"/>
        </w:r>
      </w:hyperlink>
    </w:p>
    <w:p w14:paraId="2571EE78" w14:textId="5E7DAA23" w:rsidR="00A61285" w:rsidRDefault="00A61285">
      <w:pPr>
        <w:pStyle w:val="TOC5"/>
        <w:rPr>
          <w:rFonts w:asciiTheme="minorHAnsi" w:hAnsiTheme="minorHAnsi"/>
          <w:sz w:val="24"/>
          <w:szCs w:val="24"/>
          <w14:ligatures w14:val="standardContextual"/>
        </w:rPr>
      </w:pPr>
      <w:hyperlink w:anchor="_Toc207824546" w:history="1">
        <w:r w:rsidRPr="000C01C3">
          <w:rPr>
            <w:rStyle w:val="Hyperlink"/>
          </w:rPr>
          <w:t>4.2.1.2.1</w:t>
        </w:r>
        <w:r>
          <w:rPr>
            <w:rFonts w:asciiTheme="minorHAnsi" w:hAnsiTheme="minorHAnsi"/>
            <w:sz w:val="24"/>
            <w:szCs w:val="24"/>
            <w14:ligatures w14:val="standardContextual"/>
          </w:rPr>
          <w:tab/>
        </w:r>
        <w:r w:rsidRPr="000C01C3">
          <w:rPr>
            <w:rStyle w:val="Hyperlink"/>
          </w:rPr>
          <w:t>Measuring intake and status</w:t>
        </w:r>
        <w:r>
          <w:rPr>
            <w:webHidden/>
          </w:rPr>
          <w:tab/>
        </w:r>
        <w:r>
          <w:rPr>
            <w:webHidden/>
          </w:rPr>
          <w:fldChar w:fldCharType="begin"/>
        </w:r>
        <w:r>
          <w:rPr>
            <w:webHidden/>
          </w:rPr>
          <w:instrText xml:space="preserve"> PAGEREF _Toc207824546 \h </w:instrText>
        </w:r>
        <w:r>
          <w:rPr>
            <w:webHidden/>
          </w:rPr>
        </w:r>
        <w:r>
          <w:rPr>
            <w:webHidden/>
          </w:rPr>
          <w:fldChar w:fldCharType="separate"/>
        </w:r>
        <w:r>
          <w:rPr>
            <w:webHidden/>
          </w:rPr>
          <w:t>28</w:t>
        </w:r>
        <w:r>
          <w:rPr>
            <w:webHidden/>
          </w:rPr>
          <w:fldChar w:fldCharType="end"/>
        </w:r>
      </w:hyperlink>
    </w:p>
    <w:p w14:paraId="1ED62CCA" w14:textId="6DC6177A" w:rsidR="00A61285" w:rsidRDefault="00A61285">
      <w:pPr>
        <w:pStyle w:val="TOC4"/>
        <w:tabs>
          <w:tab w:val="left" w:pos="1135"/>
        </w:tabs>
        <w:rPr>
          <w:rFonts w:asciiTheme="minorHAnsi" w:hAnsiTheme="minorHAnsi" w:cstheme="minorBidi"/>
          <w:noProof/>
          <w:color w:val="auto"/>
          <w:kern w:val="2"/>
          <w:sz w:val="24"/>
          <w:szCs w:val="24"/>
          <w14:ligatures w14:val="standardContextual"/>
        </w:rPr>
      </w:pPr>
      <w:hyperlink w:anchor="_Toc207824547" w:history="1">
        <w:r w:rsidRPr="000C01C3">
          <w:rPr>
            <w:rStyle w:val="Hyperlink"/>
            <w:noProof/>
          </w:rPr>
          <w:t>4.2.1.3</w:t>
        </w:r>
        <w:r>
          <w:rPr>
            <w:rFonts w:asciiTheme="minorHAnsi" w:hAnsiTheme="minorHAnsi" w:cstheme="minorBidi"/>
            <w:noProof/>
            <w:color w:val="auto"/>
            <w:kern w:val="2"/>
            <w:sz w:val="24"/>
            <w:szCs w:val="24"/>
            <w14:ligatures w14:val="standardContextual"/>
          </w:rPr>
          <w:tab/>
        </w:r>
        <w:r w:rsidRPr="000C01C3">
          <w:rPr>
            <w:rStyle w:val="Hyperlink"/>
            <w:noProof/>
          </w:rPr>
          <w:t>Outcomes/endpoints</w:t>
        </w:r>
        <w:r>
          <w:rPr>
            <w:noProof/>
            <w:webHidden/>
          </w:rPr>
          <w:tab/>
        </w:r>
        <w:r>
          <w:rPr>
            <w:noProof/>
            <w:webHidden/>
          </w:rPr>
          <w:fldChar w:fldCharType="begin"/>
        </w:r>
        <w:r>
          <w:rPr>
            <w:noProof/>
            <w:webHidden/>
          </w:rPr>
          <w:instrText xml:space="preserve"> PAGEREF _Toc207824547 \h </w:instrText>
        </w:r>
        <w:r>
          <w:rPr>
            <w:noProof/>
            <w:webHidden/>
          </w:rPr>
        </w:r>
        <w:r>
          <w:rPr>
            <w:noProof/>
            <w:webHidden/>
          </w:rPr>
          <w:fldChar w:fldCharType="separate"/>
        </w:r>
        <w:r>
          <w:rPr>
            <w:noProof/>
            <w:webHidden/>
          </w:rPr>
          <w:t>29</w:t>
        </w:r>
        <w:r>
          <w:rPr>
            <w:noProof/>
            <w:webHidden/>
          </w:rPr>
          <w:fldChar w:fldCharType="end"/>
        </w:r>
      </w:hyperlink>
    </w:p>
    <w:p w14:paraId="198107E5" w14:textId="322CE360" w:rsidR="00A61285" w:rsidRDefault="00A61285">
      <w:pPr>
        <w:pStyle w:val="TOC1"/>
        <w:tabs>
          <w:tab w:val="left" w:pos="1540"/>
        </w:tabs>
        <w:rPr>
          <w:rFonts w:asciiTheme="minorHAnsi" w:hAnsiTheme="minorHAnsi" w:cstheme="minorBidi"/>
          <w:noProof/>
          <w:kern w:val="2"/>
          <w:szCs w:val="24"/>
          <w14:ligatures w14:val="standardContextual"/>
        </w:rPr>
      </w:pPr>
      <w:hyperlink w:anchor="_Toc207824548" w:history="1">
        <w:r w:rsidRPr="000C01C3">
          <w:rPr>
            <w:rStyle w:val="Hyperlink"/>
            <w:noProof/>
          </w:rPr>
          <w:t>Chapter 5:</w:t>
        </w:r>
        <w:r>
          <w:rPr>
            <w:rFonts w:asciiTheme="minorHAnsi" w:hAnsiTheme="minorHAnsi" w:cstheme="minorBidi"/>
            <w:noProof/>
            <w:kern w:val="2"/>
            <w:szCs w:val="24"/>
            <w14:ligatures w14:val="standardContextual"/>
          </w:rPr>
          <w:tab/>
        </w:r>
        <w:r w:rsidRPr="000C01C3">
          <w:rPr>
            <w:rStyle w:val="Hyperlink"/>
            <w:noProof/>
          </w:rPr>
          <w:t>Gathering evidence</w:t>
        </w:r>
        <w:r>
          <w:rPr>
            <w:noProof/>
            <w:webHidden/>
          </w:rPr>
          <w:tab/>
        </w:r>
        <w:r>
          <w:rPr>
            <w:noProof/>
            <w:webHidden/>
          </w:rPr>
          <w:fldChar w:fldCharType="begin"/>
        </w:r>
        <w:r>
          <w:rPr>
            <w:noProof/>
            <w:webHidden/>
          </w:rPr>
          <w:instrText xml:space="preserve"> PAGEREF _Toc207824548 \h </w:instrText>
        </w:r>
        <w:r>
          <w:rPr>
            <w:noProof/>
            <w:webHidden/>
          </w:rPr>
        </w:r>
        <w:r>
          <w:rPr>
            <w:noProof/>
            <w:webHidden/>
          </w:rPr>
          <w:fldChar w:fldCharType="separate"/>
        </w:r>
        <w:r>
          <w:rPr>
            <w:noProof/>
            <w:webHidden/>
          </w:rPr>
          <w:t>30</w:t>
        </w:r>
        <w:r>
          <w:rPr>
            <w:noProof/>
            <w:webHidden/>
          </w:rPr>
          <w:fldChar w:fldCharType="end"/>
        </w:r>
      </w:hyperlink>
    </w:p>
    <w:p w14:paraId="06188CC0" w14:textId="656E1DC7" w:rsidR="00A61285" w:rsidRDefault="00A61285">
      <w:pPr>
        <w:pStyle w:val="TOC2"/>
        <w:rPr>
          <w:rFonts w:asciiTheme="minorHAnsi" w:hAnsiTheme="minorHAnsi" w:cstheme="minorBidi"/>
          <w:noProof/>
          <w:color w:val="auto"/>
          <w:kern w:val="2"/>
          <w:sz w:val="24"/>
          <w:szCs w:val="24"/>
          <w14:ligatures w14:val="standardContextual"/>
        </w:rPr>
      </w:pPr>
      <w:hyperlink w:anchor="_Toc207824549" w:history="1">
        <w:r w:rsidRPr="000C01C3">
          <w:rPr>
            <w:rStyle w:val="Hyperlink"/>
            <w:noProof/>
          </w:rPr>
          <w:t>5.1</w:t>
        </w:r>
        <w:r>
          <w:rPr>
            <w:rFonts w:asciiTheme="minorHAnsi" w:hAnsiTheme="minorHAnsi" w:cstheme="minorBidi"/>
            <w:noProof/>
            <w:color w:val="auto"/>
            <w:kern w:val="2"/>
            <w:sz w:val="24"/>
            <w:szCs w:val="24"/>
            <w14:ligatures w14:val="standardContextual"/>
          </w:rPr>
          <w:tab/>
        </w:r>
        <w:r w:rsidRPr="000C01C3">
          <w:rPr>
            <w:rStyle w:val="Hyperlink"/>
            <w:noProof/>
          </w:rPr>
          <w:t>Identifying available evidence sources and gaps</w:t>
        </w:r>
        <w:r>
          <w:rPr>
            <w:noProof/>
            <w:webHidden/>
          </w:rPr>
          <w:tab/>
        </w:r>
        <w:r>
          <w:rPr>
            <w:noProof/>
            <w:webHidden/>
          </w:rPr>
          <w:fldChar w:fldCharType="begin"/>
        </w:r>
        <w:r>
          <w:rPr>
            <w:noProof/>
            <w:webHidden/>
          </w:rPr>
          <w:instrText xml:space="preserve"> PAGEREF _Toc207824549 \h </w:instrText>
        </w:r>
        <w:r>
          <w:rPr>
            <w:noProof/>
            <w:webHidden/>
          </w:rPr>
        </w:r>
        <w:r>
          <w:rPr>
            <w:noProof/>
            <w:webHidden/>
          </w:rPr>
          <w:fldChar w:fldCharType="separate"/>
        </w:r>
        <w:r>
          <w:rPr>
            <w:noProof/>
            <w:webHidden/>
          </w:rPr>
          <w:t>30</w:t>
        </w:r>
        <w:r>
          <w:rPr>
            <w:noProof/>
            <w:webHidden/>
          </w:rPr>
          <w:fldChar w:fldCharType="end"/>
        </w:r>
      </w:hyperlink>
    </w:p>
    <w:p w14:paraId="76DC49D5" w14:textId="65F4719A" w:rsidR="00A61285" w:rsidRDefault="00A61285">
      <w:pPr>
        <w:pStyle w:val="TOC3"/>
        <w:rPr>
          <w:rFonts w:asciiTheme="minorHAnsi" w:hAnsiTheme="minorHAnsi" w:cstheme="minorBidi"/>
          <w:color w:val="auto"/>
          <w:kern w:val="2"/>
          <w:sz w:val="24"/>
          <w:szCs w:val="24"/>
          <w14:ligatures w14:val="standardContextual"/>
        </w:rPr>
      </w:pPr>
      <w:hyperlink w:anchor="_Toc207824550" w:history="1">
        <w:r w:rsidRPr="000C01C3">
          <w:rPr>
            <w:rStyle w:val="Hyperlink"/>
          </w:rPr>
          <w:t>5.1.1</w:t>
        </w:r>
        <w:r>
          <w:rPr>
            <w:rFonts w:asciiTheme="minorHAnsi" w:hAnsiTheme="minorHAnsi" w:cstheme="minorBidi"/>
            <w:color w:val="auto"/>
            <w:kern w:val="2"/>
            <w:sz w:val="24"/>
            <w:szCs w:val="24"/>
            <w14:ligatures w14:val="standardContextual"/>
          </w:rPr>
          <w:tab/>
        </w:r>
        <w:r w:rsidRPr="000C01C3">
          <w:rPr>
            <w:rStyle w:val="Hyperlink"/>
          </w:rPr>
          <w:t>Adopting or adapting existing international NRVs</w:t>
        </w:r>
        <w:r>
          <w:rPr>
            <w:webHidden/>
          </w:rPr>
          <w:tab/>
        </w:r>
        <w:r>
          <w:rPr>
            <w:webHidden/>
          </w:rPr>
          <w:fldChar w:fldCharType="begin"/>
        </w:r>
        <w:r>
          <w:rPr>
            <w:webHidden/>
          </w:rPr>
          <w:instrText xml:space="preserve"> PAGEREF _Toc207824550 \h </w:instrText>
        </w:r>
        <w:r>
          <w:rPr>
            <w:webHidden/>
          </w:rPr>
        </w:r>
        <w:r>
          <w:rPr>
            <w:webHidden/>
          </w:rPr>
          <w:fldChar w:fldCharType="separate"/>
        </w:r>
        <w:r>
          <w:rPr>
            <w:webHidden/>
          </w:rPr>
          <w:t>30</w:t>
        </w:r>
        <w:r>
          <w:rPr>
            <w:webHidden/>
          </w:rPr>
          <w:fldChar w:fldCharType="end"/>
        </w:r>
      </w:hyperlink>
    </w:p>
    <w:p w14:paraId="7C097765" w14:textId="216EEF4B" w:rsidR="00A61285" w:rsidRDefault="00A61285">
      <w:pPr>
        <w:pStyle w:val="TOC3"/>
        <w:rPr>
          <w:rFonts w:asciiTheme="minorHAnsi" w:hAnsiTheme="minorHAnsi" w:cstheme="minorBidi"/>
          <w:color w:val="auto"/>
          <w:kern w:val="2"/>
          <w:sz w:val="24"/>
          <w:szCs w:val="24"/>
          <w14:ligatures w14:val="standardContextual"/>
        </w:rPr>
      </w:pPr>
      <w:hyperlink w:anchor="_Toc207824551" w:history="1">
        <w:r w:rsidRPr="000C01C3">
          <w:rPr>
            <w:rStyle w:val="Hyperlink"/>
          </w:rPr>
          <w:t>5.1.2</w:t>
        </w:r>
        <w:r>
          <w:rPr>
            <w:rFonts w:asciiTheme="minorHAnsi" w:hAnsiTheme="minorHAnsi" w:cstheme="minorBidi"/>
            <w:color w:val="auto"/>
            <w:kern w:val="2"/>
            <w:sz w:val="24"/>
            <w:szCs w:val="24"/>
            <w14:ligatures w14:val="standardContextual"/>
          </w:rPr>
          <w:tab/>
        </w:r>
        <w:r w:rsidRPr="000C01C3">
          <w:rPr>
            <w:rStyle w:val="Hyperlink"/>
          </w:rPr>
          <w:t>Using or updating existing systematic reviews</w:t>
        </w:r>
        <w:r>
          <w:rPr>
            <w:webHidden/>
          </w:rPr>
          <w:tab/>
        </w:r>
        <w:r>
          <w:rPr>
            <w:webHidden/>
          </w:rPr>
          <w:fldChar w:fldCharType="begin"/>
        </w:r>
        <w:r>
          <w:rPr>
            <w:webHidden/>
          </w:rPr>
          <w:instrText xml:space="preserve"> PAGEREF _Toc207824551 \h </w:instrText>
        </w:r>
        <w:r>
          <w:rPr>
            <w:webHidden/>
          </w:rPr>
        </w:r>
        <w:r>
          <w:rPr>
            <w:webHidden/>
          </w:rPr>
          <w:fldChar w:fldCharType="separate"/>
        </w:r>
        <w:r>
          <w:rPr>
            <w:webHidden/>
          </w:rPr>
          <w:t>31</w:t>
        </w:r>
        <w:r>
          <w:rPr>
            <w:webHidden/>
          </w:rPr>
          <w:fldChar w:fldCharType="end"/>
        </w:r>
      </w:hyperlink>
    </w:p>
    <w:p w14:paraId="12366A2F" w14:textId="7D0F27F0" w:rsidR="00A61285" w:rsidRDefault="00A61285">
      <w:pPr>
        <w:pStyle w:val="TOC2"/>
        <w:rPr>
          <w:rFonts w:asciiTheme="minorHAnsi" w:hAnsiTheme="minorHAnsi" w:cstheme="minorBidi"/>
          <w:noProof/>
          <w:color w:val="auto"/>
          <w:kern w:val="2"/>
          <w:sz w:val="24"/>
          <w:szCs w:val="24"/>
          <w14:ligatures w14:val="standardContextual"/>
        </w:rPr>
      </w:pPr>
      <w:hyperlink w:anchor="_Toc207824552" w:history="1">
        <w:r w:rsidRPr="000C01C3">
          <w:rPr>
            <w:rStyle w:val="Hyperlink"/>
            <w:noProof/>
          </w:rPr>
          <w:t>5.2</w:t>
        </w:r>
        <w:r>
          <w:rPr>
            <w:rFonts w:asciiTheme="minorHAnsi" w:hAnsiTheme="minorHAnsi" w:cstheme="minorBidi"/>
            <w:noProof/>
            <w:color w:val="auto"/>
            <w:kern w:val="2"/>
            <w:sz w:val="24"/>
            <w:szCs w:val="24"/>
            <w14:ligatures w14:val="standardContextual"/>
          </w:rPr>
          <w:tab/>
        </w:r>
        <w:r w:rsidRPr="000C01C3">
          <w:rPr>
            <w:rStyle w:val="Hyperlink"/>
            <w:noProof/>
          </w:rPr>
          <w:t>Conducting a de novo evidence review</w:t>
        </w:r>
        <w:r>
          <w:rPr>
            <w:noProof/>
            <w:webHidden/>
          </w:rPr>
          <w:tab/>
        </w:r>
        <w:r>
          <w:rPr>
            <w:noProof/>
            <w:webHidden/>
          </w:rPr>
          <w:fldChar w:fldCharType="begin"/>
        </w:r>
        <w:r>
          <w:rPr>
            <w:noProof/>
            <w:webHidden/>
          </w:rPr>
          <w:instrText xml:space="preserve"> PAGEREF _Toc207824552 \h </w:instrText>
        </w:r>
        <w:r>
          <w:rPr>
            <w:noProof/>
            <w:webHidden/>
          </w:rPr>
        </w:r>
        <w:r>
          <w:rPr>
            <w:noProof/>
            <w:webHidden/>
          </w:rPr>
          <w:fldChar w:fldCharType="separate"/>
        </w:r>
        <w:r>
          <w:rPr>
            <w:noProof/>
            <w:webHidden/>
          </w:rPr>
          <w:t>31</w:t>
        </w:r>
        <w:r>
          <w:rPr>
            <w:noProof/>
            <w:webHidden/>
          </w:rPr>
          <w:fldChar w:fldCharType="end"/>
        </w:r>
      </w:hyperlink>
    </w:p>
    <w:p w14:paraId="4C9456BA" w14:textId="3976F121" w:rsidR="00A61285" w:rsidRDefault="00A61285">
      <w:pPr>
        <w:pStyle w:val="TOC2"/>
        <w:rPr>
          <w:rFonts w:asciiTheme="minorHAnsi" w:hAnsiTheme="minorHAnsi" w:cstheme="minorBidi"/>
          <w:noProof/>
          <w:color w:val="auto"/>
          <w:kern w:val="2"/>
          <w:sz w:val="24"/>
          <w:szCs w:val="24"/>
          <w14:ligatures w14:val="standardContextual"/>
        </w:rPr>
      </w:pPr>
      <w:hyperlink w:anchor="_Toc207824553" w:history="1">
        <w:r w:rsidRPr="000C01C3">
          <w:rPr>
            <w:rStyle w:val="Hyperlink"/>
            <w:noProof/>
          </w:rPr>
          <w:t>5.3</w:t>
        </w:r>
        <w:r>
          <w:rPr>
            <w:rFonts w:asciiTheme="minorHAnsi" w:hAnsiTheme="minorHAnsi" w:cstheme="minorBidi"/>
            <w:noProof/>
            <w:color w:val="auto"/>
            <w:kern w:val="2"/>
            <w:sz w:val="24"/>
            <w:szCs w:val="24"/>
            <w14:ligatures w14:val="standardContextual"/>
          </w:rPr>
          <w:tab/>
        </w:r>
        <w:r w:rsidRPr="000C01C3">
          <w:rPr>
            <w:rStyle w:val="Hyperlink"/>
            <w:noProof/>
          </w:rPr>
          <w:t>Developing GRADE evidence profiles</w:t>
        </w:r>
        <w:r>
          <w:rPr>
            <w:noProof/>
            <w:webHidden/>
          </w:rPr>
          <w:tab/>
        </w:r>
        <w:r>
          <w:rPr>
            <w:noProof/>
            <w:webHidden/>
          </w:rPr>
          <w:fldChar w:fldCharType="begin"/>
        </w:r>
        <w:r>
          <w:rPr>
            <w:noProof/>
            <w:webHidden/>
          </w:rPr>
          <w:instrText xml:space="preserve"> PAGEREF _Toc207824553 \h </w:instrText>
        </w:r>
        <w:r>
          <w:rPr>
            <w:noProof/>
            <w:webHidden/>
          </w:rPr>
        </w:r>
        <w:r>
          <w:rPr>
            <w:noProof/>
            <w:webHidden/>
          </w:rPr>
          <w:fldChar w:fldCharType="separate"/>
        </w:r>
        <w:r>
          <w:rPr>
            <w:noProof/>
            <w:webHidden/>
          </w:rPr>
          <w:t>32</w:t>
        </w:r>
        <w:r>
          <w:rPr>
            <w:noProof/>
            <w:webHidden/>
          </w:rPr>
          <w:fldChar w:fldCharType="end"/>
        </w:r>
      </w:hyperlink>
    </w:p>
    <w:p w14:paraId="71D00C9C" w14:textId="504C8340" w:rsidR="00A61285" w:rsidRDefault="00A61285">
      <w:pPr>
        <w:pStyle w:val="TOC3"/>
        <w:rPr>
          <w:rFonts w:asciiTheme="minorHAnsi" w:hAnsiTheme="minorHAnsi" w:cstheme="minorBidi"/>
          <w:color w:val="auto"/>
          <w:kern w:val="2"/>
          <w:sz w:val="24"/>
          <w:szCs w:val="24"/>
          <w14:ligatures w14:val="standardContextual"/>
        </w:rPr>
      </w:pPr>
      <w:hyperlink w:anchor="_Toc207824554" w:history="1">
        <w:r w:rsidRPr="000C01C3">
          <w:rPr>
            <w:rStyle w:val="Hyperlink"/>
          </w:rPr>
          <w:t>5.3.1</w:t>
        </w:r>
        <w:r>
          <w:rPr>
            <w:rFonts w:asciiTheme="minorHAnsi" w:hAnsiTheme="minorHAnsi" w:cstheme="minorBidi"/>
            <w:color w:val="auto"/>
            <w:kern w:val="2"/>
            <w:sz w:val="24"/>
            <w:szCs w:val="24"/>
            <w14:ligatures w14:val="standardContextual"/>
          </w:rPr>
          <w:tab/>
        </w:r>
        <w:r w:rsidRPr="000C01C3">
          <w:rPr>
            <w:rStyle w:val="Hyperlink"/>
          </w:rPr>
          <w:t>GRADE certainty of evidence</w:t>
        </w:r>
        <w:r>
          <w:rPr>
            <w:webHidden/>
          </w:rPr>
          <w:tab/>
        </w:r>
        <w:r>
          <w:rPr>
            <w:webHidden/>
          </w:rPr>
          <w:fldChar w:fldCharType="begin"/>
        </w:r>
        <w:r>
          <w:rPr>
            <w:webHidden/>
          </w:rPr>
          <w:instrText xml:space="preserve"> PAGEREF _Toc207824554 \h </w:instrText>
        </w:r>
        <w:r>
          <w:rPr>
            <w:webHidden/>
          </w:rPr>
        </w:r>
        <w:r>
          <w:rPr>
            <w:webHidden/>
          </w:rPr>
          <w:fldChar w:fldCharType="separate"/>
        </w:r>
        <w:r>
          <w:rPr>
            <w:webHidden/>
          </w:rPr>
          <w:t>33</w:t>
        </w:r>
        <w:r>
          <w:rPr>
            <w:webHidden/>
          </w:rPr>
          <w:fldChar w:fldCharType="end"/>
        </w:r>
      </w:hyperlink>
    </w:p>
    <w:p w14:paraId="5580C437" w14:textId="0D2BC781" w:rsidR="00A61285" w:rsidRDefault="00A61285">
      <w:pPr>
        <w:pStyle w:val="TOC1"/>
        <w:tabs>
          <w:tab w:val="left" w:pos="1540"/>
        </w:tabs>
        <w:rPr>
          <w:rFonts w:asciiTheme="minorHAnsi" w:hAnsiTheme="minorHAnsi" w:cstheme="minorBidi"/>
          <w:noProof/>
          <w:kern w:val="2"/>
          <w:szCs w:val="24"/>
          <w14:ligatures w14:val="standardContextual"/>
        </w:rPr>
      </w:pPr>
      <w:hyperlink w:anchor="_Toc207824555" w:history="1">
        <w:r w:rsidRPr="000C01C3">
          <w:rPr>
            <w:rStyle w:val="Hyperlink"/>
            <w:noProof/>
          </w:rPr>
          <w:t>Chapter 6:</w:t>
        </w:r>
        <w:r>
          <w:rPr>
            <w:rFonts w:asciiTheme="minorHAnsi" w:hAnsiTheme="minorHAnsi" w:cstheme="minorBidi"/>
            <w:noProof/>
            <w:kern w:val="2"/>
            <w:szCs w:val="24"/>
            <w14:ligatures w14:val="standardContextual"/>
          </w:rPr>
          <w:tab/>
        </w:r>
        <w:r w:rsidRPr="000C01C3">
          <w:rPr>
            <w:rStyle w:val="Hyperlink"/>
            <w:noProof/>
          </w:rPr>
          <w:t>NRV calculation and recommendations</w:t>
        </w:r>
        <w:r>
          <w:rPr>
            <w:noProof/>
            <w:webHidden/>
          </w:rPr>
          <w:tab/>
        </w:r>
        <w:r>
          <w:rPr>
            <w:noProof/>
            <w:webHidden/>
          </w:rPr>
          <w:fldChar w:fldCharType="begin"/>
        </w:r>
        <w:r>
          <w:rPr>
            <w:noProof/>
            <w:webHidden/>
          </w:rPr>
          <w:instrText xml:space="preserve"> PAGEREF _Toc207824555 \h </w:instrText>
        </w:r>
        <w:r>
          <w:rPr>
            <w:noProof/>
            <w:webHidden/>
          </w:rPr>
        </w:r>
        <w:r>
          <w:rPr>
            <w:noProof/>
            <w:webHidden/>
          </w:rPr>
          <w:fldChar w:fldCharType="separate"/>
        </w:r>
        <w:r>
          <w:rPr>
            <w:noProof/>
            <w:webHidden/>
          </w:rPr>
          <w:t>34</w:t>
        </w:r>
        <w:r>
          <w:rPr>
            <w:noProof/>
            <w:webHidden/>
          </w:rPr>
          <w:fldChar w:fldCharType="end"/>
        </w:r>
      </w:hyperlink>
    </w:p>
    <w:p w14:paraId="47F46273" w14:textId="5A875325" w:rsidR="00A61285" w:rsidRDefault="00A61285">
      <w:pPr>
        <w:pStyle w:val="TOC2"/>
        <w:rPr>
          <w:rFonts w:asciiTheme="minorHAnsi" w:hAnsiTheme="minorHAnsi" w:cstheme="minorBidi"/>
          <w:noProof/>
          <w:color w:val="auto"/>
          <w:kern w:val="2"/>
          <w:sz w:val="24"/>
          <w:szCs w:val="24"/>
          <w14:ligatures w14:val="standardContextual"/>
        </w:rPr>
      </w:pPr>
      <w:hyperlink w:anchor="_Toc207824556" w:history="1">
        <w:r w:rsidRPr="000C01C3">
          <w:rPr>
            <w:rStyle w:val="Hyperlink"/>
            <w:noProof/>
          </w:rPr>
          <w:t>6.1</w:t>
        </w:r>
        <w:r>
          <w:rPr>
            <w:rFonts w:asciiTheme="minorHAnsi" w:hAnsiTheme="minorHAnsi" w:cstheme="minorBidi"/>
            <w:noProof/>
            <w:color w:val="auto"/>
            <w:kern w:val="2"/>
            <w:sz w:val="24"/>
            <w:szCs w:val="24"/>
            <w14:ligatures w14:val="standardContextual"/>
          </w:rPr>
          <w:tab/>
        </w:r>
        <w:r w:rsidRPr="000C01C3">
          <w:rPr>
            <w:rStyle w:val="Hyperlink"/>
            <w:noProof/>
          </w:rPr>
          <w:t>Determining the approach</w:t>
        </w:r>
        <w:r>
          <w:rPr>
            <w:noProof/>
            <w:webHidden/>
          </w:rPr>
          <w:tab/>
        </w:r>
        <w:r>
          <w:rPr>
            <w:noProof/>
            <w:webHidden/>
          </w:rPr>
          <w:fldChar w:fldCharType="begin"/>
        </w:r>
        <w:r>
          <w:rPr>
            <w:noProof/>
            <w:webHidden/>
          </w:rPr>
          <w:instrText xml:space="preserve"> PAGEREF _Toc207824556 \h </w:instrText>
        </w:r>
        <w:r>
          <w:rPr>
            <w:noProof/>
            <w:webHidden/>
          </w:rPr>
        </w:r>
        <w:r>
          <w:rPr>
            <w:noProof/>
            <w:webHidden/>
          </w:rPr>
          <w:fldChar w:fldCharType="separate"/>
        </w:r>
        <w:r>
          <w:rPr>
            <w:noProof/>
            <w:webHidden/>
          </w:rPr>
          <w:t>34</w:t>
        </w:r>
        <w:r>
          <w:rPr>
            <w:noProof/>
            <w:webHidden/>
          </w:rPr>
          <w:fldChar w:fldCharType="end"/>
        </w:r>
      </w:hyperlink>
    </w:p>
    <w:p w14:paraId="0571A1E9" w14:textId="17B57C07" w:rsidR="00A61285" w:rsidRDefault="00A61285">
      <w:pPr>
        <w:pStyle w:val="TOC3"/>
        <w:rPr>
          <w:rFonts w:asciiTheme="minorHAnsi" w:hAnsiTheme="minorHAnsi" w:cstheme="minorBidi"/>
          <w:color w:val="auto"/>
          <w:kern w:val="2"/>
          <w:sz w:val="24"/>
          <w:szCs w:val="24"/>
          <w14:ligatures w14:val="standardContextual"/>
        </w:rPr>
      </w:pPr>
      <w:hyperlink w:anchor="_Toc207824557" w:history="1">
        <w:r w:rsidRPr="000C01C3">
          <w:rPr>
            <w:rStyle w:val="Hyperlink"/>
          </w:rPr>
          <w:t>6.1.1</w:t>
        </w:r>
        <w:r>
          <w:rPr>
            <w:rFonts w:asciiTheme="minorHAnsi" w:hAnsiTheme="minorHAnsi" w:cstheme="minorBidi"/>
            <w:color w:val="auto"/>
            <w:kern w:val="2"/>
            <w:sz w:val="24"/>
            <w:szCs w:val="24"/>
            <w14:ligatures w14:val="standardContextual"/>
          </w:rPr>
          <w:tab/>
        </w:r>
        <w:r w:rsidRPr="000C01C3">
          <w:rPr>
            <w:rStyle w:val="Hyperlink"/>
          </w:rPr>
          <w:t>Factorial approach</w:t>
        </w:r>
        <w:r>
          <w:rPr>
            <w:webHidden/>
          </w:rPr>
          <w:tab/>
        </w:r>
        <w:r>
          <w:rPr>
            <w:webHidden/>
          </w:rPr>
          <w:fldChar w:fldCharType="begin"/>
        </w:r>
        <w:r>
          <w:rPr>
            <w:webHidden/>
          </w:rPr>
          <w:instrText xml:space="preserve"> PAGEREF _Toc207824557 \h </w:instrText>
        </w:r>
        <w:r>
          <w:rPr>
            <w:webHidden/>
          </w:rPr>
        </w:r>
        <w:r>
          <w:rPr>
            <w:webHidden/>
          </w:rPr>
          <w:fldChar w:fldCharType="separate"/>
        </w:r>
        <w:r>
          <w:rPr>
            <w:webHidden/>
          </w:rPr>
          <w:t>35</w:t>
        </w:r>
        <w:r>
          <w:rPr>
            <w:webHidden/>
          </w:rPr>
          <w:fldChar w:fldCharType="end"/>
        </w:r>
      </w:hyperlink>
    </w:p>
    <w:p w14:paraId="735D09BC" w14:textId="16F8949B" w:rsidR="00A61285" w:rsidRDefault="00A61285">
      <w:pPr>
        <w:pStyle w:val="TOC4"/>
        <w:rPr>
          <w:rFonts w:asciiTheme="minorHAnsi" w:hAnsiTheme="minorHAnsi" w:cstheme="minorBidi"/>
          <w:noProof/>
          <w:color w:val="auto"/>
          <w:kern w:val="2"/>
          <w:sz w:val="24"/>
          <w:szCs w:val="24"/>
          <w14:ligatures w14:val="standardContextual"/>
        </w:rPr>
      </w:pPr>
      <w:hyperlink w:anchor="_Toc207824558" w:history="1">
        <w:r w:rsidRPr="000C01C3">
          <w:rPr>
            <w:rStyle w:val="Hyperlink"/>
            <w:noProof/>
          </w:rPr>
          <w:t>6.1.1.1</w:t>
        </w:r>
        <w:r>
          <w:rPr>
            <w:rFonts w:asciiTheme="minorHAnsi" w:hAnsiTheme="minorHAnsi" w:cstheme="minorBidi"/>
            <w:noProof/>
            <w:color w:val="auto"/>
            <w:kern w:val="2"/>
            <w:sz w:val="24"/>
            <w:szCs w:val="24"/>
            <w14:ligatures w14:val="standardContextual"/>
          </w:rPr>
          <w:tab/>
        </w:r>
        <w:r w:rsidRPr="000C01C3">
          <w:rPr>
            <w:rStyle w:val="Hyperlink"/>
            <w:noProof/>
          </w:rPr>
          <w:t>Growth and development requirements</w:t>
        </w:r>
        <w:r>
          <w:rPr>
            <w:noProof/>
            <w:webHidden/>
          </w:rPr>
          <w:tab/>
        </w:r>
        <w:r>
          <w:rPr>
            <w:noProof/>
            <w:webHidden/>
          </w:rPr>
          <w:fldChar w:fldCharType="begin"/>
        </w:r>
        <w:r>
          <w:rPr>
            <w:noProof/>
            <w:webHidden/>
          </w:rPr>
          <w:instrText xml:space="preserve"> PAGEREF _Toc207824558 \h </w:instrText>
        </w:r>
        <w:r>
          <w:rPr>
            <w:noProof/>
            <w:webHidden/>
          </w:rPr>
        </w:r>
        <w:r>
          <w:rPr>
            <w:noProof/>
            <w:webHidden/>
          </w:rPr>
          <w:fldChar w:fldCharType="separate"/>
        </w:r>
        <w:r>
          <w:rPr>
            <w:noProof/>
            <w:webHidden/>
          </w:rPr>
          <w:t>35</w:t>
        </w:r>
        <w:r>
          <w:rPr>
            <w:noProof/>
            <w:webHidden/>
          </w:rPr>
          <w:fldChar w:fldCharType="end"/>
        </w:r>
      </w:hyperlink>
    </w:p>
    <w:p w14:paraId="534B63F0" w14:textId="463DE48C" w:rsidR="00A61285" w:rsidRDefault="00A61285">
      <w:pPr>
        <w:pStyle w:val="TOC3"/>
        <w:rPr>
          <w:rFonts w:asciiTheme="minorHAnsi" w:hAnsiTheme="minorHAnsi" w:cstheme="minorBidi"/>
          <w:color w:val="auto"/>
          <w:kern w:val="2"/>
          <w:sz w:val="24"/>
          <w:szCs w:val="24"/>
          <w14:ligatures w14:val="standardContextual"/>
        </w:rPr>
      </w:pPr>
      <w:hyperlink w:anchor="_Toc207824559" w:history="1">
        <w:r w:rsidRPr="000C01C3">
          <w:rPr>
            <w:rStyle w:val="Hyperlink"/>
          </w:rPr>
          <w:t>6.1.2</w:t>
        </w:r>
        <w:r>
          <w:rPr>
            <w:rFonts w:asciiTheme="minorHAnsi" w:hAnsiTheme="minorHAnsi" w:cstheme="minorBidi"/>
            <w:color w:val="auto"/>
            <w:kern w:val="2"/>
            <w:sz w:val="24"/>
            <w:szCs w:val="24"/>
            <w14:ligatures w14:val="standardContextual"/>
          </w:rPr>
          <w:tab/>
        </w:r>
        <w:r w:rsidRPr="000C01C3">
          <w:rPr>
            <w:rStyle w:val="Hyperlink"/>
          </w:rPr>
          <w:t>Dose response approach</w:t>
        </w:r>
        <w:r>
          <w:rPr>
            <w:webHidden/>
          </w:rPr>
          <w:tab/>
        </w:r>
        <w:r>
          <w:rPr>
            <w:webHidden/>
          </w:rPr>
          <w:fldChar w:fldCharType="begin"/>
        </w:r>
        <w:r>
          <w:rPr>
            <w:webHidden/>
          </w:rPr>
          <w:instrText xml:space="preserve"> PAGEREF _Toc207824559 \h </w:instrText>
        </w:r>
        <w:r>
          <w:rPr>
            <w:webHidden/>
          </w:rPr>
        </w:r>
        <w:r>
          <w:rPr>
            <w:webHidden/>
          </w:rPr>
          <w:fldChar w:fldCharType="separate"/>
        </w:r>
        <w:r>
          <w:rPr>
            <w:webHidden/>
          </w:rPr>
          <w:t>36</w:t>
        </w:r>
        <w:r>
          <w:rPr>
            <w:webHidden/>
          </w:rPr>
          <w:fldChar w:fldCharType="end"/>
        </w:r>
      </w:hyperlink>
    </w:p>
    <w:p w14:paraId="0E45C4BC" w14:textId="6E0121C7" w:rsidR="00A61285" w:rsidRDefault="00A61285">
      <w:pPr>
        <w:pStyle w:val="TOC3"/>
        <w:rPr>
          <w:rFonts w:asciiTheme="minorHAnsi" w:hAnsiTheme="minorHAnsi" w:cstheme="minorBidi"/>
          <w:color w:val="auto"/>
          <w:kern w:val="2"/>
          <w:sz w:val="24"/>
          <w:szCs w:val="24"/>
          <w14:ligatures w14:val="standardContextual"/>
        </w:rPr>
      </w:pPr>
      <w:hyperlink w:anchor="_Toc207824560" w:history="1">
        <w:r w:rsidRPr="000C01C3">
          <w:rPr>
            <w:rStyle w:val="Hyperlink"/>
          </w:rPr>
          <w:t>6.1.3</w:t>
        </w:r>
        <w:r>
          <w:rPr>
            <w:rFonts w:asciiTheme="minorHAnsi" w:hAnsiTheme="minorHAnsi" w:cstheme="minorBidi"/>
            <w:color w:val="auto"/>
            <w:kern w:val="2"/>
            <w:sz w:val="24"/>
            <w:szCs w:val="24"/>
            <w14:ligatures w14:val="standardContextual"/>
          </w:rPr>
          <w:tab/>
        </w:r>
        <w:r w:rsidRPr="000C01C3">
          <w:rPr>
            <w:rStyle w:val="Hyperlink"/>
          </w:rPr>
          <w:t>Risk assessment approach</w:t>
        </w:r>
        <w:r>
          <w:rPr>
            <w:webHidden/>
          </w:rPr>
          <w:tab/>
        </w:r>
        <w:r>
          <w:rPr>
            <w:webHidden/>
          </w:rPr>
          <w:fldChar w:fldCharType="begin"/>
        </w:r>
        <w:r>
          <w:rPr>
            <w:webHidden/>
          </w:rPr>
          <w:instrText xml:space="preserve"> PAGEREF _Toc207824560 \h </w:instrText>
        </w:r>
        <w:r>
          <w:rPr>
            <w:webHidden/>
          </w:rPr>
        </w:r>
        <w:r>
          <w:rPr>
            <w:webHidden/>
          </w:rPr>
          <w:fldChar w:fldCharType="separate"/>
        </w:r>
        <w:r>
          <w:rPr>
            <w:webHidden/>
          </w:rPr>
          <w:t>39</w:t>
        </w:r>
        <w:r>
          <w:rPr>
            <w:webHidden/>
          </w:rPr>
          <w:fldChar w:fldCharType="end"/>
        </w:r>
      </w:hyperlink>
    </w:p>
    <w:p w14:paraId="25990BE8" w14:textId="25374E32" w:rsidR="00A61285" w:rsidRDefault="00A61285">
      <w:pPr>
        <w:pStyle w:val="TOC2"/>
        <w:rPr>
          <w:rFonts w:asciiTheme="minorHAnsi" w:hAnsiTheme="minorHAnsi" w:cstheme="minorBidi"/>
          <w:noProof/>
          <w:color w:val="auto"/>
          <w:kern w:val="2"/>
          <w:sz w:val="24"/>
          <w:szCs w:val="24"/>
          <w14:ligatures w14:val="standardContextual"/>
        </w:rPr>
      </w:pPr>
      <w:hyperlink w:anchor="_Toc207824561" w:history="1">
        <w:r w:rsidRPr="000C01C3">
          <w:rPr>
            <w:rStyle w:val="Hyperlink"/>
            <w:noProof/>
          </w:rPr>
          <w:t>6.2</w:t>
        </w:r>
        <w:r>
          <w:rPr>
            <w:rFonts w:asciiTheme="minorHAnsi" w:hAnsiTheme="minorHAnsi" w:cstheme="minorBidi"/>
            <w:noProof/>
            <w:color w:val="auto"/>
            <w:kern w:val="2"/>
            <w:sz w:val="24"/>
            <w:szCs w:val="24"/>
            <w14:ligatures w14:val="standardContextual"/>
          </w:rPr>
          <w:tab/>
        </w:r>
        <w:r w:rsidRPr="000C01C3">
          <w:rPr>
            <w:rStyle w:val="Hyperlink"/>
            <w:noProof/>
          </w:rPr>
          <w:t>Deriving draft nutrient adequacy recommendations</w:t>
        </w:r>
        <w:r>
          <w:rPr>
            <w:noProof/>
            <w:webHidden/>
          </w:rPr>
          <w:tab/>
        </w:r>
        <w:r>
          <w:rPr>
            <w:noProof/>
            <w:webHidden/>
          </w:rPr>
          <w:fldChar w:fldCharType="begin"/>
        </w:r>
        <w:r>
          <w:rPr>
            <w:noProof/>
            <w:webHidden/>
          </w:rPr>
          <w:instrText xml:space="preserve"> PAGEREF _Toc207824561 \h </w:instrText>
        </w:r>
        <w:r>
          <w:rPr>
            <w:noProof/>
            <w:webHidden/>
          </w:rPr>
        </w:r>
        <w:r>
          <w:rPr>
            <w:noProof/>
            <w:webHidden/>
          </w:rPr>
          <w:fldChar w:fldCharType="separate"/>
        </w:r>
        <w:r>
          <w:rPr>
            <w:noProof/>
            <w:webHidden/>
          </w:rPr>
          <w:t>40</w:t>
        </w:r>
        <w:r>
          <w:rPr>
            <w:noProof/>
            <w:webHidden/>
          </w:rPr>
          <w:fldChar w:fldCharType="end"/>
        </w:r>
      </w:hyperlink>
    </w:p>
    <w:p w14:paraId="7B6A922D" w14:textId="3546D0C0" w:rsidR="00A61285" w:rsidRDefault="00A61285">
      <w:pPr>
        <w:pStyle w:val="TOC3"/>
        <w:rPr>
          <w:rFonts w:asciiTheme="minorHAnsi" w:hAnsiTheme="minorHAnsi" w:cstheme="minorBidi"/>
          <w:color w:val="auto"/>
          <w:kern w:val="2"/>
          <w:sz w:val="24"/>
          <w:szCs w:val="24"/>
          <w14:ligatures w14:val="standardContextual"/>
        </w:rPr>
      </w:pPr>
      <w:hyperlink w:anchor="_Toc207824562" w:history="1">
        <w:r w:rsidRPr="000C01C3">
          <w:rPr>
            <w:rStyle w:val="Hyperlink"/>
          </w:rPr>
          <w:t>6.2.1</w:t>
        </w:r>
        <w:r>
          <w:rPr>
            <w:rFonts w:asciiTheme="minorHAnsi" w:hAnsiTheme="minorHAnsi" w:cstheme="minorBidi"/>
            <w:color w:val="auto"/>
            <w:kern w:val="2"/>
            <w:sz w:val="24"/>
            <w:szCs w:val="24"/>
            <w14:ligatures w14:val="standardContextual"/>
          </w:rPr>
          <w:tab/>
        </w:r>
        <w:r w:rsidRPr="000C01C3">
          <w:rPr>
            <w:rStyle w:val="Hyperlink"/>
          </w:rPr>
          <w:t>Estimated Average Requirements (EAR)</w:t>
        </w:r>
        <w:r>
          <w:rPr>
            <w:webHidden/>
          </w:rPr>
          <w:tab/>
        </w:r>
        <w:r>
          <w:rPr>
            <w:webHidden/>
          </w:rPr>
          <w:fldChar w:fldCharType="begin"/>
        </w:r>
        <w:r>
          <w:rPr>
            <w:webHidden/>
          </w:rPr>
          <w:instrText xml:space="preserve"> PAGEREF _Toc207824562 \h </w:instrText>
        </w:r>
        <w:r>
          <w:rPr>
            <w:webHidden/>
          </w:rPr>
        </w:r>
        <w:r>
          <w:rPr>
            <w:webHidden/>
          </w:rPr>
          <w:fldChar w:fldCharType="separate"/>
        </w:r>
        <w:r>
          <w:rPr>
            <w:webHidden/>
          </w:rPr>
          <w:t>40</w:t>
        </w:r>
        <w:r>
          <w:rPr>
            <w:webHidden/>
          </w:rPr>
          <w:fldChar w:fldCharType="end"/>
        </w:r>
      </w:hyperlink>
    </w:p>
    <w:p w14:paraId="4276D2D1" w14:textId="746CD55C" w:rsidR="00A61285" w:rsidRDefault="00A61285">
      <w:pPr>
        <w:pStyle w:val="TOC3"/>
        <w:rPr>
          <w:rFonts w:asciiTheme="minorHAnsi" w:hAnsiTheme="minorHAnsi" w:cstheme="minorBidi"/>
          <w:color w:val="auto"/>
          <w:kern w:val="2"/>
          <w:sz w:val="24"/>
          <w:szCs w:val="24"/>
          <w14:ligatures w14:val="standardContextual"/>
        </w:rPr>
      </w:pPr>
      <w:hyperlink w:anchor="_Toc207824563" w:history="1">
        <w:r w:rsidRPr="000C01C3">
          <w:rPr>
            <w:rStyle w:val="Hyperlink"/>
          </w:rPr>
          <w:t>6.2.2</w:t>
        </w:r>
        <w:r>
          <w:rPr>
            <w:rFonts w:asciiTheme="minorHAnsi" w:hAnsiTheme="minorHAnsi" w:cstheme="minorBidi"/>
            <w:color w:val="auto"/>
            <w:kern w:val="2"/>
            <w:sz w:val="24"/>
            <w:szCs w:val="24"/>
            <w14:ligatures w14:val="standardContextual"/>
          </w:rPr>
          <w:tab/>
        </w:r>
        <w:r w:rsidRPr="000C01C3">
          <w:rPr>
            <w:rStyle w:val="Hyperlink"/>
          </w:rPr>
          <w:t>Recommended Dietary Intake (RDI)</w:t>
        </w:r>
        <w:r>
          <w:rPr>
            <w:webHidden/>
          </w:rPr>
          <w:tab/>
        </w:r>
        <w:r>
          <w:rPr>
            <w:webHidden/>
          </w:rPr>
          <w:fldChar w:fldCharType="begin"/>
        </w:r>
        <w:r>
          <w:rPr>
            <w:webHidden/>
          </w:rPr>
          <w:instrText xml:space="preserve"> PAGEREF _Toc207824563 \h </w:instrText>
        </w:r>
        <w:r>
          <w:rPr>
            <w:webHidden/>
          </w:rPr>
        </w:r>
        <w:r>
          <w:rPr>
            <w:webHidden/>
          </w:rPr>
          <w:fldChar w:fldCharType="separate"/>
        </w:r>
        <w:r>
          <w:rPr>
            <w:webHidden/>
          </w:rPr>
          <w:t>40</w:t>
        </w:r>
        <w:r>
          <w:rPr>
            <w:webHidden/>
          </w:rPr>
          <w:fldChar w:fldCharType="end"/>
        </w:r>
      </w:hyperlink>
    </w:p>
    <w:p w14:paraId="6382692D" w14:textId="18E62AD8" w:rsidR="00A61285" w:rsidRDefault="00A61285">
      <w:pPr>
        <w:pStyle w:val="TOC3"/>
        <w:rPr>
          <w:rFonts w:asciiTheme="minorHAnsi" w:hAnsiTheme="minorHAnsi" w:cstheme="minorBidi"/>
          <w:color w:val="auto"/>
          <w:kern w:val="2"/>
          <w:sz w:val="24"/>
          <w:szCs w:val="24"/>
          <w14:ligatures w14:val="standardContextual"/>
        </w:rPr>
      </w:pPr>
      <w:hyperlink w:anchor="_Toc207824564" w:history="1">
        <w:r w:rsidRPr="000C01C3">
          <w:rPr>
            <w:rStyle w:val="Hyperlink"/>
          </w:rPr>
          <w:t>6.2.3</w:t>
        </w:r>
        <w:r>
          <w:rPr>
            <w:rFonts w:asciiTheme="minorHAnsi" w:hAnsiTheme="minorHAnsi" w:cstheme="minorBidi"/>
            <w:color w:val="auto"/>
            <w:kern w:val="2"/>
            <w:sz w:val="24"/>
            <w:szCs w:val="24"/>
            <w14:ligatures w14:val="standardContextual"/>
          </w:rPr>
          <w:tab/>
        </w:r>
        <w:r w:rsidRPr="000C01C3">
          <w:rPr>
            <w:rStyle w:val="Hyperlink"/>
          </w:rPr>
          <w:t>Adequate Intake (AI)</w:t>
        </w:r>
        <w:r>
          <w:rPr>
            <w:webHidden/>
          </w:rPr>
          <w:tab/>
        </w:r>
        <w:r>
          <w:rPr>
            <w:webHidden/>
          </w:rPr>
          <w:fldChar w:fldCharType="begin"/>
        </w:r>
        <w:r>
          <w:rPr>
            <w:webHidden/>
          </w:rPr>
          <w:instrText xml:space="preserve"> PAGEREF _Toc207824564 \h </w:instrText>
        </w:r>
        <w:r>
          <w:rPr>
            <w:webHidden/>
          </w:rPr>
        </w:r>
        <w:r>
          <w:rPr>
            <w:webHidden/>
          </w:rPr>
          <w:fldChar w:fldCharType="separate"/>
        </w:r>
        <w:r>
          <w:rPr>
            <w:webHidden/>
          </w:rPr>
          <w:t>42</w:t>
        </w:r>
        <w:r>
          <w:rPr>
            <w:webHidden/>
          </w:rPr>
          <w:fldChar w:fldCharType="end"/>
        </w:r>
      </w:hyperlink>
    </w:p>
    <w:p w14:paraId="1D09C79B" w14:textId="7C254D31" w:rsidR="00A61285" w:rsidRDefault="00A61285">
      <w:pPr>
        <w:pStyle w:val="TOC2"/>
        <w:rPr>
          <w:rFonts w:asciiTheme="minorHAnsi" w:hAnsiTheme="minorHAnsi" w:cstheme="minorBidi"/>
          <w:noProof/>
          <w:color w:val="auto"/>
          <w:kern w:val="2"/>
          <w:sz w:val="24"/>
          <w:szCs w:val="24"/>
          <w14:ligatures w14:val="standardContextual"/>
        </w:rPr>
      </w:pPr>
      <w:hyperlink w:anchor="_Toc207824565" w:history="1">
        <w:r w:rsidRPr="000C01C3">
          <w:rPr>
            <w:rStyle w:val="Hyperlink"/>
            <w:noProof/>
          </w:rPr>
          <w:t>6.3</w:t>
        </w:r>
        <w:r>
          <w:rPr>
            <w:rFonts w:asciiTheme="minorHAnsi" w:hAnsiTheme="minorHAnsi" w:cstheme="minorBidi"/>
            <w:noProof/>
            <w:color w:val="auto"/>
            <w:kern w:val="2"/>
            <w:sz w:val="24"/>
            <w:szCs w:val="24"/>
            <w14:ligatures w14:val="standardContextual"/>
          </w:rPr>
          <w:tab/>
        </w:r>
        <w:r w:rsidRPr="000C01C3">
          <w:rPr>
            <w:rStyle w:val="Hyperlink"/>
            <w:noProof/>
          </w:rPr>
          <w:t>Deriving Upper Levels (UL) of intake recommendations</w:t>
        </w:r>
        <w:r>
          <w:rPr>
            <w:noProof/>
            <w:webHidden/>
          </w:rPr>
          <w:tab/>
        </w:r>
        <w:r>
          <w:rPr>
            <w:noProof/>
            <w:webHidden/>
          </w:rPr>
          <w:fldChar w:fldCharType="begin"/>
        </w:r>
        <w:r>
          <w:rPr>
            <w:noProof/>
            <w:webHidden/>
          </w:rPr>
          <w:instrText xml:space="preserve"> PAGEREF _Toc207824565 \h </w:instrText>
        </w:r>
        <w:r>
          <w:rPr>
            <w:noProof/>
            <w:webHidden/>
          </w:rPr>
        </w:r>
        <w:r>
          <w:rPr>
            <w:noProof/>
            <w:webHidden/>
          </w:rPr>
          <w:fldChar w:fldCharType="separate"/>
        </w:r>
        <w:r>
          <w:rPr>
            <w:noProof/>
            <w:webHidden/>
          </w:rPr>
          <w:t>43</w:t>
        </w:r>
        <w:r>
          <w:rPr>
            <w:noProof/>
            <w:webHidden/>
          </w:rPr>
          <w:fldChar w:fldCharType="end"/>
        </w:r>
      </w:hyperlink>
    </w:p>
    <w:p w14:paraId="1B3B3A23" w14:textId="6DD13774" w:rsidR="00A61285" w:rsidRDefault="00A61285">
      <w:pPr>
        <w:pStyle w:val="TOC3"/>
        <w:rPr>
          <w:rFonts w:asciiTheme="minorHAnsi" w:hAnsiTheme="minorHAnsi" w:cstheme="minorBidi"/>
          <w:color w:val="auto"/>
          <w:kern w:val="2"/>
          <w:sz w:val="24"/>
          <w:szCs w:val="24"/>
          <w14:ligatures w14:val="standardContextual"/>
        </w:rPr>
      </w:pPr>
      <w:hyperlink w:anchor="_Toc207824566" w:history="1">
        <w:r w:rsidRPr="000C01C3">
          <w:rPr>
            <w:rStyle w:val="Hyperlink"/>
          </w:rPr>
          <w:t>6.3.1</w:t>
        </w:r>
        <w:r>
          <w:rPr>
            <w:rFonts w:asciiTheme="minorHAnsi" w:hAnsiTheme="minorHAnsi" w:cstheme="minorBidi"/>
            <w:color w:val="auto"/>
            <w:kern w:val="2"/>
            <w:sz w:val="24"/>
            <w:szCs w:val="24"/>
            <w14:ligatures w14:val="standardContextual"/>
          </w:rPr>
          <w:tab/>
        </w:r>
        <w:r w:rsidRPr="000C01C3">
          <w:rPr>
            <w:rStyle w:val="Hyperlink"/>
          </w:rPr>
          <w:t>Developing and applying uncertainty factors (UF)</w:t>
        </w:r>
        <w:r>
          <w:rPr>
            <w:webHidden/>
          </w:rPr>
          <w:tab/>
        </w:r>
        <w:r>
          <w:rPr>
            <w:webHidden/>
          </w:rPr>
          <w:fldChar w:fldCharType="begin"/>
        </w:r>
        <w:r>
          <w:rPr>
            <w:webHidden/>
          </w:rPr>
          <w:instrText xml:space="preserve"> PAGEREF _Toc207824566 \h </w:instrText>
        </w:r>
        <w:r>
          <w:rPr>
            <w:webHidden/>
          </w:rPr>
        </w:r>
        <w:r>
          <w:rPr>
            <w:webHidden/>
          </w:rPr>
          <w:fldChar w:fldCharType="separate"/>
        </w:r>
        <w:r>
          <w:rPr>
            <w:webHidden/>
          </w:rPr>
          <w:t>44</w:t>
        </w:r>
        <w:r>
          <w:rPr>
            <w:webHidden/>
          </w:rPr>
          <w:fldChar w:fldCharType="end"/>
        </w:r>
      </w:hyperlink>
    </w:p>
    <w:p w14:paraId="4A32065D" w14:textId="2DE27E10" w:rsidR="00A61285" w:rsidRDefault="00A61285">
      <w:pPr>
        <w:pStyle w:val="TOC2"/>
        <w:rPr>
          <w:rFonts w:asciiTheme="minorHAnsi" w:hAnsiTheme="minorHAnsi" w:cstheme="minorBidi"/>
          <w:noProof/>
          <w:color w:val="auto"/>
          <w:kern w:val="2"/>
          <w:sz w:val="24"/>
          <w:szCs w:val="24"/>
          <w14:ligatures w14:val="standardContextual"/>
        </w:rPr>
      </w:pPr>
      <w:hyperlink w:anchor="_Toc207824567" w:history="1">
        <w:r w:rsidRPr="000C01C3">
          <w:rPr>
            <w:rStyle w:val="Hyperlink"/>
            <w:noProof/>
          </w:rPr>
          <w:t>6.4</w:t>
        </w:r>
        <w:r>
          <w:rPr>
            <w:rFonts w:asciiTheme="minorHAnsi" w:hAnsiTheme="minorHAnsi" w:cstheme="minorBidi"/>
            <w:noProof/>
            <w:color w:val="auto"/>
            <w:kern w:val="2"/>
            <w:sz w:val="24"/>
            <w:szCs w:val="24"/>
            <w14:ligatures w14:val="standardContextual"/>
          </w:rPr>
          <w:tab/>
        </w:r>
        <w:r w:rsidRPr="000C01C3">
          <w:rPr>
            <w:rStyle w:val="Hyperlink"/>
            <w:noProof/>
          </w:rPr>
          <w:t>Suggested Dietary Target and Chronic Disease Risk Reduction</w:t>
        </w:r>
        <w:r>
          <w:rPr>
            <w:noProof/>
            <w:webHidden/>
          </w:rPr>
          <w:tab/>
        </w:r>
        <w:r>
          <w:rPr>
            <w:noProof/>
            <w:webHidden/>
          </w:rPr>
          <w:fldChar w:fldCharType="begin"/>
        </w:r>
        <w:r>
          <w:rPr>
            <w:noProof/>
            <w:webHidden/>
          </w:rPr>
          <w:instrText xml:space="preserve"> PAGEREF _Toc207824567 \h </w:instrText>
        </w:r>
        <w:r>
          <w:rPr>
            <w:noProof/>
            <w:webHidden/>
          </w:rPr>
        </w:r>
        <w:r>
          <w:rPr>
            <w:noProof/>
            <w:webHidden/>
          </w:rPr>
          <w:fldChar w:fldCharType="separate"/>
        </w:r>
        <w:r>
          <w:rPr>
            <w:noProof/>
            <w:webHidden/>
          </w:rPr>
          <w:t>45</w:t>
        </w:r>
        <w:r>
          <w:rPr>
            <w:noProof/>
            <w:webHidden/>
          </w:rPr>
          <w:fldChar w:fldCharType="end"/>
        </w:r>
      </w:hyperlink>
    </w:p>
    <w:p w14:paraId="7C2AF9B8" w14:textId="6F32F3E3" w:rsidR="00A61285" w:rsidRDefault="00A61285">
      <w:pPr>
        <w:pStyle w:val="TOC2"/>
        <w:rPr>
          <w:rFonts w:asciiTheme="minorHAnsi" w:hAnsiTheme="minorHAnsi" w:cstheme="minorBidi"/>
          <w:noProof/>
          <w:color w:val="auto"/>
          <w:kern w:val="2"/>
          <w:sz w:val="24"/>
          <w:szCs w:val="24"/>
          <w14:ligatures w14:val="standardContextual"/>
        </w:rPr>
      </w:pPr>
      <w:hyperlink w:anchor="_Toc207824568" w:history="1">
        <w:r w:rsidRPr="000C01C3">
          <w:rPr>
            <w:rStyle w:val="Hyperlink"/>
            <w:noProof/>
          </w:rPr>
          <w:t>6.5</w:t>
        </w:r>
        <w:r>
          <w:rPr>
            <w:rFonts w:asciiTheme="minorHAnsi" w:hAnsiTheme="minorHAnsi" w:cstheme="minorBidi"/>
            <w:noProof/>
            <w:color w:val="auto"/>
            <w:kern w:val="2"/>
            <w:sz w:val="24"/>
            <w:szCs w:val="24"/>
            <w14:ligatures w14:val="standardContextual"/>
          </w:rPr>
          <w:tab/>
        </w:r>
        <w:r w:rsidRPr="000C01C3">
          <w:rPr>
            <w:rStyle w:val="Hyperlink"/>
            <w:noProof/>
          </w:rPr>
          <w:t>Acceptable Macronutrient Distribution Range (AMDR)</w:t>
        </w:r>
        <w:r>
          <w:rPr>
            <w:noProof/>
            <w:webHidden/>
          </w:rPr>
          <w:tab/>
        </w:r>
        <w:r>
          <w:rPr>
            <w:noProof/>
            <w:webHidden/>
          </w:rPr>
          <w:fldChar w:fldCharType="begin"/>
        </w:r>
        <w:r>
          <w:rPr>
            <w:noProof/>
            <w:webHidden/>
          </w:rPr>
          <w:instrText xml:space="preserve"> PAGEREF _Toc207824568 \h </w:instrText>
        </w:r>
        <w:r>
          <w:rPr>
            <w:noProof/>
            <w:webHidden/>
          </w:rPr>
        </w:r>
        <w:r>
          <w:rPr>
            <w:noProof/>
            <w:webHidden/>
          </w:rPr>
          <w:fldChar w:fldCharType="separate"/>
        </w:r>
        <w:r>
          <w:rPr>
            <w:noProof/>
            <w:webHidden/>
          </w:rPr>
          <w:t>47</w:t>
        </w:r>
        <w:r>
          <w:rPr>
            <w:noProof/>
            <w:webHidden/>
          </w:rPr>
          <w:fldChar w:fldCharType="end"/>
        </w:r>
      </w:hyperlink>
    </w:p>
    <w:p w14:paraId="17BB032E" w14:textId="2B60BD27" w:rsidR="00A61285" w:rsidRDefault="00A61285">
      <w:pPr>
        <w:pStyle w:val="TOC2"/>
        <w:rPr>
          <w:rFonts w:asciiTheme="minorHAnsi" w:hAnsiTheme="minorHAnsi" w:cstheme="minorBidi"/>
          <w:noProof/>
          <w:color w:val="auto"/>
          <w:kern w:val="2"/>
          <w:sz w:val="24"/>
          <w:szCs w:val="24"/>
          <w14:ligatures w14:val="standardContextual"/>
        </w:rPr>
      </w:pPr>
      <w:hyperlink w:anchor="_Toc207824569" w:history="1">
        <w:r w:rsidRPr="000C01C3">
          <w:rPr>
            <w:rStyle w:val="Hyperlink"/>
            <w:noProof/>
          </w:rPr>
          <w:t>6.6</w:t>
        </w:r>
        <w:r>
          <w:rPr>
            <w:rFonts w:asciiTheme="minorHAnsi" w:hAnsiTheme="minorHAnsi" w:cstheme="minorBidi"/>
            <w:noProof/>
            <w:color w:val="auto"/>
            <w:kern w:val="2"/>
            <w:sz w:val="24"/>
            <w:szCs w:val="24"/>
            <w14:ligatures w14:val="standardContextual"/>
          </w:rPr>
          <w:tab/>
        </w:r>
        <w:r w:rsidRPr="000C01C3">
          <w:rPr>
            <w:rStyle w:val="Hyperlink"/>
            <w:noProof/>
          </w:rPr>
          <w:t>Extrapolation and interpolation</w:t>
        </w:r>
        <w:r>
          <w:rPr>
            <w:noProof/>
            <w:webHidden/>
          </w:rPr>
          <w:tab/>
        </w:r>
        <w:r>
          <w:rPr>
            <w:noProof/>
            <w:webHidden/>
          </w:rPr>
          <w:fldChar w:fldCharType="begin"/>
        </w:r>
        <w:r>
          <w:rPr>
            <w:noProof/>
            <w:webHidden/>
          </w:rPr>
          <w:instrText xml:space="preserve"> PAGEREF _Toc207824569 \h </w:instrText>
        </w:r>
        <w:r>
          <w:rPr>
            <w:noProof/>
            <w:webHidden/>
          </w:rPr>
        </w:r>
        <w:r>
          <w:rPr>
            <w:noProof/>
            <w:webHidden/>
          </w:rPr>
          <w:fldChar w:fldCharType="separate"/>
        </w:r>
        <w:r>
          <w:rPr>
            <w:noProof/>
            <w:webHidden/>
          </w:rPr>
          <w:t>47</w:t>
        </w:r>
        <w:r>
          <w:rPr>
            <w:noProof/>
            <w:webHidden/>
          </w:rPr>
          <w:fldChar w:fldCharType="end"/>
        </w:r>
      </w:hyperlink>
    </w:p>
    <w:p w14:paraId="7C75AE95" w14:textId="33CCD864" w:rsidR="00A61285" w:rsidRDefault="00A61285">
      <w:pPr>
        <w:pStyle w:val="TOC3"/>
        <w:rPr>
          <w:rFonts w:asciiTheme="minorHAnsi" w:hAnsiTheme="minorHAnsi" w:cstheme="minorBidi"/>
          <w:color w:val="auto"/>
          <w:kern w:val="2"/>
          <w:sz w:val="24"/>
          <w:szCs w:val="24"/>
          <w14:ligatures w14:val="standardContextual"/>
        </w:rPr>
      </w:pPr>
      <w:hyperlink w:anchor="_Toc207824570" w:history="1">
        <w:r w:rsidRPr="000C01C3">
          <w:rPr>
            <w:rStyle w:val="Hyperlink"/>
          </w:rPr>
          <w:t>6.6.1</w:t>
        </w:r>
        <w:r>
          <w:rPr>
            <w:rFonts w:asciiTheme="minorHAnsi" w:hAnsiTheme="minorHAnsi" w:cstheme="minorBidi"/>
            <w:color w:val="auto"/>
            <w:kern w:val="2"/>
            <w:sz w:val="24"/>
            <w:szCs w:val="24"/>
            <w14:ligatures w14:val="standardContextual"/>
          </w:rPr>
          <w:tab/>
        </w:r>
        <w:r w:rsidRPr="000C01C3">
          <w:rPr>
            <w:rStyle w:val="Hyperlink"/>
          </w:rPr>
          <w:t>Scaling</w:t>
        </w:r>
        <w:r>
          <w:rPr>
            <w:webHidden/>
          </w:rPr>
          <w:tab/>
        </w:r>
        <w:r>
          <w:rPr>
            <w:webHidden/>
          </w:rPr>
          <w:fldChar w:fldCharType="begin"/>
        </w:r>
        <w:r>
          <w:rPr>
            <w:webHidden/>
          </w:rPr>
          <w:instrText xml:space="preserve"> PAGEREF _Toc207824570 \h </w:instrText>
        </w:r>
        <w:r>
          <w:rPr>
            <w:webHidden/>
          </w:rPr>
        </w:r>
        <w:r>
          <w:rPr>
            <w:webHidden/>
          </w:rPr>
          <w:fldChar w:fldCharType="separate"/>
        </w:r>
        <w:r>
          <w:rPr>
            <w:webHidden/>
          </w:rPr>
          <w:t>48</w:t>
        </w:r>
        <w:r>
          <w:rPr>
            <w:webHidden/>
          </w:rPr>
          <w:fldChar w:fldCharType="end"/>
        </w:r>
      </w:hyperlink>
    </w:p>
    <w:p w14:paraId="49B79725" w14:textId="25F0F168" w:rsidR="00A61285" w:rsidRDefault="00A61285">
      <w:pPr>
        <w:pStyle w:val="TOC4"/>
        <w:rPr>
          <w:rFonts w:asciiTheme="minorHAnsi" w:hAnsiTheme="minorHAnsi" w:cstheme="minorBidi"/>
          <w:noProof/>
          <w:color w:val="auto"/>
          <w:kern w:val="2"/>
          <w:sz w:val="24"/>
          <w:szCs w:val="24"/>
          <w14:ligatures w14:val="standardContextual"/>
        </w:rPr>
      </w:pPr>
      <w:hyperlink w:anchor="_Toc207824571" w:history="1">
        <w:r w:rsidRPr="000C01C3">
          <w:rPr>
            <w:rStyle w:val="Hyperlink"/>
            <w:noProof/>
          </w:rPr>
          <w:t>6.6.1.1</w:t>
        </w:r>
        <w:r>
          <w:rPr>
            <w:rFonts w:asciiTheme="minorHAnsi" w:hAnsiTheme="minorHAnsi" w:cstheme="minorBidi"/>
            <w:noProof/>
            <w:color w:val="auto"/>
            <w:kern w:val="2"/>
            <w:sz w:val="24"/>
            <w:szCs w:val="24"/>
            <w14:ligatures w14:val="standardContextual"/>
          </w:rPr>
          <w:tab/>
        </w:r>
        <w:r w:rsidRPr="000C01C3">
          <w:rPr>
            <w:rStyle w:val="Hyperlink"/>
            <w:noProof/>
          </w:rPr>
          <w:t>Scaling to derive Upper Level recommendations</w:t>
        </w:r>
        <w:r>
          <w:rPr>
            <w:noProof/>
            <w:webHidden/>
          </w:rPr>
          <w:tab/>
        </w:r>
        <w:r>
          <w:rPr>
            <w:noProof/>
            <w:webHidden/>
          </w:rPr>
          <w:fldChar w:fldCharType="begin"/>
        </w:r>
        <w:r>
          <w:rPr>
            <w:noProof/>
            <w:webHidden/>
          </w:rPr>
          <w:instrText xml:space="preserve"> PAGEREF _Toc207824571 \h </w:instrText>
        </w:r>
        <w:r>
          <w:rPr>
            <w:noProof/>
            <w:webHidden/>
          </w:rPr>
        </w:r>
        <w:r>
          <w:rPr>
            <w:noProof/>
            <w:webHidden/>
          </w:rPr>
          <w:fldChar w:fldCharType="separate"/>
        </w:r>
        <w:r>
          <w:rPr>
            <w:noProof/>
            <w:webHidden/>
          </w:rPr>
          <w:t>49</w:t>
        </w:r>
        <w:r>
          <w:rPr>
            <w:noProof/>
            <w:webHidden/>
          </w:rPr>
          <w:fldChar w:fldCharType="end"/>
        </w:r>
      </w:hyperlink>
    </w:p>
    <w:p w14:paraId="232E3A97" w14:textId="24CE76D0" w:rsidR="00A61285" w:rsidRDefault="00A61285">
      <w:pPr>
        <w:pStyle w:val="TOC4"/>
        <w:tabs>
          <w:tab w:val="left" w:pos="1135"/>
        </w:tabs>
        <w:rPr>
          <w:rFonts w:asciiTheme="minorHAnsi" w:hAnsiTheme="minorHAnsi" w:cstheme="minorBidi"/>
          <w:noProof/>
          <w:color w:val="auto"/>
          <w:kern w:val="2"/>
          <w:sz w:val="24"/>
          <w:szCs w:val="24"/>
          <w14:ligatures w14:val="standardContextual"/>
        </w:rPr>
      </w:pPr>
      <w:hyperlink w:anchor="_Toc207824572" w:history="1">
        <w:r w:rsidRPr="000C01C3">
          <w:rPr>
            <w:rStyle w:val="Hyperlink"/>
            <w:noProof/>
          </w:rPr>
          <w:t>6.6.1.2</w:t>
        </w:r>
        <w:r>
          <w:rPr>
            <w:rFonts w:asciiTheme="minorHAnsi" w:hAnsiTheme="minorHAnsi" w:cstheme="minorBidi"/>
            <w:noProof/>
            <w:color w:val="auto"/>
            <w:kern w:val="2"/>
            <w:sz w:val="24"/>
            <w:szCs w:val="24"/>
            <w14:ligatures w14:val="standardContextual"/>
          </w:rPr>
          <w:tab/>
        </w:r>
        <w:r w:rsidRPr="000C01C3">
          <w:rPr>
            <w:rStyle w:val="Hyperlink"/>
            <w:noProof/>
          </w:rPr>
          <w:t>Isometric scaling</w:t>
        </w:r>
        <w:r>
          <w:rPr>
            <w:noProof/>
            <w:webHidden/>
          </w:rPr>
          <w:tab/>
        </w:r>
        <w:r>
          <w:rPr>
            <w:noProof/>
            <w:webHidden/>
          </w:rPr>
          <w:fldChar w:fldCharType="begin"/>
        </w:r>
        <w:r>
          <w:rPr>
            <w:noProof/>
            <w:webHidden/>
          </w:rPr>
          <w:instrText xml:space="preserve"> PAGEREF _Toc207824572 \h </w:instrText>
        </w:r>
        <w:r>
          <w:rPr>
            <w:noProof/>
            <w:webHidden/>
          </w:rPr>
        </w:r>
        <w:r>
          <w:rPr>
            <w:noProof/>
            <w:webHidden/>
          </w:rPr>
          <w:fldChar w:fldCharType="separate"/>
        </w:r>
        <w:r>
          <w:rPr>
            <w:noProof/>
            <w:webHidden/>
          </w:rPr>
          <w:t>49</w:t>
        </w:r>
        <w:r>
          <w:rPr>
            <w:noProof/>
            <w:webHidden/>
          </w:rPr>
          <w:fldChar w:fldCharType="end"/>
        </w:r>
      </w:hyperlink>
    </w:p>
    <w:p w14:paraId="3F8A65A8" w14:textId="5A81D81B" w:rsidR="00A61285" w:rsidRDefault="00A61285">
      <w:pPr>
        <w:pStyle w:val="TOC4"/>
        <w:tabs>
          <w:tab w:val="left" w:pos="1135"/>
        </w:tabs>
        <w:rPr>
          <w:rFonts w:asciiTheme="minorHAnsi" w:hAnsiTheme="minorHAnsi" w:cstheme="minorBidi"/>
          <w:noProof/>
          <w:color w:val="auto"/>
          <w:kern w:val="2"/>
          <w:sz w:val="24"/>
          <w:szCs w:val="24"/>
          <w14:ligatures w14:val="standardContextual"/>
        </w:rPr>
      </w:pPr>
      <w:hyperlink w:anchor="_Toc207824573" w:history="1">
        <w:r w:rsidRPr="000C01C3">
          <w:rPr>
            <w:rStyle w:val="Hyperlink"/>
            <w:noProof/>
          </w:rPr>
          <w:t>6.6.1.3</w:t>
        </w:r>
        <w:r>
          <w:rPr>
            <w:rFonts w:asciiTheme="minorHAnsi" w:hAnsiTheme="minorHAnsi" w:cstheme="minorBidi"/>
            <w:noProof/>
            <w:color w:val="auto"/>
            <w:kern w:val="2"/>
            <w:sz w:val="24"/>
            <w:szCs w:val="24"/>
            <w14:ligatures w14:val="standardContextual"/>
          </w:rPr>
          <w:tab/>
        </w:r>
        <w:r w:rsidRPr="000C01C3">
          <w:rPr>
            <w:rStyle w:val="Hyperlink"/>
            <w:noProof/>
          </w:rPr>
          <w:t>Allometric scaling</w:t>
        </w:r>
        <w:r>
          <w:rPr>
            <w:noProof/>
            <w:webHidden/>
          </w:rPr>
          <w:tab/>
        </w:r>
        <w:r>
          <w:rPr>
            <w:noProof/>
            <w:webHidden/>
          </w:rPr>
          <w:fldChar w:fldCharType="begin"/>
        </w:r>
        <w:r>
          <w:rPr>
            <w:noProof/>
            <w:webHidden/>
          </w:rPr>
          <w:instrText xml:space="preserve"> PAGEREF _Toc207824573 \h </w:instrText>
        </w:r>
        <w:r>
          <w:rPr>
            <w:noProof/>
            <w:webHidden/>
          </w:rPr>
        </w:r>
        <w:r>
          <w:rPr>
            <w:noProof/>
            <w:webHidden/>
          </w:rPr>
          <w:fldChar w:fldCharType="separate"/>
        </w:r>
        <w:r>
          <w:rPr>
            <w:noProof/>
            <w:webHidden/>
          </w:rPr>
          <w:t>50</w:t>
        </w:r>
        <w:r>
          <w:rPr>
            <w:noProof/>
            <w:webHidden/>
          </w:rPr>
          <w:fldChar w:fldCharType="end"/>
        </w:r>
      </w:hyperlink>
    </w:p>
    <w:p w14:paraId="3B6ABDB7" w14:textId="07A0103F" w:rsidR="00A61285" w:rsidRDefault="00A61285">
      <w:pPr>
        <w:pStyle w:val="TOC3"/>
        <w:rPr>
          <w:rFonts w:asciiTheme="minorHAnsi" w:hAnsiTheme="minorHAnsi" w:cstheme="minorBidi"/>
          <w:color w:val="auto"/>
          <w:kern w:val="2"/>
          <w:sz w:val="24"/>
          <w:szCs w:val="24"/>
          <w14:ligatures w14:val="standardContextual"/>
        </w:rPr>
      </w:pPr>
      <w:hyperlink w:anchor="_Toc207824574" w:history="1">
        <w:r w:rsidRPr="000C01C3">
          <w:rPr>
            <w:rStyle w:val="Hyperlink"/>
          </w:rPr>
          <w:t>6.6.2</w:t>
        </w:r>
        <w:r>
          <w:rPr>
            <w:rFonts w:asciiTheme="minorHAnsi" w:hAnsiTheme="minorHAnsi" w:cstheme="minorBidi"/>
            <w:color w:val="auto"/>
            <w:kern w:val="2"/>
            <w:sz w:val="24"/>
            <w:szCs w:val="24"/>
            <w14:ligatures w14:val="standardContextual"/>
          </w:rPr>
          <w:tab/>
        </w:r>
        <w:r w:rsidRPr="000C01C3">
          <w:rPr>
            <w:rStyle w:val="Hyperlink"/>
          </w:rPr>
          <w:t>Growth factors</w:t>
        </w:r>
        <w:r>
          <w:rPr>
            <w:webHidden/>
          </w:rPr>
          <w:tab/>
        </w:r>
        <w:r>
          <w:rPr>
            <w:webHidden/>
          </w:rPr>
          <w:fldChar w:fldCharType="begin"/>
        </w:r>
        <w:r>
          <w:rPr>
            <w:webHidden/>
          </w:rPr>
          <w:instrText xml:space="preserve"> PAGEREF _Toc207824574 \h </w:instrText>
        </w:r>
        <w:r>
          <w:rPr>
            <w:webHidden/>
          </w:rPr>
        </w:r>
        <w:r>
          <w:rPr>
            <w:webHidden/>
          </w:rPr>
          <w:fldChar w:fldCharType="separate"/>
        </w:r>
        <w:r>
          <w:rPr>
            <w:webHidden/>
          </w:rPr>
          <w:t>51</w:t>
        </w:r>
        <w:r>
          <w:rPr>
            <w:webHidden/>
          </w:rPr>
          <w:fldChar w:fldCharType="end"/>
        </w:r>
      </w:hyperlink>
    </w:p>
    <w:p w14:paraId="08FCED9A" w14:textId="5464C0AC" w:rsidR="00A61285" w:rsidRDefault="00A61285">
      <w:pPr>
        <w:pStyle w:val="TOC2"/>
        <w:rPr>
          <w:rFonts w:asciiTheme="minorHAnsi" w:hAnsiTheme="minorHAnsi" w:cstheme="minorBidi"/>
          <w:noProof/>
          <w:color w:val="auto"/>
          <w:kern w:val="2"/>
          <w:sz w:val="24"/>
          <w:szCs w:val="24"/>
          <w14:ligatures w14:val="standardContextual"/>
        </w:rPr>
      </w:pPr>
      <w:hyperlink w:anchor="_Toc207824575" w:history="1">
        <w:r w:rsidRPr="000C01C3">
          <w:rPr>
            <w:rStyle w:val="Hyperlink"/>
            <w:noProof/>
          </w:rPr>
          <w:t>6.7</w:t>
        </w:r>
        <w:r>
          <w:rPr>
            <w:rFonts w:asciiTheme="minorHAnsi" w:hAnsiTheme="minorHAnsi" w:cstheme="minorBidi"/>
            <w:noProof/>
            <w:color w:val="auto"/>
            <w:kern w:val="2"/>
            <w:sz w:val="24"/>
            <w:szCs w:val="24"/>
            <w14:ligatures w14:val="standardContextual"/>
          </w:rPr>
          <w:tab/>
        </w:r>
        <w:r w:rsidRPr="000C01C3">
          <w:rPr>
            <w:rStyle w:val="Hyperlink"/>
            <w:noProof/>
          </w:rPr>
          <w:t>Rounding and adjustments</w:t>
        </w:r>
        <w:r>
          <w:rPr>
            <w:noProof/>
            <w:webHidden/>
          </w:rPr>
          <w:tab/>
        </w:r>
        <w:r>
          <w:rPr>
            <w:noProof/>
            <w:webHidden/>
          </w:rPr>
          <w:fldChar w:fldCharType="begin"/>
        </w:r>
        <w:r>
          <w:rPr>
            <w:noProof/>
            <w:webHidden/>
          </w:rPr>
          <w:instrText xml:space="preserve"> PAGEREF _Toc207824575 \h </w:instrText>
        </w:r>
        <w:r>
          <w:rPr>
            <w:noProof/>
            <w:webHidden/>
          </w:rPr>
        </w:r>
        <w:r>
          <w:rPr>
            <w:noProof/>
            <w:webHidden/>
          </w:rPr>
          <w:fldChar w:fldCharType="separate"/>
        </w:r>
        <w:r>
          <w:rPr>
            <w:noProof/>
            <w:webHidden/>
          </w:rPr>
          <w:t>52</w:t>
        </w:r>
        <w:r>
          <w:rPr>
            <w:noProof/>
            <w:webHidden/>
          </w:rPr>
          <w:fldChar w:fldCharType="end"/>
        </w:r>
      </w:hyperlink>
    </w:p>
    <w:p w14:paraId="6A33D16F" w14:textId="18D040EC" w:rsidR="00A61285" w:rsidRDefault="00A61285">
      <w:pPr>
        <w:pStyle w:val="TOC2"/>
        <w:rPr>
          <w:rFonts w:asciiTheme="minorHAnsi" w:hAnsiTheme="minorHAnsi" w:cstheme="minorBidi"/>
          <w:noProof/>
          <w:color w:val="auto"/>
          <w:kern w:val="2"/>
          <w:sz w:val="24"/>
          <w:szCs w:val="24"/>
          <w14:ligatures w14:val="standardContextual"/>
        </w:rPr>
      </w:pPr>
      <w:hyperlink w:anchor="_Toc207824576" w:history="1">
        <w:r w:rsidRPr="000C01C3">
          <w:rPr>
            <w:rStyle w:val="Hyperlink"/>
            <w:noProof/>
          </w:rPr>
          <w:t>6.8</w:t>
        </w:r>
        <w:r>
          <w:rPr>
            <w:rFonts w:asciiTheme="minorHAnsi" w:hAnsiTheme="minorHAnsi" w:cstheme="minorBidi"/>
            <w:noProof/>
            <w:color w:val="auto"/>
            <w:kern w:val="2"/>
            <w:sz w:val="24"/>
            <w:szCs w:val="24"/>
            <w14:ligatures w14:val="standardContextual"/>
          </w:rPr>
          <w:tab/>
        </w:r>
        <w:r w:rsidRPr="000C01C3">
          <w:rPr>
            <w:rStyle w:val="Hyperlink"/>
            <w:noProof/>
          </w:rPr>
          <w:t>Special considerations</w:t>
        </w:r>
        <w:r>
          <w:rPr>
            <w:noProof/>
            <w:webHidden/>
          </w:rPr>
          <w:tab/>
        </w:r>
        <w:r>
          <w:rPr>
            <w:noProof/>
            <w:webHidden/>
          </w:rPr>
          <w:fldChar w:fldCharType="begin"/>
        </w:r>
        <w:r>
          <w:rPr>
            <w:noProof/>
            <w:webHidden/>
          </w:rPr>
          <w:instrText xml:space="preserve"> PAGEREF _Toc207824576 \h </w:instrText>
        </w:r>
        <w:r>
          <w:rPr>
            <w:noProof/>
            <w:webHidden/>
          </w:rPr>
        </w:r>
        <w:r>
          <w:rPr>
            <w:noProof/>
            <w:webHidden/>
          </w:rPr>
          <w:fldChar w:fldCharType="separate"/>
        </w:r>
        <w:r>
          <w:rPr>
            <w:noProof/>
            <w:webHidden/>
          </w:rPr>
          <w:t>52</w:t>
        </w:r>
        <w:r>
          <w:rPr>
            <w:noProof/>
            <w:webHidden/>
          </w:rPr>
          <w:fldChar w:fldCharType="end"/>
        </w:r>
      </w:hyperlink>
    </w:p>
    <w:p w14:paraId="60F67AC5" w14:textId="1A2F26A5" w:rsidR="00A61285" w:rsidRDefault="00A61285">
      <w:pPr>
        <w:pStyle w:val="TOC3"/>
        <w:rPr>
          <w:rFonts w:asciiTheme="minorHAnsi" w:hAnsiTheme="minorHAnsi" w:cstheme="minorBidi"/>
          <w:color w:val="auto"/>
          <w:kern w:val="2"/>
          <w:sz w:val="24"/>
          <w:szCs w:val="24"/>
          <w14:ligatures w14:val="standardContextual"/>
        </w:rPr>
      </w:pPr>
      <w:hyperlink w:anchor="_Toc207824577" w:history="1">
        <w:r w:rsidRPr="000C01C3">
          <w:rPr>
            <w:rStyle w:val="Hyperlink"/>
          </w:rPr>
          <w:t>6.8.1</w:t>
        </w:r>
        <w:r>
          <w:rPr>
            <w:rFonts w:asciiTheme="minorHAnsi" w:hAnsiTheme="minorHAnsi" w:cstheme="minorBidi"/>
            <w:color w:val="auto"/>
            <w:kern w:val="2"/>
            <w:sz w:val="24"/>
            <w:szCs w:val="24"/>
            <w14:ligatures w14:val="standardContextual"/>
          </w:rPr>
          <w:tab/>
        </w:r>
        <w:r w:rsidRPr="000C01C3">
          <w:rPr>
            <w:rStyle w:val="Hyperlink"/>
          </w:rPr>
          <w:t>Requirements for physiologically derived nutrients</w:t>
        </w:r>
        <w:r>
          <w:rPr>
            <w:webHidden/>
          </w:rPr>
          <w:tab/>
        </w:r>
        <w:r>
          <w:rPr>
            <w:webHidden/>
          </w:rPr>
          <w:fldChar w:fldCharType="begin"/>
        </w:r>
        <w:r>
          <w:rPr>
            <w:webHidden/>
          </w:rPr>
          <w:instrText xml:space="preserve"> PAGEREF _Toc207824577 \h </w:instrText>
        </w:r>
        <w:r>
          <w:rPr>
            <w:webHidden/>
          </w:rPr>
        </w:r>
        <w:r>
          <w:rPr>
            <w:webHidden/>
          </w:rPr>
          <w:fldChar w:fldCharType="separate"/>
        </w:r>
        <w:r>
          <w:rPr>
            <w:webHidden/>
          </w:rPr>
          <w:t>52</w:t>
        </w:r>
        <w:r>
          <w:rPr>
            <w:webHidden/>
          </w:rPr>
          <w:fldChar w:fldCharType="end"/>
        </w:r>
      </w:hyperlink>
    </w:p>
    <w:p w14:paraId="6AD0C389" w14:textId="3DE7EA31" w:rsidR="00A61285" w:rsidRDefault="00A61285">
      <w:pPr>
        <w:pStyle w:val="TOC1"/>
        <w:tabs>
          <w:tab w:val="left" w:pos="1540"/>
        </w:tabs>
        <w:rPr>
          <w:rFonts w:asciiTheme="minorHAnsi" w:hAnsiTheme="minorHAnsi" w:cstheme="minorBidi"/>
          <w:noProof/>
          <w:kern w:val="2"/>
          <w:szCs w:val="24"/>
          <w14:ligatures w14:val="standardContextual"/>
        </w:rPr>
      </w:pPr>
      <w:hyperlink w:anchor="_Toc207824578" w:history="1">
        <w:r w:rsidRPr="000C01C3">
          <w:rPr>
            <w:rStyle w:val="Hyperlink"/>
            <w:noProof/>
          </w:rPr>
          <w:t>Chapter 7:</w:t>
        </w:r>
        <w:r>
          <w:rPr>
            <w:rFonts w:asciiTheme="minorHAnsi" w:hAnsiTheme="minorHAnsi" w:cstheme="minorBidi"/>
            <w:noProof/>
            <w:kern w:val="2"/>
            <w:szCs w:val="24"/>
            <w14:ligatures w14:val="standardContextual"/>
          </w:rPr>
          <w:tab/>
        </w:r>
        <w:r w:rsidRPr="000C01C3">
          <w:rPr>
            <w:rStyle w:val="Hyperlink"/>
            <w:noProof/>
          </w:rPr>
          <w:t>Developing NRV recommendations</w:t>
        </w:r>
        <w:r>
          <w:rPr>
            <w:noProof/>
            <w:webHidden/>
          </w:rPr>
          <w:tab/>
        </w:r>
        <w:r>
          <w:rPr>
            <w:noProof/>
            <w:webHidden/>
          </w:rPr>
          <w:fldChar w:fldCharType="begin"/>
        </w:r>
        <w:r>
          <w:rPr>
            <w:noProof/>
            <w:webHidden/>
          </w:rPr>
          <w:instrText xml:space="preserve"> PAGEREF _Toc207824578 \h </w:instrText>
        </w:r>
        <w:r>
          <w:rPr>
            <w:noProof/>
            <w:webHidden/>
          </w:rPr>
        </w:r>
        <w:r>
          <w:rPr>
            <w:noProof/>
            <w:webHidden/>
          </w:rPr>
          <w:fldChar w:fldCharType="separate"/>
        </w:r>
        <w:r>
          <w:rPr>
            <w:noProof/>
            <w:webHidden/>
          </w:rPr>
          <w:t>54</w:t>
        </w:r>
        <w:r>
          <w:rPr>
            <w:noProof/>
            <w:webHidden/>
          </w:rPr>
          <w:fldChar w:fldCharType="end"/>
        </w:r>
      </w:hyperlink>
    </w:p>
    <w:p w14:paraId="65EA5527" w14:textId="56DF6BAD" w:rsidR="00A61285" w:rsidRDefault="00A61285">
      <w:pPr>
        <w:pStyle w:val="TOC2"/>
        <w:rPr>
          <w:rFonts w:asciiTheme="minorHAnsi" w:hAnsiTheme="minorHAnsi" w:cstheme="minorBidi"/>
          <w:noProof/>
          <w:color w:val="auto"/>
          <w:kern w:val="2"/>
          <w:sz w:val="24"/>
          <w:szCs w:val="24"/>
          <w14:ligatures w14:val="standardContextual"/>
        </w:rPr>
      </w:pPr>
      <w:hyperlink w:anchor="_Toc207824579" w:history="1">
        <w:r w:rsidRPr="000C01C3">
          <w:rPr>
            <w:rStyle w:val="Hyperlink"/>
            <w:noProof/>
          </w:rPr>
          <w:t>7.1</w:t>
        </w:r>
        <w:r>
          <w:rPr>
            <w:rFonts w:asciiTheme="minorHAnsi" w:hAnsiTheme="minorHAnsi" w:cstheme="minorBidi"/>
            <w:noProof/>
            <w:color w:val="auto"/>
            <w:kern w:val="2"/>
            <w:sz w:val="24"/>
            <w:szCs w:val="24"/>
            <w14:ligatures w14:val="standardContextual"/>
          </w:rPr>
          <w:tab/>
        </w:r>
        <w:r w:rsidRPr="000C01C3">
          <w:rPr>
            <w:rStyle w:val="Hyperlink"/>
            <w:noProof/>
          </w:rPr>
          <w:t>Translating estimated nutritional requirements into NRV recommendations</w:t>
        </w:r>
        <w:r>
          <w:rPr>
            <w:noProof/>
            <w:webHidden/>
          </w:rPr>
          <w:tab/>
        </w:r>
        <w:r>
          <w:rPr>
            <w:noProof/>
            <w:webHidden/>
          </w:rPr>
          <w:fldChar w:fldCharType="begin"/>
        </w:r>
        <w:r>
          <w:rPr>
            <w:noProof/>
            <w:webHidden/>
          </w:rPr>
          <w:instrText xml:space="preserve"> PAGEREF _Toc207824579 \h </w:instrText>
        </w:r>
        <w:r>
          <w:rPr>
            <w:noProof/>
            <w:webHidden/>
          </w:rPr>
        </w:r>
        <w:r>
          <w:rPr>
            <w:noProof/>
            <w:webHidden/>
          </w:rPr>
          <w:fldChar w:fldCharType="separate"/>
        </w:r>
        <w:r>
          <w:rPr>
            <w:noProof/>
            <w:webHidden/>
          </w:rPr>
          <w:t>54</w:t>
        </w:r>
        <w:r>
          <w:rPr>
            <w:noProof/>
            <w:webHidden/>
          </w:rPr>
          <w:fldChar w:fldCharType="end"/>
        </w:r>
      </w:hyperlink>
    </w:p>
    <w:p w14:paraId="69D1B911" w14:textId="36923C88" w:rsidR="00A61285" w:rsidRDefault="00A61285">
      <w:pPr>
        <w:pStyle w:val="TOC2"/>
        <w:rPr>
          <w:rFonts w:asciiTheme="minorHAnsi" w:hAnsiTheme="minorHAnsi" w:cstheme="minorBidi"/>
          <w:noProof/>
          <w:color w:val="auto"/>
          <w:kern w:val="2"/>
          <w:sz w:val="24"/>
          <w:szCs w:val="24"/>
          <w14:ligatures w14:val="standardContextual"/>
        </w:rPr>
      </w:pPr>
      <w:hyperlink w:anchor="_Toc207824580" w:history="1">
        <w:r w:rsidRPr="000C01C3">
          <w:rPr>
            <w:rStyle w:val="Hyperlink"/>
            <w:noProof/>
          </w:rPr>
          <w:t>7.2</w:t>
        </w:r>
        <w:r>
          <w:rPr>
            <w:rFonts w:asciiTheme="minorHAnsi" w:hAnsiTheme="minorHAnsi" w:cstheme="minorBidi"/>
            <w:noProof/>
            <w:color w:val="auto"/>
            <w:kern w:val="2"/>
            <w:sz w:val="24"/>
            <w:szCs w:val="24"/>
            <w14:ligatures w14:val="standardContextual"/>
          </w:rPr>
          <w:tab/>
        </w:r>
        <w:r w:rsidRPr="000C01C3">
          <w:rPr>
            <w:rStyle w:val="Hyperlink"/>
            <w:noProof/>
          </w:rPr>
          <w:t>Relevant contextual factors</w:t>
        </w:r>
        <w:r>
          <w:rPr>
            <w:noProof/>
            <w:webHidden/>
          </w:rPr>
          <w:tab/>
        </w:r>
        <w:r>
          <w:rPr>
            <w:noProof/>
            <w:webHidden/>
          </w:rPr>
          <w:fldChar w:fldCharType="begin"/>
        </w:r>
        <w:r>
          <w:rPr>
            <w:noProof/>
            <w:webHidden/>
          </w:rPr>
          <w:instrText xml:space="preserve"> PAGEREF _Toc207824580 \h </w:instrText>
        </w:r>
        <w:r>
          <w:rPr>
            <w:noProof/>
            <w:webHidden/>
          </w:rPr>
        </w:r>
        <w:r>
          <w:rPr>
            <w:noProof/>
            <w:webHidden/>
          </w:rPr>
          <w:fldChar w:fldCharType="separate"/>
        </w:r>
        <w:r>
          <w:rPr>
            <w:noProof/>
            <w:webHidden/>
          </w:rPr>
          <w:t>54</w:t>
        </w:r>
        <w:r>
          <w:rPr>
            <w:noProof/>
            <w:webHidden/>
          </w:rPr>
          <w:fldChar w:fldCharType="end"/>
        </w:r>
      </w:hyperlink>
    </w:p>
    <w:p w14:paraId="2DB5C3B4" w14:textId="77AEB191" w:rsidR="00A61285" w:rsidRDefault="00A61285">
      <w:pPr>
        <w:pStyle w:val="TOC3"/>
        <w:rPr>
          <w:rFonts w:asciiTheme="minorHAnsi" w:hAnsiTheme="minorHAnsi" w:cstheme="minorBidi"/>
          <w:color w:val="auto"/>
          <w:kern w:val="2"/>
          <w:sz w:val="24"/>
          <w:szCs w:val="24"/>
          <w14:ligatures w14:val="standardContextual"/>
        </w:rPr>
      </w:pPr>
      <w:hyperlink w:anchor="_Toc207824581" w:history="1">
        <w:r w:rsidRPr="000C01C3">
          <w:rPr>
            <w:rStyle w:val="Hyperlink"/>
          </w:rPr>
          <w:t>7.2.1</w:t>
        </w:r>
        <w:r>
          <w:rPr>
            <w:rFonts w:asciiTheme="minorHAnsi" w:hAnsiTheme="minorHAnsi" w:cstheme="minorBidi"/>
            <w:color w:val="auto"/>
            <w:kern w:val="2"/>
            <w:sz w:val="24"/>
            <w:szCs w:val="24"/>
            <w14:ligatures w14:val="standardContextual"/>
          </w:rPr>
          <w:tab/>
        </w:r>
        <w:r w:rsidRPr="000C01C3">
          <w:rPr>
            <w:rStyle w:val="Hyperlink"/>
          </w:rPr>
          <w:t>Dietary patterns</w:t>
        </w:r>
        <w:r>
          <w:rPr>
            <w:webHidden/>
          </w:rPr>
          <w:tab/>
        </w:r>
        <w:r>
          <w:rPr>
            <w:webHidden/>
          </w:rPr>
          <w:fldChar w:fldCharType="begin"/>
        </w:r>
        <w:r>
          <w:rPr>
            <w:webHidden/>
          </w:rPr>
          <w:instrText xml:space="preserve"> PAGEREF _Toc207824581 \h </w:instrText>
        </w:r>
        <w:r>
          <w:rPr>
            <w:webHidden/>
          </w:rPr>
        </w:r>
        <w:r>
          <w:rPr>
            <w:webHidden/>
          </w:rPr>
          <w:fldChar w:fldCharType="separate"/>
        </w:r>
        <w:r>
          <w:rPr>
            <w:webHidden/>
          </w:rPr>
          <w:t>54</w:t>
        </w:r>
        <w:r>
          <w:rPr>
            <w:webHidden/>
          </w:rPr>
          <w:fldChar w:fldCharType="end"/>
        </w:r>
      </w:hyperlink>
    </w:p>
    <w:p w14:paraId="312193E7" w14:textId="1A52E1B3" w:rsidR="00A61285" w:rsidRDefault="00A61285">
      <w:pPr>
        <w:pStyle w:val="TOC4"/>
        <w:rPr>
          <w:rFonts w:asciiTheme="minorHAnsi" w:hAnsiTheme="minorHAnsi" w:cstheme="minorBidi"/>
          <w:noProof/>
          <w:color w:val="auto"/>
          <w:kern w:val="2"/>
          <w:sz w:val="24"/>
          <w:szCs w:val="24"/>
          <w14:ligatures w14:val="standardContextual"/>
        </w:rPr>
      </w:pPr>
      <w:hyperlink w:anchor="_Toc207824582" w:history="1">
        <w:r w:rsidRPr="000C01C3">
          <w:rPr>
            <w:rStyle w:val="Hyperlink"/>
            <w:noProof/>
          </w:rPr>
          <w:t>7.2.1.1</w:t>
        </w:r>
        <w:r>
          <w:rPr>
            <w:rFonts w:asciiTheme="minorHAnsi" w:hAnsiTheme="minorHAnsi" w:cstheme="minorBidi"/>
            <w:noProof/>
            <w:color w:val="auto"/>
            <w:kern w:val="2"/>
            <w:sz w:val="24"/>
            <w:szCs w:val="24"/>
            <w14:ligatures w14:val="standardContextual"/>
          </w:rPr>
          <w:tab/>
        </w:r>
        <w:r w:rsidRPr="000C01C3">
          <w:rPr>
            <w:rStyle w:val="Hyperlink"/>
            <w:noProof/>
          </w:rPr>
          <w:t>Dietary patterns for adequacy</w:t>
        </w:r>
        <w:r>
          <w:rPr>
            <w:noProof/>
            <w:webHidden/>
          </w:rPr>
          <w:tab/>
        </w:r>
        <w:r>
          <w:rPr>
            <w:noProof/>
            <w:webHidden/>
          </w:rPr>
          <w:fldChar w:fldCharType="begin"/>
        </w:r>
        <w:r>
          <w:rPr>
            <w:noProof/>
            <w:webHidden/>
          </w:rPr>
          <w:instrText xml:space="preserve"> PAGEREF _Toc207824582 \h </w:instrText>
        </w:r>
        <w:r>
          <w:rPr>
            <w:noProof/>
            <w:webHidden/>
          </w:rPr>
        </w:r>
        <w:r>
          <w:rPr>
            <w:noProof/>
            <w:webHidden/>
          </w:rPr>
          <w:fldChar w:fldCharType="separate"/>
        </w:r>
        <w:r>
          <w:rPr>
            <w:noProof/>
            <w:webHidden/>
          </w:rPr>
          <w:t>54</w:t>
        </w:r>
        <w:r>
          <w:rPr>
            <w:noProof/>
            <w:webHidden/>
          </w:rPr>
          <w:fldChar w:fldCharType="end"/>
        </w:r>
      </w:hyperlink>
    </w:p>
    <w:p w14:paraId="7033D1A4" w14:textId="0FA6A804" w:rsidR="00A61285" w:rsidRDefault="00A61285">
      <w:pPr>
        <w:pStyle w:val="TOC4"/>
        <w:tabs>
          <w:tab w:val="left" w:pos="1135"/>
        </w:tabs>
        <w:rPr>
          <w:rFonts w:asciiTheme="minorHAnsi" w:hAnsiTheme="minorHAnsi" w:cstheme="minorBidi"/>
          <w:noProof/>
          <w:color w:val="auto"/>
          <w:kern w:val="2"/>
          <w:sz w:val="24"/>
          <w:szCs w:val="24"/>
          <w14:ligatures w14:val="standardContextual"/>
        </w:rPr>
      </w:pPr>
      <w:hyperlink w:anchor="_Toc207824583" w:history="1">
        <w:r w:rsidRPr="000C01C3">
          <w:rPr>
            <w:rStyle w:val="Hyperlink"/>
            <w:noProof/>
          </w:rPr>
          <w:t>7.2.1.2</w:t>
        </w:r>
        <w:r>
          <w:rPr>
            <w:rFonts w:asciiTheme="minorHAnsi" w:hAnsiTheme="minorHAnsi" w:cstheme="minorBidi"/>
            <w:noProof/>
            <w:color w:val="auto"/>
            <w:kern w:val="2"/>
            <w:sz w:val="24"/>
            <w:szCs w:val="24"/>
            <w14:ligatures w14:val="standardContextual"/>
          </w:rPr>
          <w:tab/>
        </w:r>
        <w:r w:rsidRPr="000C01C3">
          <w:rPr>
            <w:rStyle w:val="Hyperlink"/>
            <w:noProof/>
          </w:rPr>
          <w:t>Nutrient intake and Upper Level of Intake (UL)</w:t>
        </w:r>
        <w:r>
          <w:rPr>
            <w:noProof/>
            <w:webHidden/>
          </w:rPr>
          <w:tab/>
        </w:r>
        <w:r>
          <w:rPr>
            <w:noProof/>
            <w:webHidden/>
          </w:rPr>
          <w:fldChar w:fldCharType="begin"/>
        </w:r>
        <w:r>
          <w:rPr>
            <w:noProof/>
            <w:webHidden/>
          </w:rPr>
          <w:instrText xml:space="preserve"> PAGEREF _Toc207824583 \h </w:instrText>
        </w:r>
        <w:r>
          <w:rPr>
            <w:noProof/>
            <w:webHidden/>
          </w:rPr>
        </w:r>
        <w:r>
          <w:rPr>
            <w:noProof/>
            <w:webHidden/>
          </w:rPr>
          <w:fldChar w:fldCharType="separate"/>
        </w:r>
        <w:r>
          <w:rPr>
            <w:noProof/>
            <w:webHidden/>
          </w:rPr>
          <w:t>55</w:t>
        </w:r>
        <w:r>
          <w:rPr>
            <w:noProof/>
            <w:webHidden/>
          </w:rPr>
          <w:fldChar w:fldCharType="end"/>
        </w:r>
      </w:hyperlink>
    </w:p>
    <w:p w14:paraId="0EFE80C9" w14:textId="1268D492" w:rsidR="00A61285" w:rsidRDefault="00A61285">
      <w:pPr>
        <w:pStyle w:val="TOC3"/>
        <w:rPr>
          <w:rFonts w:asciiTheme="minorHAnsi" w:hAnsiTheme="minorHAnsi" w:cstheme="minorBidi"/>
          <w:color w:val="auto"/>
          <w:kern w:val="2"/>
          <w:sz w:val="24"/>
          <w:szCs w:val="24"/>
          <w14:ligatures w14:val="standardContextual"/>
        </w:rPr>
      </w:pPr>
      <w:hyperlink w:anchor="_Toc207824584" w:history="1">
        <w:r w:rsidRPr="000C01C3">
          <w:rPr>
            <w:rStyle w:val="Hyperlink"/>
          </w:rPr>
          <w:t>7.2.2</w:t>
        </w:r>
        <w:r>
          <w:rPr>
            <w:rFonts w:asciiTheme="minorHAnsi" w:hAnsiTheme="minorHAnsi" w:cstheme="minorBidi"/>
            <w:color w:val="auto"/>
            <w:kern w:val="2"/>
            <w:sz w:val="24"/>
            <w:szCs w:val="24"/>
            <w14:ligatures w14:val="standardContextual"/>
          </w:rPr>
          <w:tab/>
        </w:r>
        <w:r w:rsidRPr="000C01C3">
          <w:rPr>
            <w:rStyle w:val="Hyperlink"/>
          </w:rPr>
          <w:t>Potential impacts</w:t>
        </w:r>
        <w:r>
          <w:rPr>
            <w:webHidden/>
          </w:rPr>
          <w:tab/>
        </w:r>
        <w:r>
          <w:rPr>
            <w:webHidden/>
          </w:rPr>
          <w:fldChar w:fldCharType="begin"/>
        </w:r>
        <w:r>
          <w:rPr>
            <w:webHidden/>
          </w:rPr>
          <w:instrText xml:space="preserve"> PAGEREF _Toc207824584 \h </w:instrText>
        </w:r>
        <w:r>
          <w:rPr>
            <w:webHidden/>
          </w:rPr>
        </w:r>
        <w:r>
          <w:rPr>
            <w:webHidden/>
          </w:rPr>
          <w:fldChar w:fldCharType="separate"/>
        </w:r>
        <w:r>
          <w:rPr>
            <w:webHidden/>
          </w:rPr>
          <w:t>55</w:t>
        </w:r>
        <w:r>
          <w:rPr>
            <w:webHidden/>
          </w:rPr>
          <w:fldChar w:fldCharType="end"/>
        </w:r>
      </w:hyperlink>
    </w:p>
    <w:p w14:paraId="549F4A67" w14:textId="1D415437" w:rsidR="00A61285" w:rsidRDefault="00A61285">
      <w:pPr>
        <w:pStyle w:val="TOC3"/>
        <w:rPr>
          <w:rFonts w:asciiTheme="minorHAnsi" w:hAnsiTheme="minorHAnsi" w:cstheme="minorBidi"/>
          <w:color w:val="auto"/>
          <w:kern w:val="2"/>
          <w:sz w:val="24"/>
          <w:szCs w:val="24"/>
          <w14:ligatures w14:val="standardContextual"/>
        </w:rPr>
      </w:pPr>
      <w:hyperlink w:anchor="_Toc207824585" w:history="1">
        <w:r w:rsidRPr="000C01C3">
          <w:rPr>
            <w:rStyle w:val="Hyperlink"/>
          </w:rPr>
          <w:t>7.2.3</w:t>
        </w:r>
        <w:r>
          <w:rPr>
            <w:rFonts w:asciiTheme="minorHAnsi" w:hAnsiTheme="minorHAnsi" w:cstheme="minorBidi"/>
            <w:color w:val="auto"/>
            <w:kern w:val="2"/>
            <w:sz w:val="24"/>
            <w:szCs w:val="24"/>
            <w14:ligatures w14:val="standardContextual"/>
          </w:rPr>
          <w:tab/>
        </w:r>
        <w:r w:rsidRPr="000C01C3">
          <w:rPr>
            <w:rStyle w:val="Hyperlink"/>
          </w:rPr>
          <w:t>International dietary reference values</w:t>
        </w:r>
        <w:r>
          <w:rPr>
            <w:webHidden/>
          </w:rPr>
          <w:tab/>
        </w:r>
        <w:r>
          <w:rPr>
            <w:webHidden/>
          </w:rPr>
          <w:fldChar w:fldCharType="begin"/>
        </w:r>
        <w:r>
          <w:rPr>
            <w:webHidden/>
          </w:rPr>
          <w:instrText xml:space="preserve"> PAGEREF _Toc207824585 \h </w:instrText>
        </w:r>
        <w:r>
          <w:rPr>
            <w:webHidden/>
          </w:rPr>
        </w:r>
        <w:r>
          <w:rPr>
            <w:webHidden/>
          </w:rPr>
          <w:fldChar w:fldCharType="separate"/>
        </w:r>
        <w:r>
          <w:rPr>
            <w:webHidden/>
          </w:rPr>
          <w:t>55</w:t>
        </w:r>
        <w:r>
          <w:rPr>
            <w:webHidden/>
          </w:rPr>
          <w:fldChar w:fldCharType="end"/>
        </w:r>
      </w:hyperlink>
    </w:p>
    <w:p w14:paraId="7DF631C6" w14:textId="6D98121F" w:rsidR="00A61285" w:rsidRDefault="00A61285">
      <w:pPr>
        <w:pStyle w:val="TOC2"/>
        <w:rPr>
          <w:rFonts w:asciiTheme="minorHAnsi" w:hAnsiTheme="minorHAnsi" w:cstheme="minorBidi"/>
          <w:noProof/>
          <w:color w:val="auto"/>
          <w:kern w:val="2"/>
          <w:sz w:val="24"/>
          <w:szCs w:val="24"/>
          <w14:ligatures w14:val="standardContextual"/>
        </w:rPr>
      </w:pPr>
      <w:hyperlink w:anchor="_Toc207824586" w:history="1">
        <w:r w:rsidRPr="000C01C3">
          <w:rPr>
            <w:rStyle w:val="Hyperlink"/>
            <w:noProof/>
          </w:rPr>
          <w:t>7.3</w:t>
        </w:r>
        <w:r>
          <w:rPr>
            <w:rFonts w:asciiTheme="minorHAnsi" w:hAnsiTheme="minorHAnsi" w:cstheme="minorBidi"/>
            <w:noProof/>
            <w:color w:val="auto"/>
            <w:kern w:val="2"/>
            <w:sz w:val="24"/>
            <w:szCs w:val="24"/>
            <w14:ligatures w14:val="standardContextual"/>
          </w:rPr>
          <w:tab/>
        </w:r>
        <w:r w:rsidRPr="000C01C3">
          <w:rPr>
            <w:rStyle w:val="Hyperlink"/>
            <w:noProof/>
          </w:rPr>
          <w:t>GRADE evidence-to-decision process</w:t>
        </w:r>
        <w:r>
          <w:rPr>
            <w:noProof/>
            <w:webHidden/>
          </w:rPr>
          <w:tab/>
        </w:r>
        <w:r>
          <w:rPr>
            <w:noProof/>
            <w:webHidden/>
          </w:rPr>
          <w:fldChar w:fldCharType="begin"/>
        </w:r>
        <w:r>
          <w:rPr>
            <w:noProof/>
            <w:webHidden/>
          </w:rPr>
          <w:instrText xml:space="preserve"> PAGEREF _Toc207824586 \h </w:instrText>
        </w:r>
        <w:r>
          <w:rPr>
            <w:noProof/>
            <w:webHidden/>
          </w:rPr>
        </w:r>
        <w:r>
          <w:rPr>
            <w:noProof/>
            <w:webHidden/>
          </w:rPr>
          <w:fldChar w:fldCharType="separate"/>
        </w:r>
        <w:r>
          <w:rPr>
            <w:noProof/>
            <w:webHidden/>
          </w:rPr>
          <w:t>56</w:t>
        </w:r>
        <w:r>
          <w:rPr>
            <w:noProof/>
            <w:webHidden/>
          </w:rPr>
          <w:fldChar w:fldCharType="end"/>
        </w:r>
      </w:hyperlink>
    </w:p>
    <w:p w14:paraId="68E06965" w14:textId="4BA7DD27" w:rsidR="00A61285" w:rsidRDefault="00A61285">
      <w:pPr>
        <w:pStyle w:val="TOC3"/>
        <w:rPr>
          <w:rFonts w:asciiTheme="minorHAnsi" w:hAnsiTheme="minorHAnsi" w:cstheme="minorBidi"/>
          <w:color w:val="auto"/>
          <w:kern w:val="2"/>
          <w:sz w:val="24"/>
          <w:szCs w:val="24"/>
          <w14:ligatures w14:val="standardContextual"/>
        </w:rPr>
      </w:pPr>
      <w:hyperlink w:anchor="_Toc207824587" w:history="1">
        <w:r w:rsidRPr="000C01C3">
          <w:rPr>
            <w:rStyle w:val="Hyperlink"/>
          </w:rPr>
          <w:t>7.3.1</w:t>
        </w:r>
        <w:r>
          <w:rPr>
            <w:rFonts w:asciiTheme="minorHAnsi" w:hAnsiTheme="minorHAnsi" w:cstheme="minorBidi"/>
            <w:color w:val="auto"/>
            <w:kern w:val="2"/>
            <w:sz w:val="24"/>
            <w:szCs w:val="24"/>
            <w14:ligatures w14:val="standardContextual"/>
          </w:rPr>
          <w:tab/>
        </w:r>
        <w:r w:rsidRPr="000C01C3">
          <w:rPr>
            <w:rStyle w:val="Hyperlink"/>
          </w:rPr>
          <w:t>Evidence-to-decision template</w:t>
        </w:r>
        <w:r>
          <w:rPr>
            <w:webHidden/>
          </w:rPr>
          <w:tab/>
        </w:r>
        <w:r>
          <w:rPr>
            <w:webHidden/>
          </w:rPr>
          <w:fldChar w:fldCharType="begin"/>
        </w:r>
        <w:r>
          <w:rPr>
            <w:webHidden/>
          </w:rPr>
          <w:instrText xml:space="preserve"> PAGEREF _Toc207824587 \h </w:instrText>
        </w:r>
        <w:r>
          <w:rPr>
            <w:webHidden/>
          </w:rPr>
        </w:r>
        <w:r>
          <w:rPr>
            <w:webHidden/>
          </w:rPr>
          <w:fldChar w:fldCharType="separate"/>
        </w:r>
        <w:r>
          <w:rPr>
            <w:webHidden/>
          </w:rPr>
          <w:t>56</w:t>
        </w:r>
        <w:r>
          <w:rPr>
            <w:webHidden/>
          </w:rPr>
          <w:fldChar w:fldCharType="end"/>
        </w:r>
      </w:hyperlink>
    </w:p>
    <w:p w14:paraId="04383A43" w14:textId="71783388" w:rsidR="00A61285" w:rsidRDefault="00A61285">
      <w:pPr>
        <w:pStyle w:val="TOC1"/>
        <w:rPr>
          <w:rFonts w:asciiTheme="minorHAnsi" w:hAnsiTheme="minorHAnsi" w:cstheme="minorBidi"/>
          <w:noProof/>
          <w:kern w:val="2"/>
          <w:szCs w:val="24"/>
          <w14:ligatures w14:val="standardContextual"/>
        </w:rPr>
      </w:pPr>
      <w:hyperlink w:anchor="_Toc207824588" w:history="1">
        <w:r w:rsidRPr="000C01C3">
          <w:rPr>
            <w:rStyle w:val="Hyperlink"/>
            <w:noProof/>
          </w:rPr>
          <w:t>Glossary</w:t>
        </w:r>
        <w:r>
          <w:rPr>
            <w:noProof/>
            <w:webHidden/>
          </w:rPr>
          <w:tab/>
        </w:r>
        <w:r>
          <w:rPr>
            <w:noProof/>
            <w:webHidden/>
          </w:rPr>
          <w:fldChar w:fldCharType="begin"/>
        </w:r>
        <w:r>
          <w:rPr>
            <w:noProof/>
            <w:webHidden/>
          </w:rPr>
          <w:instrText xml:space="preserve"> PAGEREF _Toc207824588 \h </w:instrText>
        </w:r>
        <w:r>
          <w:rPr>
            <w:noProof/>
            <w:webHidden/>
          </w:rPr>
        </w:r>
        <w:r>
          <w:rPr>
            <w:noProof/>
            <w:webHidden/>
          </w:rPr>
          <w:fldChar w:fldCharType="separate"/>
        </w:r>
        <w:r>
          <w:rPr>
            <w:noProof/>
            <w:webHidden/>
          </w:rPr>
          <w:t>59</w:t>
        </w:r>
        <w:r>
          <w:rPr>
            <w:noProof/>
            <w:webHidden/>
          </w:rPr>
          <w:fldChar w:fldCharType="end"/>
        </w:r>
      </w:hyperlink>
    </w:p>
    <w:p w14:paraId="7C1FC566" w14:textId="49D77232" w:rsidR="00A61285" w:rsidRDefault="00A61285">
      <w:pPr>
        <w:pStyle w:val="TOC1"/>
        <w:rPr>
          <w:rFonts w:asciiTheme="minorHAnsi" w:hAnsiTheme="minorHAnsi" w:cstheme="minorBidi"/>
          <w:noProof/>
          <w:kern w:val="2"/>
          <w:szCs w:val="24"/>
          <w14:ligatures w14:val="standardContextual"/>
        </w:rPr>
      </w:pPr>
      <w:hyperlink w:anchor="_Toc207824589" w:history="1">
        <w:r w:rsidRPr="000C01C3">
          <w:rPr>
            <w:rStyle w:val="Hyperlink"/>
            <w:noProof/>
          </w:rPr>
          <w:t xml:space="preserve">References </w:t>
        </w:r>
        <w:r>
          <w:rPr>
            <w:noProof/>
            <w:webHidden/>
          </w:rPr>
          <w:tab/>
        </w:r>
        <w:r>
          <w:rPr>
            <w:noProof/>
            <w:webHidden/>
          </w:rPr>
          <w:fldChar w:fldCharType="begin"/>
        </w:r>
        <w:r>
          <w:rPr>
            <w:noProof/>
            <w:webHidden/>
          </w:rPr>
          <w:instrText xml:space="preserve"> PAGEREF _Toc207824589 \h </w:instrText>
        </w:r>
        <w:r>
          <w:rPr>
            <w:noProof/>
            <w:webHidden/>
          </w:rPr>
        </w:r>
        <w:r>
          <w:rPr>
            <w:noProof/>
            <w:webHidden/>
          </w:rPr>
          <w:fldChar w:fldCharType="separate"/>
        </w:r>
        <w:r>
          <w:rPr>
            <w:noProof/>
            <w:webHidden/>
          </w:rPr>
          <w:t>62</w:t>
        </w:r>
        <w:r>
          <w:rPr>
            <w:noProof/>
            <w:webHidden/>
          </w:rPr>
          <w:fldChar w:fldCharType="end"/>
        </w:r>
      </w:hyperlink>
    </w:p>
    <w:p w14:paraId="69E4C892" w14:textId="0E0A0F95" w:rsidR="00A61285" w:rsidRDefault="00A61285">
      <w:pPr>
        <w:pStyle w:val="TOC1"/>
        <w:rPr>
          <w:rFonts w:asciiTheme="minorHAnsi" w:hAnsiTheme="minorHAnsi" w:cstheme="minorBidi"/>
          <w:noProof/>
          <w:kern w:val="2"/>
          <w:szCs w:val="24"/>
          <w14:ligatures w14:val="standardContextual"/>
        </w:rPr>
      </w:pPr>
      <w:hyperlink w:anchor="_Toc207824590" w:history="1">
        <w:r w:rsidRPr="000C01C3">
          <w:rPr>
            <w:rStyle w:val="Hyperlink"/>
            <w:noProof/>
          </w:rPr>
          <w:t>Appendices</w:t>
        </w:r>
        <w:r>
          <w:rPr>
            <w:noProof/>
            <w:webHidden/>
          </w:rPr>
          <w:tab/>
        </w:r>
        <w:r>
          <w:rPr>
            <w:noProof/>
            <w:webHidden/>
          </w:rPr>
          <w:fldChar w:fldCharType="begin"/>
        </w:r>
        <w:r>
          <w:rPr>
            <w:noProof/>
            <w:webHidden/>
          </w:rPr>
          <w:instrText xml:space="preserve"> PAGEREF _Toc207824590 \h </w:instrText>
        </w:r>
        <w:r>
          <w:rPr>
            <w:noProof/>
            <w:webHidden/>
          </w:rPr>
        </w:r>
        <w:r>
          <w:rPr>
            <w:noProof/>
            <w:webHidden/>
          </w:rPr>
          <w:fldChar w:fldCharType="separate"/>
        </w:r>
        <w:r>
          <w:rPr>
            <w:noProof/>
            <w:webHidden/>
          </w:rPr>
          <w:t>68</w:t>
        </w:r>
        <w:r>
          <w:rPr>
            <w:noProof/>
            <w:webHidden/>
          </w:rPr>
          <w:fldChar w:fldCharType="end"/>
        </w:r>
      </w:hyperlink>
    </w:p>
    <w:p w14:paraId="08EF863F" w14:textId="4D92C179" w:rsidR="00A61285" w:rsidRDefault="00A61285">
      <w:pPr>
        <w:pStyle w:val="TOC6"/>
        <w:rPr>
          <w:rFonts w:asciiTheme="minorHAnsi" w:hAnsiTheme="minorHAnsi"/>
          <w:noProof/>
          <w:sz w:val="24"/>
          <w:szCs w:val="24"/>
          <w14:ligatures w14:val="standardContextual"/>
        </w:rPr>
      </w:pPr>
      <w:hyperlink w:anchor="_Toc207824591" w:history="1">
        <w:r w:rsidRPr="000C01C3">
          <w:rPr>
            <w:rStyle w:val="Hyperlink"/>
            <w:noProof/>
          </w:rPr>
          <w:t>Appendix A. History of framework development</w:t>
        </w:r>
        <w:r>
          <w:rPr>
            <w:noProof/>
            <w:webHidden/>
          </w:rPr>
          <w:tab/>
        </w:r>
        <w:r>
          <w:rPr>
            <w:noProof/>
            <w:webHidden/>
          </w:rPr>
          <w:fldChar w:fldCharType="begin"/>
        </w:r>
        <w:r>
          <w:rPr>
            <w:noProof/>
            <w:webHidden/>
          </w:rPr>
          <w:instrText xml:space="preserve"> PAGEREF _Toc207824591 \h </w:instrText>
        </w:r>
        <w:r>
          <w:rPr>
            <w:noProof/>
            <w:webHidden/>
          </w:rPr>
        </w:r>
        <w:r>
          <w:rPr>
            <w:noProof/>
            <w:webHidden/>
          </w:rPr>
          <w:fldChar w:fldCharType="separate"/>
        </w:r>
        <w:r>
          <w:rPr>
            <w:noProof/>
            <w:webHidden/>
          </w:rPr>
          <w:t>68</w:t>
        </w:r>
        <w:r>
          <w:rPr>
            <w:noProof/>
            <w:webHidden/>
          </w:rPr>
          <w:fldChar w:fldCharType="end"/>
        </w:r>
      </w:hyperlink>
    </w:p>
    <w:p w14:paraId="67FDE65E" w14:textId="4DC14327" w:rsidR="00A61285" w:rsidRDefault="00A61285">
      <w:pPr>
        <w:pStyle w:val="TOC6"/>
        <w:rPr>
          <w:rFonts w:asciiTheme="minorHAnsi" w:hAnsiTheme="minorHAnsi"/>
          <w:noProof/>
          <w:sz w:val="24"/>
          <w:szCs w:val="24"/>
          <w14:ligatures w14:val="standardContextual"/>
        </w:rPr>
      </w:pPr>
      <w:hyperlink w:anchor="_Toc207824592" w:history="1">
        <w:r w:rsidRPr="000C01C3">
          <w:rPr>
            <w:rStyle w:val="Hyperlink"/>
            <w:noProof/>
          </w:rPr>
          <w:t>Appendix B. NRV nutrient update prioritisation framework</w:t>
        </w:r>
        <w:r>
          <w:rPr>
            <w:noProof/>
            <w:webHidden/>
          </w:rPr>
          <w:tab/>
        </w:r>
        <w:r>
          <w:rPr>
            <w:noProof/>
            <w:webHidden/>
          </w:rPr>
          <w:fldChar w:fldCharType="begin"/>
        </w:r>
        <w:r>
          <w:rPr>
            <w:noProof/>
            <w:webHidden/>
          </w:rPr>
          <w:instrText xml:space="preserve"> PAGEREF _Toc207824592 \h </w:instrText>
        </w:r>
        <w:r>
          <w:rPr>
            <w:noProof/>
            <w:webHidden/>
          </w:rPr>
        </w:r>
        <w:r>
          <w:rPr>
            <w:noProof/>
            <w:webHidden/>
          </w:rPr>
          <w:fldChar w:fldCharType="separate"/>
        </w:r>
        <w:r>
          <w:rPr>
            <w:noProof/>
            <w:webHidden/>
          </w:rPr>
          <w:t>70</w:t>
        </w:r>
        <w:r>
          <w:rPr>
            <w:noProof/>
            <w:webHidden/>
          </w:rPr>
          <w:fldChar w:fldCharType="end"/>
        </w:r>
      </w:hyperlink>
    </w:p>
    <w:p w14:paraId="127B88EE" w14:textId="701C3C06" w:rsidR="00A61285" w:rsidRDefault="00A61285">
      <w:pPr>
        <w:pStyle w:val="TOC6"/>
        <w:rPr>
          <w:rFonts w:asciiTheme="minorHAnsi" w:hAnsiTheme="minorHAnsi"/>
          <w:noProof/>
          <w:sz w:val="24"/>
          <w:szCs w:val="24"/>
          <w14:ligatures w14:val="standardContextual"/>
        </w:rPr>
      </w:pPr>
      <w:hyperlink w:anchor="_Toc207824593" w:history="1">
        <w:r w:rsidRPr="000C01C3">
          <w:rPr>
            <w:rStyle w:val="Hyperlink"/>
            <w:noProof/>
          </w:rPr>
          <w:t>Appendix C. Standardised age, height, weight and growth</w:t>
        </w:r>
        <w:r>
          <w:rPr>
            <w:noProof/>
            <w:webHidden/>
          </w:rPr>
          <w:tab/>
        </w:r>
        <w:r>
          <w:rPr>
            <w:noProof/>
            <w:webHidden/>
          </w:rPr>
          <w:fldChar w:fldCharType="begin"/>
        </w:r>
        <w:r>
          <w:rPr>
            <w:noProof/>
            <w:webHidden/>
          </w:rPr>
          <w:instrText xml:space="preserve"> PAGEREF _Toc207824593 \h </w:instrText>
        </w:r>
        <w:r>
          <w:rPr>
            <w:noProof/>
            <w:webHidden/>
          </w:rPr>
        </w:r>
        <w:r>
          <w:rPr>
            <w:noProof/>
            <w:webHidden/>
          </w:rPr>
          <w:fldChar w:fldCharType="separate"/>
        </w:r>
        <w:r>
          <w:rPr>
            <w:noProof/>
            <w:webHidden/>
          </w:rPr>
          <w:t>73</w:t>
        </w:r>
        <w:r>
          <w:rPr>
            <w:noProof/>
            <w:webHidden/>
          </w:rPr>
          <w:fldChar w:fldCharType="end"/>
        </w:r>
      </w:hyperlink>
    </w:p>
    <w:p w14:paraId="2840D1B4" w14:textId="20FCD459" w:rsidR="00A61285" w:rsidRDefault="00A61285">
      <w:pPr>
        <w:pStyle w:val="TOC7"/>
        <w:rPr>
          <w:rFonts w:asciiTheme="minorHAnsi" w:hAnsiTheme="minorHAnsi" w:cstheme="minorBidi"/>
          <w:color w:val="auto"/>
          <w:kern w:val="2"/>
          <w:sz w:val="24"/>
          <w:szCs w:val="24"/>
          <w14:ligatures w14:val="standardContextual"/>
        </w:rPr>
      </w:pPr>
      <w:hyperlink w:anchor="_Toc207824594" w:history="1">
        <w:r w:rsidRPr="000C01C3">
          <w:rPr>
            <w:rStyle w:val="Hyperlink"/>
          </w:rPr>
          <w:t>C.1. Age groups</w:t>
        </w:r>
        <w:r>
          <w:rPr>
            <w:webHidden/>
          </w:rPr>
          <w:tab/>
        </w:r>
        <w:r>
          <w:rPr>
            <w:webHidden/>
          </w:rPr>
          <w:fldChar w:fldCharType="begin"/>
        </w:r>
        <w:r>
          <w:rPr>
            <w:webHidden/>
          </w:rPr>
          <w:instrText xml:space="preserve"> PAGEREF _Toc207824594 \h </w:instrText>
        </w:r>
        <w:r>
          <w:rPr>
            <w:webHidden/>
          </w:rPr>
        </w:r>
        <w:r>
          <w:rPr>
            <w:webHidden/>
          </w:rPr>
          <w:fldChar w:fldCharType="separate"/>
        </w:r>
        <w:r>
          <w:rPr>
            <w:webHidden/>
          </w:rPr>
          <w:t>73</w:t>
        </w:r>
        <w:r>
          <w:rPr>
            <w:webHidden/>
          </w:rPr>
          <w:fldChar w:fldCharType="end"/>
        </w:r>
      </w:hyperlink>
    </w:p>
    <w:p w14:paraId="59B9A58E" w14:textId="10617D4F" w:rsidR="00A61285" w:rsidRDefault="00A61285">
      <w:pPr>
        <w:pStyle w:val="TOC7"/>
        <w:rPr>
          <w:rFonts w:asciiTheme="minorHAnsi" w:hAnsiTheme="minorHAnsi" w:cstheme="minorBidi"/>
          <w:color w:val="auto"/>
          <w:kern w:val="2"/>
          <w:sz w:val="24"/>
          <w:szCs w:val="24"/>
          <w14:ligatures w14:val="standardContextual"/>
        </w:rPr>
      </w:pPr>
      <w:hyperlink w:anchor="_Toc207824595" w:history="1">
        <w:r w:rsidRPr="000C01C3">
          <w:rPr>
            <w:rStyle w:val="Hyperlink"/>
          </w:rPr>
          <w:t>C.2. Median heights</w:t>
        </w:r>
        <w:r>
          <w:rPr>
            <w:webHidden/>
          </w:rPr>
          <w:tab/>
        </w:r>
        <w:r>
          <w:rPr>
            <w:webHidden/>
          </w:rPr>
          <w:fldChar w:fldCharType="begin"/>
        </w:r>
        <w:r>
          <w:rPr>
            <w:webHidden/>
          </w:rPr>
          <w:instrText xml:space="preserve"> PAGEREF _Toc207824595 \h </w:instrText>
        </w:r>
        <w:r>
          <w:rPr>
            <w:webHidden/>
          </w:rPr>
        </w:r>
        <w:r>
          <w:rPr>
            <w:webHidden/>
          </w:rPr>
          <w:fldChar w:fldCharType="separate"/>
        </w:r>
        <w:r>
          <w:rPr>
            <w:webHidden/>
          </w:rPr>
          <w:t>73</w:t>
        </w:r>
        <w:r>
          <w:rPr>
            <w:webHidden/>
          </w:rPr>
          <w:fldChar w:fldCharType="end"/>
        </w:r>
      </w:hyperlink>
    </w:p>
    <w:p w14:paraId="42111725" w14:textId="3039B7ED" w:rsidR="00A61285" w:rsidRDefault="00A61285">
      <w:pPr>
        <w:pStyle w:val="TOC7"/>
        <w:rPr>
          <w:rFonts w:asciiTheme="minorHAnsi" w:hAnsiTheme="minorHAnsi" w:cstheme="minorBidi"/>
          <w:color w:val="auto"/>
          <w:kern w:val="2"/>
          <w:sz w:val="24"/>
          <w:szCs w:val="24"/>
          <w14:ligatures w14:val="standardContextual"/>
        </w:rPr>
      </w:pPr>
      <w:hyperlink w:anchor="_Toc207824596" w:history="1">
        <w:r w:rsidRPr="000C01C3">
          <w:rPr>
            <w:rStyle w:val="Hyperlink"/>
          </w:rPr>
          <w:t>C.3. Reference bodyweights</w:t>
        </w:r>
        <w:r>
          <w:rPr>
            <w:webHidden/>
          </w:rPr>
          <w:tab/>
        </w:r>
        <w:r>
          <w:rPr>
            <w:webHidden/>
          </w:rPr>
          <w:fldChar w:fldCharType="begin"/>
        </w:r>
        <w:r>
          <w:rPr>
            <w:webHidden/>
          </w:rPr>
          <w:instrText xml:space="preserve"> PAGEREF _Toc207824596 \h </w:instrText>
        </w:r>
        <w:r>
          <w:rPr>
            <w:webHidden/>
          </w:rPr>
        </w:r>
        <w:r>
          <w:rPr>
            <w:webHidden/>
          </w:rPr>
          <w:fldChar w:fldCharType="separate"/>
        </w:r>
        <w:r>
          <w:rPr>
            <w:webHidden/>
          </w:rPr>
          <w:t>74</w:t>
        </w:r>
        <w:r>
          <w:rPr>
            <w:webHidden/>
          </w:rPr>
          <w:fldChar w:fldCharType="end"/>
        </w:r>
      </w:hyperlink>
    </w:p>
    <w:p w14:paraId="24B1C920" w14:textId="2A7DF210" w:rsidR="00A61285" w:rsidRDefault="00A61285">
      <w:pPr>
        <w:pStyle w:val="TOC7"/>
        <w:rPr>
          <w:rFonts w:asciiTheme="minorHAnsi" w:hAnsiTheme="minorHAnsi" w:cstheme="minorBidi"/>
          <w:color w:val="auto"/>
          <w:kern w:val="2"/>
          <w:sz w:val="24"/>
          <w:szCs w:val="24"/>
          <w14:ligatures w14:val="standardContextual"/>
        </w:rPr>
      </w:pPr>
      <w:hyperlink w:anchor="_Toc207824597" w:history="1">
        <w:r w:rsidRPr="000C01C3">
          <w:rPr>
            <w:rStyle w:val="Hyperlink"/>
          </w:rPr>
          <w:t>C.4. Growth factors</w:t>
        </w:r>
        <w:r>
          <w:rPr>
            <w:webHidden/>
          </w:rPr>
          <w:tab/>
        </w:r>
        <w:r>
          <w:rPr>
            <w:webHidden/>
          </w:rPr>
          <w:fldChar w:fldCharType="begin"/>
        </w:r>
        <w:r>
          <w:rPr>
            <w:webHidden/>
          </w:rPr>
          <w:instrText xml:space="preserve"> PAGEREF _Toc207824597 \h </w:instrText>
        </w:r>
        <w:r>
          <w:rPr>
            <w:webHidden/>
          </w:rPr>
        </w:r>
        <w:r>
          <w:rPr>
            <w:webHidden/>
          </w:rPr>
          <w:fldChar w:fldCharType="separate"/>
        </w:r>
        <w:r>
          <w:rPr>
            <w:webHidden/>
          </w:rPr>
          <w:t>76</w:t>
        </w:r>
        <w:r>
          <w:rPr>
            <w:webHidden/>
          </w:rPr>
          <w:fldChar w:fldCharType="end"/>
        </w:r>
      </w:hyperlink>
    </w:p>
    <w:p w14:paraId="537D8C91" w14:textId="156C4D53" w:rsidR="00A61285" w:rsidRDefault="00A61285">
      <w:pPr>
        <w:pStyle w:val="TOC6"/>
        <w:rPr>
          <w:rFonts w:asciiTheme="minorHAnsi" w:hAnsiTheme="minorHAnsi"/>
          <w:noProof/>
          <w:sz w:val="24"/>
          <w:szCs w:val="24"/>
          <w14:ligatures w14:val="standardContextual"/>
        </w:rPr>
      </w:pPr>
      <w:hyperlink w:anchor="_Toc207824598" w:history="1">
        <w:r w:rsidRPr="000C01C3">
          <w:rPr>
            <w:rStyle w:val="Hyperlink"/>
            <w:noProof/>
          </w:rPr>
          <w:t>Appendix D. Assessment criteria for adopting or adapting an NRV from other jurisdictions</w:t>
        </w:r>
        <w:r>
          <w:rPr>
            <w:noProof/>
            <w:webHidden/>
          </w:rPr>
          <w:tab/>
        </w:r>
        <w:r>
          <w:rPr>
            <w:noProof/>
            <w:webHidden/>
          </w:rPr>
          <w:fldChar w:fldCharType="begin"/>
        </w:r>
        <w:r>
          <w:rPr>
            <w:noProof/>
            <w:webHidden/>
          </w:rPr>
          <w:instrText xml:space="preserve"> PAGEREF _Toc207824598 \h </w:instrText>
        </w:r>
        <w:r>
          <w:rPr>
            <w:noProof/>
            <w:webHidden/>
          </w:rPr>
        </w:r>
        <w:r>
          <w:rPr>
            <w:noProof/>
            <w:webHidden/>
          </w:rPr>
          <w:fldChar w:fldCharType="separate"/>
        </w:r>
        <w:r>
          <w:rPr>
            <w:noProof/>
            <w:webHidden/>
          </w:rPr>
          <w:t>78</w:t>
        </w:r>
        <w:r>
          <w:rPr>
            <w:noProof/>
            <w:webHidden/>
          </w:rPr>
          <w:fldChar w:fldCharType="end"/>
        </w:r>
      </w:hyperlink>
    </w:p>
    <w:p w14:paraId="12867C82" w14:textId="677148A2" w:rsidR="00A61285" w:rsidRDefault="00A61285">
      <w:pPr>
        <w:pStyle w:val="TOC6"/>
        <w:rPr>
          <w:rFonts w:asciiTheme="minorHAnsi" w:hAnsiTheme="minorHAnsi"/>
          <w:noProof/>
          <w:sz w:val="24"/>
          <w:szCs w:val="24"/>
          <w14:ligatures w14:val="standardContextual"/>
        </w:rPr>
      </w:pPr>
      <w:hyperlink w:anchor="_Toc207824599" w:history="1">
        <w:r w:rsidRPr="000C01C3">
          <w:rPr>
            <w:rStyle w:val="Hyperlink"/>
            <w:noProof/>
          </w:rPr>
          <w:t>Appendix E. Decision guide for use/update of existing systematic reviews</w:t>
        </w:r>
        <w:r>
          <w:rPr>
            <w:noProof/>
            <w:webHidden/>
          </w:rPr>
          <w:tab/>
        </w:r>
        <w:r>
          <w:rPr>
            <w:noProof/>
            <w:webHidden/>
          </w:rPr>
          <w:fldChar w:fldCharType="begin"/>
        </w:r>
        <w:r>
          <w:rPr>
            <w:noProof/>
            <w:webHidden/>
          </w:rPr>
          <w:instrText xml:space="preserve"> PAGEREF _Toc207824599 \h </w:instrText>
        </w:r>
        <w:r>
          <w:rPr>
            <w:noProof/>
            <w:webHidden/>
          </w:rPr>
        </w:r>
        <w:r>
          <w:rPr>
            <w:noProof/>
            <w:webHidden/>
          </w:rPr>
          <w:fldChar w:fldCharType="separate"/>
        </w:r>
        <w:r>
          <w:rPr>
            <w:noProof/>
            <w:webHidden/>
          </w:rPr>
          <w:t>83</w:t>
        </w:r>
        <w:r>
          <w:rPr>
            <w:noProof/>
            <w:webHidden/>
          </w:rPr>
          <w:fldChar w:fldCharType="end"/>
        </w:r>
      </w:hyperlink>
    </w:p>
    <w:p w14:paraId="4C6334EF" w14:textId="10771232" w:rsidR="00A61285" w:rsidRDefault="00A61285">
      <w:pPr>
        <w:pStyle w:val="TOC6"/>
        <w:rPr>
          <w:rFonts w:asciiTheme="minorHAnsi" w:hAnsiTheme="minorHAnsi"/>
          <w:noProof/>
          <w:sz w:val="24"/>
          <w:szCs w:val="24"/>
          <w14:ligatures w14:val="standardContextual"/>
        </w:rPr>
      </w:pPr>
      <w:hyperlink w:anchor="_Toc207824600" w:history="1">
        <w:r w:rsidRPr="000C01C3">
          <w:rPr>
            <w:rStyle w:val="Hyperlink"/>
            <w:noProof/>
          </w:rPr>
          <w:t>Appendix F. Scaling methods used internationally for NRVs</w:t>
        </w:r>
        <w:r>
          <w:rPr>
            <w:noProof/>
            <w:webHidden/>
          </w:rPr>
          <w:tab/>
        </w:r>
        <w:r>
          <w:rPr>
            <w:noProof/>
            <w:webHidden/>
          </w:rPr>
          <w:fldChar w:fldCharType="begin"/>
        </w:r>
        <w:r>
          <w:rPr>
            <w:noProof/>
            <w:webHidden/>
          </w:rPr>
          <w:instrText xml:space="preserve"> PAGEREF _Toc207824600 \h </w:instrText>
        </w:r>
        <w:r>
          <w:rPr>
            <w:noProof/>
            <w:webHidden/>
          </w:rPr>
        </w:r>
        <w:r>
          <w:rPr>
            <w:noProof/>
            <w:webHidden/>
          </w:rPr>
          <w:fldChar w:fldCharType="separate"/>
        </w:r>
        <w:r>
          <w:rPr>
            <w:noProof/>
            <w:webHidden/>
          </w:rPr>
          <w:t>84</w:t>
        </w:r>
        <w:r>
          <w:rPr>
            <w:noProof/>
            <w:webHidden/>
          </w:rPr>
          <w:fldChar w:fldCharType="end"/>
        </w:r>
      </w:hyperlink>
    </w:p>
    <w:p w14:paraId="2544ACD1" w14:textId="14F28706" w:rsidR="00950D92" w:rsidRPr="00823595" w:rsidRDefault="00A72089" w:rsidP="00950D92">
      <w:pPr>
        <w:rPr>
          <w:highlight w:val="yellow"/>
        </w:rPr>
      </w:pPr>
      <w:r>
        <w:rPr>
          <w:rFonts w:ascii="Gotham Medium" w:hAnsi="Gotham Medium"/>
          <w:color w:val="auto"/>
          <w:sz w:val="24"/>
          <w:highlight w:val="yellow"/>
        </w:rPr>
        <w:fldChar w:fldCharType="end"/>
      </w:r>
    </w:p>
    <w:p w14:paraId="50A77115" w14:textId="77777777" w:rsidR="00950D92" w:rsidRDefault="00BF7429">
      <w:pPr>
        <w:spacing w:before="0" w:after="0" w:line="240" w:lineRule="auto"/>
      </w:pPr>
      <w:r>
        <w:br w:type="page"/>
      </w:r>
    </w:p>
    <w:p w14:paraId="42AA23B2" w14:textId="68FA4256" w:rsidR="00950D92" w:rsidRPr="00107B3D" w:rsidRDefault="00823595" w:rsidP="003E2E95">
      <w:pPr>
        <w:pStyle w:val="Heading2Chapter"/>
      </w:pPr>
      <w:bookmarkStart w:id="0" w:name="_Toc153967089"/>
      <w:bookmarkStart w:id="1" w:name="_Ref207027867"/>
      <w:bookmarkStart w:id="2" w:name="_Ref207800405"/>
      <w:bookmarkStart w:id="3" w:name="_Ref207800414"/>
      <w:bookmarkStart w:id="4" w:name="_Toc207801028"/>
      <w:bookmarkStart w:id="5" w:name="_Toc207824505"/>
      <w:r w:rsidRPr="000B67BB">
        <w:lastRenderedPageBreak/>
        <w:t>Introduction</w:t>
      </w:r>
      <w:bookmarkEnd w:id="0"/>
      <w:bookmarkEnd w:id="1"/>
      <w:bookmarkEnd w:id="2"/>
      <w:bookmarkEnd w:id="3"/>
      <w:bookmarkEnd w:id="4"/>
      <w:bookmarkEnd w:id="5"/>
    </w:p>
    <w:p w14:paraId="09F1910F" w14:textId="6E7BAEDD" w:rsidR="00950D92" w:rsidRDefault="000F4E1C" w:rsidP="003449C9">
      <w:pPr>
        <w:pStyle w:val="Heading30"/>
      </w:pPr>
      <w:bookmarkStart w:id="6" w:name="_Toc153967090"/>
      <w:bookmarkStart w:id="7" w:name="_Toc207801029"/>
      <w:bookmarkStart w:id="8" w:name="_Toc207824506"/>
      <w:r>
        <w:t>Background</w:t>
      </w:r>
      <w:bookmarkEnd w:id="6"/>
      <w:bookmarkEnd w:id="7"/>
      <w:bookmarkEnd w:id="8"/>
    </w:p>
    <w:p w14:paraId="6D973576" w14:textId="3E39F874" w:rsidR="00823595" w:rsidRDefault="0006662D" w:rsidP="00823595">
      <w:r w:rsidRPr="0006662D">
        <w:t>Nutrient Reference Values (NRVs) are a set of recommend</w:t>
      </w:r>
      <w:r w:rsidR="000746E4">
        <w:t xml:space="preserve">ations that </w:t>
      </w:r>
      <w:r w:rsidR="006230ED">
        <w:t xml:space="preserve">estimate </w:t>
      </w:r>
      <w:r w:rsidR="000746E4">
        <w:t xml:space="preserve">the nutritional requirements </w:t>
      </w:r>
      <w:r w:rsidRPr="0006662D">
        <w:t>of population groups and/or individuals</w:t>
      </w:r>
      <w:r w:rsidR="000746E4">
        <w:t>, based on the available scientific evidence</w:t>
      </w:r>
      <w:r w:rsidR="002225A7">
        <w:t xml:space="preserve"> </w:t>
      </w:r>
      <w:r w:rsidR="002225A7">
        <w:fldChar w:fldCharType="begin"/>
      </w:r>
      <w:r w:rsidR="00F44F97">
        <w:instrText xml:space="preserve"> ADDIN EN.CITE &lt;EndNote&gt;&lt;Cite&gt;&lt;Author&gt;NHMRC&lt;/Author&gt;&lt;Year&gt;2006&lt;/Year&gt;&lt;RecNum&gt;47&lt;/RecNum&gt;&lt;DisplayText&gt;(NHMRC 2006)&lt;/DisplayText&gt;&lt;record&gt;&lt;rec-number&gt;47&lt;/rec-number&gt;&lt;foreign-keys&gt;&lt;key app="EN" db-id="zxfaevvrgpsxebez5ec5vspfe2av5dtxt9xx" timestamp="1754957726"&gt;47&lt;/key&gt;&lt;/foreign-keys&gt;&lt;ref-type name="Electronic Book"&gt;44&lt;/ref-type&gt;&lt;contributors&gt;&lt;authors&gt;&lt;author&gt;NHMRC, &lt;/author&gt;&lt;/authors&gt;&lt;/contributors&gt;&lt;titles&gt;&lt;title&gt;Nutrient Reference Values for Australia and New Zealand.&lt;/title&gt;&lt;/titles&gt;&lt;dates&gt;&lt;year&gt;2006&lt;/year&gt;&lt;/dates&gt;&lt;pub-location&gt;Canberra&lt;/pub-location&gt;&lt;urls&gt;&lt;related-urls&gt;&lt;url&gt;date accessed 18 August 2025, https://www.nhmrc.gov.au/about-us/publications/nutrient-reference-values-australia-and-new-zealand-including-recommended-dietary-intakes&lt;/url&gt;&lt;/related-urls&gt;&lt;/urls&gt;&lt;/record&gt;&lt;/Cite&gt;&lt;/EndNote&gt;</w:instrText>
      </w:r>
      <w:r w:rsidR="002225A7">
        <w:fldChar w:fldCharType="separate"/>
      </w:r>
      <w:r w:rsidR="00F44F97">
        <w:rPr>
          <w:noProof/>
        </w:rPr>
        <w:t>(NHMRC 2006)</w:t>
      </w:r>
      <w:r w:rsidR="002225A7">
        <w:fldChar w:fldCharType="end"/>
      </w:r>
      <w:r w:rsidR="006753BC">
        <w:t xml:space="preserve">. </w:t>
      </w:r>
      <w:r w:rsidR="006230ED">
        <w:t xml:space="preserve">NRVs detail the recommended amounts of macronutrients and micronutrients required for different ages and sexes to maintain nutritional adequacy and avoid toxicity and chronic disease. </w:t>
      </w:r>
      <w:r w:rsidRPr="0006662D">
        <w:t>The</w:t>
      </w:r>
      <w:r w:rsidR="006230ED">
        <w:t>y</w:t>
      </w:r>
      <w:r w:rsidRPr="0006662D">
        <w:t xml:space="preserve"> are also used by a broad range of stakeholders for dietary modelling and/or food labelling and food formulation.</w:t>
      </w:r>
    </w:p>
    <w:p w14:paraId="247F0A3A" w14:textId="1910FBAA" w:rsidR="00B9154C" w:rsidRDefault="00B9154C" w:rsidP="00FD1723">
      <w:r>
        <w:t xml:space="preserve">The 2006 NRVs for Australia and New Zealand </w:t>
      </w:r>
      <w:r w:rsidR="00DE1975">
        <w:t xml:space="preserve">(Aotearoa) </w:t>
      </w:r>
      <w:r>
        <w:t xml:space="preserve">were developed as a joint initiative of the </w:t>
      </w:r>
      <w:r w:rsidRPr="00983626">
        <w:t>Australian National Health and Medical Research Council (NHMRC), Australian Government Department of Health</w:t>
      </w:r>
      <w:r w:rsidR="002863BE">
        <w:t>, Disability and Ageing</w:t>
      </w:r>
      <w:r w:rsidRPr="00983626">
        <w:t xml:space="preserve"> </w:t>
      </w:r>
      <w:r w:rsidR="00985E1B">
        <w:t>(</w:t>
      </w:r>
      <w:r w:rsidR="00697702" w:rsidRPr="00697702">
        <w:t>Department</w:t>
      </w:r>
      <w:r w:rsidR="00985E1B">
        <w:t>)</w:t>
      </w:r>
      <w:r w:rsidRPr="00983626">
        <w:t xml:space="preserve"> and the New Zealand Ministry of Health (</w:t>
      </w:r>
      <w:r w:rsidRPr="00983626" w:rsidDel="00053176">
        <w:t>NZ</w:t>
      </w:r>
      <w:r w:rsidR="00BB7D9B">
        <w:t xml:space="preserve"> </w:t>
      </w:r>
      <w:r w:rsidR="00697702">
        <w:t>Ministry</w:t>
      </w:r>
      <w:r w:rsidR="00844FCA">
        <w:t>)</w:t>
      </w:r>
      <w:r w:rsidR="005D79EA">
        <w:t>.</w:t>
      </w:r>
      <w:r w:rsidR="00FD1723">
        <w:t xml:space="preserve"> </w:t>
      </w:r>
      <w:r w:rsidR="005D79EA">
        <w:t>The</w:t>
      </w:r>
      <w:r w:rsidR="00FD1723">
        <w:t xml:space="preserve"> </w:t>
      </w:r>
      <w:r>
        <w:t xml:space="preserve">2006 </w:t>
      </w:r>
      <w:r w:rsidR="00FD1723">
        <w:t xml:space="preserve">NRVs </w:t>
      </w:r>
      <w:r w:rsidR="00FD1723" w:rsidRPr="006230ED">
        <w:t xml:space="preserve">apply to </w:t>
      </w:r>
      <w:r w:rsidR="00FD1723">
        <w:t xml:space="preserve">the </w:t>
      </w:r>
      <w:r w:rsidR="00FD1723" w:rsidRPr="006230ED">
        <w:t>general</w:t>
      </w:r>
      <w:r w:rsidR="00987D02">
        <w:t xml:space="preserve">, community-dwelling </w:t>
      </w:r>
      <w:r w:rsidR="00FD1723" w:rsidRPr="006230ED">
        <w:t>population in Australia and New Zealan</w:t>
      </w:r>
      <w:r w:rsidR="00FD1723">
        <w:t>d</w:t>
      </w:r>
      <w:r>
        <w:t xml:space="preserve">. They </w:t>
      </w:r>
      <w:r w:rsidR="00FD1723">
        <w:t xml:space="preserve">have not been developed to meet the </w:t>
      </w:r>
      <w:r w:rsidR="00235078">
        <w:t xml:space="preserve">specific </w:t>
      </w:r>
      <w:r w:rsidR="00FD1723" w:rsidRPr="006230ED">
        <w:t>nutritional requirements of individuals with various diseases or conditions such as pre-term infants, some people with specific genetic profiles or others requiring specific clinical advice and treatment.</w:t>
      </w:r>
      <w:r w:rsidR="00FD1723" w:rsidRPr="00FD1723">
        <w:t xml:space="preserve"> </w:t>
      </w:r>
    </w:p>
    <w:p w14:paraId="0C4F9A5E" w14:textId="5639529B" w:rsidR="00FD1723" w:rsidRDefault="00FD1723" w:rsidP="00FD1723">
      <w:r>
        <w:t xml:space="preserve">The </w:t>
      </w:r>
      <w:r w:rsidR="00B75D19">
        <w:t xml:space="preserve">2006 </w:t>
      </w:r>
      <w:r>
        <w:t>NRVs form an essential component of the suite of Australian and New Zealand public health nutrition resources. The relationship between these resources and how they each contribute to determining and setting public health nutrition recommendations is outlined in</w:t>
      </w:r>
      <w:r w:rsidR="006930A1">
        <w:t xml:space="preserve"> </w:t>
      </w:r>
      <w:r w:rsidR="006172F7">
        <w:fldChar w:fldCharType="begin"/>
      </w:r>
      <w:r w:rsidR="006172F7">
        <w:instrText xml:space="preserve"> REF _Ref197437711 \h </w:instrText>
      </w:r>
      <w:r w:rsidR="006172F7">
        <w:fldChar w:fldCharType="separate"/>
      </w:r>
      <w:r w:rsidR="00C94673">
        <w:t xml:space="preserve">Figure </w:t>
      </w:r>
      <w:r w:rsidR="00C94673">
        <w:rPr>
          <w:noProof/>
        </w:rPr>
        <w:t>1</w:t>
      </w:r>
      <w:r w:rsidR="00C94673">
        <w:t>.</w:t>
      </w:r>
      <w:r w:rsidR="00C94673">
        <w:rPr>
          <w:noProof/>
        </w:rPr>
        <w:t>1</w:t>
      </w:r>
      <w:r w:rsidR="006172F7">
        <w:fldChar w:fldCharType="end"/>
      </w:r>
      <w:r>
        <w:t>.</w:t>
      </w:r>
    </w:p>
    <w:p w14:paraId="75F31157" w14:textId="7B591B66" w:rsidR="002539EE" w:rsidRDefault="0043163C" w:rsidP="0042606E">
      <w:r>
        <w:t>In 2015, t</w:t>
      </w:r>
      <w:r w:rsidRPr="0043163C">
        <w:t xml:space="preserve">he </w:t>
      </w:r>
      <w:r w:rsidR="00697702">
        <w:t>Department</w:t>
      </w:r>
      <w:r w:rsidRPr="0043163C">
        <w:t xml:space="preserve"> and the NZ </w:t>
      </w:r>
      <w:r w:rsidR="00697702">
        <w:t>Ministry</w:t>
      </w:r>
      <w:r w:rsidRPr="0043163C">
        <w:t xml:space="preserve"> developed a methodological framework to </w:t>
      </w:r>
      <w:r w:rsidR="00CC247B">
        <w:t xml:space="preserve">underpin </w:t>
      </w:r>
      <w:r w:rsidRPr="0043163C">
        <w:t>future reviews of priority NRVs.</w:t>
      </w:r>
      <w:r w:rsidR="00CC247B">
        <w:t xml:space="preserve"> </w:t>
      </w:r>
      <w:r w:rsidR="009F268A">
        <w:t>The methodological framewo</w:t>
      </w:r>
      <w:r w:rsidR="00B75D19">
        <w:t>r</w:t>
      </w:r>
      <w:r w:rsidR="009F268A">
        <w:t>k was piloted on a</w:t>
      </w:r>
      <w:r w:rsidR="00CC247B">
        <w:t xml:space="preserve"> review of select fluoride and sodium NRVs, culminating in revised NRV recommendations for fluoride in November 2016, and sodium in July 2017.</w:t>
      </w:r>
      <w:r w:rsidR="005B3BFA">
        <w:t xml:space="preserve"> </w:t>
      </w:r>
    </w:p>
    <w:p w14:paraId="7BC6C8E2" w14:textId="323637C4" w:rsidR="00A27A1A" w:rsidRDefault="0042606E" w:rsidP="00A27A1A">
      <w:r>
        <w:t xml:space="preserve">In March 2018, the </w:t>
      </w:r>
      <w:r w:rsidR="00697702" w:rsidRPr="00697702">
        <w:t>Department</w:t>
      </w:r>
      <w:r>
        <w:t xml:space="preserve"> commissioned NHMRC to continue the priority driven review of nutrients</w:t>
      </w:r>
      <w:r w:rsidR="00EE1B66">
        <w:t xml:space="preserve">. </w:t>
      </w:r>
    </w:p>
    <w:p w14:paraId="152DB9C8" w14:textId="1F3B0CB4" w:rsidR="00A27A1A" w:rsidRDefault="00B75D19" w:rsidP="00A27A1A">
      <w:r>
        <w:t xml:space="preserve">This framework </w:t>
      </w:r>
      <w:r w:rsidR="007F59EC">
        <w:t>updates</w:t>
      </w:r>
      <w:r w:rsidR="005B3BFA">
        <w:t xml:space="preserve"> the 201</w:t>
      </w:r>
      <w:r w:rsidR="003A6BB9">
        <w:t>5</w:t>
      </w:r>
      <w:r w:rsidR="005B3BFA">
        <w:t xml:space="preserve"> methodological </w:t>
      </w:r>
      <w:r w:rsidR="00BC3673">
        <w:t>framework and</w:t>
      </w:r>
      <w:r w:rsidR="005B3BFA">
        <w:t xml:space="preserve"> </w:t>
      </w:r>
      <w:r w:rsidR="004F463F">
        <w:t>includes</w:t>
      </w:r>
      <w:r w:rsidR="005B3BFA">
        <w:t xml:space="preserve"> developments in evidence review methods</w:t>
      </w:r>
      <w:r w:rsidR="001F053C">
        <w:t>, international approaches to NRV development</w:t>
      </w:r>
      <w:r w:rsidR="00C54F7B">
        <w:t xml:space="preserve">, and </w:t>
      </w:r>
      <w:r w:rsidR="001F053C">
        <w:t xml:space="preserve">lessons learnt </w:t>
      </w:r>
      <w:r w:rsidR="005B3BFA">
        <w:t xml:space="preserve">from </w:t>
      </w:r>
      <w:r w:rsidR="00EB15C7">
        <w:t xml:space="preserve">NHMRC’s </w:t>
      </w:r>
      <w:r w:rsidR="001F053C">
        <w:t xml:space="preserve">ongoing </w:t>
      </w:r>
      <w:r w:rsidR="005B3BFA">
        <w:t>NRV reviews.</w:t>
      </w:r>
      <w:r w:rsidR="00CB7863">
        <w:t xml:space="preserve"> S</w:t>
      </w:r>
      <w:r w:rsidR="00BE79E3">
        <w:t xml:space="preserve">ee </w:t>
      </w:r>
      <w:r w:rsidR="005168FF">
        <w:fldChar w:fldCharType="begin"/>
      </w:r>
      <w:r w:rsidR="005168FF">
        <w:instrText xml:space="preserve"> REF _Ref197437776 \r \h </w:instrText>
      </w:r>
      <w:r w:rsidR="005168FF">
        <w:fldChar w:fldCharType="separate"/>
      </w:r>
      <w:r w:rsidR="00783DC4">
        <w:t xml:space="preserve">Appendix A.  </w:t>
      </w:r>
      <w:r w:rsidR="005168FF">
        <w:fldChar w:fldCharType="end"/>
      </w:r>
      <w:r w:rsidR="00CB7863">
        <w:t>for a more detailed timeline of the framework development</w:t>
      </w:r>
      <w:r w:rsidR="005B3BFA">
        <w:t>.</w:t>
      </w:r>
    </w:p>
    <w:p w14:paraId="5CD0AA53" w14:textId="6411DBCA" w:rsidR="00FD6DF0" w:rsidRDefault="00FD6DF0" w:rsidP="003E2E95">
      <w:pPr>
        <w:pStyle w:val="Heading30"/>
      </w:pPr>
      <w:bookmarkStart w:id="9" w:name="_Toc153967091"/>
      <w:bookmarkStart w:id="10" w:name="_Toc207801030"/>
      <w:bookmarkStart w:id="11" w:name="_Toc207824507"/>
      <w:r>
        <w:t>Scope and objectives</w:t>
      </w:r>
      <w:bookmarkEnd w:id="9"/>
      <w:bookmarkEnd w:id="10"/>
      <w:bookmarkEnd w:id="11"/>
    </w:p>
    <w:p w14:paraId="4C232983" w14:textId="2F427F7B" w:rsidR="00FD6DF0" w:rsidRDefault="00FD6DF0" w:rsidP="00FD6DF0">
      <w:pPr>
        <w:spacing w:before="60"/>
      </w:pPr>
      <w:r>
        <w:t>This framework outlines the principles and processes underpinning the review of NRVs for Australia and New Zealand. This includes:</w:t>
      </w:r>
    </w:p>
    <w:p w14:paraId="7BFC6DFD" w14:textId="6060D50E" w:rsidR="00FD6DF0" w:rsidRDefault="00FD6DF0" w:rsidP="00211F4C">
      <w:pPr>
        <w:pStyle w:val="ListParagraph"/>
        <w:numPr>
          <w:ilvl w:val="0"/>
          <w:numId w:val="14"/>
        </w:numPr>
        <w:spacing w:before="60"/>
      </w:pPr>
      <w:r>
        <w:t>identifying and prioritising NRVs for review</w:t>
      </w:r>
    </w:p>
    <w:p w14:paraId="15AF876C" w14:textId="77777777" w:rsidR="001A79CC" w:rsidRDefault="00FD6DF0" w:rsidP="00211F4C">
      <w:pPr>
        <w:pStyle w:val="ListParagraph"/>
        <w:numPr>
          <w:ilvl w:val="0"/>
          <w:numId w:val="14"/>
        </w:numPr>
        <w:spacing w:before="60"/>
      </w:pPr>
      <w:r w:rsidRPr="00054231">
        <w:t>scoping activities, including</w:t>
      </w:r>
    </w:p>
    <w:p w14:paraId="279785B7" w14:textId="73AB3939" w:rsidR="001A79CC" w:rsidRDefault="00D45636" w:rsidP="00211F4C">
      <w:pPr>
        <w:pStyle w:val="ListParagraph"/>
        <w:numPr>
          <w:ilvl w:val="1"/>
          <w:numId w:val="14"/>
        </w:numPr>
        <w:spacing w:before="60"/>
      </w:pPr>
      <w:r>
        <w:t>assessment of the suitability of existing international NRVs for adoption or adap</w:t>
      </w:r>
      <w:r w:rsidR="00B05B32">
        <w:t>tation</w:t>
      </w:r>
    </w:p>
    <w:p w14:paraId="1E14763A" w14:textId="297E8D66" w:rsidR="00FD6DF0" w:rsidRPr="00054231" w:rsidRDefault="00FD6DF0" w:rsidP="00211F4C">
      <w:pPr>
        <w:pStyle w:val="ListParagraph"/>
        <w:numPr>
          <w:ilvl w:val="1"/>
          <w:numId w:val="14"/>
        </w:numPr>
        <w:spacing w:before="60"/>
      </w:pPr>
      <w:r w:rsidRPr="00054231">
        <w:lastRenderedPageBreak/>
        <w:t xml:space="preserve">appropriate methods for assessing micronutrient intake, status and relevant health outcomes </w:t>
      </w:r>
    </w:p>
    <w:p w14:paraId="12085787" w14:textId="77777777" w:rsidR="00FD6DF0" w:rsidRDefault="00FD6DF0" w:rsidP="00211F4C">
      <w:pPr>
        <w:pStyle w:val="ListParagraph"/>
        <w:numPr>
          <w:ilvl w:val="0"/>
          <w:numId w:val="14"/>
        </w:numPr>
        <w:spacing w:before="60"/>
      </w:pPr>
      <w:r>
        <w:t>reviewing the evidence for physiological requirements and the intake-status-health relationship to inform NRV development</w:t>
      </w:r>
    </w:p>
    <w:p w14:paraId="1C3B6530" w14:textId="11A413A1" w:rsidR="00A75ABD" w:rsidRDefault="00A75ABD" w:rsidP="00211F4C">
      <w:pPr>
        <w:pStyle w:val="ListParagraph"/>
        <w:numPr>
          <w:ilvl w:val="0"/>
          <w:numId w:val="14"/>
        </w:numPr>
        <w:spacing w:before="60"/>
      </w:pPr>
      <w:r w:rsidRPr="00A75ABD">
        <w:t>assess</w:t>
      </w:r>
      <w:r w:rsidR="00432137">
        <w:t>ing</w:t>
      </w:r>
      <w:r w:rsidRPr="00A75ABD">
        <w:t xml:space="preserve"> the certainty of evidence </w:t>
      </w:r>
    </w:p>
    <w:p w14:paraId="6512A251" w14:textId="11E29E97" w:rsidR="00FD6DF0" w:rsidRDefault="00FD6DF0" w:rsidP="00211F4C">
      <w:pPr>
        <w:pStyle w:val="ListParagraph"/>
        <w:numPr>
          <w:ilvl w:val="0"/>
          <w:numId w:val="14"/>
        </w:numPr>
        <w:spacing w:before="60"/>
      </w:pPr>
      <w:r>
        <w:t>estimating nutritional requirements based on the evidence</w:t>
      </w:r>
    </w:p>
    <w:p w14:paraId="16E9FA2F" w14:textId="78F2C2A3" w:rsidR="00FD6DF0" w:rsidRDefault="00FD6DF0" w:rsidP="00211F4C">
      <w:pPr>
        <w:pStyle w:val="ListParagraph"/>
        <w:numPr>
          <w:ilvl w:val="0"/>
          <w:numId w:val="14"/>
        </w:numPr>
      </w:pPr>
      <w:r>
        <w:t>developing revised NRV recommendations for Australia and New Zealand</w:t>
      </w:r>
      <w:r w:rsidR="006E2A26">
        <w:t xml:space="preserve"> </w:t>
      </w:r>
      <w:r w:rsidR="005C7C83">
        <w:t>through a documented evidence</w:t>
      </w:r>
      <w:r w:rsidR="005705E7">
        <w:t>-</w:t>
      </w:r>
      <w:r w:rsidR="005C7C83">
        <w:t>to</w:t>
      </w:r>
      <w:r w:rsidR="005705E7">
        <w:t>-</w:t>
      </w:r>
      <w:r w:rsidR="005C7C83">
        <w:t>decision process</w:t>
      </w:r>
      <w:r>
        <w:t>.</w:t>
      </w:r>
    </w:p>
    <w:p w14:paraId="438F7170" w14:textId="5218EF02" w:rsidR="00F31715" w:rsidRDefault="00FD6DF0" w:rsidP="00F31715">
      <w:pPr>
        <w:pStyle w:val="Figure"/>
      </w:pPr>
      <w:r>
        <w:t>For a comprehensive understanding of the process, this framework should be read in conjunction with the supplementary information sources referenced throughout – in particular, the detailed EURRECA—Evidence-Based Methodology for Deriving Micronutrient Recommendations upon which it is based</w:t>
      </w:r>
      <w:r w:rsidR="00977579">
        <w:t xml:space="preserve"> </w:t>
      </w:r>
      <w:r w:rsidR="00977579">
        <w:fldChar w:fldCharType="begin">
          <w:fldData xml:space="preserve">PEVuZE5vdGU+PENpdGU+PEF1dGhvcj5EaG9udWtzaGUtUnV0dGVuPC9BdXRob3I+PFllYXI+MjAx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</w:fldData>
        </w:fldChar>
      </w:r>
      <w:r w:rsidR="008E7E7E">
        <w:instrText xml:space="preserve"> ADDIN EN.CITE </w:instrText>
      </w:r>
      <w:r w:rsidR="008E7E7E">
        <w:fldChar w:fldCharType="begin">
          <w:fldData xml:space="preserve">PEVuZE5vdGU+PENpdGU+PEF1dGhvcj5EaG9udWtzaGUtUnV0dGVuPC9BdXRob3I+PFllYXI+MjAx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</w:fldData>
        </w:fldChar>
      </w:r>
      <w:r w:rsidR="008E7E7E">
        <w:instrText xml:space="preserve"> ADDIN EN.CITE.DATA </w:instrText>
      </w:r>
      <w:r w:rsidR="008E7E7E">
        <w:fldChar w:fldCharType="end"/>
      </w:r>
      <w:r w:rsidR="00977579">
        <w:fldChar w:fldCharType="separate"/>
      </w:r>
      <w:r w:rsidR="00705079">
        <w:t>(Dhonukshe-Rutten et al. 2013)</w:t>
      </w:r>
      <w:r w:rsidR="00977579">
        <w:fldChar w:fldCharType="end"/>
      </w:r>
      <w:r>
        <w:t>.</w:t>
      </w:r>
    </w:p>
    <w:p w14:paraId="21960329" w14:textId="77777777" w:rsidR="00F31715" w:rsidRDefault="00F31715">
      <w:pPr>
        <w:spacing w:line="240" w:lineRule="atLeast"/>
        <w:rPr>
          <w:noProof/>
        </w:rPr>
      </w:pPr>
      <w:r>
        <w:br w:type="page"/>
      </w:r>
    </w:p>
    <w:p w14:paraId="14965C41" w14:textId="30020028" w:rsidR="00F96E6C" w:rsidRDefault="00F31715" w:rsidP="00F31715">
      <w:pPr>
        <w:pStyle w:val="Figure"/>
      </w:pPr>
      <w:r>
        <w:lastRenderedPageBreak/>
        <w:drawing>
          <wp:inline distT="0" distB="0" distL="0" distR="0" wp14:anchorId="19397EBB" wp14:editId="669485D4">
            <wp:extent cx="5863590" cy="7210425"/>
            <wp:effectExtent l="0" t="0" r="3810" b="9525"/>
            <wp:docPr id="9" name="Picture 9" descr="Flowchart showing development of public health nutrition resources. Evidence sources (dietary surveys, population observations, human experimentation, disease epidemiology) feed into Nutrient Reference Values defining daily nutrient requirements. These combine with epidemiological evidence to inform NHMRC core food group analysis, which translates nutrient recommendations into core food amounts using national nutrition data and computer simulations. This analysis produces two outputs: the Australian Guide to Healthy Eating (practical interpretation and graphic display) and the Australian/New Zealand Dietary and Eating and Activity Guidelines, providing guidance on dietary patterns that protect against chronic disease while considering food cultures and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lowchart showing development of public health nutrition resources. Evidence sources (dietary surveys, population observations, human experimentation, disease epidemiology) feed into Nutrient Reference Values defining daily nutrient requirements. These combine with epidemiological evidence to inform NHMRC core food group analysis, which translates nutrient recommendations into core food amounts using national nutrition data and computer simulations. This analysis produces two outputs: the Australian Guide to Healthy Eating (practical interpretation and graphic display) and the Australian/New Zealand Dietary and Eating and Activity Guidelines, providing guidance on dietary patterns that protect against chronic disease while considering food cultures and budget."/>
                    <pic:cNvPicPr/>
                  </pic:nvPicPr>
                  <pic:blipFill>
                    <a:blip r:embed="rId12">
                      <a:extLst>
                        <a:ext uri="{28A0092B-C50C-407E-A947-70E740481C1C}">
                          <a14:useLocalDpi xmlns:a14="http://schemas.microsoft.com/office/drawing/2010/main" val="0"/>
                        </a:ext>
                      </a:extLst>
                    </a:blip>
                    <a:stretch>
                      <a:fillRect/>
                    </a:stretch>
                  </pic:blipFill>
                  <pic:spPr>
                    <a:xfrm>
                      <a:off x="0" y="0"/>
                      <a:ext cx="5863590" cy="7210425"/>
                    </a:xfrm>
                    <a:prstGeom prst="rect">
                      <a:avLst/>
                    </a:prstGeom>
                  </pic:spPr>
                </pic:pic>
              </a:graphicData>
            </a:graphic>
          </wp:inline>
        </w:drawing>
      </w:r>
    </w:p>
    <w:p w14:paraId="44A9885E" w14:textId="77777777" w:rsidR="00F31715" w:rsidRDefault="00F31715" w:rsidP="00F31715"/>
    <w:p w14:paraId="36756E65" w14:textId="577C82C5" w:rsidR="00F31715" w:rsidRPr="00F31715" w:rsidRDefault="00F31715" w:rsidP="00F31715">
      <w:pPr>
        <w:pStyle w:val="Caption"/>
        <w:rPr>
          <w:noProof/>
        </w:rPr>
        <w:sectPr w:rsidR="00F31715" w:rsidRPr="00F31715" w:rsidSect="00E30AB1">
          <w:headerReference w:type="even" r:id="rId13"/>
          <w:headerReference w:type="default" r:id="rId14"/>
          <w:footerReference w:type="default" r:id="rId15"/>
          <w:headerReference w:type="first" r:id="rId16"/>
          <w:footerReference w:type="first" r:id="rId17"/>
          <w:pgSz w:w="11906" w:h="16838" w:code="9"/>
          <w:pgMar w:top="1814" w:right="1134" w:bottom="1565" w:left="907" w:header="510" w:footer="510" w:gutter="0"/>
          <w:cols w:space="708"/>
          <w:titlePg/>
          <w:docGrid w:linePitch="360"/>
        </w:sectPr>
      </w:pPr>
      <w:r>
        <w:t xml:space="preserve">Figure </w:t>
      </w:r>
      <w:r>
        <w:fldChar w:fldCharType="begin"/>
      </w:r>
      <w:r>
        <w:instrText xml:space="preserve"> STYLEREF 1 \s </w:instrText>
      </w:r>
      <w:r>
        <w:fldChar w:fldCharType="separate"/>
      </w:r>
      <w:r>
        <w:rPr>
          <w:noProof/>
        </w:rPr>
        <w:t>1</w:t>
      </w:r>
      <w:r>
        <w:rPr>
          <w:noProof/>
        </w:rPr>
        <w:fldChar w:fldCharType="end"/>
      </w:r>
      <w:r>
        <w:t>.</w:t>
      </w:r>
      <w:r>
        <w:fldChar w:fldCharType="begin"/>
      </w:r>
      <w:r>
        <w:instrText xml:space="preserve"> SEQ Figure \* ARABIC \s 1 </w:instrText>
      </w:r>
      <w:r>
        <w:fldChar w:fldCharType="separate"/>
      </w:r>
      <w:r>
        <w:rPr>
          <w:noProof/>
        </w:rPr>
        <w:t>1</w:t>
      </w:r>
      <w:r>
        <w:rPr>
          <w:noProof/>
        </w:rPr>
        <w:fldChar w:fldCharType="end"/>
      </w:r>
      <w:r>
        <w:t xml:space="preserve"> Public health nutrition resources in Australia and New Zealand</w:t>
      </w:r>
    </w:p>
    <w:p w14:paraId="720B2F70" w14:textId="77777777" w:rsidR="00F31715" w:rsidRPr="00F31715" w:rsidRDefault="00877527" w:rsidP="00F31715">
      <w:pPr>
        <w:pStyle w:val="Heading30"/>
        <w:rPr>
          <w:kern w:val="28"/>
          <w:szCs w:val="36"/>
        </w:rPr>
      </w:pPr>
      <w:bookmarkStart w:id="12" w:name="_Toc153967092"/>
      <w:bookmarkStart w:id="13" w:name="_Toc207801031"/>
      <w:bookmarkStart w:id="14" w:name="_Toc207824508"/>
      <w:r>
        <w:lastRenderedPageBreak/>
        <w:t xml:space="preserve">Process </w:t>
      </w:r>
      <w:r w:rsidR="00CA5001">
        <w:t>o</w:t>
      </w:r>
      <w:r>
        <w:t>verview</w:t>
      </w:r>
      <w:bookmarkEnd w:id="12"/>
      <w:bookmarkEnd w:id="13"/>
      <w:bookmarkEnd w:id="14"/>
    </w:p>
    <w:p w14:paraId="031772EF" w14:textId="77777777" w:rsidR="00F31715" w:rsidRDefault="00C478D9" w:rsidP="00F31715">
      <w:r>
        <w:t>A</w:t>
      </w:r>
      <w:r w:rsidR="00301300">
        <w:t xml:space="preserve">n overview of the NRV update process is </w:t>
      </w:r>
      <w:r w:rsidR="00A873DD">
        <w:t xml:space="preserve">outlined in </w:t>
      </w:r>
      <w:r w:rsidR="0092525F">
        <w:fldChar w:fldCharType="begin"/>
      </w:r>
      <w:r w:rsidR="0092525F">
        <w:instrText xml:space="preserve"> REF _Ref197343608 \h </w:instrText>
      </w:r>
      <w:r w:rsidR="00F31715">
        <w:instrText xml:space="preserve"> \* MERGEFORMAT </w:instrText>
      </w:r>
      <w:r w:rsidR="0092525F">
        <w:fldChar w:fldCharType="separate"/>
      </w:r>
      <w:r w:rsidR="00C94673">
        <w:t xml:space="preserve">Figure </w:t>
      </w:r>
      <w:r w:rsidR="00C94673">
        <w:rPr>
          <w:noProof/>
        </w:rPr>
        <w:t>1</w:t>
      </w:r>
      <w:r w:rsidR="00C94673">
        <w:t>.</w:t>
      </w:r>
      <w:r w:rsidR="00C94673">
        <w:rPr>
          <w:noProof/>
        </w:rPr>
        <w:t>2</w:t>
      </w:r>
      <w:r w:rsidR="0092525F">
        <w:fldChar w:fldCharType="end"/>
      </w:r>
      <w:r w:rsidR="00A873DD">
        <w:t xml:space="preserve"> below</w:t>
      </w:r>
      <w:r w:rsidR="00753318">
        <w:t>. For more detailed information</w:t>
      </w:r>
      <w:r w:rsidR="00BD7647">
        <w:t xml:space="preserve"> on any topic</w:t>
      </w:r>
      <w:r w:rsidR="00753318">
        <w:t xml:space="preserve">, refer to </w:t>
      </w:r>
      <w:r w:rsidR="00BD7647">
        <w:t>the r</w:t>
      </w:r>
      <w:r w:rsidR="00753318">
        <w:t xml:space="preserve">elevant chapters </w:t>
      </w:r>
      <w:r w:rsidR="00BD7647">
        <w:t>outlined</w:t>
      </w:r>
      <w:r w:rsidR="00753318">
        <w:t xml:space="preserve"> in the diagram.</w:t>
      </w:r>
      <w:bookmarkStart w:id="15" w:name="_Ref194918487"/>
    </w:p>
    <w:p w14:paraId="5E202665" w14:textId="57CCD8E5" w:rsidR="00770C7C" w:rsidRDefault="00F31715" w:rsidP="00F31715">
      <w:pPr>
        <w:rPr>
          <w:kern w:val="28"/>
          <w:szCs w:val="36"/>
        </w:rPr>
      </w:pPr>
      <w:r>
        <w:rPr>
          <w:noProof/>
        </w:rPr>
        <w:drawing>
          <wp:inline distT="0" distB="0" distL="0" distR="0" wp14:anchorId="78D49DCD" wp14:editId="7F1DA411">
            <wp:extent cx="6220385" cy="6497619"/>
            <wp:effectExtent l="0" t="0" r="28575" b="17780"/>
            <wp:docPr id="1203224490" name="Diagram 3" descr="Six-step procedural flowchart for NRV recommendation development. Step 1 (Chapter 3): Steering Group identifies priority NRVs for review considering nutrition and region specific priorities and established prioritisation principles. Step 2 (Chapter 4): Scope NRVs examining nutrient-specific and regional context and identify evidence required for development. Step 3 (Section 5.1): Identify available evidence sources and gaps, considering international reference values. Step 4 (Section 5.2): Review evidence using systematic protocols and GRADE evidence assessment. Step 5 (Section 6.1): Determine approach to calculating NRVs (factorial, dose-response, or risk-based methods) including extrapolation methods. Step 6 (Chapter 6 and 7): Establish NRV and recommendations by calculating draft values, adjusting for Australian and New Zealand context, and documenting judgements using GRADE evidence-to-decision framework throughou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15"/>
    </w:p>
    <w:p w14:paraId="7A57F5A3" w14:textId="5EDAC9F4" w:rsidR="00F31715" w:rsidRPr="00F31715" w:rsidRDefault="00F31715" w:rsidP="00F31715">
      <w:pPr>
        <w:pStyle w:val="Caption"/>
        <w:rPr>
          <w:noProof/>
        </w:rPr>
        <w:sectPr w:rsidR="00F31715" w:rsidRPr="00F31715" w:rsidSect="00E30AB1">
          <w:headerReference w:type="even" r:id="rId23"/>
          <w:headerReference w:type="default" r:id="rId24"/>
          <w:footerReference w:type="default" r:id="rId25"/>
          <w:headerReference w:type="first" r:id="rId26"/>
          <w:footerReference w:type="first" r:id="rId27"/>
          <w:pgSz w:w="11906" w:h="16838" w:code="9"/>
          <w:pgMar w:top="1814" w:right="1134" w:bottom="1565" w:left="907" w:header="510" w:footer="510" w:gutter="0"/>
          <w:cols w:space="708"/>
          <w:titlePg/>
          <w:docGrid w:linePitch="360"/>
        </w:sectPr>
      </w:pPr>
      <w:bookmarkStart w:id="16" w:name="_Ref197343608"/>
      <w:r>
        <w:t xml:space="preserve">Figure </w:t>
      </w:r>
      <w:r>
        <w:fldChar w:fldCharType="begin"/>
      </w:r>
      <w:r>
        <w:instrText xml:space="preserve"> STYLEREF 1 \s </w:instrText>
      </w:r>
      <w:r>
        <w:fldChar w:fldCharType="separate"/>
      </w:r>
      <w:r>
        <w:rPr>
          <w:noProof/>
        </w:rPr>
        <w:t>1</w:t>
      </w:r>
      <w:r>
        <w:rPr>
          <w:noProof/>
        </w:rPr>
        <w:fldChar w:fldCharType="end"/>
      </w:r>
      <w:r>
        <w:t>.</w:t>
      </w:r>
      <w:r>
        <w:fldChar w:fldCharType="begin"/>
      </w:r>
      <w:r>
        <w:instrText xml:space="preserve"> SEQ Figure \* ARABIC \s 1 </w:instrText>
      </w:r>
      <w:r>
        <w:fldChar w:fldCharType="separate"/>
      </w:r>
      <w:r>
        <w:rPr>
          <w:noProof/>
        </w:rPr>
        <w:t>2</w:t>
      </w:r>
      <w:r>
        <w:rPr>
          <w:noProof/>
        </w:rPr>
        <w:fldChar w:fldCharType="end"/>
      </w:r>
      <w:bookmarkEnd w:id="16"/>
      <w:r>
        <w:t xml:space="preserve"> Procedural flowchart for NRV recommendation development</w:t>
      </w:r>
    </w:p>
    <w:p w14:paraId="26DF3B01" w14:textId="75D2617A" w:rsidR="00F62550" w:rsidRDefault="00F62550" w:rsidP="003E2E95">
      <w:pPr>
        <w:pStyle w:val="Heading30"/>
      </w:pPr>
      <w:bookmarkStart w:id="17" w:name="_Toc153967093"/>
      <w:bookmarkStart w:id="18" w:name="_Toc207801032"/>
      <w:bookmarkStart w:id="19" w:name="_Toc207824509"/>
      <w:r>
        <w:lastRenderedPageBreak/>
        <w:t>Key reference sources</w:t>
      </w:r>
      <w:bookmarkEnd w:id="17"/>
      <w:bookmarkEnd w:id="18"/>
      <w:bookmarkEnd w:id="19"/>
    </w:p>
    <w:p w14:paraId="4A195889" w14:textId="49B7A05A" w:rsidR="00F62550" w:rsidRPr="00180FC7" w:rsidRDefault="004A21A4" w:rsidP="00F62550">
      <w:r>
        <w:t xml:space="preserve">There is an increasing focus on harmonising international efforts in NRV development, to maximise </w:t>
      </w:r>
      <w:r w:rsidR="002955C8">
        <w:t xml:space="preserve">available </w:t>
      </w:r>
      <w:r>
        <w:t xml:space="preserve">resources and </w:t>
      </w:r>
      <w:r w:rsidR="002955C8">
        <w:t>achieve efficiencies. Accordingly, t</w:t>
      </w:r>
      <w:r w:rsidR="00F62550">
        <w:t>his framework has been developed</w:t>
      </w:r>
      <w:r w:rsidR="002955C8">
        <w:t xml:space="preserve"> with reference to the following documents</w:t>
      </w:r>
      <w:r w:rsidR="00C3494F">
        <w:t xml:space="preserve"> published by</w:t>
      </w:r>
      <w:r w:rsidR="00F3507D">
        <w:t xml:space="preserve"> key</w:t>
      </w:r>
      <w:r w:rsidR="00C3494F">
        <w:t xml:space="preserve"> international bodies</w:t>
      </w:r>
      <w:r w:rsidR="002955C8" w:rsidRPr="00180FC7">
        <w:t>:</w:t>
      </w:r>
    </w:p>
    <w:p w14:paraId="73EFA17A" w14:textId="7B8219B9" w:rsidR="002955C8" w:rsidRDefault="00AC5835" w:rsidP="00211F4C">
      <w:pPr>
        <w:pStyle w:val="ListParagraph"/>
        <w:numPr>
          <w:ilvl w:val="0"/>
          <w:numId w:val="25"/>
        </w:numPr>
      </w:pPr>
      <w:proofErr w:type="spellStart"/>
      <w:r w:rsidRPr="00180FC7">
        <w:t>E</w:t>
      </w:r>
      <w:r w:rsidR="00565600">
        <w:t>URopean</w:t>
      </w:r>
      <w:proofErr w:type="spellEnd"/>
      <w:r w:rsidR="00565600">
        <w:t xml:space="preserve"> micronutrient </w:t>
      </w:r>
      <w:proofErr w:type="spellStart"/>
      <w:r w:rsidR="00565600">
        <w:t>RECommendations</w:t>
      </w:r>
      <w:proofErr w:type="spellEnd"/>
      <w:r w:rsidR="00565600">
        <w:t xml:space="preserve"> Aligned (E</w:t>
      </w:r>
      <w:r w:rsidRPr="00180FC7">
        <w:t>URRECA</w:t>
      </w:r>
      <w:r w:rsidR="00565600">
        <w:t>):</w:t>
      </w:r>
    </w:p>
    <w:p w14:paraId="594A485F" w14:textId="765AC1E9" w:rsidR="00AF249E" w:rsidRDefault="00AF249E" w:rsidP="00211F4C">
      <w:pPr>
        <w:pStyle w:val="ListParagraph"/>
        <w:numPr>
          <w:ilvl w:val="1"/>
          <w:numId w:val="25"/>
        </w:numPr>
        <w:ind w:left="1434" w:hanging="357"/>
        <w:contextualSpacing/>
        <w:rPr>
          <w:i/>
          <w:iCs/>
        </w:rPr>
      </w:pPr>
      <w:r w:rsidRPr="00AF249E">
        <w:rPr>
          <w:i/>
          <w:iCs/>
        </w:rPr>
        <w:t>EURRECA’s Approach for Estimating Micronutrient Requirements</w:t>
      </w:r>
      <w:r>
        <w:rPr>
          <w:i/>
          <w:iCs/>
        </w:rPr>
        <w:t xml:space="preserve"> </w:t>
      </w:r>
      <w:r w:rsidR="00110A11">
        <w:rPr>
          <w:i/>
          <w:iCs/>
        </w:rPr>
        <w:fldChar w:fldCharType="begin"/>
      </w:r>
      <w:r w:rsidR="0088699C">
        <w:rPr>
          <w:i/>
          <w:iCs/>
        </w:rPr>
        <w:instrText xml:space="preserve"> ADDIN EN.CITE &lt;EndNote&gt;&lt;Cite&gt;&lt;Author&gt;Matthys&lt;/Author&gt;&lt;Year&gt;2011&lt;/Year&gt;&lt;RecNum&gt;76&lt;/RecNum&gt;&lt;DisplayText&gt;(Matthys et al. 2011)&lt;/DisplayText&gt;&lt;record&gt;&lt;rec-number&gt;76&lt;/rec-number&gt;&lt;foreign-keys&gt;&lt;key app="EN" db-id="zxfaevvrgpsxebez5ec5vspfe2av5dtxt9xx" timestamp="1754957765"&gt;76&lt;/key&gt;&lt;/foreign-keys&gt;&lt;ref-type name="Journal Article"&gt;17&lt;/ref-type&gt;&lt;contributors&gt;&lt;authors&gt;&lt;author&gt;Matthys, Christophe&lt;/author&gt;&lt;author&gt;van&amp;apos;t Veer, Pieter&lt;/author&gt;&lt;author&gt;Groot, Lisette&lt;/author&gt;&lt;author&gt;Hooper, Lee&lt;/author&gt;&lt;author&gt;Cavelaars, Adrienne&lt;/author&gt;&lt;author&gt;Berry, Rachel&lt;/author&gt;&lt;author&gt;Donutske-Rutten, Rosalie&lt;/author&gt;&lt;author&gt;Harvey, Linda&lt;/author&gt;&lt;author&gt;Casgrain, Amelie&lt;/author&gt;&lt;author&gt;Rollin, Fanny&lt;/author&gt;&lt;author&gt;Contor, Laura&lt;/author&gt;&lt;/authors&gt;&lt;/contributors&gt;&lt;titles&gt;&lt;title&gt;EURRECA&amp;apos;s approach for estimating micronutrient requirements&lt;/title&gt;&lt;secondary-title&gt;International journal for vitamin and nutrition research.&lt;/secondary-title&gt;&lt;/titles&gt;&lt;periodical&gt;&lt;full-title&gt;International journal for vitamin and nutrition research.&lt;/full-title&gt;&lt;/periodical&gt;&lt;pages&gt;256-63&lt;/pages&gt;&lt;volume&gt;81&lt;/volume&gt;&lt;dates&gt;&lt;year&gt;2011&lt;/year&gt;&lt;pub-dates&gt;&lt;date&gt;07/01&lt;/date&gt;&lt;/pub-dates&gt;&lt;/dates&gt;&lt;urls&gt;&lt;/urls&gt;&lt;electronic-resource-num&gt;10.1024/0300-9831/a000071&lt;/electronic-resource-num&gt;&lt;/record&gt;&lt;/Cite&gt;&lt;/EndNote&gt;</w:instrText>
      </w:r>
      <w:r w:rsidR="00110A11">
        <w:rPr>
          <w:i/>
          <w:iCs/>
        </w:rPr>
        <w:fldChar w:fldCharType="separate"/>
      </w:r>
      <w:r w:rsidR="001D032F">
        <w:rPr>
          <w:i/>
          <w:iCs/>
          <w:noProof/>
        </w:rPr>
        <w:t>(Matthys et al. 2011)</w:t>
      </w:r>
      <w:r w:rsidR="00110A11">
        <w:rPr>
          <w:i/>
          <w:iCs/>
        </w:rPr>
        <w:fldChar w:fldCharType="end"/>
      </w:r>
    </w:p>
    <w:p w14:paraId="5019FE12" w14:textId="2114C5C5" w:rsidR="00565600" w:rsidRDefault="00F814C3" w:rsidP="00211F4C">
      <w:pPr>
        <w:pStyle w:val="ListParagraph"/>
        <w:numPr>
          <w:ilvl w:val="1"/>
          <w:numId w:val="25"/>
        </w:numPr>
        <w:ind w:left="1434" w:hanging="357"/>
        <w:contextualSpacing/>
        <w:rPr>
          <w:i/>
          <w:iCs/>
        </w:rPr>
      </w:pPr>
      <w:r w:rsidRPr="00F814C3">
        <w:rPr>
          <w:i/>
          <w:iCs/>
        </w:rPr>
        <w:t>EURRECA—Principles and Future for Deriving Micronutrient Recommendations</w:t>
      </w:r>
      <w:r>
        <w:rPr>
          <w:i/>
          <w:iCs/>
        </w:rPr>
        <w:t xml:space="preserve"> </w:t>
      </w:r>
      <w:r w:rsidR="007A748D">
        <w:rPr>
          <w:i/>
          <w:iCs/>
        </w:rPr>
        <w:fldChar w:fldCharType="begin"/>
      </w:r>
      <w:r w:rsidR="001219CB">
        <w:rPr>
          <w:i/>
          <w:iCs/>
        </w:rPr>
        <w:instrText xml:space="preserve"> ADDIN EN.CITE &lt;EndNote&gt;&lt;Cite&gt;&lt;Author&gt;Claessens&lt;/Author&gt;&lt;Year&gt;2013&lt;/Year&gt;&lt;RecNum&gt;17&lt;/RecNum&gt;&lt;DisplayText&gt;(Claessens et al. 2013)&lt;/DisplayText&gt;&lt;record&gt;&lt;rec-number&gt;17&lt;/rec-number&gt;&lt;foreign-keys&gt;&lt;key app="EN" db-id="zxfaevvrgpsxebez5ec5vspfe2av5dtxt9xx" timestamp="1754957726"&gt;17&lt;/key&gt;&lt;/foreign-keys&gt;&lt;ref-type name="Journal Article"&gt;17&lt;/ref-type&gt;&lt;contributors&gt;&lt;authors&gt;&lt;author&gt;Claessens, Mandy&lt;/author&gt;&lt;author&gt;Contor, Laura&lt;/author&gt;&lt;author&gt;Dhonukshe-Rutten, Rosalie&lt;/author&gt;&lt;author&gt;De Groot, Lisette CPGM&lt;/author&gt;&lt;author&gt;Fairweather-Tait, Susan J&lt;/author&gt;&lt;author&gt;Gurinovic, Mirjana&lt;/author&gt;&lt;author&gt;Koletzko, Berthold&lt;/author&gt;&lt;author&gt;Van Ommen, Ben&lt;/author&gt;&lt;author&gt;Raats, Monique M&lt;/author&gt;&lt;author&gt;Van’t Veer, Pieter&lt;/author&gt;&lt;/authors&gt;&lt;/contributors&gt;&lt;titles&gt;&lt;title&gt;EURRECA—principles and future for deriving micronutrient recommendations&lt;/title&gt;&lt;secondary-title&gt;Critical reviews in food science and nutrition&lt;/secondary-title&gt;&lt;/titles&gt;&lt;periodical&gt;&lt;full-title&gt;Critical reviews in food science and nutrition&lt;/full-title&gt;&lt;/periodical&gt;&lt;pages&gt;1135-1146&lt;/pages&gt;&lt;volume&gt;53&lt;/volume&gt;&lt;number&gt;10&lt;/number&gt;&lt;dates&gt;&lt;year&gt;2013&lt;/year&gt;&lt;/dates&gt;&lt;isbn&gt;1040-8398&lt;/isbn&gt;&lt;urls&gt;&lt;/urls&gt;&lt;electronic-resource-num&gt;https://doi.org/10.1080/10408398.2012.742864&lt;/electronic-resource-num&gt;&lt;/record&gt;&lt;/Cite&gt;&lt;/EndNote&gt;</w:instrText>
      </w:r>
      <w:r w:rsidR="007A748D">
        <w:rPr>
          <w:i/>
          <w:iCs/>
        </w:rPr>
        <w:fldChar w:fldCharType="separate"/>
      </w:r>
      <w:r w:rsidR="00705079">
        <w:rPr>
          <w:i/>
          <w:iCs/>
          <w:noProof/>
        </w:rPr>
        <w:t>(Claessens et al. 2013)</w:t>
      </w:r>
      <w:r w:rsidR="007A748D">
        <w:rPr>
          <w:i/>
          <w:iCs/>
        </w:rPr>
        <w:fldChar w:fldCharType="end"/>
      </w:r>
    </w:p>
    <w:p w14:paraId="5B470502" w14:textId="570DECE3" w:rsidR="00F814C3" w:rsidRDefault="00806B8F" w:rsidP="00211F4C">
      <w:pPr>
        <w:pStyle w:val="ListParagraph"/>
        <w:numPr>
          <w:ilvl w:val="1"/>
          <w:numId w:val="25"/>
        </w:numPr>
        <w:ind w:left="1434" w:hanging="357"/>
        <w:contextualSpacing/>
        <w:rPr>
          <w:i/>
          <w:iCs/>
        </w:rPr>
      </w:pPr>
      <w:r w:rsidRPr="00806B8F">
        <w:rPr>
          <w:i/>
          <w:iCs/>
        </w:rPr>
        <w:t>EURRECA – Evidence-Based Methodology for Deriving Micronutrient Recommendations</w:t>
      </w:r>
      <w:r>
        <w:rPr>
          <w:i/>
          <w:iCs/>
        </w:rPr>
        <w:t xml:space="preserve"> </w:t>
      </w:r>
      <w:r w:rsidR="007A748D">
        <w:rPr>
          <w:i/>
          <w:iCs/>
        </w:rPr>
        <w:fldChar w:fldCharType="begin">
          <w:fldData xml:space="preserve">PEVuZE5vdGU+PENpdGU+PEF1dGhvcj5EaG9udWtzaGUtUnV0dGVuPC9BdXRob3I+PFllYXI+MjAx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</w:fldData>
        </w:fldChar>
      </w:r>
      <w:r w:rsidR="008E7E7E">
        <w:rPr>
          <w:i/>
          <w:iCs/>
        </w:rPr>
        <w:instrText xml:space="preserve"> ADDIN EN.CITE </w:instrText>
      </w:r>
      <w:r w:rsidR="008E7E7E">
        <w:rPr>
          <w:i/>
          <w:iCs/>
        </w:rPr>
        <w:fldChar w:fldCharType="begin">
          <w:fldData xml:space="preserve">PEVuZE5vdGU+PENpdGU+PEF1dGhvcj5EaG9udWtzaGUtUnV0dGVuPC9BdXRob3I+PFllYXI+MjAx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</w:fldData>
        </w:fldChar>
      </w:r>
      <w:r w:rsidR="008E7E7E">
        <w:rPr>
          <w:i/>
          <w:iCs/>
        </w:rPr>
        <w:instrText xml:space="preserve"> ADDIN EN.CITE.DATA </w:instrText>
      </w:r>
      <w:r w:rsidR="008E7E7E">
        <w:rPr>
          <w:i/>
          <w:iCs/>
        </w:rPr>
      </w:r>
      <w:r w:rsidR="008E7E7E">
        <w:rPr>
          <w:i/>
          <w:iCs/>
        </w:rPr>
        <w:fldChar w:fldCharType="end"/>
      </w:r>
      <w:r w:rsidR="007A748D">
        <w:rPr>
          <w:i/>
          <w:iCs/>
        </w:rPr>
      </w:r>
      <w:r w:rsidR="007A748D">
        <w:rPr>
          <w:i/>
          <w:iCs/>
        </w:rPr>
        <w:fldChar w:fldCharType="separate"/>
      </w:r>
      <w:r w:rsidR="00705079">
        <w:rPr>
          <w:i/>
          <w:iCs/>
          <w:noProof/>
        </w:rPr>
        <w:t>(Dhonukshe-Rutten et al. 2013)</w:t>
      </w:r>
      <w:r w:rsidR="007A748D">
        <w:rPr>
          <w:i/>
          <w:iCs/>
        </w:rPr>
        <w:fldChar w:fldCharType="end"/>
      </w:r>
    </w:p>
    <w:p w14:paraId="3F7DB32E" w14:textId="7A31BA37" w:rsidR="00701DAE" w:rsidRPr="00AF249E" w:rsidRDefault="00701DAE" w:rsidP="00211F4C">
      <w:pPr>
        <w:pStyle w:val="ListParagraph"/>
        <w:numPr>
          <w:ilvl w:val="1"/>
          <w:numId w:val="25"/>
        </w:numPr>
        <w:ind w:left="1434" w:hanging="357"/>
        <w:contextualSpacing/>
        <w:rPr>
          <w:i/>
          <w:iCs/>
        </w:rPr>
      </w:pPr>
      <w:r w:rsidRPr="00701DAE">
        <w:rPr>
          <w:i/>
          <w:iCs/>
        </w:rPr>
        <w:t>EURRECA—Framework for Aligning Micronutrient Recommendations</w:t>
      </w:r>
      <w:r w:rsidR="00A5572A">
        <w:rPr>
          <w:i/>
          <w:iCs/>
        </w:rPr>
        <w:t xml:space="preserve"> </w:t>
      </w:r>
      <w:r w:rsidR="007A748D">
        <w:rPr>
          <w:i/>
          <w:iCs/>
        </w:rPr>
        <w:fldChar w:fldCharType="begin"/>
      </w:r>
      <w:r w:rsidR="00393D0C">
        <w:rPr>
          <w:i/>
          <w:iCs/>
        </w:rPr>
        <w:instrText xml:space="preserve"> ADDIN EN.CITE &lt;EndNote&gt;&lt;Cite&gt;&lt;Author&gt;Van&amp;apos;t Veer&lt;/Author&gt;&lt;Year&gt;2013&lt;/Year&gt;&lt;RecNum&gt;59&lt;/RecNum&gt;&lt;DisplayText&gt;(Van&amp;apos;t Veer et al. 2013)&lt;/DisplayText&gt;&lt;record&gt;&lt;rec-number&gt;59&lt;/rec-number&gt;&lt;foreign-keys&gt;&lt;key app="EN" db-id="zxfaevvrgpsxebez5ec5vspfe2av5dtxt9xx" timestamp="1754957726"&gt;59&lt;/key&gt;&lt;/foreign-keys&gt;&lt;ref-type name="Journal Article"&gt;17&lt;/ref-type&gt;&lt;contributors&gt;&lt;authors&gt;&lt;author&gt;Van&amp;apos;t Veer, Pieter&lt;/author&gt;&lt;author&gt;Grammatikaki, Evangelia&lt;/author&gt;&lt;author&gt;Matthys, Christophe&lt;/author&gt;&lt;author&gt;Raats, Monique M&lt;/author&gt;&lt;author&gt;Contor, Laura&lt;/author&gt;&lt;/authors&gt;&lt;/contributors&gt;&lt;titles&gt;&lt;title&gt;EURRECA—framework for aligning micronutrient recommendations&lt;/title&gt;&lt;secondary-title&gt;Critical reviews in food science and nutrition&lt;/secondary-title&gt;&lt;/titles&gt;&lt;periodical&gt;&lt;full-title&gt;Critical reviews in food science and nutrition&lt;/full-title&gt;&lt;/periodical&gt;&lt;pages&gt;988-998&lt;/pages&gt;&lt;volume&gt;53&lt;/volume&gt;&lt;number&gt;10&lt;/number&gt;&lt;dates&gt;&lt;year&gt;2013&lt;/year&gt;&lt;/dates&gt;&lt;isbn&gt;1040-8398&lt;/isbn&gt;&lt;urls&gt;&lt;/urls&gt;&lt;electronic-resource-num&gt;10.1080/10408398.2012.742857&lt;/electronic-resource-num&gt;&lt;/record&gt;&lt;/Cite&gt;&lt;/EndNote&gt;</w:instrText>
      </w:r>
      <w:r w:rsidR="007A748D">
        <w:rPr>
          <w:i/>
          <w:iCs/>
        </w:rPr>
        <w:fldChar w:fldCharType="separate"/>
      </w:r>
      <w:r w:rsidR="00705079">
        <w:rPr>
          <w:i/>
          <w:iCs/>
          <w:noProof/>
        </w:rPr>
        <w:t>(Van't Veer et al. 2013)</w:t>
      </w:r>
      <w:r w:rsidR="007A748D">
        <w:rPr>
          <w:i/>
          <w:iCs/>
        </w:rPr>
        <w:fldChar w:fldCharType="end"/>
      </w:r>
    </w:p>
    <w:p w14:paraId="2288BEB3" w14:textId="77777777" w:rsidR="00BC0139" w:rsidRPr="00180FC7" w:rsidRDefault="00BC0139" w:rsidP="00211F4C">
      <w:pPr>
        <w:pStyle w:val="ListParagraph"/>
        <w:numPr>
          <w:ilvl w:val="0"/>
          <w:numId w:val="25"/>
        </w:numPr>
      </w:pPr>
      <w:r w:rsidRPr="00180FC7">
        <w:t xml:space="preserve">US </w:t>
      </w:r>
      <w:r w:rsidR="00C3494F" w:rsidRPr="00180FC7">
        <w:t>Nation</w:t>
      </w:r>
      <w:r w:rsidRPr="00180FC7">
        <w:t>al</w:t>
      </w:r>
      <w:r w:rsidR="00C3494F" w:rsidRPr="00180FC7">
        <w:t xml:space="preserve"> Acad</w:t>
      </w:r>
      <w:r w:rsidRPr="00180FC7">
        <w:t>emies of Sciences, Engineering and Medicine:</w:t>
      </w:r>
    </w:p>
    <w:p w14:paraId="30E23D76" w14:textId="1613F824" w:rsidR="00BC0139" w:rsidRPr="00180FC7" w:rsidRDefault="00BC0139" w:rsidP="00211F4C">
      <w:pPr>
        <w:pStyle w:val="ListParagraph"/>
        <w:numPr>
          <w:ilvl w:val="1"/>
          <w:numId w:val="25"/>
        </w:numPr>
        <w:ind w:left="1434" w:hanging="357"/>
        <w:contextualSpacing/>
        <w:rPr>
          <w:i/>
        </w:rPr>
      </w:pPr>
      <w:r w:rsidRPr="00180FC7">
        <w:rPr>
          <w:i/>
        </w:rPr>
        <w:t>Guiding Principles for Developing Dietary Reference Intakes Based on Chronic Disease</w:t>
      </w:r>
      <w:r w:rsidR="003B18A7">
        <w:rPr>
          <w:i/>
        </w:rPr>
        <w:t xml:space="preserve"> </w:t>
      </w:r>
      <w:r w:rsidR="007A748D">
        <w:rPr>
          <w:i/>
        </w:rPr>
        <w:fldChar w:fldCharType="begin"/>
      </w:r>
      <w:r w:rsidR="007607BA">
        <w:rPr>
          <w:i/>
        </w:rPr>
        <w:instrText xml:space="preserve"> ADDIN EN.CITE &lt;EndNote&gt;&lt;Cite&gt;&lt;Author&gt;NASEM&lt;/Author&gt;&lt;Year&gt;2017&lt;/Year&gt;&lt;RecNum&gt;43&lt;/RecNum&gt;&lt;DisplayText&gt;(NASEM 2017)&lt;/DisplayText&gt;&lt;record&gt;&lt;rec-number&gt;43&lt;/rec-number&gt;&lt;foreign-keys&gt;&lt;key app="EN" db-id="zxfaevvrgpsxebez5ec5vspfe2av5dtxt9xx" timestamp="1754957726"&gt;43&lt;/key&gt;&lt;/foreign-keys&gt;&lt;ref-type name="Book"&gt;6&lt;/ref-type&gt;&lt;contributors&gt;&lt;authors&gt;&lt;author&gt;NASEM,&lt;/author&gt;&lt;/authors&gt;&lt;secondary-authors&gt;&lt;author&gt;Kumanyika, Shiriki&lt;/author&gt;&lt;author&gt;Oria, Maria P.&lt;/author&gt;&lt;/secondary-authors&gt;&lt;/contributors&gt;&lt;titles&gt;&lt;title&gt;Guiding Principles for Developing Dietary Reference Intakes Based on Chronic Disease&lt;/title&gt;&lt;/titles&gt;&lt;pages&gt;334&lt;/pages&gt;&lt;keywords&gt;&lt;keyword&gt;Food and Nutrition&lt;/keyword&gt;&lt;keyword&gt;Health and Medicine&lt;/keyword&gt;&lt;/keywords&gt;&lt;dates&gt;&lt;year&gt;2017&lt;/year&gt;&lt;/dates&gt;&lt;pub-location&gt;Washington, DC&lt;/pub-location&gt;&lt;publisher&gt;The National Academies Press&lt;/publisher&gt;&lt;isbn&gt;978-0-309-46256-3&lt;/isbn&gt;&lt;urls&gt;&lt;related-urls&gt;&lt;url&gt;https://nap.nationalacademies.org/catalog/24828/guiding-principles-for-developing-dietary-reference-intakes-based-on-chronic-disease&lt;/url&gt;&lt;/related-urls&gt;&lt;/urls&gt;&lt;electronic-resource-num&gt;doi:10.17226/24828&lt;/electronic-resource-num&gt;&lt;language&gt;English&lt;/language&gt;&lt;/record&gt;&lt;/Cite&gt;&lt;/EndNote&gt;</w:instrText>
      </w:r>
      <w:r w:rsidR="007A748D">
        <w:rPr>
          <w:i/>
        </w:rPr>
        <w:fldChar w:fldCharType="separate"/>
      </w:r>
      <w:r w:rsidR="007607BA">
        <w:rPr>
          <w:i/>
          <w:noProof/>
        </w:rPr>
        <w:t>(NASEM 2017)</w:t>
      </w:r>
      <w:r w:rsidR="007A748D">
        <w:rPr>
          <w:i/>
        </w:rPr>
        <w:fldChar w:fldCharType="end"/>
      </w:r>
    </w:p>
    <w:p w14:paraId="5FEC6CEC" w14:textId="0E0016B9" w:rsidR="00AC5835" w:rsidRDefault="00BC0139" w:rsidP="00211F4C">
      <w:pPr>
        <w:pStyle w:val="ListParagraph"/>
        <w:numPr>
          <w:ilvl w:val="1"/>
          <w:numId w:val="25"/>
        </w:numPr>
        <w:ind w:left="1434" w:hanging="357"/>
        <w:contextualSpacing/>
        <w:rPr>
          <w:i/>
        </w:rPr>
      </w:pPr>
      <w:r w:rsidRPr="00180FC7">
        <w:rPr>
          <w:i/>
        </w:rPr>
        <w:t xml:space="preserve"> </w:t>
      </w:r>
      <w:r w:rsidR="00180FC7" w:rsidRPr="00180FC7">
        <w:rPr>
          <w:i/>
        </w:rPr>
        <w:t>Harmonization of Approaches to Nutrient Reference Values: Applications to Young Children and Women of Reproductive Age</w:t>
      </w:r>
      <w:r w:rsidR="00180FC7">
        <w:rPr>
          <w:i/>
        </w:rPr>
        <w:t xml:space="preserve"> </w:t>
      </w:r>
      <w:r w:rsidR="00D655BB">
        <w:rPr>
          <w:i/>
        </w:rPr>
        <w:fldChar w:fldCharType="begin"/>
      </w:r>
      <w:r w:rsidR="009A4E8E">
        <w:rPr>
          <w:i/>
        </w:rPr>
        <w:instrText xml:space="preserve"> ADDIN EN.CITE &lt;EndNote&gt;&lt;Cite&gt;&lt;Author&gt;NASEM&lt;/Author&gt;&lt;Year&gt;2018&lt;/Year&gt;&lt;RecNum&gt;67&lt;/RecNum&gt;&lt;DisplayText&gt;(NASEM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Cite&gt;&lt;Author&gt;NASEM&lt;/Author&gt;&lt;Year&gt;2018&lt;/Year&gt;&lt;RecNum&gt;67&lt;/RecNum&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sidR="00D655BB">
        <w:rPr>
          <w:i/>
        </w:rPr>
        <w:fldChar w:fldCharType="separate"/>
      </w:r>
      <w:r w:rsidR="009A4E8E">
        <w:rPr>
          <w:i/>
          <w:noProof/>
        </w:rPr>
        <w:t>(NASEM 2018)</w:t>
      </w:r>
      <w:r w:rsidR="00D655BB">
        <w:rPr>
          <w:i/>
        </w:rPr>
        <w:fldChar w:fldCharType="end"/>
      </w:r>
    </w:p>
    <w:p w14:paraId="0761A82D" w14:textId="3133B9CF" w:rsidR="00E64B3C" w:rsidRDefault="00E64B3C" w:rsidP="00211F4C">
      <w:pPr>
        <w:pStyle w:val="ListParagraph"/>
        <w:numPr>
          <w:ilvl w:val="1"/>
          <w:numId w:val="25"/>
        </w:numPr>
        <w:ind w:left="1434" w:hanging="357"/>
        <w:contextualSpacing/>
        <w:rPr>
          <w:i/>
        </w:rPr>
      </w:pPr>
      <w:r w:rsidRPr="00E64B3C">
        <w:rPr>
          <w:i/>
        </w:rPr>
        <w:t>Defining Populations for Dietary Reference Intake Recommendations: A Letter Report</w:t>
      </w:r>
      <w:r>
        <w:rPr>
          <w:i/>
        </w:rPr>
        <w:t xml:space="preserve"> </w:t>
      </w:r>
      <w:r w:rsidR="002407F7">
        <w:rPr>
          <w:i/>
        </w:rPr>
        <w:fldChar w:fldCharType="begin"/>
      </w:r>
      <w:r w:rsidR="007607BA">
        <w:rPr>
          <w:i/>
        </w:rPr>
        <w:instrText xml:space="preserve"> ADDIN EN.CITE &lt;EndNote&gt;&lt;Cite&gt;&lt;Author&gt;NASEM&lt;/Author&gt;&lt;Year&gt;2022&lt;/Year&gt;&lt;RecNum&gt;45&lt;/RecNum&gt;&lt;DisplayText&gt;(NASEM 2022)&lt;/DisplayText&gt;&lt;record&gt;&lt;rec-number&gt;45&lt;/rec-number&gt;&lt;foreign-keys&gt;&lt;key app="EN" db-id="zxfaevvrgpsxebez5ec5vspfe2av5dtxt9xx" timestamp="1754957726"&gt;45&lt;/key&gt;&lt;/foreign-keys&gt;&lt;ref-type name="Book"&gt;6&lt;/ref-type&gt;&lt;contributors&gt;&lt;authors&gt;&lt;author&gt;NASEM,&lt;/author&gt;&lt;/authors&gt;&lt;/contributors&gt;&lt;titles&gt;&lt;title&gt;Defining populations for Dietary Reference Intake Recommendations: a letter report&lt;/title&gt;&lt;/titles&gt;&lt;dates&gt;&lt;year&gt;2022&lt;/year&gt;&lt;/dates&gt;&lt;pub-location&gt;Washington, DC&lt;/pub-location&gt;&lt;publisher&gt;The National Academies Press&lt;/publisher&gt;&lt;isbn&gt;0309694434&lt;/isbn&gt;&lt;urls&gt;&lt;/urls&gt;&lt;electronic-resource-num&gt;https://doi.org/10.17226/26733.&lt;/electronic-resource-num&gt;&lt;/record&gt;&lt;/Cite&gt;&lt;/EndNote&gt;</w:instrText>
      </w:r>
      <w:r w:rsidR="002407F7">
        <w:rPr>
          <w:i/>
        </w:rPr>
        <w:fldChar w:fldCharType="separate"/>
      </w:r>
      <w:r w:rsidR="007607BA">
        <w:rPr>
          <w:i/>
          <w:noProof/>
        </w:rPr>
        <w:t>(NASEM 2022)</w:t>
      </w:r>
      <w:r w:rsidR="002407F7">
        <w:rPr>
          <w:i/>
        </w:rPr>
        <w:fldChar w:fldCharType="end"/>
      </w:r>
    </w:p>
    <w:p w14:paraId="1710FE05" w14:textId="14EFA318" w:rsidR="005F3922" w:rsidRPr="00180FC7" w:rsidRDefault="00AE71C7" w:rsidP="00211F4C">
      <w:pPr>
        <w:pStyle w:val="ListParagraph"/>
        <w:numPr>
          <w:ilvl w:val="1"/>
          <w:numId w:val="25"/>
        </w:numPr>
        <w:ind w:left="1434" w:hanging="357"/>
        <w:contextualSpacing/>
        <w:rPr>
          <w:i/>
        </w:rPr>
      </w:pPr>
      <w:r w:rsidRPr="00AE71C7">
        <w:rPr>
          <w:i/>
        </w:rPr>
        <w:t>Using Systematic Reviews to Support Future Dietary Reference Intakes</w:t>
      </w:r>
      <w:r>
        <w:rPr>
          <w:i/>
        </w:rPr>
        <w:t xml:space="preserve"> </w:t>
      </w:r>
      <w:r w:rsidR="0008272E">
        <w:rPr>
          <w:i/>
        </w:rPr>
        <w:fldChar w:fldCharType="begin"/>
      </w:r>
      <w:r w:rsidR="007607BA">
        <w:rPr>
          <w:i/>
        </w:rPr>
        <w:instrText xml:space="preserve"> ADDIN EN.CITE &lt;EndNote&gt;&lt;Cite&gt;&lt;Author&gt;NASEM&lt;/Author&gt;&lt;Year&gt;2023&lt;/Year&gt;&lt;RecNum&gt;46&lt;/RecNum&gt;&lt;DisplayText&gt;(NASEM 2023)&lt;/DisplayText&gt;&lt;record&gt;&lt;rec-number&gt;46&lt;/rec-number&gt;&lt;foreign-keys&gt;&lt;key app="EN" db-id="zxfaevvrgpsxebez5ec5vspfe2av5dtxt9xx" timestamp="1754957726"&gt;46&lt;/key&gt;&lt;/foreign-keys&gt;&lt;ref-type name="Book"&gt;6&lt;/ref-type&gt;&lt;contributors&gt;&lt;authors&gt;&lt;author&gt;NASEM,&lt;/author&gt;&lt;/authors&gt;&lt;/contributors&gt;&lt;titles&gt;&lt;title&gt;Using Systematic Reviews to Support Future Dietary Reference Intakes: A Letter Report&lt;/title&gt;&lt;/titles&gt;&lt;dates&gt;&lt;year&gt;2023&lt;/year&gt;&lt;/dates&gt;&lt;pub-location&gt;Washington, DC&lt;/pub-location&gt;&lt;publisher&gt;The National Academies Press.&lt;/publisher&gt;&lt;isbn&gt;0309703069&lt;/isbn&gt;&lt;urls&gt;&lt;/urls&gt;&lt;electronic-resource-num&gt;https://doi.org/10.17226/27031.&lt;/electronic-resource-num&gt;&lt;/record&gt;&lt;/Cite&gt;&lt;/EndNote&gt;</w:instrText>
      </w:r>
      <w:r w:rsidR="0008272E">
        <w:rPr>
          <w:i/>
        </w:rPr>
        <w:fldChar w:fldCharType="separate"/>
      </w:r>
      <w:r w:rsidR="007607BA">
        <w:rPr>
          <w:i/>
          <w:noProof/>
        </w:rPr>
        <w:t>(NASEM 2023)</w:t>
      </w:r>
      <w:r w:rsidR="0008272E">
        <w:rPr>
          <w:i/>
        </w:rPr>
        <w:fldChar w:fldCharType="end"/>
      </w:r>
    </w:p>
    <w:p w14:paraId="49EB0D2D" w14:textId="77777777" w:rsidR="00180FC7" w:rsidRDefault="00180FC7" w:rsidP="00211F4C">
      <w:pPr>
        <w:pStyle w:val="ListParagraph"/>
        <w:numPr>
          <w:ilvl w:val="0"/>
          <w:numId w:val="25"/>
        </w:numPr>
      </w:pPr>
      <w:r>
        <w:t>European Food Safety Authority:</w:t>
      </w:r>
    </w:p>
    <w:p w14:paraId="4AC8C3D5" w14:textId="33CD5063" w:rsidR="00AC5835" w:rsidRDefault="00784728" w:rsidP="00211F4C">
      <w:pPr>
        <w:pStyle w:val="ListParagraph"/>
        <w:numPr>
          <w:ilvl w:val="1"/>
          <w:numId w:val="25"/>
        </w:numPr>
        <w:ind w:left="1434" w:hanging="357"/>
        <w:contextualSpacing/>
        <w:rPr>
          <w:i/>
          <w:iCs/>
        </w:rPr>
      </w:pPr>
      <w:r w:rsidRPr="00784728">
        <w:rPr>
          <w:i/>
          <w:iCs/>
        </w:rPr>
        <w:t xml:space="preserve">Guidance for establishing and applying tolerable upper intake levels for vitamins and essential minerals </w:t>
      </w:r>
      <w:r w:rsidR="00C552D1">
        <w:rPr>
          <w:i/>
          <w:iCs/>
        </w:rPr>
        <w:fldChar w:fldCharType="begin"/>
      </w:r>
      <w:r w:rsidR="00FD5765">
        <w:rPr>
          <w:i/>
          <w:iCs/>
        </w:rPr>
        <w:instrText xml:space="preserve"> ADDIN EN.CITE &lt;EndNote&gt;&lt;Cite&gt;&lt;Author&gt;EFSA Panel on Nutrition Novel Foods and Food Allergens&lt;/Author&gt;&lt;Year&gt;2024&lt;/Year&gt;&lt;RecNum&gt;84&lt;/RecNum&gt;&lt;DisplayText&gt;(EFSA Panel on Nutrition Novel Foods and Food Allergens et al. 2024a)&lt;/DisplayText&gt;&lt;record&gt;&lt;rec-number&gt;84&lt;/rec-number&gt;&lt;foreign-keys&gt;&lt;key app="EN" db-id="zxfaevvrgpsxebez5ec5vspfe2av5dtxt9xx" timestamp="1754958788"&gt;84&lt;/key&gt;&lt;/foreign-keys&gt;&lt;ref-type name="Journal Article"&gt;17&lt;/ref-type&gt;&lt;contributors&gt;&lt;authors&gt;&lt;author&gt;EFSA Panel on Nutrition Novel Foods and Food A</w:instrText>
      </w:r>
      <w:r w:rsidR="00FD5765">
        <w:rPr>
          <w:rFonts w:hint="eastAsia"/>
          <w:i/>
          <w:iCs/>
        </w:rPr>
        <w:instrText>llergens,&lt;/author&gt;&lt;author&gt;Turck, Dominique&lt;/author&gt;&lt;author&gt;Bohn, Torsten&lt;/author&gt;&lt;author&gt;Cámara, Montaña&lt;/author&gt;&lt;author&gt;Castenmiller, Jacqueline&lt;/author&gt;&lt;author&gt;de Henauw, Stefaan&lt;/author&gt;&lt;author&gt;Hirsch</w:instrText>
      </w:r>
      <w:r w:rsidR="00FD5765">
        <w:rPr>
          <w:rFonts w:hint="eastAsia"/>
          <w:i/>
          <w:iCs/>
        </w:rPr>
        <w:instrText>‐</w:instrText>
      </w:r>
      <w:r w:rsidR="00FD5765">
        <w:rPr>
          <w:rFonts w:hint="eastAsia"/>
          <w:i/>
          <w:iCs/>
        </w:rPr>
        <w:instrText>Ernst, Karen</w:instrText>
      </w:r>
      <w:r w:rsidR="00FD5765">
        <w:rPr>
          <w:rFonts w:hint="eastAsia"/>
          <w:i/>
          <w:iCs/>
        </w:rPr>
        <w:instrText>‐</w:instrText>
      </w:r>
      <w:r w:rsidR="00FD5765">
        <w:rPr>
          <w:rFonts w:hint="eastAsia"/>
          <w:i/>
          <w:iCs/>
        </w:rPr>
        <w:instrText>Ildico&lt;/author&gt;&lt;author&gt;Jos, Angeles&lt;/a</w:instrText>
      </w:r>
      <w:r w:rsidR="00FD5765">
        <w:rPr>
          <w:i/>
          <w:iCs/>
        </w:rPr>
        <w:instrText>uthor&gt;&lt;author&gt;Maciuk, Alexandre&lt;/author&gt;&lt;author&gt;Mangelsdorf, Inge&lt;/author&gt;&lt;/authors&gt;&lt;/contributors&gt;&lt;titles&gt;&lt;title&gt;Guidance for establishing and applying tolerable upper intake levels for vitamins and essential minerals&lt;/title&gt;&lt;secondary-title&gt;EFSA Journal&lt;/secondary-title&gt;&lt;/titles&gt;&lt;periodical&gt;&lt;full-title&gt;EFSA Journal&lt;/full-title&gt;&lt;/periodical&gt;&lt;pages&gt;e9052&lt;/pages&gt;&lt;volume&gt;22&lt;/volume&gt;&lt;number&gt;11&lt;/number&gt;&lt;dates&gt;&lt;year&gt;2024&lt;/year&gt;&lt;/dates&gt;&lt;isbn&gt;1831-4732&lt;/isbn&gt;&lt;urls&gt;&lt;/urls&gt;&lt;electronic-resource-num&gt;10.2903/j.efsa.2024.9052&lt;/electronic-resource-num&gt;&lt;/record&gt;&lt;/Cite&gt;&lt;/EndNote&gt;</w:instrText>
      </w:r>
      <w:r w:rsidR="00C552D1">
        <w:rPr>
          <w:i/>
          <w:iCs/>
        </w:rPr>
        <w:fldChar w:fldCharType="separate"/>
      </w:r>
      <w:r w:rsidR="00FD5765">
        <w:rPr>
          <w:i/>
          <w:iCs/>
          <w:noProof/>
        </w:rPr>
        <w:t>(EFSA Panel on Nutrition Novel Foods and Food Allergens et al. 2024a)</w:t>
      </w:r>
      <w:r w:rsidR="00C552D1">
        <w:rPr>
          <w:i/>
          <w:iCs/>
        </w:rPr>
        <w:fldChar w:fldCharType="end"/>
      </w:r>
    </w:p>
    <w:p w14:paraId="38E10EC1" w14:textId="3AC7EC17" w:rsidR="00D12D62" w:rsidRDefault="00D12D62" w:rsidP="00211F4C">
      <w:pPr>
        <w:pStyle w:val="ListParagraph"/>
        <w:numPr>
          <w:ilvl w:val="1"/>
          <w:numId w:val="25"/>
        </w:numPr>
        <w:ind w:left="1434" w:hanging="357"/>
        <w:contextualSpacing/>
        <w:rPr>
          <w:i/>
          <w:iCs/>
        </w:rPr>
      </w:pPr>
      <w:r w:rsidRPr="00D12D62">
        <w:rPr>
          <w:i/>
          <w:iCs/>
        </w:rPr>
        <w:t>Scientific Opinion on principles for deriving and applying Dietary Reference Values</w:t>
      </w:r>
      <w:r>
        <w:rPr>
          <w:i/>
          <w:iCs/>
        </w:rPr>
        <w:t xml:space="preserve"> </w:t>
      </w:r>
      <w:r w:rsidR="00D64348">
        <w:rPr>
          <w:i/>
          <w:iCs/>
        </w:rPr>
        <w:fldChar w:fldCharType="begin"/>
      </w:r>
      <w:r w:rsidR="00FD5765">
        <w:rPr>
          <w:i/>
          <w:iCs/>
        </w:rPr>
        <w:instrText xml:space="preserve"> ADDIN EN.CITE &lt;EndNote&gt;&lt;Cite&gt;&lt;Author&gt;EFSA Panel on Dietetic Products Nutrition and Allergies&lt;/Author&gt;&lt;Year&gt;2010&lt;/Year&gt;&lt;RecNum&gt;80&lt;/RecNum&gt;&lt;DisplayText&gt;(EFSA Panel on Dietetic Products Nutrition and Allergies 2010)&lt;/DisplayText&gt;&lt;record&gt;&lt;rec-number&gt;80&lt;/rec-number&gt;&lt;foreign-keys&gt;&lt;key app="EN" db-id="zxfaevvrgpsxebez5ec5vspfe2av5dtxt9xx" timestamp="1754957765"&gt;80&lt;/key&gt;&lt;/foreign-keys&gt;&lt;ref-type name="Journal Article"&gt;17&lt;/ref-type&gt;&lt;contributors&gt;&lt;authors&gt;&lt;author&gt;EFSA Panel on Dietetic Products Nutrition and Allergies,&lt;/author&gt;&lt;/authors&gt;&lt;/contributors&gt;&lt;titles&gt;&lt;title&gt;Scientific Opinion on principles for deriving and applying Dietary Reference Values&lt;/title&gt;&lt;secondary-title&gt;EFSA Journal&lt;/secondary-title&gt;&lt;/titles&gt;&lt;periodical&gt;&lt;full-title&gt;EFSA Journal&lt;/full-title&gt;&lt;/periodical&gt;&lt;pages&gt;1458&lt;/pages&gt;&lt;volume&gt;8&lt;/volume&gt;&lt;number&gt;3&lt;/number&gt;&lt;dates&gt;&lt;year&gt;2010&lt;/year&gt;&lt;/dates&gt;&lt;isbn&gt;1831-4732&lt;/isbn&gt;&lt;urls&gt;&lt;related-urls&gt;&lt;url&gt;https://efsa.onlinelibrary.wiley.com/doi/abs/10.2903/j.efsa.2010.1458&lt;/url&gt;&lt;/related-urls&gt;&lt;/urls&gt;&lt;electronic-resource-num&gt;10.2903/j.efsa.2010.1458&lt;/electronic-resource-num&gt;&lt;/record&gt;&lt;/Cite&gt;&lt;/EndNote&gt;</w:instrText>
      </w:r>
      <w:r w:rsidR="00D64348">
        <w:rPr>
          <w:i/>
          <w:iCs/>
        </w:rPr>
        <w:fldChar w:fldCharType="separate"/>
      </w:r>
      <w:r w:rsidR="00FD5765">
        <w:rPr>
          <w:i/>
          <w:iCs/>
          <w:noProof/>
        </w:rPr>
        <w:t>(EFSA Panel on Dietetic Products Nutrition and Allergies 2010)</w:t>
      </w:r>
      <w:r w:rsidR="00D64348">
        <w:rPr>
          <w:i/>
          <w:iCs/>
        </w:rPr>
        <w:fldChar w:fldCharType="end"/>
      </w:r>
    </w:p>
    <w:p w14:paraId="4B6B0546" w14:textId="058E3253" w:rsidR="00B6354A" w:rsidRPr="00B6354A" w:rsidRDefault="00B6354A" w:rsidP="00211F4C">
      <w:pPr>
        <w:pStyle w:val="ListParagraph"/>
        <w:numPr>
          <w:ilvl w:val="1"/>
          <w:numId w:val="25"/>
        </w:numPr>
        <w:ind w:left="1434" w:hanging="357"/>
        <w:contextualSpacing/>
        <w:rPr>
          <w:i/>
          <w:iCs/>
        </w:rPr>
      </w:pPr>
      <w:r w:rsidRPr="00B6354A">
        <w:rPr>
          <w:i/>
          <w:iCs/>
        </w:rPr>
        <w:t xml:space="preserve">Use of the benchmark dose approach in risk assessment </w:t>
      </w:r>
      <w:r w:rsidR="00262994">
        <w:rPr>
          <w:i/>
          <w:iCs/>
        </w:rPr>
        <w:fldChar w:fldCharType="begin"/>
      </w:r>
      <w:r w:rsidR="00256D81">
        <w:rPr>
          <w:i/>
          <w:iCs/>
        </w:rPr>
        <w:instrText xml:space="preserve"> ADDIN EN.CITE &lt;EndNote&gt;&lt;Cite&gt;&lt;Author&gt;EFSA Scientific Committee&lt;/Author&gt;&lt;Year&gt;2017&lt;/Year&gt;&lt;RecNum&gt;85&lt;/RecNum&gt;&lt;DisplayText&gt;(EFSA Scientific Committee et al. 2017)&lt;/DisplayText&gt;&lt;record&gt;&lt;rec-number&gt;85&lt;/rec-number&gt;&lt;foreign-keys&gt;&lt;key app="EN" db-id="zxfaevvrgpsxebez5ec5vspfe2av5dtxt9xx" timestamp="1754958979"&gt;85&lt;/key&gt;&lt;/foreign-keys&gt;&lt;ref-type name="Journal Article"&gt;17&lt;/ref-type&gt;&lt;contributors&gt;&lt;authors&gt;&lt;author&gt;EFSA Scientific Committee,&lt;/author&gt;&lt;author&gt;Hardy, Anthony&lt;/author&gt;&lt;author&gt;Benford, Diane&lt;/author&gt;&lt;author&gt;Halldorsson, Thorhallur&lt;/author&gt;&lt;author&gt;Jeger, Michael John&lt;/author&gt;&lt;author&gt;Knutsen, Katrine Helle&lt;/author&gt;&lt;author&gt;More, Simon&lt;/author&gt;&lt;author&gt;Mortensen, Alicja&lt;/author&gt;&lt;author&gt;Naegeli, Hanspeter&lt;/author&gt;&lt;author&gt;Noteborn, Hubert&lt;/author&gt;&lt;/authors&gt;&lt;/contributors&gt;&lt;titles&gt;&lt;title&gt;Update: use of the benchmark dose approach in risk assessment&lt;/title&gt;&lt;secondary-title&gt;EFSA Journal&lt;/secondary-title&gt;&lt;/titles&gt;&lt;periodical&gt;&lt;full-title&gt;EFSA Journal&lt;/full-title&gt;&lt;/periodical&gt;&lt;pages&gt;e04658&lt;/pages&gt;&lt;volume&gt;15&lt;/volume&gt;&lt;number&gt;1&lt;/number&gt;&lt;dates&gt;&lt;year&gt;2017&lt;/year&gt;&lt;/dates&gt;&lt;isbn&gt;1831-4732&lt;/isbn&gt;&lt;urls&gt;&lt;/urls&gt;&lt;electronic-resource-num&gt;10.2903/j.efsa.2017.4658&lt;/electronic-resource-num&gt;&lt;/record&gt;&lt;/Cite&gt;&lt;/EndNote&gt;</w:instrText>
      </w:r>
      <w:r w:rsidR="00262994">
        <w:rPr>
          <w:i/>
          <w:iCs/>
        </w:rPr>
        <w:fldChar w:fldCharType="separate"/>
      </w:r>
      <w:r w:rsidR="00705079">
        <w:rPr>
          <w:i/>
          <w:iCs/>
          <w:noProof/>
        </w:rPr>
        <w:t>(EFSA Scientific Committee et al. 2017)</w:t>
      </w:r>
      <w:r w:rsidR="00262994">
        <w:rPr>
          <w:i/>
          <w:iCs/>
        </w:rPr>
        <w:fldChar w:fldCharType="end"/>
      </w:r>
    </w:p>
    <w:p w14:paraId="30BC69C5" w14:textId="08E9BCFA" w:rsidR="00693794" w:rsidRPr="00693794" w:rsidRDefault="00565600" w:rsidP="00211F4C">
      <w:pPr>
        <w:pStyle w:val="ListParagraph"/>
        <w:numPr>
          <w:ilvl w:val="0"/>
          <w:numId w:val="25"/>
        </w:numPr>
        <w:rPr>
          <w:i/>
          <w:iCs/>
        </w:rPr>
      </w:pPr>
      <w:r w:rsidRPr="00693794">
        <w:t>Nordic Nutrition Recommendations 2022</w:t>
      </w:r>
      <w:r w:rsidR="00693794">
        <w:t xml:space="preserve"> - </w:t>
      </w:r>
      <w:r w:rsidR="00693794" w:rsidRPr="00693794">
        <w:rPr>
          <w:i/>
          <w:iCs/>
        </w:rPr>
        <w:t>The Nordic Nutrition Recommendations 2022 - principles and methodologies</w:t>
      </w:r>
      <w:r w:rsidR="00693794">
        <w:rPr>
          <w:i/>
          <w:iCs/>
        </w:rPr>
        <w:t xml:space="preserve"> </w:t>
      </w:r>
      <w:r w:rsidR="00C96024">
        <w:rPr>
          <w:i/>
          <w:iCs/>
        </w:rPr>
        <w:fldChar w:fldCharType="begin"/>
      </w:r>
      <w:r w:rsidR="001219CB">
        <w:rPr>
          <w:i/>
          <w:iCs/>
        </w:rPr>
        <w:instrText xml:space="preserve"> ADDIN EN.CITE &lt;EndNote&gt;&lt;Cite&gt;&lt;Author&gt;Christensen&lt;/Author&gt;&lt;Year&gt;2020&lt;/Year&gt;&lt;RecNum&gt;16&lt;/RecNum&gt;&lt;DisplayText&gt;(Christensen et al. 2020)&lt;/DisplayText&gt;&lt;record&gt;&lt;rec-number&gt;16&lt;/rec-number&gt;&lt;foreign-keys&gt;&lt;key app="EN" db-id="zxfaevvrgpsxebez5ec5vspfe2av5dtxt9xx" timestamp="1754957726"&gt;16&lt;/key&gt;&lt;/foreign-keys&gt;&lt;ref-type name="Journal Article"&gt;17&lt;/ref-type&gt;&lt;contributors&gt;&lt;authors&gt;&lt;author&gt;Christensen, Jacob Juel&lt;/author&gt;&lt;author&gt;Arnesen, Erik Kristoffer&lt;/author&gt;&lt;author&gt;Andersen, Rikke&lt;/author&gt;&lt;author&gt;Eneroth, Hanna&lt;/author&gt;&lt;author&gt;Erkkola, Maijaliisa&lt;/author&gt;&lt;author&gt;Høyer, Anne&lt;/author&gt;&lt;author&gt;Lemming, Eva Warensjö&lt;/author&gt;&lt;author&gt;Meltzer, Helle Margrete&lt;/author&gt;&lt;author&gt;Halldórsson, Þórhallur Ingi&lt;/author&gt;&lt;author&gt;Þórsdóttir, Inga&lt;/author&gt;&lt;/authors&gt;&lt;/contributors&gt;&lt;titles&gt;&lt;title&gt;The Nordic nutrition recommendations 2022–principles and methodologies&lt;/title&gt;&lt;secondary-title&gt;Food &amp;amp; nutrition research&lt;/secondary-title&gt;&lt;/titles&gt;&lt;periodical&gt;&lt;full-title&gt;Food &amp;amp; Nutrition Research&lt;/full-title&gt;&lt;/periodical&gt;&lt;pages&gt;4402&lt;/pages&gt;&lt;volume&gt;64&lt;/volume&gt;&lt;dates&gt;&lt;year&gt;2020&lt;/year&gt;&lt;/dates&gt;&lt;urls&gt;&lt;/urls&gt;&lt;electronic-resource-num&gt;10.29219/fnr&lt;/electronic-resource-num&gt;&lt;/record&gt;&lt;/Cite&gt;&lt;/EndNote&gt;</w:instrText>
      </w:r>
      <w:r w:rsidR="00C96024">
        <w:rPr>
          <w:i/>
          <w:iCs/>
        </w:rPr>
        <w:fldChar w:fldCharType="separate"/>
      </w:r>
      <w:r w:rsidR="00705079">
        <w:rPr>
          <w:i/>
          <w:iCs/>
          <w:noProof/>
        </w:rPr>
        <w:t>(Christensen et al. 2020)</w:t>
      </w:r>
      <w:r w:rsidR="00C96024">
        <w:rPr>
          <w:i/>
          <w:iCs/>
        </w:rPr>
        <w:fldChar w:fldCharType="end"/>
      </w:r>
    </w:p>
    <w:p w14:paraId="1A8CC816" w14:textId="77777777" w:rsidR="005064F6" w:rsidRPr="00693794" w:rsidRDefault="005064F6" w:rsidP="005064F6">
      <w:pPr>
        <w:pStyle w:val="ListParagraph"/>
        <w:ind w:left="720"/>
        <w:rPr>
          <w:i/>
          <w:iCs/>
        </w:rPr>
      </w:pPr>
    </w:p>
    <w:p w14:paraId="6298ED3E" w14:textId="46188A01" w:rsidR="002955C8" w:rsidRDefault="002955C8" w:rsidP="00090E9B">
      <w:r w:rsidRPr="00180FC7">
        <w:t>These documents present</w:t>
      </w:r>
      <w:r>
        <w:t xml:space="preserve"> a detailed overview of the NRV development process and are referred to throughout</w:t>
      </w:r>
      <w:r w:rsidR="00C343CE">
        <w:t xml:space="preserve"> the methodological framework as supplementary </w:t>
      </w:r>
      <w:r w:rsidR="000B6123">
        <w:t xml:space="preserve">information </w:t>
      </w:r>
      <w:r w:rsidR="00C343CE">
        <w:t>sources</w:t>
      </w:r>
      <w:r>
        <w:t>.</w:t>
      </w:r>
      <w:r w:rsidR="00AF65FB">
        <w:t xml:space="preserve"> </w:t>
      </w:r>
      <w:r w:rsidR="00904119">
        <w:t>Complete</w:t>
      </w:r>
      <w:r w:rsidR="00AF65FB">
        <w:t xml:space="preserve"> references are available in the </w:t>
      </w:r>
      <w:r w:rsidR="00904119">
        <w:rPr>
          <w:rFonts w:ascii="Gotham Medium" w:eastAsiaTheme="majorEastAsia" w:hAnsi="Gotham Medium" w:cstheme="majorBidi"/>
          <w:color w:val="09002E" w:themeColor="text2"/>
          <w:kern w:val="28"/>
          <w:sz w:val="36"/>
          <w:szCs w:val="56"/>
        </w:rPr>
        <w:fldChar w:fldCharType="begin"/>
      </w:r>
      <w:r w:rsidR="00904119">
        <w:instrText xml:space="preserve"> REF _Ref199341484 \h </w:instrText>
      </w:r>
      <w:r w:rsidR="00090E9B">
        <w:instrText xml:space="preserve"> \* MERGEFORMAT </w:instrText>
      </w:r>
      <w:r w:rsidR="00904119">
        <w:rPr>
          <w:rFonts w:ascii="Gotham Medium" w:eastAsiaTheme="majorEastAsia" w:hAnsi="Gotham Medium" w:cstheme="majorBidi"/>
          <w:color w:val="09002E" w:themeColor="text2"/>
          <w:kern w:val="28"/>
          <w:sz w:val="36"/>
          <w:szCs w:val="56"/>
        </w:rPr>
      </w:r>
      <w:r w:rsidR="00904119">
        <w:rPr>
          <w:rFonts w:ascii="Gotham Medium" w:eastAsiaTheme="majorEastAsia" w:hAnsi="Gotham Medium" w:cstheme="majorBidi"/>
          <w:color w:val="09002E" w:themeColor="text2"/>
          <w:kern w:val="28"/>
          <w:sz w:val="36"/>
          <w:szCs w:val="56"/>
        </w:rPr>
        <w:fldChar w:fldCharType="separate"/>
      </w:r>
      <w:r w:rsidR="00090E9B" w:rsidRPr="00152D1F">
        <w:t>References</w:t>
      </w:r>
      <w:r w:rsidR="00904119">
        <w:fldChar w:fldCharType="end"/>
      </w:r>
      <w:r w:rsidR="00AF65FB">
        <w:t xml:space="preserve"> section. </w:t>
      </w:r>
    </w:p>
    <w:p w14:paraId="2CB9D7CC" w14:textId="1E6E735F" w:rsidR="00B12313" w:rsidRDefault="00232E6E" w:rsidP="00CA5001">
      <w:r>
        <w:t xml:space="preserve">NHMRC guidelines </w:t>
      </w:r>
      <w:r w:rsidR="005F2CD3">
        <w:t>must meet the NHMRC Standards for Guidelines</w:t>
      </w:r>
      <w:r w:rsidR="00150FF8">
        <w:t xml:space="preserve"> (NHMRC 2016)</w:t>
      </w:r>
      <w:r w:rsidR="00000F13">
        <w:t xml:space="preserve">. As part of </w:t>
      </w:r>
      <w:r w:rsidR="00CA02DB">
        <w:t xml:space="preserve">evidence informed guidelines NHMRC </w:t>
      </w:r>
      <w:r w:rsidR="00150FF8">
        <w:t xml:space="preserve">uses the </w:t>
      </w:r>
      <w:r w:rsidR="00150FF8" w:rsidRPr="00150FF8">
        <w:t>GRADE (Grading of Recommendations, Assessment, Development, and Evaluation) approach</w:t>
      </w:r>
      <w:r w:rsidR="005B6C06">
        <w:t xml:space="preserve">. GRADE provides </w:t>
      </w:r>
      <w:r w:rsidR="00150FF8" w:rsidRPr="00150FF8">
        <w:t xml:space="preserve">a structured framework for assessing the certainty of evidence </w:t>
      </w:r>
      <w:r w:rsidR="00A26E52">
        <w:t xml:space="preserve">and </w:t>
      </w:r>
      <w:r w:rsidR="00150FF8" w:rsidRPr="00150FF8">
        <w:t>develop</w:t>
      </w:r>
      <w:r w:rsidR="005B6C06">
        <w:t>ing</w:t>
      </w:r>
      <w:r w:rsidR="00150FF8" w:rsidRPr="00150FF8">
        <w:t xml:space="preserve"> recommendations. </w:t>
      </w:r>
      <w:r w:rsidR="00B12313">
        <w:t>The Framework use</w:t>
      </w:r>
      <w:r w:rsidR="002E4823">
        <w:t>s</w:t>
      </w:r>
      <w:r w:rsidR="00B12313">
        <w:t xml:space="preserve"> the following documents </w:t>
      </w:r>
      <w:r w:rsidR="00CA5001">
        <w:t xml:space="preserve">on </w:t>
      </w:r>
      <w:r w:rsidR="00CA5001" w:rsidRPr="00CA5001">
        <w:t>evidence synthesis</w:t>
      </w:r>
      <w:r w:rsidR="00B12313" w:rsidRPr="00B12313">
        <w:t xml:space="preserve"> </w:t>
      </w:r>
      <w:r w:rsidR="00B12313" w:rsidRPr="00CA5001">
        <w:t>and guideline development</w:t>
      </w:r>
      <w:r w:rsidR="00B12313">
        <w:t>:</w:t>
      </w:r>
    </w:p>
    <w:p w14:paraId="5FC11F80" w14:textId="1EFD9904" w:rsidR="00E93ABF" w:rsidRDefault="00B12313" w:rsidP="00211F4C">
      <w:pPr>
        <w:pStyle w:val="ListParagraph"/>
        <w:numPr>
          <w:ilvl w:val="0"/>
          <w:numId w:val="45"/>
        </w:numPr>
      </w:pPr>
      <w:r>
        <w:lastRenderedPageBreak/>
        <w:t>N</w:t>
      </w:r>
      <w:r w:rsidR="00E93ABF">
        <w:t>HMRC Guidelines for Guidelines</w:t>
      </w:r>
      <w:r w:rsidR="00005B1D">
        <w:t xml:space="preserve"> (2016)</w:t>
      </w:r>
      <w:r w:rsidR="00E93ABF">
        <w:t xml:space="preserve"> </w:t>
      </w:r>
    </w:p>
    <w:p w14:paraId="4EF388EF" w14:textId="0782A758" w:rsidR="00B12313" w:rsidRDefault="00CA5001" w:rsidP="00211F4C">
      <w:pPr>
        <w:pStyle w:val="ListParagraph"/>
        <w:numPr>
          <w:ilvl w:val="0"/>
          <w:numId w:val="45"/>
        </w:numPr>
      </w:pPr>
      <w:r w:rsidRPr="00CA5001">
        <w:t>Cochrane Handbook for Systematic Reviews of Interventions, Version 6.4</w:t>
      </w:r>
      <w:r w:rsidR="00904119">
        <w:t xml:space="preserve"> </w:t>
      </w:r>
      <w:r w:rsidRPr="00CA5001">
        <w:t xml:space="preserve">(updated August 2023) </w:t>
      </w:r>
      <w:r w:rsidR="009A237B">
        <w:fldChar w:fldCharType="begin"/>
      </w:r>
      <w:r w:rsidR="0055302A">
        <w:instrText xml:space="preserve"> ADDIN EN.CITE &lt;EndNote&gt;&lt;Cite&gt;&lt;Author&gt;Higgins&lt;/Author&gt;&lt;Year&gt;2019&lt;/Year&gt;&lt;RecNum&gt;66&lt;/RecNum&gt;&lt;DisplayText&gt;(Higgins et al. 2019)&lt;/DisplayText&gt;&lt;record&gt;&lt;rec-number&gt;66&lt;/rec-number&gt;&lt;foreign-keys&gt;&lt;key app="EN" db-id="zxfaevvrgpsxebez5ec5vspfe2av5dtxt9xx" timestamp="1754957765"&gt;66&lt;/key&gt;&lt;/foreign-keys&gt;&lt;ref-type name="Electronic Book"&gt;44&lt;/ref-type&gt;&lt;contributors&gt;&lt;authors&gt;&lt;author&gt;Higgins, Julian P. T.&lt;/author&gt;&lt;author&gt;Thomas, James&lt;/author&gt;&lt;author&gt;Chandler, Jacqueline&lt;/author&gt;&lt;author&gt;Cumpston, Miranda&lt;/author&gt;&lt;author&gt;Li, Tianjing&lt;/author&gt;&lt;author&gt;Page, Matthew J.&lt;/author&gt;&lt;author&gt;Welch, Vivian A.&lt;/author&gt;&lt;author&gt;Cochrane Collaboration,&lt;/author&gt;&lt;/authors&gt;&lt;/contributors&gt;&lt;titles&gt;&lt;title&gt;Cochrane handbook for systematic reviews of interventions&lt;/title&gt;&lt;secondary-title&gt;Cochrane book series&lt;/secondary-title&gt;&lt;/titles&gt;&lt;pages&gt;1 online resource&lt;/pages&gt;&lt;edition&gt;Second edition.&lt;/edition&gt;&lt;keywords&gt;&lt;keyword&gt;Evidence-based medicine Methodology.&lt;/keyword&gt;&lt;keyword&gt;Medicine Research Evaluation.&lt;/keyword&gt;&lt;keyword&gt;Outcome assessment (Medical care)&lt;/keyword&gt;&lt;keyword&gt;Meta-analysis.&lt;/keyword&gt;&lt;keyword&gt;Outcome and Process Assessment, Health Care.&lt;/keyword&gt;&lt;keyword&gt;Evidence-Based Medicine methods.&lt;/keyword&gt;&lt;keyword&gt;Meta-Analysis as Topic.&lt;/keyword&gt;&lt;keyword&gt;Systematic Reviews as Topic.&lt;/keyword&gt;&lt;/keywords&gt;&lt;dates&gt;&lt;year&gt;2019&lt;/year&gt;&lt;pub-dates&gt;&lt;date&gt;September 30, 2019&lt;/date&gt;&lt;/pub-dates&gt;&lt;/dates&gt;&lt;pub-location&gt;Hoboken, NJ&lt;/pub-location&gt;&lt;publisher&gt;Wiley-Blackwell,&lt;/publisher&gt;&lt;isbn&gt;9781119536611&amp;#xD;1119536618&amp;#xD;9781119536604&amp;#xD;111953660X&lt;/isbn&gt;&lt;accession-num&gt;9939864480701751&lt;/accession-num&gt;&lt;urls&gt;&lt;related-urls&gt;&lt;url&gt;date accessed 18 August 2025, https://ezproxy.lib.monash.edu.au/login?url=https://onlinelibrary.wiley.com/doi/book/10.1002/9781119536604&lt;/url&gt;&lt;/related-urls&gt;&lt;/urls&gt;&lt;/record&gt;&lt;/Cite&gt;&lt;/EndNote&gt;</w:instrText>
      </w:r>
      <w:r w:rsidR="009A237B">
        <w:fldChar w:fldCharType="separate"/>
      </w:r>
      <w:r w:rsidR="00705079">
        <w:rPr>
          <w:noProof/>
        </w:rPr>
        <w:t>(Higgins et al. 2019)</w:t>
      </w:r>
      <w:r w:rsidR="009A237B">
        <w:fldChar w:fldCharType="end"/>
      </w:r>
    </w:p>
    <w:p w14:paraId="13669E42" w14:textId="2748EEFD" w:rsidR="00A759D4" w:rsidRDefault="00A759D4" w:rsidP="00211F4C">
      <w:pPr>
        <w:pStyle w:val="ListParagraph"/>
        <w:numPr>
          <w:ilvl w:val="0"/>
          <w:numId w:val="45"/>
        </w:numPr>
      </w:pPr>
      <w:r>
        <w:t>GRADE</w:t>
      </w:r>
      <w:r w:rsidR="00046898">
        <w:t xml:space="preserve"> Book</w:t>
      </w:r>
      <w:r w:rsidR="00E04758">
        <w:t xml:space="preserve"> </w:t>
      </w:r>
      <w:r w:rsidR="00020868">
        <w:fldChar w:fldCharType="begin"/>
      </w:r>
      <w:r w:rsidR="00EF41B5">
        <w:instrText xml:space="preserve"> ADDIN EN.CITE &lt;EndNote&gt;&lt;Cite&gt;&lt;Author&gt;Neumann&lt;/Author&gt;&lt;Year&gt;2025&lt;/Year&gt;&lt;RecNum&gt;86&lt;/RecNum&gt;&lt;DisplayText&gt;(Neumann et al. 2025)&lt;/DisplayText&gt;&lt;record&gt;&lt;rec-number&gt;86&lt;/rec-number&gt;&lt;foreign-keys&gt;&lt;key app="EN" db-id="zxfaevvrgpsxebez5ec5vspfe2av5dtxt9xx" timestamp="1754959384"&gt;86&lt;/key&gt;&lt;/foreign-keys&gt;&lt;ref-type name="Electronic Book"&gt;44&lt;/ref-type&gt;&lt;contributors&gt;&lt;authors&gt;&lt;author&gt;Neumann, Ignacio&lt;/author&gt;&lt;author&gt;Brennan, Sue&lt;/author&gt;&lt;author&gt;Meerpohl, Joerg&lt;/author&gt;&lt;author&gt;Davoli, Marina&lt;/author&gt;&lt;author&gt;Coello, Pablo Alonso&lt;/author&gt;&lt;author&gt;Akl, Elie&lt;/author&gt;&lt;author&gt;Dahm, Philip&lt;/author&gt;&lt;author&gt;Skoetz, Nicole&lt;/author&gt;&lt;author&gt;Xia, Jun&lt;/author&gt;&lt;author&gt;Brozek, Jan&lt;/author&gt;&lt;author&gt;Schünemann, Holger J.&lt;/author&gt;&lt;/authors&gt;&lt;/contributors&gt;&lt;titles&gt;&lt;title&gt;GRADE Book&lt;/title&gt;&lt;/titles&gt;&lt;dates&gt;&lt;year&gt;2025&lt;/year&gt;&lt;/dates&gt;&lt;urls&gt;&lt;related-urls&gt;&lt;url&gt;date accessed 18 August 2025, https://book.gradepro.org/&lt;/url&gt;&lt;/related-urls&gt;&lt;/urls&gt;&lt;/record&gt;&lt;/Cite&gt;&lt;/EndNote&gt;</w:instrText>
      </w:r>
      <w:r w:rsidR="00020868">
        <w:fldChar w:fldCharType="separate"/>
      </w:r>
      <w:r w:rsidR="00705079">
        <w:rPr>
          <w:noProof/>
        </w:rPr>
        <w:t>(Neumann et al. 2025)</w:t>
      </w:r>
      <w:r w:rsidR="00020868">
        <w:fldChar w:fldCharType="end"/>
      </w:r>
      <w:r w:rsidR="006727A5">
        <w:t>/</w:t>
      </w:r>
      <w:r>
        <w:t>GRADE Handbook</w:t>
      </w:r>
      <w:r w:rsidR="006A2444">
        <w:t xml:space="preserve"> </w:t>
      </w:r>
      <w:r w:rsidR="00D83A1E">
        <w:fldChar w:fldCharType="begin"/>
      </w:r>
      <w:r w:rsidR="00A12B59">
        <w:instrText xml:space="preserve"> ADDIN EN.CITE &lt;EndNote&gt;&lt;Cite&gt;&lt;Author&gt;The GRADE Working Group&lt;/Author&gt;&lt;Year&gt;2024&lt;/Year&gt;&lt;RecNum&gt;87&lt;/RecNum&gt;&lt;DisplayText&gt;(The GRADE Working Group 2024)&lt;/DisplayText&gt;&lt;record&gt;&lt;rec-number&gt;87&lt;/rec-number&gt;&lt;foreign-keys&gt;&lt;key app="EN" db-id="zxfaevvrgpsxebez5ec5vspfe2av5dtxt9xx" timestamp="1754959384"&gt;87&lt;/key&gt;&lt;/foreign-keys&gt;&lt;ref-type name="Electronic Book"&gt;44&lt;/ref-type&gt;&lt;contributors&gt;&lt;authors&gt;&lt;author&gt;The GRADE Working Group,&lt;/author&gt;&lt;/authors&gt;&lt;secondary-authors&gt;&lt;author&gt;Schünemann H, &lt;/author&gt;&lt;author&gt;&lt;style face="normal" font="default" size="100%"&gt;Bro&lt;/style&gt;&lt;style face="normal" font="default" charset="238" size="100%"&gt;żek J, &lt;/style&gt;&lt;/author&gt;&lt;author&gt;&lt;style face="normal" font="default" charset="238" size="100%"&gt;Guyatt G, &lt;/style&gt;&lt;/author&gt;&lt;author&gt;&lt;style face="normal" font="default" charset="238" size="100%"&gt;Oxman A,&lt;/style&gt;&lt;/author&gt;&lt;/secondary-authors&gt;&lt;/contributors&gt;&lt;titles&gt;&lt;title&gt;GRADE Handbook&lt;/title&gt;&lt;/titles&gt;&lt;dates&gt;&lt;year&gt;2024&lt;/year&gt;&lt;/dates&gt;&lt;urls&gt;&lt;related-urls&gt;&lt;url&gt;date accessed 18 August 2025, https://gdt.gradepro.org/app/handbook/handbook.html&lt;/url&gt;&lt;/related-urls&gt;&lt;/urls&gt;&lt;/record&gt;&lt;/Cite&gt;&lt;/EndNote&gt;</w:instrText>
      </w:r>
      <w:r w:rsidR="00D83A1E">
        <w:fldChar w:fldCharType="separate"/>
      </w:r>
      <w:r w:rsidR="00705079">
        <w:rPr>
          <w:noProof/>
        </w:rPr>
        <w:t>(The GRADE Working Group 2024)</w:t>
      </w:r>
      <w:r w:rsidR="00D83A1E">
        <w:fldChar w:fldCharType="end"/>
      </w:r>
      <w:r w:rsidR="006727A5">
        <w:t xml:space="preserve"> </w:t>
      </w:r>
      <w:r>
        <w:t xml:space="preserve"> </w:t>
      </w:r>
      <w:r w:rsidR="008E0962">
        <w:t xml:space="preserve">and </w:t>
      </w:r>
      <w:r w:rsidR="00350CCC">
        <w:t xml:space="preserve">the </w:t>
      </w:r>
      <w:r w:rsidR="00A3397A">
        <w:fldChar w:fldCharType="begin"/>
      </w:r>
      <w:r w:rsidR="001B2D79">
        <w:instrText xml:space="preserve"> ADDIN EN.CITE &lt;EndNote&gt;&lt;Cite Hidden="1"&gt;&lt;Year&gt;2024&lt;/Year&gt;&lt;RecNum&gt;88&lt;/RecNum&gt;&lt;record&gt;&lt;rec-number&gt;88&lt;/rec-number&gt;&lt;foreign-keys&gt;&lt;key app="EN" db-id="zxfaevvrgpsxebez5ec5vspfe2av5dtxt9xx" timestamp="1754959384"&gt;88&lt;/key&gt;&lt;/foreign-keys&gt;&lt;ref-type name="Web Page"&gt;12&lt;/ref-type&gt;&lt;contributors&gt;&lt;/contributors&gt;&lt;titles&gt;&lt;title&gt;GRADE Guidance series&lt;/title&gt;&lt;/titles&gt;&lt;dates&gt;&lt;year&gt;2024&lt;/year&gt;&lt;/dates&gt;&lt;pub-location&gt;Journal of Clinical Epidemiology&lt;/pub-location&gt;&lt;urls&gt;&lt;related-urls&gt;&lt;url&gt;date accessed 18 August 2025, https://www.sciencedirect.com/special-issue/10F8V3S0J7V&lt;/url&gt;&lt;/related-urls&gt;&lt;/urls&gt;&lt;/record&gt;&lt;/Cite&gt;&lt;/EndNote&gt;</w:instrText>
      </w:r>
      <w:r w:rsidR="00A3397A">
        <w:fldChar w:fldCharType="separate"/>
      </w:r>
      <w:r w:rsidR="00A3397A">
        <w:fldChar w:fldCharType="end"/>
      </w:r>
      <w:hyperlink r:id="rId28" w:history="1">
        <w:r w:rsidR="00350CCC">
          <w:rPr>
            <w:rStyle w:val="Hyperlink"/>
          </w:rPr>
          <w:t>Journal of Clinical Epidemiology GRADE Guidance series</w:t>
        </w:r>
      </w:hyperlink>
      <w:r w:rsidR="004A356D">
        <w:rPr>
          <w:rStyle w:val="FootnoteReference"/>
        </w:rPr>
        <w:footnoteReference w:id="2"/>
      </w:r>
    </w:p>
    <w:p w14:paraId="0BFDCEA4" w14:textId="7FC687DF" w:rsidR="002E4823" w:rsidRDefault="002E4823" w:rsidP="00211F4C">
      <w:pPr>
        <w:pStyle w:val="ListParagraph"/>
        <w:numPr>
          <w:ilvl w:val="0"/>
          <w:numId w:val="45"/>
        </w:numPr>
      </w:pPr>
      <w:r w:rsidRPr="00CA5001">
        <w:t>WHO handbook for guideline development resources</w:t>
      </w:r>
      <w:r w:rsidR="00AD6873">
        <w:t xml:space="preserve"> </w:t>
      </w:r>
      <w:r w:rsidR="00AD6873">
        <w:fldChar w:fldCharType="begin"/>
      </w:r>
      <w:r w:rsidR="00E96552">
        <w:instrText xml:space="preserve"> ADDIN EN.CITE &lt;EndNote&gt;&lt;Cite&gt;&lt;Author&gt;WHO&lt;/Author&gt;&lt;Year&gt;2014&lt;/Year&gt;&lt;RecNum&gt;89&lt;/RecNum&gt;&lt;DisplayText&gt;(WHO 2014)&lt;/DisplayText&gt;&lt;record&gt;&lt;rec-number&gt;89&lt;/rec-number&gt;&lt;foreign-keys&gt;&lt;key app="EN" db-id="zxfaevvrgpsxebez5ec5vspfe2av5dtxt9xx" timestamp="1754959384"&gt;89&lt;/key&gt;&lt;/foreign-keys&gt;&lt;ref-type name="Electronic Book"&gt;44&lt;/ref-type&gt;&lt;contributors&gt;&lt;authors&gt;&lt;author&gt;WHO,&lt;/author&gt;&lt;/authors&gt;&lt;/contributors&gt;&lt;titles&gt;&lt;title&gt;WHO handbook for guideline development, 2nd Edition&lt;/title&gt;&lt;/titles&gt;&lt;dates&gt;&lt;year&gt;2014&lt;/year&gt;&lt;/dates&gt;&lt;urls&gt;&lt;related-urls&gt;&lt;url&gt;date accessed 18 August 2025, https://www.who.int/publications/i/item/9789241548960&lt;/url&gt;&lt;/related-urls&gt;&lt;/urls&gt;&lt;/record&gt;&lt;/Cite&gt;&lt;/EndNote&gt;</w:instrText>
      </w:r>
      <w:r w:rsidR="00AD6873">
        <w:fldChar w:fldCharType="separate"/>
      </w:r>
      <w:r w:rsidR="007607BA">
        <w:rPr>
          <w:noProof/>
        </w:rPr>
        <w:t>(WHO 2014)</w:t>
      </w:r>
      <w:r w:rsidR="00AD6873">
        <w:fldChar w:fldCharType="end"/>
      </w:r>
      <w:r w:rsidRPr="00CA5001">
        <w:t>.</w:t>
      </w:r>
    </w:p>
    <w:p w14:paraId="734F5E9E" w14:textId="431020FC" w:rsidR="00A759D4" w:rsidRDefault="00A759D4" w:rsidP="00211F4C">
      <w:pPr>
        <w:pStyle w:val="ListParagraph"/>
        <w:numPr>
          <w:ilvl w:val="0"/>
          <w:numId w:val="45"/>
        </w:numPr>
      </w:pPr>
      <w:r>
        <w:t>WHO Handbook for adaptation and guideline contextualisation</w:t>
      </w:r>
      <w:r w:rsidR="008412C8">
        <w:t xml:space="preserve"> </w:t>
      </w:r>
      <w:r w:rsidR="008412C8">
        <w:fldChar w:fldCharType="begin"/>
      </w:r>
      <w:r w:rsidR="00E96552">
        <w:instrText xml:space="preserve"> ADDIN EN.CITE &lt;EndNote&gt;&lt;Cite&gt;&lt;Author&gt;WHO&lt;/Author&gt;&lt;Year&gt;2023&lt;/Year&gt;&lt;RecNum&gt;90&lt;/RecNum&gt;&lt;DisplayText&gt;(WHO 2023c)&lt;/DisplayText&gt;&lt;record&gt;&lt;rec-number&gt;90&lt;/rec-number&gt;&lt;foreign-keys&gt;&lt;key app="EN" db-id="zxfaevvrgpsxebez5ec5vspfe2av5dtxt9xx" timestamp="1754959384"&gt;90&lt;/key&gt;&lt;/foreign-keys&gt;&lt;ref-type name="Electronic Book"&gt;44&lt;/ref-type&gt;&lt;contributors&gt;&lt;authors&gt;&lt;author&gt;WHO,&lt;/author&gt;&lt;/authors&gt;&lt;/contributors&gt;&lt;titles&gt;&lt;title&gt;Strengthening countries’ capacities to adopt and adapt evidence-based guidelines: a handbook for guideline contextualization&lt;/title&gt;&lt;/titles&gt;&lt;dates&gt;&lt;year&gt;2023&lt;/year&gt;&lt;/dates&gt;&lt;publisher&gt;World Health Organization&lt;/publisher&gt;&lt;urls&gt;&lt;related-urls&gt;&lt;url&gt;date accessed 18 August 2025, https://iris.who.int/handle/10665/372275&lt;/url&gt;&lt;/related-urls&gt;&lt;/urls&gt;&lt;/record&gt;&lt;/Cite&gt;&lt;/EndNote&gt;</w:instrText>
      </w:r>
      <w:r w:rsidR="008412C8">
        <w:fldChar w:fldCharType="separate"/>
      </w:r>
      <w:r w:rsidR="007607BA">
        <w:rPr>
          <w:noProof/>
        </w:rPr>
        <w:t>(WHO 2023c)</w:t>
      </w:r>
      <w:r w:rsidR="008412C8">
        <w:fldChar w:fldCharType="end"/>
      </w:r>
      <w:r w:rsidR="00A815C3">
        <w:t xml:space="preserve"> </w:t>
      </w:r>
    </w:p>
    <w:p w14:paraId="7D0AC829" w14:textId="3493D856" w:rsidR="00823595" w:rsidRDefault="00823595" w:rsidP="003E2E95">
      <w:pPr>
        <w:pStyle w:val="Heading30"/>
      </w:pPr>
      <w:bookmarkStart w:id="20" w:name="_Toc197346848"/>
      <w:bookmarkStart w:id="21" w:name="_Toc197346947"/>
      <w:bookmarkStart w:id="22" w:name="_Toc153967094"/>
      <w:bookmarkStart w:id="23" w:name="_Toc207801033"/>
      <w:bookmarkStart w:id="24" w:name="_Toc207824510"/>
      <w:bookmarkEnd w:id="20"/>
      <w:bookmarkEnd w:id="21"/>
      <w:r>
        <w:t>Governance</w:t>
      </w:r>
      <w:bookmarkEnd w:id="22"/>
      <w:bookmarkEnd w:id="23"/>
      <w:bookmarkEnd w:id="24"/>
    </w:p>
    <w:p w14:paraId="430DEC14" w14:textId="238BFC78" w:rsidR="009421C2" w:rsidRDefault="009421C2" w:rsidP="003E2E95">
      <w:pPr>
        <w:pStyle w:val="Heading40"/>
      </w:pPr>
      <w:bookmarkStart w:id="25" w:name="_Toc153967095"/>
      <w:bookmarkStart w:id="26" w:name="_Toc207801034"/>
      <w:bookmarkStart w:id="27" w:name="_Toc207824511"/>
      <w:r>
        <w:t xml:space="preserve">Steering </w:t>
      </w:r>
      <w:r w:rsidRPr="00AB5606">
        <w:t>Group</w:t>
      </w:r>
      <w:bookmarkEnd w:id="25"/>
      <w:bookmarkEnd w:id="26"/>
      <w:bookmarkEnd w:id="27"/>
      <w:r w:rsidR="00382B06">
        <w:t xml:space="preserve"> </w:t>
      </w:r>
    </w:p>
    <w:p w14:paraId="082689B8" w14:textId="09AB9BFD" w:rsidR="009421C2" w:rsidRDefault="009421C2" w:rsidP="009421C2">
      <w:r w:rsidRPr="00260977">
        <w:t>A Steering Group</w:t>
      </w:r>
      <w:r>
        <w:t>,</w:t>
      </w:r>
      <w:r w:rsidRPr="00260977">
        <w:t xml:space="preserve"> comprising representatives from NHMRC, </w:t>
      </w:r>
      <w:r>
        <w:t xml:space="preserve">the </w:t>
      </w:r>
      <w:r w:rsidR="00697702">
        <w:t>Department</w:t>
      </w:r>
      <w:r w:rsidRPr="00260977">
        <w:t xml:space="preserve"> and NZ </w:t>
      </w:r>
      <w:r w:rsidR="00697702">
        <w:t>Ministry</w:t>
      </w:r>
      <w:r w:rsidRPr="00260977">
        <w:t>, is responsible for the strategic leadership, funding and resourcing elements of NRV updates</w:t>
      </w:r>
      <w:r>
        <w:t xml:space="preserve">. This includes priority setting for reviews of the NRVs </w:t>
      </w:r>
      <w:r w:rsidRPr="00260977">
        <w:t xml:space="preserve">and ensuring </w:t>
      </w:r>
      <w:r>
        <w:t xml:space="preserve">that NRVs are updated in </w:t>
      </w:r>
      <w:r w:rsidRPr="00260977">
        <w:t>a timely manner</w:t>
      </w:r>
      <w:r>
        <w:t xml:space="preserve"> and reflect current scientific evidence</w:t>
      </w:r>
      <w:r w:rsidRPr="00260977">
        <w:t>.</w:t>
      </w:r>
    </w:p>
    <w:p w14:paraId="69F6C631" w14:textId="7ADC9187" w:rsidR="00770C7C" w:rsidRDefault="00696A98" w:rsidP="003E2E95">
      <w:pPr>
        <w:pStyle w:val="Heading40"/>
      </w:pPr>
      <w:bookmarkStart w:id="28" w:name="_Toc153967096"/>
      <w:r>
        <w:tab/>
      </w:r>
      <w:bookmarkStart w:id="29" w:name="_Toc207801035"/>
      <w:bookmarkStart w:id="30" w:name="_Toc207824512"/>
      <w:r w:rsidR="00823595">
        <w:t>NHMRC</w:t>
      </w:r>
      <w:bookmarkEnd w:id="28"/>
      <w:bookmarkEnd w:id="29"/>
      <w:bookmarkEnd w:id="30"/>
      <w:r w:rsidR="00823595">
        <w:t xml:space="preserve"> </w:t>
      </w:r>
    </w:p>
    <w:p w14:paraId="3F5DC68E" w14:textId="09998E75" w:rsidR="00770C7C" w:rsidRDefault="003B7856" w:rsidP="00770C7C">
      <w:r w:rsidRPr="00106E80">
        <w:t xml:space="preserve">Under the </w:t>
      </w:r>
      <w:r w:rsidRPr="00106E80">
        <w:rPr>
          <w:rStyle w:val="Emphasis"/>
        </w:rPr>
        <w:t>National Health and Medical Research Council Act 1992</w:t>
      </w:r>
      <w:r w:rsidRPr="00106E80">
        <w:rPr>
          <w:i/>
          <w:iCs/>
        </w:rPr>
        <w:t xml:space="preserve"> </w:t>
      </w:r>
      <w:r w:rsidRPr="00106E80">
        <w:t>(NHMRC Act)</w:t>
      </w:r>
      <w:r w:rsidR="007E2003" w:rsidRPr="00106E80">
        <w:t xml:space="preserve">, the </w:t>
      </w:r>
      <w:r w:rsidR="00E13BC0" w:rsidRPr="00106E80">
        <w:t xml:space="preserve">CEO of NHMRC is </w:t>
      </w:r>
      <w:r w:rsidR="007E2003" w:rsidRPr="00106E80">
        <w:t>responsible for inquiring into and issuing guidelines on matters relating to the im</w:t>
      </w:r>
      <w:r w:rsidR="00106E80" w:rsidRPr="00106E80">
        <w:t>provement of health and the prevent</w:t>
      </w:r>
      <w:r w:rsidR="00106E80" w:rsidRPr="006B02B6">
        <w:t xml:space="preserve">ion, diagnosis and treatment of disease. </w:t>
      </w:r>
      <w:r w:rsidR="00F971BA" w:rsidRPr="006B02B6">
        <w:t xml:space="preserve">The </w:t>
      </w:r>
      <w:r w:rsidR="00106E80" w:rsidRPr="006B02B6">
        <w:t>CEO is</w:t>
      </w:r>
      <w:r w:rsidR="001716CC" w:rsidRPr="006B02B6">
        <w:t xml:space="preserve"> </w:t>
      </w:r>
      <w:r w:rsidR="00E13BC0" w:rsidRPr="006B02B6">
        <w:t>advised by the Council of NHMRC (Council)</w:t>
      </w:r>
      <w:r w:rsidR="00731206">
        <w:t xml:space="preserve"> </w:t>
      </w:r>
      <w:r w:rsidR="002E5119">
        <w:t xml:space="preserve">and </w:t>
      </w:r>
      <w:r w:rsidR="00731206">
        <w:t xml:space="preserve">the various NHMRC Principal and Working </w:t>
      </w:r>
      <w:r w:rsidR="002E5119">
        <w:t xml:space="preserve">Committees established </w:t>
      </w:r>
      <w:r w:rsidR="00A127B7">
        <w:t>under the NHMRC Act</w:t>
      </w:r>
      <w:r w:rsidR="00E13BC0" w:rsidRPr="006B02B6">
        <w:t xml:space="preserve">. </w:t>
      </w:r>
    </w:p>
    <w:p w14:paraId="224CC146" w14:textId="33423296" w:rsidR="005634B8" w:rsidRDefault="005634B8" w:rsidP="00770C7C">
      <w:r>
        <w:t xml:space="preserve">The CEO, Council and Committees are supported by </w:t>
      </w:r>
      <w:r w:rsidR="343E59B4">
        <w:t xml:space="preserve">the Office of </w:t>
      </w:r>
      <w:r>
        <w:t>NHMRC, who have responsibility for the ongoing project management of NRVs reviews.</w:t>
      </w:r>
    </w:p>
    <w:p w14:paraId="37935B97" w14:textId="3A5B0FF2" w:rsidR="00823595" w:rsidRDefault="00823595" w:rsidP="003E2E95">
      <w:pPr>
        <w:pStyle w:val="Heading40"/>
      </w:pPr>
      <w:bookmarkStart w:id="31" w:name="_Toc153967097"/>
      <w:bookmarkStart w:id="32" w:name="_Toc207801036"/>
      <w:bookmarkStart w:id="33" w:name="_Toc207824513"/>
      <w:r>
        <w:t xml:space="preserve">Council and </w:t>
      </w:r>
      <w:bookmarkEnd w:id="31"/>
      <w:r w:rsidR="002E560C">
        <w:t>c</w:t>
      </w:r>
      <w:r>
        <w:t>ommittees</w:t>
      </w:r>
      <w:bookmarkEnd w:id="32"/>
      <w:bookmarkEnd w:id="33"/>
    </w:p>
    <w:p w14:paraId="02CC6C35" w14:textId="60D28C93" w:rsidR="00330E24" w:rsidRDefault="00330E24" w:rsidP="003E2E95">
      <w:pPr>
        <w:pStyle w:val="Heading50"/>
      </w:pPr>
      <w:bookmarkStart w:id="34" w:name="_Toc207801037"/>
      <w:bookmarkStart w:id="35" w:name="_Toc207824514"/>
      <w:r>
        <w:t>Council of NHMRC</w:t>
      </w:r>
      <w:bookmarkEnd w:id="34"/>
      <w:bookmarkEnd w:id="35"/>
    </w:p>
    <w:p w14:paraId="0867DBAA" w14:textId="6923FDB8" w:rsidR="009C060B" w:rsidRPr="009C060B" w:rsidRDefault="005C177A" w:rsidP="009C060B">
      <w:r w:rsidRPr="005C177A">
        <w:t>The Council of NHMRC is established under the NHMRC Act to advise the CEO and perform functions conferred on it.</w:t>
      </w:r>
      <w:r w:rsidR="005A24D3">
        <w:t xml:space="preserve"> </w:t>
      </w:r>
      <w:r w:rsidR="003B7856" w:rsidRPr="003B7856">
        <w:t xml:space="preserve">Revised NRVs will be reviewed by Council prior to public consultation. The final NRVs will also be </w:t>
      </w:r>
      <w:r w:rsidR="005A24D3">
        <w:t xml:space="preserve">presented to Council for </w:t>
      </w:r>
      <w:r w:rsidR="005A24D3" w:rsidRPr="005A24D3">
        <w:t>consideration</w:t>
      </w:r>
      <w:r w:rsidR="009B4BB6">
        <w:t xml:space="preserve"> and to seek </w:t>
      </w:r>
      <w:r w:rsidR="005A24D3">
        <w:t xml:space="preserve">Council’s </w:t>
      </w:r>
      <w:r w:rsidR="005A24D3" w:rsidRPr="005A24D3">
        <w:t>recommendation for release by the CEO.</w:t>
      </w:r>
    </w:p>
    <w:p w14:paraId="101E5484" w14:textId="56899508" w:rsidR="00464629" w:rsidRDefault="00464629" w:rsidP="003E2E95">
      <w:pPr>
        <w:pStyle w:val="Heading50"/>
      </w:pPr>
      <w:bookmarkStart w:id="36" w:name="_Toc207801038"/>
      <w:bookmarkStart w:id="37" w:name="_Toc207824515"/>
      <w:r>
        <w:lastRenderedPageBreak/>
        <w:t>Section 39 Committees</w:t>
      </w:r>
      <w:bookmarkEnd w:id="36"/>
      <w:bookmarkEnd w:id="37"/>
    </w:p>
    <w:p w14:paraId="7727286C" w14:textId="68CFF9BD" w:rsidR="00464629" w:rsidRDefault="00464629" w:rsidP="00464629">
      <w:r>
        <w:t xml:space="preserve">The review of NRVs for Australia and New Zealand is supported by </w:t>
      </w:r>
      <w:r w:rsidR="00C72BD3">
        <w:t xml:space="preserve">various </w:t>
      </w:r>
      <w:r w:rsidR="00970EEA">
        <w:t>c</w:t>
      </w:r>
      <w:r>
        <w:t xml:space="preserve">ommittees established under </w:t>
      </w:r>
      <w:r w:rsidR="003B7856">
        <w:t xml:space="preserve">Section </w:t>
      </w:r>
      <w:r>
        <w:t xml:space="preserve">39 of the </w:t>
      </w:r>
      <w:r w:rsidR="003B7856" w:rsidRPr="003B7856">
        <w:t>NHMRC Act</w:t>
      </w:r>
      <w:r w:rsidR="003B7856">
        <w:rPr>
          <w:rStyle w:val="Emphasis"/>
        </w:rPr>
        <w:t>.</w:t>
      </w:r>
      <w:r>
        <w:t xml:space="preserve"> This includes </w:t>
      </w:r>
      <w:r w:rsidR="00730327">
        <w:t xml:space="preserve">an overarching Steering Group Advisory Committee (the Advisory Committee) and </w:t>
      </w:r>
      <w:r w:rsidR="00B1448A">
        <w:t>n</w:t>
      </w:r>
      <w:r w:rsidR="00730327">
        <w:t>utrient-</w:t>
      </w:r>
      <w:r w:rsidR="00B1448A">
        <w:t>s</w:t>
      </w:r>
      <w:r w:rsidR="00730327">
        <w:t xml:space="preserve">pecific </w:t>
      </w:r>
      <w:r w:rsidR="00BD7DE4">
        <w:t>e</w:t>
      </w:r>
      <w:r w:rsidR="00730327">
        <w:t xml:space="preserve">xpert </w:t>
      </w:r>
      <w:r w:rsidR="00970EEA">
        <w:t>w</w:t>
      </w:r>
      <w:r w:rsidR="00730327">
        <w:t xml:space="preserve">orking </w:t>
      </w:r>
      <w:r w:rsidR="00970EEA">
        <w:t>g</w:t>
      </w:r>
      <w:r w:rsidR="00730327">
        <w:t>roups.</w:t>
      </w:r>
    </w:p>
    <w:p w14:paraId="09300A00" w14:textId="5DC2321C" w:rsidR="00DF4FF3" w:rsidRDefault="00DF4FF3" w:rsidP="00464629">
      <w:r>
        <w:t xml:space="preserve">Committee membership aims to achieve representation across Australia and New Zealand, </w:t>
      </w:r>
      <w:r w:rsidR="00FB33EF">
        <w:t xml:space="preserve">and to </w:t>
      </w:r>
      <w:r w:rsidR="000D572C">
        <w:t xml:space="preserve">include a </w:t>
      </w:r>
      <w:r w:rsidR="00FB33EF">
        <w:t xml:space="preserve">balance </w:t>
      </w:r>
      <w:r w:rsidR="000D572C">
        <w:t xml:space="preserve">of </w:t>
      </w:r>
      <w:r w:rsidR="00FB33EF">
        <w:t>early and mid-career experts to allow f</w:t>
      </w:r>
      <w:r w:rsidRPr="00C10B8D">
        <w:t>or continuity and succession planning.</w:t>
      </w:r>
    </w:p>
    <w:p w14:paraId="41BBBBE3" w14:textId="16B29AFC" w:rsidR="00BE7AA0" w:rsidRPr="00464629" w:rsidRDefault="00BE7AA0" w:rsidP="00F31715">
      <w:pPr>
        <w:pStyle w:val="Heading60"/>
      </w:pPr>
      <w:bookmarkStart w:id="38" w:name="_Toc207801039"/>
      <w:bookmarkStart w:id="39" w:name="_Toc207824516"/>
      <w:r>
        <w:t>Steering Group Advisory Committee</w:t>
      </w:r>
      <w:bookmarkEnd w:id="38"/>
      <w:bookmarkEnd w:id="39"/>
    </w:p>
    <w:p w14:paraId="3F31C131" w14:textId="6D3BABCD" w:rsidR="00275C89" w:rsidRDefault="00275C89" w:rsidP="00275C89">
      <w:r>
        <w:t xml:space="preserve">The </w:t>
      </w:r>
      <w:r w:rsidR="004B4B22">
        <w:t xml:space="preserve">role of the </w:t>
      </w:r>
      <w:r w:rsidR="00F30FF5">
        <w:t xml:space="preserve">Advisory Committee </w:t>
      </w:r>
      <w:r>
        <w:t xml:space="preserve">is </w:t>
      </w:r>
      <w:r w:rsidR="002C0323">
        <w:t xml:space="preserve">to </w:t>
      </w:r>
      <w:r w:rsidR="00BE7AA0">
        <w:t xml:space="preserve">provide </w:t>
      </w:r>
      <w:r w:rsidRPr="00C10B8D">
        <w:t xml:space="preserve">independent technical expertise </w:t>
      </w:r>
      <w:r w:rsidR="00BE7AA0">
        <w:t xml:space="preserve">and strategic advice </w:t>
      </w:r>
      <w:r w:rsidRPr="00C10B8D">
        <w:t xml:space="preserve">to </w:t>
      </w:r>
      <w:r w:rsidR="009003AC">
        <w:t>NHMRC</w:t>
      </w:r>
      <w:r w:rsidR="00CF41AB">
        <w:t xml:space="preserve">, and </w:t>
      </w:r>
      <w:r w:rsidRPr="00C10B8D">
        <w:t>the Steering Group</w:t>
      </w:r>
      <w:r w:rsidR="00913B37">
        <w:t xml:space="preserve"> more broadly</w:t>
      </w:r>
      <w:r w:rsidRPr="00C10B8D">
        <w:t>.</w:t>
      </w:r>
      <w:r w:rsidR="00BE7AA0">
        <w:t xml:space="preserve"> It also </w:t>
      </w:r>
      <w:r w:rsidR="00BE7AA0" w:rsidRPr="00BE7AA0">
        <w:t>guides the work of the nutrient-specific expert working groups</w:t>
      </w:r>
      <w:r w:rsidR="00F61DAC">
        <w:t>.</w:t>
      </w:r>
    </w:p>
    <w:p w14:paraId="67CCD575" w14:textId="12F0BF9D" w:rsidR="002F7CF2" w:rsidRPr="002F7CF2" w:rsidRDefault="00F30FF5" w:rsidP="00275C89">
      <w:r>
        <w:t>Membership of the Advisory Committee</w:t>
      </w:r>
      <w:r w:rsidR="00275C89" w:rsidRPr="00C10B8D">
        <w:t xml:space="preserve"> </w:t>
      </w:r>
      <w:r>
        <w:t xml:space="preserve">aims to achieve representation across </w:t>
      </w:r>
      <w:r w:rsidR="00275C89" w:rsidRPr="00C10B8D">
        <w:t>Australia and New Zealand</w:t>
      </w:r>
      <w:r>
        <w:t>, and comprises individ</w:t>
      </w:r>
      <w:r w:rsidR="00BE7AA0">
        <w:t>u</w:t>
      </w:r>
      <w:r>
        <w:t xml:space="preserve">als </w:t>
      </w:r>
      <w:r w:rsidR="00275C89" w:rsidRPr="00C10B8D">
        <w:t xml:space="preserve">with technical expertise in </w:t>
      </w:r>
      <w:r w:rsidR="009835CB">
        <w:t>macronutrients</w:t>
      </w:r>
      <w:r w:rsidR="009835CB" w:rsidRPr="00C10B8D">
        <w:t>,</w:t>
      </w:r>
      <w:r w:rsidR="009835CB">
        <w:t xml:space="preserve"> </w:t>
      </w:r>
      <w:r w:rsidR="00275C89" w:rsidRPr="00C10B8D">
        <w:t>micronutrients</w:t>
      </w:r>
      <w:r w:rsidR="009835CB">
        <w:t xml:space="preserve">, </w:t>
      </w:r>
      <w:r w:rsidR="00275C89" w:rsidRPr="00C10B8D">
        <w:t xml:space="preserve">toxicology, public health, end user needs, </w:t>
      </w:r>
      <w:r w:rsidR="00275C89">
        <w:t xml:space="preserve">nutrition methodology, </w:t>
      </w:r>
      <w:r w:rsidR="00275C89" w:rsidRPr="00C10B8D">
        <w:t>research, chronic disease and/or nutrition.</w:t>
      </w:r>
    </w:p>
    <w:p w14:paraId="51E69491" w14:textId="6CEF69CC" w:rsidR="0067054F" w:rsidRDefault="00CD0400" w:rsidP="00F31715">
      <w:pPr>
        <w:pStyle w:val="Heading60"/>
      </w:pPr>
      <w:bookmarkStart w:id="40" w:name="_Toc207801040"/>
      <w:bookmarkStart w:id="41" w:name="_Toc207824517"/>
      <w:r>
        <w:t>Nutrient-</w:t>
      </w:r>
      <w:r w:rsidR="0037132E">
        <w:t>specific expert working groups</w:t>
      </w:r>
      <w:bookmarkEnd w:id="40"/>
      <w:bookmarkEnd w:id="41"/>
    </w:p>
    <w:p w14:paraId="125AEC06" w14:textId="0096581E" w:rsidR="005D1F29" w:rsidRDefault="005D1F29" w:rsidP="005D1F29">
      <w:pPr>
        <w:rPr>
          <w:rFonts w:eastAsia="Times New Roman" w:cs="Helvetica"/>
          <w:shd w:val="clear" w:color="auto" w:fill="FFFFFF"/>
        </w:rPr>
      </w:pPr>
      <w:r>
        <w:t xml:space="preserve">For each NRV review, a nutrient-specific </w:t>
      </w:r>
      <w:r w:rsidR="0037132E">
        <w:t>expert working group</w:t>
      </w:r>
      <w:r>
        <w:t xml:space="preserve"> </w:t>
      </w:r>
      <w:r w:rsidR="00753550">
        <w:t xml:space="preserve">is </w:t>
      </w:r>
      <w:r>
        <w:t>established</w:t>
      </w:r>
      <w:r w:rsidR="00753550">
        <w:t xml:space="preserve"> to </w:t>
      </w:r>
      <w:r w:rsidRPr="00C10B8D">
        <w:rPr>
          <w:rFonts w:eastAsia="Times New Roman" w:cs="Helvetica"/>
          <w:shd w:val="clear" w:color="auto" w:fill="FFFFFF"/>
        </w:rPr>
        <w:t>provide advice and guidance to NHMRC on the review of the evidence</w:t>
      </w:r>
      <w:r w:rsidR="00623F9E">
        <w:rPr>
          <w:rFonts w:eastAsia="Times New Roman" w:cs="Helvetica"/>
          <w:shd w:val="clear" w:color="auto" w:fill="FFFFFF"/>
        </w:rPr>
        <w:t>,</w:t>
      </w:r>
      <w:r w:rsidRPr="00C10B8D">
        <w:rPr>
          <w:rFonts w:eastAsia="Times New Roman" w:cs="Helvetica"/>
          <w:shd w:val="clear" w:color="auto" w:fill="FFFFFF"/>
        </w:rPr>
        <w:t xml:space="preserve"> and </w:t>
      </w:r>
      <w:r w:rsidR="00464629">
        <w:rPr>
          <w:rFonts w:eastAsia="Times New Roman" w:cs="Helvetica"/>
          <w:shd w:val="clear" w:color="auto" w:fill="FFFFFF"/>
        </w:rPr>
        <w:t xml:space="preserve">support </w:t>
      </w:r>
      <w:r w:rsidRPr="00C10B8D">
        <w:rPr>
          <w:rFonts w:eastAsia="Times New Roman" w:cs="Helvetica"/>
          <w:shd w:val="clear" w:color="auto" w:fill="FFFFFF"/>
        </w:rPr>
        <w:t>develop</w:t>
      </w:r>
      <w:r w:rsidR="00464629">
        <w:rPr>
          <w:rFonts w:eastAsia="Times New Roman" w:cs="Helvetica"/>
          <w:shd w:val="clear" w:color="auto" w:fill="FFFFFF"/>
        </w:rPr>
        <w:t>ment of</w:t>
      </w:r>
      <w:r w:rsidRPr="00C10B8D">
        <w:rPr>
          <w:rFonts w:eastAsia="Times New Roman" w:cs="Helvetica"/>
          <w:shd w:val="clear" w:color="auto" w:fill="FFFFFF"/>
        </w:rPr>
        <w:t xml:space="preserve"> nutrient</w:t>
      </w:r>
      <w:r w:rsidR="00464629">
        <w:rPr>
          <w:rFonts w:eastAsia="Times New Roman" w:cs="Helvetica"/>
          <w:shd w:val="clear" w:color="auto" w:fill="FFFFFF"/>
        </w:rPr>
        <w:t>-</w:t>
      </w:r>
      <w:r w:rsidRPr="00C10B8D">
        <w:rPr>
          <w:rFonts w:eastAsia="Times New Roman" w:cs="Helvetica"/>
          <w:shd w:val="clear" w:color="auto" w:fill="FFFFFF"/>
        </w:rPr>
        <w:t>specific NRVs</w:t>
      </w:r>
      <w:r w:rsidR="00623F9E">
        <w:rPr>
          <w:rFonts w:eastAsia="Times New Roman" w:cs="Helvetica"/>
          <w:shd w:val="clear" w:color="auto" w:fill="FFFFFF"/>
        </w:rPr>
        <w:t xml:space="preserve"> in consultation with the Advisory Committee.</w:t>
      </w:r>
    </w:p>
    <w:p w14:paraId="087450FE" w14:textId="5A62F264" w:rsidR="0067054F" w:rsidRPr="0067054F" w:rsidRDefault="002141C5" w:rsidP="0067054F">
      <w:r>
        <w:t xml:space="preserve">Membership of the </w:t>
      </w:r>
      <w:r w:rsidR="0037132E">
        <w:t>e</w:t>
      </w:r>
      <w:r w:rsidR="0037132E" w:rsidRPr="00C10B8D">
        <w:t>xpert</w:t>
      </w:r>
      <w:r w:rsidR="0037132E">
        <w:t xml:space="preserve"> working groups</w:t>
      </w:r>
      <w:r w:rsidR="005D1F29" w:rsidRPr="00C10B8D">
        <w:t xml:space="preserve"> </w:t>
      </w:r>
      <w:r>
        <w:t xml:space="preserve">is </w:t>
      </w:r>
      <w:r w:rsidR="005D1F29" w:rsidRPr="00C10B8D">
        <w:t>representative of Australia and New Zealand</w:t>
      </w:r>
      <w:r>
        <w:t xml:space="preserve"> and comprises individuals with </w:t>
      </w:r>
      <w:r w:rsidR="005D1F29" w:rsidRPr="00C10B8D">
        <w:t xml:space="preserve">expertise in the key areas of nutrition science, food and dietary patterns, population health, </w:t>
      </w:r>
      <w:r w:rsidR="009835CB">
        <w:t>macronutrients,</w:t>
      </w:r>
      <w:r w:rsidR="002D4FA0">
        <w:t xml:space="preserve"> </w:t>
      </w:r>
      <w:r w:rsidR="005D1F29" w:rsidRPr="00C10B8D">
        <w:t>micronutrients, toxicity, end user needs, dietary modelling and review methodology</w:t>
      </w:r>
      <w:r w:rsidR="00330E24">
        <w:t xml:space="preserve">. </w:t>
      </w:r>
      <w:r w:rsidR="005D1F29" w:rsidRPr="00C10B8D">
        <w:t>Expertise in Indigenous health (specifically Aboriginal and Torres Strait Islander</w:t>
      </w:r>
      <w:r w:rsidR="004E69FD">
        <w:t>,</w:t>
      </w:r>
      <w:r w:rsidR="005D1F29" w:rsidRPr="00C10B8D">
        <w:t xml:space="preserve"> </w:t>
      </w:r>
      <w:r w:rsidR="52D8EB9F">
        <w:t>Māori</w:t>
      </w:r>
      <w:r w:rsidR="004E69FD">
        <w:t xml:space="preserve"> and </w:t>
      </w:r>
      <w:r w:rsidR="004D7035">
        <w:t>Pacific</w:t>
      </w:r>
      <w:r w:rsidR="00652382">
        <w:t xml:space="preserve"> populations</w:t>
      </w:r>
      <w:r w:rsidR="005D1F29" w:rsidRPr="00C10B8D">
        <w:t>) and consumer issues should also be represented.</w:t>
      </w:r>
      <w:r w:rsidR="0088462F">
        <w:t xml:space="preserve"> Additional </w:t>
      </w:r>
      <w:r w:rsidR="007B6DAB">
        <w:t xml:space="preserve">expertise may be sought </w:t>
      </w:r>
      <w:r w:rsidR="004D661D">
        <w:t xml:space="preserve">where knowledge outside the composition of the </w:t>
      </w:r>
      <w:r w:rsidR="0037132E">
        <w:t>e</w:t>
      </w:r>
      <w:r w:rsidR="009844BA">
        <w:t xml:space="preserve">xpert </w:t>
      </w:r>
      <w:r w:rsidR="0037132E">
        <w:t>w</w:t>
      </w:r>
      <w:r w:rsidR="009844BA">
        <w:t xml:space="preserve">orking </w:t>
      </w:r>
      <w:r w:rsidR="0037132E">
        <w:t>g</w:t>
      </w:r>
      <w:r w:rsidR="009844BA">
        <w:t>roups</w:t>
      </w:r>
      <w:r w:rsidR="0055025D">
        <w:t xml:space="preserve"> is required (i.e. public health</w:t>
      </w:r>
      <w:r w:rsidR="00970EEA">
        <w:t>,</w:t>
      </w:r>
      <w:r w:rsidR="0055025D">
        <w:t xml:space="preserve"> genomics, microbiology, agricultural science).</w:t>
      </w:r>
    </w:p>
    <w:p w14:paraId="0DB421C0" w14:textId="2F70901C" w:rsidR="00A03E1D" w:rsidRDefault="00A03E1D" w:rsidP="003E2E95">
      <w:pPr>
        <w:pStyle w:val="Heading40"/>
      </w:pPr>
      <w:bookmarkStart w:id="42" w:name="_Toc153967098"/>
      <w:bookmarkStart w:id="43" w:name="_Toc207801041"/>
      <w:bookmarkStart w:id="44" w:name="_Toc207824518"/>
      <w:r>
        <w:t xml:space="preserve">Governing </w:t>
      </w:r>
      <w:r w:rsidR="00382B06">
        <w:t>s</w:t>
      </w:r>
      <w:r>
        <w:t>tandards</w:t>
      </w:r>
      <w:r w:rsidR="00F37825">
        <w:t xml:space="preserve"> for guideline development</w:t>
      </w:r>
      <w:bookmarkEnd w:id="42"/>
      <w:bookmarkEnd w:id="43"/>
      <w:bookmarkEnd w:id="44"/>
    </w:p>
    <w:p w14:paraId="7F74E743" w14:textId="07ED296B" w:rsidR="00A03E1D" w:rsidRDefault="00DC7704" w:rsidP="00A03E1D">
      <w:r>
        <w:t xml:space="preserve">The </w:t>
      </w:r>
      <w:r w:rsidRPr="00DC7704">
        <w:rPr>
          <w:rStyle w:val="Emphasis"/>
        </w:rPr>
        <w:t xml:space="preserve">2016 NHMRC Standards for Guidelines </w:t>
      </w:r>
      <w:r>
        <w:rPr>
          <w:rStyle w:val="Emphasis"/>
          <w:i w:val="0"/>
          <w:iCs w:val="0"/>
        </w:rPr>
        <w:t xml:space="preserve">and accompanying </w:t>
      </w:r>
      <w:r>
        <w:rPr>
          <w:rStyle w:val="Emphasis"/>
        </w:rPr>
        <w:t xml:space="preserve">Guidelines for </w:t>
      </w:r>
      <w:r w:rsidRPr="00DC7704">
        <w:rPr>
          <w:rStyle w:val="Emphasis"/>
        </w:rPr>
        <w:t>Guidelines</w:t>
      </w:r>
      <w:r>
        <w:rPr>
          <w:rStyle w:val="Emphasis"/>
          <w:i w:val="0"/>
          <w:iCs w:val="0"/>
        </w:rPr>
        <w:t xml:space="preserve"> handbook have been developed </w:t>
      </w:r>
      <w:r w:rsidR="001C1D37">
        <w:rPr>
          <w:rStyle w:val="Emphasis"/>
          <w:i w:val="0"/>
          <w:iCs w:val="0"/>
        </w:rPr>
        <w:t xml:space="preserve">to </w:t>
      </w:r>
      <w:r w:rsidR="002A37AB">
        <w:rPr>
          <w:rStyle w:val="Emphasis"/>
          <w:i w:val="0"/>
          <w:iCs w:val="0"/>
        </w:rPr>
        <w:t xml:space="preserve">support </w:t>
      </w:r>
      <w:r w:rsidR="001C1D37">
        <w:rPr>
          <w:rStyle w:val="Emphasis"/>
          <w:i w:val="0"/>
          <w:iCs w:val="0"/>
        </w:rPr>
        <w:t>the production</w:t>
      </w:r>
      <w:r w:rsidR="002A37AB">
        <w:rPr>
          <w:rStyle w:val="Emphasis"/>
          <w:i w:val="0"/>
          <w:iCs w:val="0"/>
        </w:rPr>
        <w:t xml:space="preserve"> of </w:t>
      </w:r>
      <w:r w:rsidR="00F42B94">
        <w:rPr>
          <w:rStyle w:val="Emphasis"/>
          <w:i w:val="0"/>
          <w:iCs w:val="0"/>
        </w:rPr>
        <w:t>high-quality</w:t>
      </w:r>
      <w:r w:rsidR="002A37AB">
        <w:rPr>
          <w:rStyle w:val="Emphasis"/>
          <w:i w:val="0"/>
          <w:iCs w:val="0"/>
        </w:rPr>
        <w:t xml:space="preserve"> guidelines that meet the 2016 NHMRC Standards</w:t>
      </w:r>
      <w:r w:rsidR="0078637A">
        <w:rPr>
          <w:rStyle w:val="Emphasis"/>
          <w:i w:val="0"/>
          <w:iCs w:val="0"/>
        </w:rPr>
        <w:t>. They are</w:t>
      </w:r>
      <w:r w:rsidRPr="00DC7704">
        <w:t xml:space="preserve"> applicable to all guidelines containing recommendations for clinical practice, public and environmental health</w:t>
      </w:r>
      <w:r w:rsidR="0078637A">
        <w:t xml:space="preserve"> including the development of </w:t>
      </w:r>
      <w:r w:rsidR="00F93983">
        <w:t>NRVs</w:t>
      </w:r>
      <w:r w:rsidR="0078637A">
        <w:t>.</w:t>
      </w:r>
    </w:p>
    <w:p w14:paraId="1CF203F1" w14:textId="77777777" w:rsidR="00E072FD" w:rsidRDefault="004E27ED" w:rsidP="00E072FD">
      <w:r>
        <w:t xml:space="preserve">The </w:t>
      </w:r>
      <w:hyperlink r:id="rId29" w:history="1">
        <w:r w:rsidRPr="00B614A8">
          <w:rPr>
            <w:rStyle w:val="Hyperlink"/>
          </w:rPr>
          <w:t>Guidelines for Guidelines Handbook</w:t>
        </w:r>
      </w:hyperlink>
      <w:r>
        <w:t xml:space="preserve"> is advice designed to help guideline developers produce high quality guidelines that meet the </w:t>
      </w:r>
      <w:r w:rsidRPr="00132CB5">
        <w:t>2016</w:t>
      </w:r>
      <w:r>
        <w:t xml:space="preserve"> NHMRC Standards for Guidelines.</w:t>
      </w:r>
      <w:bookmarkStart w:id="45" w:name="_Toc153967099"/>
      <w:bookmarkStart w:id="46" w:name="_Toc207801042"/>
      <w:bookmarkStart w:id="47" w:name="_Toc207824519"/>
    </w:p>
    <w:p w14:paraId="6624064B" w14:textId="732992CF" w:rsidR="00823595" w:rsidRDefault="00823595" w:rsidP="00E072FD">
      <w:pPr>
        <w:pStyle w:val="Heading40"/>
      </w:pPr>
      <w:r>
        <w:t xml:space="preserve">Independent </w:t>
      </w:r>
      <w:r w:rsidR="00007025">
        <w:t>third-party</w:t>
      </w:r>
      <w:r>
        <w:t xml:space="preserve"> review processe</w:t>
      </w:r>
      <w:r w:rsidR="00F37825">
        <w:t>s</w:t>
      </w:r>
      <w:bookmarkEnd w:id="45"/>
      <w:bookmarkEnd w:id="46"/>
      <w:bookmarkEnd w:id="47"/>
    </w:p>
    <w:p w14:paraId="09901863" w14:textId="1E23870F" w:rsidR="00823595" w:rsidRDefault="00823595" w:rsidP="003E2E95">
      <w:pPr>
        <w:pStyle w:val="Heading50"/>
      </w:pPr>
      <w:bookmarkStart w:id="48" w:name="_Toc207801043"/>
      <w:bookmarkStart w:id="49" w:name="_Toc207824520"/>
      <w:r>
        <w:t>Methodological review</w:t>
      </w:r>
      <w:bookmarkEnd w:id="48"/>
      <w:bookmarkEnd w:id="49"/>
    </w:p>
    <w:p w14:paraId="3807162D" w14:textId="4E55562E" w:rsidR="00B54000" w:rsidRDefault="00B54000" w:rsidP="00A666F3">
      <w:r>
        <w:t xml:space="preserve">For adopting/adapting </w:t>
      </w:r>
      <w:r w:rsidR="00B04EF1">
        <w:t>international NRVs or the evidence underpinning them</w:t>
      </w:r>
      <w:r w:rsidR="00173BAE">
        <w:t>,</w:t>
      </w:r>
      <w:r w:rsidR="00B04EF1">
        <w:t xml:space="preserve"> </w:t>
      </w:r>
      <w:r w:rsidRPr="00B54000">
        <w:t>seek expert methodological advice early in the scoping phase to help you decide on the best approach.</w:t>
      </w:r>
    </w:p>
    <w:p w14:paraId="6F26208B" w14:textId="241AED1C" w:rsidR="00C305FE" w:rsidRDefault="0075546A" w:rsidP="00A666F3">
      <w:r>
        <w:lastRenderedPageBreak/>
        <w:t xml:space="preserve">For evidence evaluations commissioned by NHMRC, independent methodological review is undertaken </w:t>
      </w:r>
      <w:r w:rsidR="0010278F">
        <w:t>on both the research protocol and evidence evaluation report</w:t>
      </w:r>
      <w:r w:rsidR="0009172C">
        <w:t xml:space="preserve"> prior to finalisation</w:t>
      </w:r>
      <w:r w:rsidR="0010278F">
        <w:t xml:space="preserve">. Methodological review </w:t>
      </w:r>
      <w:r>
        <w:t>assess</w:t>
      </w:r>
      <w:r w:rsidR="0010278F">
        <w:t>es</w:t>
      </w:r>
      <w:r>
        <w:t xml:space="preserve"> the rigour of the </w:t>
      </w:r>
      <w:r w:rsidR="005A4486">
        <w:t xml:space="preserve">evidence </w:t>
      </w:r>
      <w:r>
        <w:t>review methods</w:t>
      </w:r>
      <w:r w:rsidR="00C305FE">
        <w:t xml:space="preserve"> and examine</w:t>
      </w:r>
      <w:r w:rsidR="005A4486">
        <w:t>s</w:t>
      </w:r>
      <w:r w:rsidR="00C305FE">
        <w:t xml:space="preserve"> whether the review has been undertaken in accordance with the specified methods. </w:t>
      </w:r>
      <w:r w:rsidR="005A4486">
        <w:t xml:space="preserve">It also </w:t>
      </w:r>
      <w:r w:rsidR="00C305FE">
        <w:t>evaluates the quality and comprehensiveness of reporting</w:t>
      </w:r>
      <w:r w:rsidR="005A4486">
        <w:t xml:space="preserve"> and </w:t>
      </w:r>
      <w:r w:rsidR="000448BD">
        <w:t>provides advice about whether the review’s conclusions are supported by the body of evidence</w:t>
      </w:r>
      <w:r w:rsidR="00C305FE">
        <w:t xml:space="preserve">. </w:t>
      </w:r>
    </w:p>
    <w:p w14:paraId="62235330" w14:textId="7D8A1BBF" w:rsidR="00A666F3" w:rsidRDefault="00482C15" w:rsidP="00A666F3">
      <w:r>
        <w:t xml:space="preserve">To assess the methodological rigour and reporting </w:t>
      </w:r>
      <w:r w:rsidR="00A666F3">
        <w:t>quality of systematic reviews</w:t>
      </w:r>
      <w:r>
        <w:t xml:space="preserve">, methodological review should </w:t>
      </w:r>
      <w:r w:rsidR="00F44EC4">
        <w:t xml:space="preserve">apply </w:t>
      </w:r>
      <w:r>
        <w:t xml:space="preserve">a range of </w:t>
      </w:r>
      <w:r w:rsidR="00F44EC4">
        <w:t xml:space="preserve">established </w:t>
      </w:r>
      <w:r w:rsidR="00A666F3">
        <w:t>tools</w:t>
      </w:r>
      <w:r w:rsidR="00F44EC4">
        <w:t>, with an emphasis on tools that have been scientifically tested and validated</w:t>
      </w:r>
      <w:r w:rsidR="00A666F3">
        <w:t>. Examples of such tools include:</w:t>
      </w:r>
    </w:p>
    <w:p w14:paraId="003B3235" w14:textId="3A9FB9B3" w:rsidR="00A666F3" w:rsidRDefault="00A666F3" w:rsidP="00211F4C">
      <w:pPr>
        <w:pStyle w:val="ListParagraph"/>
        <w:numPr>
          <w:ilvl w:val="0"/>
          <w:numId w:val="15"/>
        </w:numPr>
        <w:spacing w:before="0" w:after="160" w:line="259" w:lineRule="auto"/>
        <w:contextualSpacing/>
      </w:pPr>
      <w:r>
        <w:t xml:space="preserve">A </w:t>
      </w:r>
      <w:proofErr w:type="spellStart"/>
      <w:r>
        <w:t>MeaSurement</w:t>
      </w:r>
      <w:proofErr w:type="spellEnd"/>
      <w:r>
        <w:t xml:space="preserve"> Tool to Assess systematic Reviews (AMSTAR II)</w:t>
      </w:r>
      <w:r w:rsidR="0039342A">
        <w:t xml:space="preserve"> </w:t>
      </w:r>
      <w:r w:rsidR="0039342A">
        <w:fldChar w:fldCharType="begin"/>
      </w:r>
      <w:r w:rsidR="00705079">
        <w:instrText xml:space="preserve"> ADDIN EN.CITE &lt;EndNote&gt;&lt;Cite&gt;&lt;Author&gt;Shea&lt;/Author&gt;&lt;Year&gt;2017&lt;/Year&gt;&lt;RecNum&gt;91&lt;/RecNum&gt;&lt;DisplayText&gt;(Shea et al. 2017)&lt;/DisplayText&gt;&lt;record&gt;&lt;rec-number&gt;91&lt;/rec-number&gt;&lt;foreign-keys&gt;&lt;key app="EN" db-id="zxfaevvrgpsxebez5ec5vspfe2av5dtxt9xx" timestamp="1754959384"&gt;91&lt;/key&gt;&lt;/foreign-keys&gt;&lt;ref-type name="Journal Article"&gt;17&lt;/ref-type&gt;&lt;contributors&gt;&lt;authors&gt;&lt;author&gt;Shea, Beverley J&lt;/author&gt;&lt;author&gt;Reeves, Barnaby C&lt;/author&gt;&lt;author&gt;Wells, George&lt;/author&gt;&lt;author&gt;Thuku, Micere&lt;/author&gt;&lt;author&gt;Hamel, Candyce&lt;/author&gt;&lt;author&gt;Moran, Julian&lt;/author&gt;&lt;author&gt;Moher, David&lt;/author&gt;&lt;author&gt;Tugwell, Peter&lt;/author&gt;&lt;author&gt;Welch, Vivian&lt;/author&gt;&lt;author&gt;Kristjansson, Elizabeth&lt;/author&gt;&lt;author&gt;Henry, David A&lt;/author&gt;&lt;/authors&gt;&lt;/contributors&gt;&lt;titles&gt;&lt;title&gt;AMSTAR 2: a critical appraisal tool for systematic reviews that include randomised or non-randomised studies of healthcare interventions, or both&lt;/title&gt;&lt;secondary-title&gt;BMJ&lt;/secondary-title&gt;&lt;/titles&gt;&lt;periodical&gt;&lt;full-title&gt;Bmj&lt;/full-title&gt;&lt;/periodical&gt;&lt;pages&gt;j4008&lt;/pages&gt;&lt;volume&gt;358&lt;/volume&gt;&lt;dates&gt;&lt;year&gt;2017&lt;/year&gt;&lt;/dates&gt;&lt;urls&gt;&lt;related-urls&gt;&lt;url&gt;https://www.bmj.com/content/bmj/358/bmj.j4008.full.pdf&lt;/url&gt;&lt;/related-urls&gt;&lt;/urls&gt;&lt;electronic-resource-num&gt;10.1136/bmj.j4008&lt;/electronic-resource-num&gt;&lt;/record&gt;&lt;/Cite&gt;&lt;/EndNote&gt;</w:instrText>
      </w:r>
      <w:r w:rsidR="0039342A">
        <w:fldChar w:fldCharType="separate"/>
      </w:r>
      <w:r w:rsidR="00705079">
        <w:rPr>
          <w:noProof/>
        </w:rPr>
        <w:t>(Shea et al. 2017)</w:t>
      </w:r>
      <w:r w:rsidR="0039342A">
        <w:fldChar w:fldCharType="end"/>
      </w:r>
    </w:p>
    <w:p w14:paraId="7A01BF97" w14:textId="36E5B8C0" w:rsidR="00A666F3" w:rsidRDefault="00A666F3" w:rsidP="00211F4C">
      <w:pPr>
        <w:pStyle w:val="ListParagraph"/>
        <w:numPr>
          <w:ilvl w:val="0"/>
          <w:numId w:val="15"/>
        </w:numPr>
        <w:spacing w:before="0" w:after="160" w:line="259" w:lineRule="auto"/>
        <w:contextualSpacing/>
      </w:pPr>
      <w:r>
        <w:t>Risk of Bias in Systematic Reviews (ROBIS)</w:t>
      </w:r>
      <w:r w:rsidR="007660BA">
        <w:t xml:space="preserve"> </w:t>
      </w:r>
      <w:r w:rsidR="007660BA">
        <w:fldChar w:fldCharType="begin">
          <w:fldData xml:space="preserve">PEVuZE5vdGU+PENpdGU+PEF1dGhvcj5XaGl0aW5nPC9BdXRob3I+PFllYXI+MjAxNjwvWWVhcj48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</w:fldData>
        </w:fldChar>
      </w:r>
      <w:r w:rsidR="00705079">
        <w:instrText xml:space="preserve"> ADDIN EN.CITE </w:instrText>
      </w:r>
      <w:r w:rsidR="00705079">
        <w:fldChar w:fldCharType="begin">
          <w:fldData xml:space="preserve">PEVuZE5vdGU+PENpdGU+PEF1dGhvcj5XaGl0aW5nPC9BdXRob3I+PFllYXI+MjAxNjwvWWVhcj48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</w:fldData>
        </w:fldChar>
      </w:r>
      <w:r w:rsidR="00705079">
        <w:instrText xml:space="preserve"> ADDIN EN.CITE.DATA </w:instrText>
      </w:r>
      <w:r w:rsidR="00705079">
        <w:fldChar w:fldCharType="end"/>
      </w:r>
      <w:r w:rsidR="007660BA">
        <w:fldChar w:fldCharType="separate"/>
      </w:r>
      <w:r w:rsidR="00705079">
        <w:rPr>
          <w:noProof/>
        </w:rPr>
        <w:t>(Whiting et al. 2016)</w:t>
      </w:r>
      <w:r w:rsidR="007660BA">
        <w:fldChar w:fldCharType="end"/>
      </w:r>
    </w:p>
    <w:p w14:paraId="302007BB" w14:textId="0CACC020" w:rsidR="00A666F3" w:rsidRDefault="00A666F3" w:rsidP="00211F4C">
      <w:pPr>
        <w:pStyle w:val="ListParagraph"/>
        <w:numPr>
          <w:ilvl w:val="0"/>
          <w:numId w:val="15"/>
        </w:numPr>
        <w:spacing w:before="0" w:after="160" w:line="259" w:lineRule="auto"/>
        <w:contextualSpacing/>
      </w:pPr>
      <w:r>
        <w:t>Methodological Expectations of Cochrane Intervention Reviews (MECIR) guidance</w:t>
      </w:r>
      <w:r w:rsidR="006977ED">
        <w:t xml:space="preserve"> (which includes</w:t>
      </w:r>
      <w:r w:rsidR="00945D09">
        <w:t xml:space="preserve"> the</w:t>
      </w:r>
      <w:r w:rsidR="006977ED">
        <w:t xml:space="preserve"> use of GRADE)</w:t>
      </w:r>
      <w:r w:rsidR="00545882">
        <w:t xml:space="preserve"> </w:t>
      </w:r>
      <w:r w:rsidR="00CC5210">
        <w:fldChar w:fldCharType="begin"/>
      </w:r>
      <w:r w:rsidR="0055302A">
        <w:instrText xml:space="preserve"> ADDIN EN.CITE &lt;EndNote&gt;&lt;Cite&gt;&lt;Author&gt;Higgins&lt;/Author&gt;&lt;Year&gt;2023&lt;/Year&gt;&lt;RecNum&gt;93&lt;/RecNum&gt;&lt;DisplayText&gt;(Higgins et al. 2023)&lt;/DisplayText&gt;&lt;record&gt;&lt;rec-number&gt;93&lt;/rec-number&gt;&lt;foreign-keys&gt;&lt;key app="EN" db-id="zxfaevvrgpsxebez5ec5vspfe2av5dtxt9xx" timestamp="1754959384"&gt;93&lt;/key&gt;&lt;/foreign-keys&gt;&lt;ref-type name="Electronic Book"&gt;44&lt;/ref-type&gt;&lt;contributors&gt;&lt;authors&gt;&lt;author&gt;Higgins, J&lt;/author&gt;&lt;author&gt;Lasserson, Toby&lt;/author&gt;&lt;author&gt;Thomas, James&lt;/author&gt;&lt;author&gt;Flemyng, Ella&lt;/author&gt;&lt;author&gt;Churchill, Rachel&lt;/author&gt;&lt;/authors&gt;&lt;/contributors&gt;&lt;titles&gt;&lt;title&gt;Methodological Expectations of Cochrane Intervention Reviews (MECIR). Standards for the conduct of new Cochrane Intervention Reviews and the planning and conduct of updates&lt;/title&gt;&lt;/titles&gt;&lt;dates&gt;&lt;year&gt;2023&lt;/year&gt;&lt;/dates&gt;&lt;urls&gt;&lt;related-urls&gt;&lt;url&gt;date accessed 18 August 2025, https://www.cochrane.org/authors/handbooks-and-manuals/mecir-manual&lt;/url&gt;&lt;/related-urls&gt;&lt;/urls&gt;&lt;/record&gt;&lt;/Cite&gt;&lt;/EndNote&gt;</w:instrText>
      </w:r>
      <w:r w:rsidR="00CC5210">
        <w:fldChar w:fldCharType="separate"/>
      </w:r>
      <w:r w:rsidR="00705079">
        <w:rPr>
          <w:noProof/>
        </w:rPr>
        <w:t>(Higgins et al. 2023)</w:t>
      </w:r>
      <w:r w:rsidR="00CC5210">
        <w:fldChar w:fldCharType="end"/>
      </w:r>
    </w:p>
    <w:p w14:paraId="57D56D2B" w14:textId="7CD5BAC9" w:rsidR="00A666F3" w:rsidRDefault="00A666F3" w:rsidP="00211F4C">
      <w:pPr>
        <w:pStyle w:val="ListParagraph"/>
        <w:numPr>
          <w:ilvl w:val="0"/>
          <w:numId w:val="15"/>
        </w:numPr>
        <w:spacing w:before="0" w:after="160" w:line="259" w:lineRule="auto"/>
        <w:contextualSpacing/>
      </w:pPr>
      <w:r w:rsidRPr="0004245E">
        <w:t>Preferred Reporting Items for Systematic Reviews and Meta-Analyses</w:t>
      </w:r>
      <w:r>
        <w:t xml:space="preserve"> (PRISMA) guidance, including the PRISMA 2020 Checklist</w:t>
      </w:r>
      <w:r w:rsidR="00CC5210">
        <w:t xml:space="preserve"> </w:t>
      </w:r>
      <w:r w:rsidR="00CC5210">
        <w:fldChar w:fldCharType="begin"/>
      </w:r>
      <w:r w:rsidR="00705079">
        <w:instrText xml:space="preserve"> ADDIN EN.CITE &lt;EndNote&gt;&lt;Cite&gt;&lt;Author&gt;Page&lt;/Author&gt;&lt;Year&gt;2021&lt;/Year&gt;&lt;RecNum&gt;94&lt;/RecNum&gt;&lt;DisplayText&gt;(Page et al. 2021)&lt;/DisplayText&gt;&lt;record&gt;&lt;rec-number&gt;94&lt;/rec-number&gt;&lt;foreign-keys&gt;&lt;key app="EN" db-id="zxfaevvrgpsxebez5ec5vspfe2av5dtxt9xx" timestamp="1754959384"&gt;94&lt;/key&gt;&lt;/foreign-keys&gt;&lt;ref-type name="Journal Article"&gt;17&lt;/ref-type&gt;&lt;contributors&gt;&lt;authors&gt;&lt;author&gt;Page, Matthew J&lt;/author&gt;&lt;author&gt;McKenzie, Joanne E&lt;/author&gt;&lt;author&gt;Bossuyt, Patrick M&lt;/author&gt;&lt;author&gt;Boutron, Isabelle&lt;/author&gt;&lt;author&gt;Hoffmann, Tammy C&lt;/author&gt;&lt;author&gt;Mulrow, Cynthia D&lt;/author&gt;&lt;author&gt;Shamseer, Larissa&lt;/author&gt;&lt;author&gt;Tetzlaff, Jennifer M&lt;/author&gt;&lt;author&gt;Akl, Elie A&lt;/author&gt;&lt;author&gt;Brennan, Sue E&lt;/author&gt;&lt;author&gt;Chou, Roger&lt;/author&gt;&lt;author&gt;Glanville, Julie&lt;/author&gt;&lt;author&gt;Grimshaw, Jeremy M&lt;/author&gt;&lt;author&gt;Hróbjartsson, Asbjørn&lt;/author&gt;&lt;author&gt;Lalu, Manoj M&lt;/author&gt;&lt;author&gt;Li, Tianjing&lt;/author&gt;&lt;author&gt;Loder, Elizabeth W&lt;/author&gt;&lt;author&gt;Mayo-Wilson, Evan&lt;/author&gt;&lt;author&gt;McDonald, Steve&lt;/author&gt;&lt;author&gt;McGuinness, Luke A&lt;/author&gt;&lt;author&gt;Stewart, Lesley A&lt;/author&gt;&lt;author&gt;Thomas, James&lt;/author&gt;&lt;author&gt;Tricco, Andrea C&lt;/author&gt;&lt;author&gt;Welch, Vivian A&lt;/author&gt;&lt;author&gt;Whiting, Penny&lt;/author&gt;&lt;author&gt;Moher, David&lt;/author&gt;&lt;/authors&gt;&lt;/contributors&gt;&lt;titles&gt;&lt;title&gt;The PRISMA 2020 statement: an updated guideline for reporting systematic reviews&lt;/title&gt;&lt;secondary-title&gt;BMJ&lt;/secondary-title&gt;&lt;/titles&gt;&lt;periodical&gt;&lt;full-title&gt;Bmj&lt;/full-title&gt;&lt;/periodical&gt;&lt;pages&gt;n71&lt;/pages&gt;&lt;volume&gt;372&lt;/volume&gt;&lt;dates&gt;&lt;year&gt;2021&lt;/year&gt;&lt;/dates&gt;&lt;urls&gt;&lt;related-urls&gt;&lt;url&gt;https://www.bmj.com/content/bmj/372/bmj.n71.full.pdf&lt;/url&gt;&lt;/related-urls&gt;&lt;/urls&gt;&lt;electronic-resource-num&gt;10.1136/bmj.n71&lt;/electronic-resource-num&gt;&lt;/record&gt;&lt;/Cite&gt;&lt;/EndNote&gt;</w:instrText>
      </w:r>
      <w:r w:rsidR="00CC5210">
        <w:fldChar w:fldCharType="separate"/>
      </w:r>
      <w:r w:rsidR="00705079">
        <w:rPr>
          <w:noProof/>
        </w:rPr>
        <w:t>(Page et al. 2021)</w:t>
      </w:r>
      <w:r w:rsidR="00CC5210">
        <w:fldChar w:fldCharType="end"/>
      </w:r>
      <w:r>
        <w:t>.</w:t>
      </w:r>
    </w:p>
    <w:p w14:paraId="0B814044" w14:textId="3449D39C" w:rsidR="00823595" w:rsidRDefault="00823595" w:rsidP="003E2E95">
      <w:pPr>
        <w:pStyle w:val="Heading50"/>
      </w:pPr>
      <w:bookmarkStart w:id="50" w:name="_Toc207801044"/>
      <w:bookmarkStart w:id="51" w:name="_Toc207824521"/>
      <w:r>
        <w:t>Expert review</w:t>
      </w:r>
      <w:bookmarkEnd w:id="50"/>
      <w:bookmarkEnd w:id="51"/>
    </w:p>
    <w:p w14:paraId="179997A3" w14:textId="11F3FA75" w:rsidR="00B65B3F" w:rsidRDefault="00B65B3F" w:rsidP="00E93DFC">
      <w:pPr>
        <w:spacing w:line="276" w:lineRule="auto"/>
      </w:pPr>
      <w:r>
        <w:t xml:space="preserve">Before finalisation of the guidelines, NHMRC undertakes independent expert review of the draft recommendations. The purpose of the independent expert review is to </w:t>
      </w:r>
      <w:r w:rsidR="000E063F">
        <w:t xml:space="preserve">obtain feedback from </w:t>
      </w:r>
      <w:r w:rsidR="000E063F" w:rsidRPr="000E063F">
        <w:t>individuals not otherwise involved in the guideline’s development</w:t>
      </w:r>
      <w:r w:rsidR="008C5913">
        <w:t xml:space="preserve">. Independent review will </w:t>
      </w:r>
      <w:r w:rsidR="000E063F">
        <w:t>assess</w:t>
      </w:r>
      <w:r w:rsidR="006A30D3">
        <w:t xml:space="preserve"> whether the appropriate evidence has been considered in developing the proposed </w:t>
      </w:r>
      <w:r w:rsidR="00787558">
        <w:t>NRVs</w:t>
      </w:r>
      <w:r>
        <w:t xml:space="preserve">, </w:t>
      </w:r>
      <w:r w:rsidR="008C5913">
        <w:t xml:space="preserve">and whether the NRV recommendations accurately reflect the </w:t>
      </w:r>
      <w:r w:rsidR="00AE4C1A">
        <w:t xml:space="preserve">available scientific evidence. </w:t>
      </w:r>
      <w:r w:rsidR="009F25E9">
        <w:t>Reviewer’s perspectives regarding the</w:t>
      </w:r>
      <w:r w:rsidR="00AE4C1A">
        <w:t xml:space="preserve"> usability and acceptability of NRV recommendations</w:t>
      </w:r>
      <w:r w:rsidR="009F25E9">
        <w:t>, and consensus with international perspectives, is also of importance.</w:t>
      </w:r>
    </w:p>
    <w:p w14:paraId="0F47EA0E" w14:textId="385090F0" w:rsidR="00F44EC4" w:rsidRPr="00F44EC4" w:rsidRDefault="000A2251" w:rsidP="00F44EC4">
      <w:hyperlink r:id="rId30" w:history="1">
        <w:r w:rsidRPr="006973AC">
          <w:rPr>
            <w:rStyle w:val="Hyperlink"/>
          </w:rPr>
          <w:t>Independent expert review</w:t>
        </w:r>
      </w:hyperlink>
      <w:r>
        <w:t xml:space="preserve"> </w:t>
      </w:r>
      <w:r w:rsidR="009F25E9">
        <w:t xml:space="preserve">will be </w:t>
      </w:r>
      <w:r>
        <w:t>undertaken consistent with the NHMRC Guidelines for Guidelines</w:t>
      </w:r>
      <w:r w:rsidR="006973AC">
        <w:t>.</w:t>
      </w:r>
    </w:p>
    <w:p w14:paraId="1356A519" w14:textId="72019443" w:rsidR="00963743" w:rsidRDefault="00696A98" w:rsidP="003E2E95">
      <w:pPr>
        <w:pStyle w:val="Heading40"/>
      </w:pPr>
      <w:bookmarkStart w:id="52" w:name="_Toc153967100"/>
      <w:r>
        <w:tab/>
      </w:r>
      <w:bookmarkStart w:id="53" w:name="_Toc207801045"/>
      <w:bookmarkStart w:id="54" w:name="_Toc207824522"/>
      <w:r w:rsidR="00823595">
        <w:t xml:space="preserve">Public </w:t>
      </w:r>
      <w:bookmarkEnd w:id="52"/>
      <w:r w:rsidR="006D704A">
        <w:t>c</w:t>
      </w:r>
      <w:r w:rsidR="00823595">
        <w:t>onsultation</w:t>
      </w:r>
      <w:bookmarkEnd w:id="53"/>
      <w:bookmarkEnd w:id="54"/>
    </w:p>
    <w:p w14:paraId="74B1F6D2" w14:textId="5EC91AE1" w:rsidR="00976D13" w:rsidRPr="00976D13" w:rsidRDefault="00976D13" w:rsidP="00976D13">
      <w:pPr>
        <w:rPr>
          <w:rFonts w:eastAsia="Times New Roman" w:cs="Helvetica"/>
          <w:shd w:val="clear" w:color="auto" w:fill="FFFFFF"/>
        </w:rPr>
      </w:pPr>
      <w:r w:rsidRPr="00976D13">
        <w:rPr>
          <w:rFonts w:eastAsia="Times New Roman" w:cs="Helvetica"/>
          <w:shd w:val="clear" w:color="auto" w:fill="FFFFFF"/>
        </w:rPr>
        <w:t xml:space="preserve">The NHMRC Act requires that NHMRC undertake public consultation on draft guidelines before their final release, and that it </w:t>
      </w:r>
      <w:proofErr w:type="gramStart"/>
      <w:r w:rsidR="00070384">
        <w:rPr>
          <w:rFonts w:eastAsia="Times New Roman" w:cs="Helvetica"/>
          <w:shd w:val="clear" w:color="auto" w:fill="FFFFFF"/>
        </w:rPr>
        <w:t>consider</w:t>
      </w:r>
      <w:proofErr w:type="gramEnd"/>
      <w:r w:rsidRPr="00976D13">
        <w:rPr>
          <w:rFonts w:eastAsia="Times New Roman" w:cs="Helvetica"/>
          <w:shd w:val="clear" w:color="auto" w:fill="FFFFFF"/>
        </w:rPr>
        <w:t xml:space="preserve"> any submissions received </w:t>
      </w:r>
      <w:r w:rsidR="00335CC3" w:rsidRPr="00976D13">
        <w:rPr>
          <w:rFonts w:eastAsia="Times New Roman" w:cs="Helvetica"/>
          <w:shd w:val="clear" w:color="auto" w:fill="FFFFFF"/>
        </w:rPr>
        <w:t>during</w:t>
      </w:r>
      <w:r w:rsidRPr="00976D13">
        <w:rPr>
          <w:rFonts w:eastAsia="Times New Roman" w:cs="Helvetica"/>
          <w:shd w:val="clear" w:color="auto" w:fill="FFFFFF"/>
        </w:rPr>
        <w:t xml:space="preserve"> consultation.</w:t>
      </w:r>
      <w:r>
        <w:rPr>
          <w:rFonts w:eastAsia="Times New Roman" w:cs="Helvetica"/>
          <w:shd w:val="clear" w:color="auto" w:fill="FFFFFF"/>
        </w:rPr>
        <w:t xml:space="preserve"> </w:t>
      </w:r>
      <w:hyperlink r:id="rId31" w:history="1">
        <w:r w:rsidRPr="001D6D8C">
          <w:rPr>
            <w:rStyle w:val="Hyperlink"/>
            <w:rFonts w:eastAsia="Times New Roman" w:cs="Helvetica"/>
            <w:shd w:val="clear" w:color="auto" w:fill="FFFFFF"/>
          </w:rPr>
          <w:t>Public consultation</w:t>
        </w:r>
      </w:hyperlink>
      <w:r>
        <w:rPr>
          <w:rFonts w:eastAsia="Times New Roman" w:cs="Helvetica"/>
          <w:shd w:val="clear" w:color="auto" w:fill="FFFFFF"/>
        </w:rPr>
        <w:t xml:space="preserve"> on proposed NRV recommendations will be undertaken prior to finalisation.</w:t>
      </w:r>
    </w:p>
    <w:p w14:paraId="6300EB8A" w14:textId="6CE09FCA" w:rsidR="00823595" w:rsidRPr="00823595" w:rsidRDefault="00696A98" w:rsidP="003E2E95">
      <w:pPr>
        <w:pStyle w:val="Heading40"/>
      </w:pPr>
      <w:bookmarkStart w:id="55" w:name="_Toc153967101"/>
      <w:r>
        <w:tab/>
      </w:r>
      <w:bookmarkStart w:id="56" w:name="_Toc207801046"/>
      <w:bookmarkStart w:id="57" w:name="_Toc207824523"/>
      <w:r w:rsidR="00823595">
        <w:t xml:space="preserve">Managing </w:t>
      </w:r>
      <w:bookmarkEnd w:id="55"/>
      <w:r w:rsidR="006D704A">
        <w:t>i</w:t>
      </w:r>
      <w:r w:rsidR="00823595">
        <w:t>nterests</w:t>
      </w:r>
      <w:bookmarkEnd w:id="56"/>
      <w:bookmarkEnd w:id="57"/>
    </w:p>
    <w:p w14:paraId="0CD84375" w14:textId="6AAC4009" w:rsidR="00BA4DC6" w:rsidRDefault="00AB1908" w:rsidP="00B52199">
      <w:pPr>
        <w:rPr>
          <w:sz w:val="18"/>
        </w:rPr>
      </w:pPr>
      <w:r w:rsidRPr="006D597B">
        <w:t xml:space="preserve">To ensure that decision making is free from bias or industry influence, members of the Advisory Committee and </w:t>
      </w:r>
      <w:r w:rsidR="00BA4DC6" w:rsidRPr="006D597B">
        <w:t xml:space="preserve">the </w:t>
      </w:r>
      <w:r w:rsidRPr="006D597B">
        <w:t>Expert Working Groups will be required to adhere to NHMRC’s</w:t>
      </w:r>
      <w:r>
        <w:rPr>
          <w:szCs w:val="20"/>
        </w:rPr>
        <w:t xml:space="preserve"> </w:t>
      </w:r>
      <w:r w:rsidRPr="006D597B">
        <w:rPr>
          <w:rStyle w:val="Emphasis"/>
        </w:rPr>
        <w:t>Policy on the Disclosure of Interests Requirements for Prospective and Appointed NHMRC Committee Members</w:t>
      </w:r>
      <w:r w:rsidR="008D6D86">
        <w:rPr>
          <w:szCs w:val="20"/>
        </w:rPr>
        <w:t xml:space="preserve"> and be consistent with </w:t>
      </w:r>
      <w:hyperlink r:id="rId32" w:history="1">
        <w:r w:rsidR="008D6D86" w:rsidRPr="001E7F25">
          <w:rPr>
            <w:rStyle w:val="Hyperlink"/>
            <w:szCs w:val="20"/>
          </w:rPr>
          <w:t>NHMRC’s Guidelines for Guidelines</w:t>
        </w:r>
      </w:hyperlink>
      <w:r w:rsidR="008D6D86">
        <w:rPr>
          <w:szCs w:val="20"/>
        </w:rPr>
        <w:t xml:space="preserve"> </w:t>
      </w:r>
      <w:r w:rsidR="001E7F25">
        <w:rPr>
          <w:szCs w:val="20"/>
        </w:rPr>
        <w:t>policy.</w:t>
      </w:r>
    </w:p>
    <w:p w14:paraId="1D4B0961" w14:textId="49AA34A5" w:rsidR="00B52199" w:rsidRDefault="00BA4DC6" w:rsidP="006D597B">
      <w:r w:rsidRPr="005A42E6">
        <w:t>Declarations of interest are also sought from contractors prior to engagement</w:t>
      </w:r>
      <w:r w:rsidR="005A42E6">
        <w:t>, with any declared interests considered in accordance with NHMRC policies</w:t>
      </w:r>
      <w:r w:rsidR="005A42E6" w:rsidRPr="005A42E6">
        <w:t>.</w:t>
      </w:r>
      <w:r>
        <w:rPr>
          <w:sz w:val="18"/>
        </w:rPr>
        <w:t xml:space="preserve"> </w:t>
      </w:r>
      <w:r w:rsidR="00B52199">
        <w:br w:type="page"/>
      </w:r>
    </w:p>
    <w:p w14:paraId="7D93BD52" w14:textId="48923213" w:rsidR="008D10FE" w:rsidRDefault="008D10FE" w:rsidP="003449C9">
      <w:pPr>
        <w:pStyle w:val="Heading2Chapter"/>
      </w:pPr>
      <w:bookmarkStart w:id="58" w:name="_Toc153967102"/>
      <w:bookmarkStart w:id="59" w:name="_Toc207801047"/>
      <w:bookmarkStart w:id="60" w:name="_Toc207824524"/>
      <w:r w:rsidRPr="008D10FE">
        <w:lastRenderedPageBreak/>
        <w:t xml:space="preserve">Definition </w:t>
      </w:r>
      <w:r w:rsidR="005B38E1">
        <w:t xml:space="preserve">and </w:t>
      </w:r>
      <w:r w:rsidR="00A80E1C">
        <w:t>s</w:t>
      </w:r>
      <w:r w:rsidR="005B38E1">
        <w:t xml:space="preserve">ummary </w:t>
      </w:r>
      <w:r w:rsidR="005B38E1" w:rsidRPr="00837503">
        <w:t>of</w:t>
      </w:r>
      <w:r w:rsidR="005B38E1">
        <w:t xml:space="preserve"> </w:t>
      </w:r>
      <w:r w:rsidRPr="008D10FE">
        <w:t>NRVs</w:t>
      </w:r>
      <w:bookmarkEnd w:id="58"/>
      <w:bookmarkEnd w:id="59"/>
      <w:bookmarkEnd w:id="60"/>
      <w:r w:rsidRPr="008D10FE">
        <w:t xml:space="preserve"> </w:t>
      </w:r>
    </w:p>
    <w:p w14:paraId="771A8C02" w14:textId="0C939EBC" w:rsidR="005B38E1" w:rsidRDefault="00313C23" w:rsidP="003E2E95">
      <w:pPr>
        <w:pStyle w:val="Heading30"/>
      </w:pPr>
      <w:bookmarkStart w:id="61" w:name="_Toc153967103"/>
      <w:bookmarkStart w:id="62" w:name="_Toc207801048"/>
      <w:bookmarkStart w:id="63" w:name="_Toc207824525"/>
      <w:r>
        <w:t xml:space="preserve">Scope and </w:t>
      </w:r>
      <w:r w:rsidR="006D704A" w:rsidRPr="003461C3">
        <w:t>a</w:t>
      </w:r>
      <w:r w:rsidRPr="003461C3">
        <w:t>pplications</w:t>
      </w:r>
      <w:r>
        <w:t xml:space="preserve"> of NRVs</w:t>
      </w:r>
      <w:bookmarkEnd w:id="61"/>
      <w:bookmarkEnd w:id="62"/>
      <w:bookmarkEnd w:id="63"/>
    </w:p>
    <w:p w14:paraId="351799E6" w14:textId="4A456527" w:rsidR="00C06DB0" w:rsidRDefault="00313C23" w:rsidP="00E93DFC">
      <w:pPr>
        <w:spacing w:line="276" w:lineRule="auto"/>
      </w:pPr>
      <w:r>
        <w:t xml:space="preserve">The </w:t>
      </w:r>
      <w:r w:rsidR="00C06DB0">
        <w:t xml:space="preserve">NRVs </w:t>
      </w:r>
      <w:r>
        <w:t xml:space="preserve">for Australia and New Zealand </w:t>
      </w:r>
      <w:r w:rsidR="00C06DB0">
        <w:t xml:space="preserve">apply to </w:t>
      </w:r>
      <w:r w:rsidR="003559AA">
        <w:t>the general</w:t>
      </w:r>
      <w:r w:rsidR="00D31636">
        <w:t xml:space="preserve">, community dwelling </w:t>
      </w:r>
      <w:r w:rsidR="003559AA">
        <w:t xml:space="preserve">population in </w:t>
      </w:r>
      <w:r w:rsidR="00C06DB0">
        <w:t>Australia and New Zealand.</w:t>
      </w:r>
      <w:r w:rsidR="003559AA">
        <w:t xml:space="preserve"> They </w:t>
      </w:r>
      <w:r w:rsidR="00D42438">
        <w:t xml:space="preserve">may </w:t>
      </w:r>
      <w:r w:rsidR="003559AA">
        <w:t xml:space="preserve">not </w:t>
      </w:r>
      <w:r w:rsidR="00D42438">
        <w:t xml:space="preserve">capture </w:t>
      </w:r>
      <w:r w:rsidR="003559AA">
        <w:t xml:space="preserve">the </w:t>
      </w:r>
      <w:r w:rsidR="00C06DB0">
        <w:t>specific nutritional requirements of individuals with various diseases or conditions such as pre-term infants, some people with specific genetic profiles or others requiring specific clinical advice and treatment.</w:t>
      </w:r>
    </w:p>
    <w:p w14:paraId="6577D9CE" w14:textId="458BAAD1" w:rsidR="00C06DB0" w:rsidRDefault="00C06DB0" w:rsidP="00E93DFC">
      <w:pPr>
        <w:spacing w:line="276" w:lineRule="auto"/>
      </w:pPr>
      <w:r>
        <w:t>The</w:t>
      </w:r>
      <w:r w:rsidR="00D42438">
        <w:t xml:space="preserve"> NRVs </w:t>
      </w:r>
      <w:r>
        <w:t>are developed to assist nutrition and health professionals assess the dietary requirements of individuals and groups. They may also be used by health professionals, researchers, policy makers, food legislators and the food industry for a range of purposes, including:</w:t>
      </w:r>
    </w:p>
    <w:p w14:paraId="41EB9817" w14:textId="77777777" w:rsidR="00C06DB0" w:rsidRDefault="00C06DB0" w:rsidP="00211F4C">
      <w:pPr>
        <w:pStyle w:val="ListParagraph"/>
        <w:numPr>
          <w:ilvl w:val="0"/>
          <w:numId w:val="15"/>
        </w:numPr>
        <w:spacing w:before="0" w:after="160" w:line="276" w:lineRule="auto"/>
        <w:contextualSpacing/>
      </w:pPr>
      <w:r w:rsidRPr="00703246">
        <w:rPr>
          <w:b/>
          <w:color w:val="09002E" w:themeColor="text2"/>
        </w:rPr>
        <w:t>Public health</w:t>
      </w:r>
      <w:r>
        <w:rPr>
          <w:color w:val="09002E" w:themeColor="text2"/>
        </w:rPr>
        <w:t>:</w:t>
      </w:r>
      <w:r>
        <w:t xml:space="preserve"> used by policy makers, epidemiologists and researchers in the assessment, monitoring/surveillance and modelling of nutrient intake data to support the development and evaluation of diet-related health policies and guidelines</w:t>
      </w:r>
    </w:p>
    <w:p w14:paraId="0636858C" w14:textId="259F0B6B" w:rsidR="00C06DB0" w:rsidRDefault="00C06DB0" w:rsidP="00211F4C">
      <w:pPr>
        <w:pStyle w:val="ListParagraph"/>
        <w:numPr>
          <w:ilvl w:val="0"/>
          <w:numId w:val="15"/>
        </w:numPr>
        <w:spacing w:before="0" w:after="160" w:line="276" w:lineRule="auto"/>
        <w:contextualSpacing/>
      </w:pPr>
      <w:r w:rsidRPr="00703246">
        <w:rPr>
          <w:b/>
          <w:color w:val="09002E" w:themeColor="text2"/>
        </w:rPr>
        <w:t>Population sub-group health</w:t>
      </w:r>
      <w:r>
        <w:rPr>
          <w:color w:val="09002E" w:themeColor="text2"/>
        </w:rPr>
        <w:t>:</w:t>
      </w:r>
      <w:r>
        <w:t xml:space="preserve"> used by dietitians and nutritionists to plan menus and by health professionals </w:t>
      </w:r>
      <w:r w:rsidR="009B697A">
        <w:t xml:space="preserve">and researchers </w:t>
      </w:r>
      <w:r>
        <w:t>to assess the adequacy of nutrient intakes of groups in national, regional and other surveys</w:t>
      </w:r>
    </w:p>
    <w:p w14:paraId="74AE0181" w14:textId="77777777" w:rsidR="00C06DB0" w:rsidRDefault="00C06DB0" w:rsidP="00211F4C">
      <w:pPr>
        <w:pStyle w:val="ListParagraph"/>
        <w:numPr>
          <w:ilvl w:val="0"/>
          <w:numId w:val="15"/>
        </w:numPr>
        <w:spacing w:before="0" w:after="160" w:line="276" w:lineRule="auto"/>
        <w:contextualSpacing/>
      </w:pPr>
      <w:r w:rsidRPr="00703246">
        <w:rPr>
          <w:b/>
          <w:color w:val="09002E" w:themeColor="text2"/>
        </w:rPr>
        <w:t>Risk assessment</w:t>
      </w:r>
      <w:r>
        <w:rPr>
          <w:color w:val="09002E" w:themeColor="text2"/>
        </w:rPr>
        <w:t>:</w:t>
      </w:r>
      <w:r>
        <w:t xml:space="preserve"> used for population group risk assessment of both nutrient deficiency and toxicity</w:t>
      </w:r>
    </w:p>
    <w:p w14:paraId="527CB42A" w14:textId="72E82076" w:rsidR="00C06DB0" w:rsidRDefault="00C06DB0" w:rsidP="00211F4C">
      <w:pPr>
        <w:pStyle w:val="ListParagraph"/>
        <w:numPr>
          <w:ilvl w:val="0"/>
          <w:numId w:val="15"/>
        </w:numPr>
        <w:spacing w:before="0" w:after="160" w:line="276" w:lineRule="auto"/>
        <w:contextualSpacing/>
      </w:pPr>
      <w:r w:rsidRPr="00703246">
        <w:rPr>
          <w:b/>
          <w:color w:val="09002E" w:themeColor="text2"/>
        </w:rPr>
        <w:t>Regulation</w:t>
      </w:r>
      <w:r>
        <w:t xml:space="preserve">: used by Food Standards Australia New Zealand (FSANZ), the Therapeutic Goods Administration (TGA) and the </w:t>
      </w:r>
      <w:r w:rsidR="00473964">
        <w:t>NZ</w:t>
      </w:r>
      <w:r w:rsidR="003B015F">
        <w:t xml:space="preserve"> </w:t>
      </w:r>
      <w:r w:rsidR="00473964">
        <w:t>MoH</w:t>
      </w:r>
      <w:r>
        <w:t xml:space="preserve"> for assessments underpinning regulatory decisions, including: (</w:t>
      </w:r>
      <w:proofErr w:type="spellStart"/>
      <w:r>
        <w:t>i</w:t>
      </w:r>
      <w:proofErr w:type="spellEnd"/>
      <w:r>
        <w:t>) voluntary and mandatory food fortification (e.g. iodised salt in bread, thiamine and folic acid in wheat flour for bread making); (ii) food labelling standards and requirements; and (iii) nutrient supplements</w:t>
      </w:r>
    </w:p>
    <w:p w14:paraId="1518844E" w14:textId="77777777" w:rsidR="00C06DB0" w:rsidRDefault="00C06DB0" w:rsidP="00211F4C">
      <w:pPr>
        <w:pStyle w:val="ListParagraph"/>
        <w:numPr>
          <w:ilvl w:val="0"/>
          <w:numId w:val="15"/>
        </w:numPr>
        <w:spacing w:before="0" w:after="160" w:line="276" w:lineRule="auto"/>
        <w:contextualSpacing/>
      </w:pPr>
      <w:r w:rsidRPr="00703246">
        <w:rPr>
          <w:b/>
          <w:color w:val="09002E" w:themeColor="text2"/>
        </w:rPr>
        <w:t>Food formulation</w:t>
      </w:r>
      <w:r>
        <w:rPr>
          <w:color w:val="09002E" w:themeColor="text2"/>
        </w:rPr>
        <w:t xml:space="preserve">: </w:t>
      </w:r>
      <w:r>
        <w:t>used by food manufacturers for formulation, fortification and product labelling as permitted by the Food Standards Code</w:t>
      </w:r>
    </w:p>
    <w:p w14:paraId="68985E07" w14:textId="11952F91" w:rsidR="00C06DB0" w:rsidRDefault="00C06DB0" w:rsidP="00211F4C">
      <w:pPr>
        <w:pStyle w:val="ListParagraph"/>
        <w:numPr>
          <w:ilvl w:val="0"/>
          <w:numId w:val="15"/>
        </w:numPr>
        <w:spacing w:before="0" w:after="160" w:line="276" w:lineRule="auto"/>
        <w:contextualSpacing/>
      </w:pPr>
      <w:r w:rsidRPr="00703246">
        <w:rPr>
          <w:b/>
          <w:color w:val="09002E" w:themeColor="text2"/>
        </w:rPr>
        <w:t>Individual health</w:t>
      </w:r>
      <w:r>
        <w:rPr>
          <w:b/>
          <w:color w:val="09002E" w:themeColor="text2"/>
        </w:rPr>
        <w:t xml:space="preserve">: </w:t>
      </w:r>
      <w:r>
        <w:t>used by health professionals (e.g. doctors, dietitians</w:t>
      </w:r>
      <w:r w:rsidR="00D96203">
        <w:t>, nutritionists</w:t>
      </w:r>
      <w:r>
        <w:t>) for dietary planning and individual risk assessment</w:t>
      </w:r>
    </w:p>
    <w:p w14:paraId="385C2D80" w14:textId="77777777" w:rsidR="00C06DB0" w:rsidRDefault="00C06DB0" w:rsidP="00211F4C">
      <w:pPr>
        <w:pStyle w:val="ListParagraph"/>
        <w:numPr>
          <w:ilvl w:val="0"/>
          <w:numId w:val="15"/>
        </w:numPr>
        <w:spacing w:before="0" w:after="160" w:line="276" w:lineRule="auto"/>
        <w:contextualSpacing/>
      </w:pPr>
      <w:r w:rsidRPr="00703246">
        <w:rPr>
          <w:b/>
          <w:color w:val="09002E" w:themeColor="text2"/>
        </w:rPr>
        <w:t>Education and research</w:t>
      </w:r>
      <w:r>
        <w:rPr>
          <w:b/>
          <w:color w:val="09002E" w:themeColor="text2"/>
        </w:rPr>
        <w:t>:</w:t>
      </w:r>
      <w:r>
        <w:t xml:space="preserve"> used in a range of education settings and academic research.</w:t>
      </w:r>
    </w:p>
    <w:p w14:paraId="55E09B2E" w14:textId="1AEE783E" w:rsidR="00890812" w:rsidRPr="00256987" w:rsidRDefault="00EC5359" w:rsidP="003E2E95">
      <w:pPr>
        <w:pStyle w:val="Heading30"/>
      </w:pPr>
      <w:bookmarkStart w:id="64" w:name="_Toc207801049"/>
      <w:bookmarkStart w:id="65" w:name="_Toc207824526"/>
      <w:r w:rsidRPr="00256987">
        <w:t>Overview of NRVs for Australia and New Zealand</w:t>
      </w:r>
      <w:bookmarkEnd w:id="64"/>
      <w:bookmarkEnd w:id="65"/>
    </w:p>
    <w:p w14:paraId="24AE06CF" w14:textId="28A19674" w:rsidR="00890812" w:rsidRDefault="00890812" w:rsidP="00890812">
      <w:r>
        <w:t>The NRVs can be used to assess nutrient status or nutrient intake</w:t>
      </w:r>
      <w:r w:rsidRPr="00A30CF9">
        <w:t xml:space="preserve"> </w:t>
      </w:r>
      <w:r>
        <w:t>for individuals or populations. The most appropriate NRV to use varies depending on whether an assessment of individuals or groups is being conducted. NRVs fall into two broad categories</w:t>
      </w:r>
      <w:r w:rsidR="00B61996">
        <w:t xml:space="preserve">, summarised in </w:t>
      </w:r>
      <w:r w:rsidR="00B61996">
        <w:fldChar w:fldCharType="begin"/>
      </w:r>
      <w:r w:rsidR="00B61996">
        <w:instrText xml:space="preserve"> REF _Ref197343644 \h </w:instrText>
      </w:r>
      <w:r w:rsidR="00B61996">
        <w:fldChar w:fldCharType="separate"/>
      </w:r>
      <w:r w:rsidR="004C35EC">
        <w:t xml:space="preserve">Table </w:t>
      </w:r>
      <w:r w:rsidR="004C35EC">
        <w:rPr>
          <w:noProof/>
        </w:rPr>
        <w:t>2</w:t>
      </w:r>
      <w:r w:rsidR="004C35EC">
        <w:t>.</w:t>
      </w:r>
      <w:r w:rsidR="004C35EC">
        <w:rPr>
          <w:noProof/>
        </w:rPr>
        <w:t>1</w:t>
      </w:r>
      <w:r w:rsidR="00B61996">
        <w:fldChar w:fldCharType="end"/>
      </w:r>
      <w:r>
        <w:t xml:space="preserve">: </w:t>
      </w:r>
    </w:p>
    <w:p w14:paraId="4347F789" w14:textId="77777777" w:rsidR="00890812" w:rsidRDefault="00890812" w:rsidP="00211F4C">
      <w:pPr>
        <w:pStyle w:val="ListParagraph"/>
        <w:numPr>
          <w:ilvl w:val="0"/>
          <w:numId w:val="20"/>
        </w:numPr>
      </w:pPr>
      <w:r>
        <w:t>Nutrient adequacy NRVs: aimed at maintaining function (adequate intake) and avoiding toxic effects</w:t>
      </w:r>
    </w:p>
    <w:p w14:paraId="3AF00F6C" w14:textId="77777777" w:rsidR="00890812" w:rsidRDefault="00890812" w:rsidP="00211F4C">
      <w:pPr>
        <w:pStyle w:val="ListParagraph"/>
        <w:numPr>
          <w:ilvl w:val="0"/>
          <w:numId w:val="20"/>
        </w:numPr>
      </w:pPr>
      <w:r>
        <w:t>Chronic disease NRVs: aimed at optimising health and reducing chronic disease risk.</w:t>
      </w:r>
    </w:p>
    <w:p w14:paraId="1FB636E9" w14:textId="7750EB3A" w:rsidR="00522E50" w:rsidRDefault="009D5B3A" w:rsidP="005C7C83">
      <w:pPr>
        <w:pStyle w:val="Caption"/>
        <w:keepNext/>
        <w:spacing w:after="120" w:line="240" w:lineRule="auto"/>
      </w:pPr>
      <w:bookmarkStart w:id="66" w:name="_Ref197343644"/>
      <w:r>
        <w:lastRenderedPageBreak/>
        <w:t xml:space="preserve">Table </w:t>
      </w:r>
      <w:bookmarkEnd w:id="66"/>
      <w:r w:rsidR="008E3F2F">
        <w:t>2.1</w:t>
      </w:r>
      <w:r>
        <w:t xml:space="preserve"> </w:t>
      </w:r>
      <w:r w:rsidR="00A55EC5">
        <w:t>Classification of Nutrient R</w:t>
      </w:r>
      <w:r w:rsidR="005E3121">
        <w:t>e</w:t>
      </w:r>
      <w:r w:rsidR="00A55EC5">
        <w:t>ference Values (NRV</w:t>
      </w:r>
      <w:r w:rsidR="00B536A1">
        <w:t>s)</w:t>
      </w:r>
    </w:p>
    <w:tbl>
      <w:tblPr>
        <w:tblStyle w:val="DefaultTable1"/>
        <w:tblW w:w="5000" w:type="pct"/>
        <w:tblLook w:val="0420" w:firstRow="1" w:lastRow="0" w:firstColumn="0" w:lastColumn="0" w:noHBand="0" w:noVBand="1"/>
      </w:tblPr>
      <w:tblGrid>
        <w:gridCol w:w="4809"/>
        <w:gridCol w:w="5046"/>
      </w:tblGrid>
      <w:tr w:rsidR="00890812" w14:paraId="0A6301E6" w14:textId="77777777" w:rsidTr="008D6050">
        <w:trPr>
          <w:cnfStyle w:val="100000000000" w:firstRow="1" w:lastRow="0" w:firstColumn="0" w:lastColumn="0" w:oddVBand="0" w:evenVBand="0" w:oddHBand="0" w:evenHBand="0" w:firstRowFirstColumn="0" w:firstRowLastColumn="0" w:lastRowFirstColumn="0" w:lastRowLastColumn="0"/>
        </w:trPr>
        <w:tc>
          <w:tcPr>
            <w:tcW w:w="2440" w:type="pct"/>
          </w:tcPr>
          <w:p w14:paraId="335486F6" w14:textId="6FCD63A8" w:rsidR="00890812" w:rsidRPr="00B80325" w:rsidRDefault="00890812" w:rsidP="00696A98">
            <w:pPr>
              <w:keepNext/>
              <w:spacing w:line="360" w:lineRule="auto"/>
            </w:pPr>
            <w:r w:rsidRPr="00B80325">
              <w:t xml:space="preserve">Nutrient </w:t>
            </w:r>
            <w:r w:rsidR="00DE2648">
              <w:t>A</w:t>
            </w:r>
            <w:r w:rsidRPr="00B80325">
              <w:t>dequacy NRV</w:t>
            </w:r>
            <w:r w:rsidR="00DE2648">
              <w:t>s</w:t>
            </w:r>
          </w:p>
        </w:tc>
        <w:tc>
          <w:tcPr>
            <w:tcW w:w="2560" w:type="pct"/>
          </w:tcPr>
          <w:p w14:paraId="4CCA5D1D" w14:textId="5AA535DA" w:rsidR="00890812" w:rsidRDefault="00890812" w:rsidP="00696A98">
            <w:pPr>
              <w:keepNext/>
              <w:spacing w:line="360" w:lineRule="auto"/>
            </w:pPr>
            <w:r w:rsidRPr="00B80325">
              <w:t>Chronic Disease NRV</w:t>
            </w:r>
            <w:r w:rsidR="00DE2648">
              <w:t>s</w:t>
            </w:r>
          </w:p>
        </w:tc>
      </w:tr>
      <w:tr w:rsidR="00890812" w14:paraId="2D8E661E" w14:textId="77777777" w:rsidTr="008D6050">
        <w:trPr>
          <w:cnfStyle w:val="000000100000" w:firstRow="0" w:lastRow="0" w:firstColumn="0" w:lastColumn="0" w:oddVBand="0" w:evenVBand="0" w:oddHBand="1" w:evenHBand="0" w:firstRowFirstColumn="0" w:firstRowLastColumn="0" w:lastRowFirstColumn="0" w:lastRowLastColumn="0"/>
        </w:trPr>
        <w:tc>
          <w:tcPr>
            <w:tcW w:w="2440" w:type="pct"/>
          </w:tcPr>
          <w:p w14:paraId="134C784C" w14:textId="7777EC4E" w:rsidR="00890812" w:rsidRPr="006E46B1" w:rsidRDefault="00890812" w:rsidP="0032484B">
            <w:pPr>
              <w:spacing w:line="360" w:lineRule="auto"/>
              <w:rPr>
                <w:b/>
                <w:bCs/>
              </w:rPr>
            </w:pPr>
            <w:r w:rsidRPr="006E46B1">
              <w:t>Estimated Average Requirement</w:t>
            </w:r>
            <w:r w:rsidR="00651773">
              <w:t xml:space="preserve"> (EAR)</w:t>
            </w:r>
          </w:p>
        </w:tc>
        <w:tc>
          <w:tcPr>
            <w:tcW w:w="2560" w:type="pct"/>
          </w:tcPr>
          <w:p w14:paraId="77AFC7BC" w14:textId="210959A5" w:rsidR="00890812" w:rsidRPr="008A4752" w:rsidRDefault="00890812" w:rsidP="0032484B">
            <w:pPr>
              <w:spacing w:line="360" w:lineRule="auto"/>
            </w:pPr>
            <w:r w:rsidRPr="008A4752">
              <w:t>Suggested Dietary Targets</w:t>
            </w:r>
            <w:r w:rsidR="00651773">
              <w:t xml:space="preserve"> (SDT</w:t>
            </w:r>
            <w:r w:rsidR="00D23E84">
              <w:t>)</w:t>
            </w:r>
          </w:p>
        </w:tc>
      </w:tr>
      <w:tr w:rsidR="00890812" w14:paraId="76EF4BF2" w14:textId="77777777" w:rsidTr="008D6050">
        <w:trPr>
          <w:cnfStyle w:val="000000010000" w:firstRow="0" w:lastRow="0" w:firstColumn="0" w:lastColumn="0" w:oddVBand="0" w:evenVBand="0" w:oddHBand="0" w:evenHBand="1" w:firstRowFirstColumn="0" w:firstRowLastColumn="0" w:lastRowFirstColumn="0" w:lastRowLastColumn="0"/>
        </w:trPr>
        <w:tc>
          <w:tcPr>
            <w:tcW w:w="2440" w:type="pct"/>
          </w:tcPr>
          <w:p w14:paraId="4AF05940" w14:textId="281C4E76" w:rsidR="00890812" w:rsidRPr="006E46B1" w:rsidRDefault="00890812" w:rsidP="0032484B">
            <w:pPr>
              <w:spacing w:line="360" w:lineRule="auto"/>
              <w:rPr>
                <w:b/>
                <w:bCs/>
              </w:rPr>
            </w:pPr>
            <w:r w:rsidRPr="006E46B1">
              <w:t>Recommended Dietary Intake</w:t>
            </w:r>
            <w:r w:rsidR="00651773">
              <w:t xml:space="preserve"> (RDI)</w:t>
            </w:r>
          </w:p>
        </w:tc>
        <w:tc>
          <w:tcPr>
            <w:tcW w:w="2560" w:type="pct"/>
          </w:tcPr>
          <w:p w14:paraId="019CC99D" w14:textId="2A2D25A1" w:rsidR="00890812" w:rsidRPr="008A4752" w:rsidRDefault="00ED12A5" w:rsidP="0032484B">
            <w:pPr>
              <w:spacing w:line="360" w:lineRule="auto"/>
            </w:pPr>
            <w:r>
              <w:t>Chronic Disease Risk Reduction (CDRR)</w:t>
            </w:r>
          </w:p>
        </w:tc>
      </w:tr>
      <w:tr w:rsidR="00890812" w14:paraId="34A77EE7" w14:textId="77777777" w:rsidTr="008D6050">
        <w:trPr>
          <w:cnfStyle w:val="000000100000" w:firstRow="0" w:lastRow="0" w:firstColumn="0" w:lastColumn="0" w:oddVBand="0" w:evenVBand="0" w:oddHBand="1" w:evenHBand="0" w:firstRowFirstColumn="0" w:firstRowLastColumn="0" w:lastRowFirstColumn="0" w:lastRowLastColumn="0"/>
        </w:trPr>
        <w:tc>
          <w:tcPr>
            <w:tcW w:w="2440" w:type="pct"/>
          </w:tcPr>
          <w:p w14:paraId="554180CB" w14:textId="03B1D4AA" w:rsidR="00890812" w:rsidRPr="006E46B1" w:rsidRDefault="00890812" w:rsidP="0032484B">
            <w:pPr>
              <w:spacing w:line="360" w:lineRule="auto"/>
              <w:rPr>
                <w:b/>
                <w:bCs/>
              </w:rPr>
            </w:pPr>
            <w:r w:rsidRPr="006E46B1">
              <w:t xml:space="preserve">Upper Level of Intake </w:t>
            </w:r>
            <w:r w:rsidR="00651773">
              <w:t>(UL)</w:t>
            </w:r>
          </w:p>
        </w:tc>
        <w:tc>
          <w:tcPr>
            <w:tcW w:w="2560" w:type="pct"/>
            <w:vMerge w:val="restart"/>
            <w:shd w:val="clear" w:color="auto" w:fill="C8E4EF" w:themeFill="accent1" w:themeFillTint="66"/>
          </w:tcPr>
          <w:p w14:paraId="4CF6D71E" w14:textId="4F110EFD" w:rsidR="00890812" w:rsidRPr="008A4752" w:rsidRDefault="00890812" w:rsidP="0032484B">
            <w:pPr>
              <w:spacing w:line="360" w:lineRule="auto"/>
            </w:pPr>
          </w:p>
        </w:tc>
      </w:tr>
      <w:tr w:rsidR="00890812" w14:paraId="5C0FD481" w14:textId="77777777" w:rsidTr="008D6050">
        <w:trPr>
          <w:cnfStyle w:val="000000010000" w:firstRow="0" w:lastRow="0" w:firstColumn="0" w:lastColumn="0" w:oddVBand="0" w:evenVBand="0" w:oddHBand="0" w:evenHBand="1" w:firstRowFirstColumn="0" w:firstRowLastColumn="0" w:lastRowFirstColumn="0" w:lastRowLastColumn="0"/>
        </w:trPr>
        <w:tc>
          <w:tcPr>
            <w:tcW w:w="2440" w:type="pct"/>
          </w:tcPr>
          <w:p w14:paraId="18BC3811" w14:textId="792380EA" w:rsidR="00890812" w:rsidRPr="006E46B1" w:rsidRDefault="00890812" w:rsidP="0032484B">
            <w:pPr>
              <w:spacing w:line="360" w:lineRule="auto"/>
              <w:rPr>
                <w:b/>
                <w:bCs/>
              </w:rPr>
            </w:pPr>
            <w:r w:rsidRPr="006E46B1">
              <w:t>Adequate Intake</w:t>
            </w:r>
            <w:r w:rsidRPr="006E46B1">
              <w:rPr>
                <w:rStyle w:val="FootnoteReference"/>
              </w:rPr>
              <w:footnoteReference w:id="3"/>
            </w:r>
            <w:r w:rsidR="00651773">
              <w:t xml:space="preserve"> (AI)</w:t>
            </w:r>
          </w:p>
        </w:tc>
        <w:tc>
          <w:tcPr>
            <w:tcW w:w="2560" w:type="pct"/>
            <w:vMerge/>
          </w:tcPr>
          <w:p w14:paraId="07BF96FB" w14:textId="682661D6" w:rsidR="00890812" w:rsidRPr="008A4752" w:rsidRDefault="00890812" w:rsidP="0032484B">
            <w:pPr>
              <w:spacing w:line="360" w:lineRule="auto"/>
            </w:pPr>
          </w:p>
        </w:tc>
      </w:tr>
      <w:tr w:rsidR="00890812" w14:paraId="605BD809" w14:textId="77777777" w:rsidTr="008D6050">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665830FA" w14:textId="542B5C83" w:rsidR="00890812" w:rsidRPr="00426BB5" w:rsidRDefault="00890812" w:rsidP="0032484B">
            <w:pPr>
              <w:spacing w:line="360" w:lineRule="auto"/>
              <w:jc w:val="center"/>
              <w:rPr>
                <w:b/>
                <w:bCs/>
              </w:rPr>
            </w:pPr>
            <w:r w:rsidRPr="00426BB5">
              <w:t>Acceptable Macronutrient Distribution Range</w:t>
            </w:r>
            <w:r w:rsidR="00651773">
              <w:t xml:space="preserve"> (AMDR)</w:t>
            </w:r>
          </w:p>
        </w:tc>
      </w:tr>
    </w:tbl>
    <w:p w14:paraId="1027B64F" w14:textId="77777777" w:rsidR="00BB7D28" w:rsidRDefault="00BB7D28" w:rsidP="00890812"/>
    <w:p w14:paraId="3E7BBCB8" w14:textId="491D4622" w:rsidR="00890812" w:rsidRDefault="007C308B" w:rsidP="00890812">
      <w:r>
        <w:t xml:space="preserve">Each NRV is described in further detail in </w:t>
      </w:r>
      <w:r w:rsidR="00B93564">
        <w:t xml:space="preserve">the </w:t>
      </w:r>
      <w:r w:rsidR="00423FA2">
        <w:t>Section</w:t>
      </w:r>
      <w:r>
        <w:t>s</w:t>
      </w:r>
      <w:r w:rsidR="00423FA2">
        <w:t xml:space="preserve"> </w:t>
      </w:r>
      <w:r w:rsidR="00B93564">
        <w:t>below.</w:t>
      </w:r>
      <w:r>
        <w:t xml:space="preserve"> </w:t>
      </w:r>
      <w:r w:rsidR="00890812">
        <w:t>Whilst the various NRVs are expressed on a per day basis, they should apply to intakes assessed across a period of three to four days. This will allow for the determination of the actual average intake for each nutrient.</w:t>
      </w:r>
    </w:p>
    <w:p w14:paraId="039FDE70" w14:textId="010A25E0" w:rsidR="002850D3" w:rsidRDefault="0046408E" w:rsidP="00BB7D28">
      <w:r>
        <w:t xml:space="preserve">Where evidence </w:t>
      </w:r>
      <w:r w:rsidR="00443225">
        <w:t xml:space="preserve">allows, </w:t>
      </w:r>
      <w:r>
        <w:t>an EAR and RDI will be established</w:t>
      </w:r>
      <w:r w:rsidR="00443225">
        <w:t xml:space="preserve"> to estimate nutritional requirements</w:t>
      </w:r>
      <w:r>
        <w:t xml:space="preserve">. In the absence of sufficient evidence, an AI will be calculated. </w:t>
      </w:r>
    </w:p>
    <w:p w14:paraId="2C03A474" w14:textId="33F5749D" w:rsidR="00890812" w:rsidRDefault="00890812" w:rsidP="003E2E95">
      <w:pPr>
        <w:pStyle w:val="Heading40"/>
      </w:pPr>
      <w:bookmarkStart w:id="67" w:name="_Toc153967105"/>
      <w:bookmarkStart w:id="68" w:name="_Ref197439499"/>
      <w:bookmarkStart w:id="69" w:name="_Toc207801050"/>
      <w:bookmarkStart w:id="70" w:name="_Toc207824527"/>
      <w:r>
        <w:t>Estimated Average Requirement (EAR)</w:t>
      </w:r>
      <w:bookmarkEnd w:id="67"/>
      <w:bookmarkEnd w:id="68"/>
      <w:bookmarkEnd w:id="69"/>
      <w:bookmarkEnd w:id="70"/>
    </w:p>
    <w:p w14:paraId="22C8C62B" w14:textId="24AA9BBB" w:rsidR="00890812" w:rsidRDefault="008B57FD" w:rsidP="00890812">
      <w:r>
        <w:t xml:space="preserve">The </w:t>
      </w:r>
      <w:r w:rsidR="00651773">
        <w:t>EAR</w:t>
      </w:r>
      <w:r>
        <w:t xml:space="preserve"> is a</w:t>
      </w:r>
      <w:r w:rsidR="00890812">
        <w:t xml:space="preserve"> daily nutrient intake level estimated to meet the requirements of 50% of healthy individuals in the population for a particular life stage</w:t>
      </w:r>
      <w:r w:rsidR="00A72454">
        <w:t xml:space="preserve"> </w:t>
      </w:r>
      <w:r w:rsidR="00D638DF">
        <w:t>and/</w:t>
      </w:r>
      <w:r w:rsidR="00A72454">
        <w:t>or</w:t>
      </w:r>
      <w:r w:rsidR="00890812">
        <w:t xml:space="preserve"> sex</w:t>
      </w:r>
      <w:r w:rsidR="00D638DF">
        <w:t>.</w:t>
      </w:r>
    </w:p>
    <w:p w14:paraId="0B6712CD" w14:textId="08422EE9" w:rsidR="00890812" w:rsidRDefault="00890812" w:rsidP="00890812">
      <w:r w:rsidRPr="00A24227">
        <w:rPr>
          <w:b/>
          <w:bCs/>
        </w:rPr>
        <w:t>Individuals:</w:t>
      </w:r>
      <w:r>
        <w:t xml:space="preserve"> Applied to examine the probability that usual intake is inadequate.</w:t>
      </w:r>
    </w:p>
    <w:p w14:paraId="4D9DB563" w14:textId="4F8E9D3C" w:rsidR="00890812" w:rsidRDefault="00890812" w:rsidP="00890812">
      <w:r w:rsidRPr="00A24227">
        <w:rPr>
          <w:b/>
          <w:bCs/>
        </w:rPr>
        <w:t>Groups:</w:t>
      </w:r>
      <w:r w:rsidRPr="00A24227">
        <w:t xml:space="preserve"> Applied to estimate the prevalence of inadequate intakes within a population group</w:t>
      </w:r>
      <w:r w:rsidR="008B6E17">
        <w:t>.</w:t>
      </w:r>
    </w:p>
    <w:p w14:paraId="666958F0" w14:textId="77777777" w:rsidR="00890812" w:rsidRDefault="00890812" w:rsidP="003E2E95">
      <w:pPr>
        <w:pStyle w:val="Heading40"/>
      </w:pPr>
      <w:bookmarkStart w:id="71" w:name="_Toc153967106"/>
      <w:bookmarkStart w:id="72" w:name="_Toc207801051"/>
      <w:bookmarkStart w:id="73" w:name="_Toc207824528"/>
      <w:r w:rsidRPr="00296B19">
        <w:t>Recommend</w:t>
      </w:r>
      <w:r>
        <w:t>e</w:t>
      </w:r>
      <w:r w:rsidRPr="00296B19">
        <w:t>d Dietary Intake (RDI)</w:t>
      </w:r>
      <w:bookmarkEnd w:id="71"/>
      <w:bookmarkEnd w:id="72"/>
      <w:bookmarkEnd w:id="73"/>
    </w:p>
    <w:p w14:paraId="7285E246" w14:textId="231803C2" w:rsidR="00890812" w:rsidRDefault="00890812" w:rsidP="00890812">
      <w:r>
        <w:t xml:space="preserve">The </w:t>
      </w:r>
      <w:r w:rsidR="00651773">
        <w:t>RDI</w:t>
      </w:r>
      <w:r w:rsidR="008B57FD">
        <w:t xml:space="preserve"> is a </w:t>
      </w:r>
      <w:r>
        <w:t>mean daily dietary intake</w:t>
      </w:r>
      <w:r w:rsidR="006B3865">
        <w:rPr>
          <w:rStyle w:val="FootnoteReference"/>
        </w:rPr>
        <w:footnoteReference w:id="4"/>
      </w:r>
      <w:r>
        <w:t xml:space="preserve"> level that is sufficient to meet the nutrient requirements of nearly all (97.5</w:t>
      </w:r>
      <w:r w:rsidR="004B5887">
        <w:t>%</w:t>
      </w:r>
      <w:r>
        <w:t>) healthy individuals of a particular life stage and</w:t>
      </w:r>
      <w:r w:rsidR="00D638DF">
        <w:t>/or</w:t>
      </w:r>
      <w:r>
        <w:t xml:space="preserve"> sex. </w:t>
      </w:r>
    </w:p>
    <w:p w14:paraId="154697A3" w14:textId="786962E1" w:rsidR="00890812" w:rsidRDefault="00890812" w:rsidP="00890812">
      <w:r w:rsidRPr="003859B9">
        <w:rPr>
          <w:b/>
          <w:bCs/>
        </w:rPr>
        <w:t>Individuals:</w:t>
      </w:r>
      <w:r>
        <w:t xml:space="preserve"> Applied to assess the intake of individuals. Usual intake at or above this level has a low probability of inadequacy.</w:t>
      </w:r>
    </w:p>
    <w:p w14:paraId="5033F399" w14:textId="77777777" w:rsidR="00890812" w:rsidRDefault="00890812" w:rsidP="00890812">
      <w:r w:rsidRPr="003859B9">
        <w:rPr>
          <w:b/>
          <w:bCs/>
        </w:rPr>
        <w:t>Groups:</w:t>
      </w:r>
      <w:r>
        <w:t xml:space="preserve"> Cannot be applied to assess intakes of groups.</w:t>
      </w:r>
    </w:p>
    <w:p w14:paraId="0BACF660" w14:textId="54E75CB0" w:rsidR="00890812" w:rsidRDefault="00890812" w:rsidP="00890812">
      <w:r>
        <w:lastRenderedPageBreak/>
        <w:t>It is important to recognise that RDIs exceed the actual nutrient requirements of practically all healthy persons and are not synonymous with requirements. Although they provide a means of assessing the probability that individual members of a population are vulnerable to nutrient deficiency, RDIs cannot be used for the diagnosis of nutrient deficiency.</w:t>
      </w:r>
    </w:p>
    <w:p w14:paraId="67D12BA7" w14:textId="35DC0616" w:rsidR="00890812" w:rsidRDefault="00BD6BDB" w:rsidP="003E2E95">
      <w:pPr>
        <w:pStyle w:val="Heading40"/>
      </w:pPr>
      <w:bookmarkStart w:id="74" w:name="_Ref201311217"/>
      <w:bookmarkStart w:id="75" w:name="_Toc207801052"/>
      <w:bookmarkStart w:id="76" w:name="_Toc207824529"/>
      <w:r>
        <w:t>Upper Level of</w:t>
      </w:r>
      <w:r w:rsidR="00890812">
        <w:t xml:space="preserve"> Intake (</w:t>
      </w:r>
      <w:r>
        <w:t>UL</w:t>
      </w:r>
      <w:r w:rsidR="00890812">
        <w:t>)</w:t>
      </w:r>
      <w:bookmarkEnd w:id="74"/>
      <w:bookmarkEnd w:id="75"/>
      <w:bookmarkEnd w:id="76"/>
    </w:p>
    <w:p w14:paraId="12A0AA65" w14:textId="4E2192EB" w:rsidR="00C705C5" w:rsidRDefault="00FC5D0B" w:rsidP="00C705C5">
      <w:r>
        <w:t xml:space="preserve">The relationship between level of nutrient intake and risk of adverse effects is non-linear (see </w:t>
      </w:r>
      <w:r w:rsidR="009E444B">
        <w:fldChar w:fldCharType="begin"/>
      </w:r>
      <w:r w:rsidR="009E444B">
        <w:instrText xml:space="preserve"> REF _Ref197442423 \h </w:instrText>
      </w:r>
      <w:r w:rsidR="009E444B">
        <w:fldChar w:fldCharType="separate"/>
      </w:r>
      <w:r w:rsidR="009E444B" w:rsidRPr="00442557">
        <w:t xml:space="preserve">Figure </w:t>
      </w:r>
      <w:r w:rsidR="009E444B">
        <w:rPr>
          <w:noProof/>
        </w:rPr>
        <w:t>2</w:t>
      </w:r>
      <w:r w:rsidR="009E444B" w:rsidRPr="00442557">
        <w:t>.</w:t>
      </w:r>
      <w:r w:rsidR="009E444B">
        <w:rPr>
          <w:noProof/>
        </w:rPr>
        <w:t>1</w:t>
      </w:r>
      <w:r w:rsidR="009E444B">
        <w:fldChar w:fldCharType="end"/>
      </w:r>
      <w:r>
        <w:t xml:space="preserve">). </w:t>
      </w:r>
      <w:r w:rsidR="00C705C5">
        <w:t xml:space="preserve">The </w:t>
      </w:r>
      <w:r w:rsidR="005F0396">
        <w:t xml:space="preserve">UL is </w:t>
      </w:r>
      <w:r w:rsidR="000C6220">
        <w:t xml:space="preserve">the </w:t>
      </w:r>
      <w:r w:rsidR="00C705C5">
        <w:t>highest mean daily nutrient intake</w:t>
      </w:r>
      <w:r w:rsidR="00B570E2">
        <w:rPr>
          <w:rStyle w:val="FootnoteReference"/>
        </w:rPr>
        <w:footnoteReference w:id="5"/>
      </w:r>
      <w:r w:rsidR="00344162">
        <w:t xml:space="preserve"> </w:t>
      </w:r>
      <w:r w:rsidR="00C705C5">
        <w:t>level likely to pose no adverse (toxic) health effects to almost all individuals in the general population. As intake increases above the UL, the risk of toxic effects increases</w:t>
      </w:r>
      <w:r w:rsidR="00EB50DB">
        <w:t xml:space="preserve">. </w:t>
      </w:r>
    </w:p>
    <w:p w14:paraId="38B590FA" w14:textId="77777777" w:rsidR="00C705C5" w:rsidRDefault="00C705C5" w:rsidP="00C705C5">
      <w:r w:rsidRPr="00D01762">
        <w:rPr>
          <w:b/>
          <w:color w:val="09002E" w:themeColor="text2"/>
        </w:rPr>
        <w:t>Individuals</w:t>
      </w:r>
      <w:r>
        <w:t>: Applied to determine an individual’s risk of adverse effects from excessive nutrient intake.</w:t>
      </w:r>
    </w:p>
    <w:p w14:paraId="288787B6" w14:textId="77777777" w:rsidR="00C705C5" w:rsidRDefault="00C705C5" w:rsidP="00C705C5">
      <w:r w:rsidRPr="00D01762">
        <w:rPr>
          <w:b/>
          <w:color w:val="09002E" w:themeColor="text2"/>
        </w:rPr>
        <w:t>Groups:</w:t>
      </w:r>
      <w:r>
        <w:t xml:space="preserve"> Applied to determine a </w:t>
      </w:r>
      <w:r w:rsidRPr="003265F8">
        <w:t>population’s risk of adverse</w:t>
      </w:r>
      <w:r>
        <w:t xml:space="preserve"> effects from excessive nutrient intake.</w:t>
      </w:r>
    </w:p>
    <w:p w14:paraId="188D4601" w14:textId="41AD7AFD" w:rsidR="00C705C5" w:rsidRDefault="00C705C5" w:rsidP="00890812">
      <w:r>
        <w:t>Where there is sufficient evidence, t</w:t>
      </w:r>
      <w:r w:rsidRPr="00BF43D5">
        <w:t>he UL is a NRV that is calculated based on toxicological adverse effects – that is, adverse events that occur at a distinct threshold that differentiates ‘safe’ and ‘unsafe’ intakes.</w:t>
      </w:r>
      <w:r>
        <w:t xml:space="preserve"> </w:t>
      </w:r>
      <w:r w:rsidR="00F30252">
        <w:t xml:space="preserve">To derive an UL that will be protective for the general population, an uncertainty factor (UF) can be applied (see section 6.3.1 to the reference point (RP). </w:t>
      </w:r>
      <w:r>
        <w:t>In general, the principles for the risk assessment of chemicals also apply to setting UL for nutrients. The risk assessment process</w:t>
      </w:r>
      <w:r w:rsidRPr="00BF43D5">
        <w:t xml:space="preserve"> </w:t>
      </w:r>
      <w:r>
        <w:t>includes hazard identification, hazard characterisation, intake assessment and risk characterisation.</w:t>
      </w:r>
      <w:r w:rsidRPr="00BF43D5">
        <w:t xml:space="preserve"> </w:t>
      </w:r>
      <w:r>
        <w:t>Where evidence is less certain, greater expert interpretation and judgement is required.</w:t>
      </w:r>
    </w:p>
    <w:p w14:paraId="46743EDD" w14:textId="77777777" w:rsidR="005B3F3C" w:rsidRDefault="005B3F3C" w:rsidP="00890812"/>
    <w:p w14:paraId="2E2C3F83" w14:textId="68A9A547" w:rsidR="005B3F3C" w:rsidRDefault="005B3F3C" w:rsidP="006274A5">
      <w:pPr>
        <w:jc w:val="center"/>
      </w:pPr>
      <w:r w:rsidRPr="00794019">
        <w:rPr>
          <w:rFonts w:cs="AdvPSA88A"/>
          <w:noProof/>
        </w:rPr>
        <w:drawing>
          <wp:inline distT="0" distB="0" distL="0" distR="0" wp14:anchorId="4CBF46C4" wp14:editId="3D2BFC2F">
            <wp:extent cx="4756785" cy="2290445"/>
            <wp:effectExtent l="0" t="0" r="5715" b="0"/>
            <wp:docPr id="4" name="Picture 4" descr="U-shaped curve showing relationship between nutrient intake level and health risks. The left curve shows potential risk of inadequacy decreasing from 1.0 to 0 as intake increases. It is intersected by two vertical lines, the first representing the Estimated Average Requirement (EAR) at a risk of inadequacy of 0.5, and the Recommended Dietary Intake at a risk of inadequacy of around 0.1. The right curve shows a potential risk of adverse effects increase from 0 to 1.0 as intake continues to increase beyond the Upper Level (UL) marker. The graph demonstrates that both insufficient and excessive nutrient intake pose health risks, with a safe intake range between RDI and U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shaped curve showing relationship between nutrient intake level and health risks. The left curve shows potential risk of inadequacy decreasing from 1.0 to 0 as intake increases. It is intersected by two vertical lines, the first representing the Estimated Average Requirement (EAR) at a risk of inadequacy of 0.5, and the Recommended Dietary Intake at a risk of inadequacy of around 0.1. The right curve shows a potential risk of adverse effects increase from 0 to 1.0 as intake continues to increase beyond the Upper Level (UL) marker. The graph demonstrates that both insufficient and excessive nutrient intake pose health risks, with a safe intake range between RDI and UL. "/>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756785" cy="2290445"/>
                    </a:xfrm>
                    <a:prstGeom prst="rect">
                      <a:avLst/>
                    </a:prstGeom>
                    <a:noFill/>
                    <a:ln>
                      <a:noFill/>
                    </a:ln>
                  </pic:spPr>
                </pic:pic>
              </a:graphicData>
            </a:graphic>
          </wp:inline>
        </w:drawing>
      </w:r>
    </w:p>
    <w:p w14:paraId="3D6D2FEF" w14:textId="5401AA33" w:rsidR="006C7766" w:rsidRPr="00B54ED4" w:rsidRDefault="006C7766" w:rsidP="006274A5">
      <w:pPr>
        <w:spacing w:before="0" w:after="0" w:line="240" w:lineRule="auto"/>
        <w:jc w:val="center"/>
        <w:rPr>
          <w:sz w:val="16"/>
          <w:szCs w:val="14"/>
        </w:rPr>
      </w:pPr>
      <w:r w:rsidRPr="00B54ED4">
        <w:rPr>
          <w:sz w:val="16"/>
          <w:szCs w:val="14"/>
        </w:rPr>
        <w:t>Observed level of intake</w:t>
      </w:r>
    </w:p>
    <w:p w14:paraId="5AD57D54" w14:textId="458724B3" w:rsidR="00B54ED4" w:rsidRDefault="00B54ED4" w:rsidP="006274A5">
      <w:pPr>
        <w:spacing w:before="0" w:after="0" w:line="240" w:lineRule="auto"/>
        <w:jc w:val="center"/>
        <w:rPr>
          <w:rFonts w:ascii="Wingdings" w:eastAsia="Wingdings" w:hAnsi="Wingdings" w:cs="Wingdings"/>
          <w:sz w:val="16"/>
          <w:szCs w:val="14"/>
        </w:rPr>
      </w:pPr>
      <w:r w:rsidRPr="00B54ED4">
        <w:rPr>
          <w:sz w:val="16"/>
          <w:szCs w:val="14"/>
        </w:rPr>
        <w:t xml:space="preserve">Increase </w:t>
      </w:r>
      <w:r w:rsidRPr="00B54ED4">
        <w:rPr>
          <w:rFonts w:ascii="Wingdings" w:eastAsia="Wingdings" w:hAnsi="Wingdings" w:cs="Wingdings"/>
          <w:sz w:val="16"/>
          <w:szCs w:val="14"/>
        </w:rPr>
        <w:t>è</w:t>
      </w:r>
    </w:p>
    <w:p w14:paraId="50B4DCCA" w14:textId="77777777" w:rsidR="00E072FD" w:rsidRPr="00BF5688" w:rsidRDefault="00E072FD" w:rsidP="00E072FD">
      <w:pPr>
        <w:pStyle w:val="Caption"/>
        <w:spacing w:after="120" w:line="240" w:lineRule="auto"/>
        <w:rPr>
          <w:rFonts w:cs="AdvPSA88A"/>
          <w:noProof/>
        </w:rPr>
      </w:pPr>
      <w:bookmarkStart w:id="77" w:name="_Ref197442423"/>
      <w:r w:rsidRPr="00442557">
        <w:t xml:space="preserve">Figure </w:t>
      </w:r>
      <w:r>
        <w:fldChar w:fldCharType="begin"/>
      </w:r>
      <w:r>
        <w:instrText xml:space="preserve"> STYLEREF 1 \s </w:instrText>
      </w:r>
      <w:r>
        <w:fldChar w:fldCharType="separate"/>
      </w:r>
      <w:r>
        <w:rPr>
          <w:noProof/>
        </w:rPr>
        <w:t>2</w:t>
      </w:r>
      <w:r>
        <w:rPr>
          <w:noProof/>
        </w:rPr>
        <w:fldChar w:fldCharType="end"/>
      </w:r>
      <w:r w:rsidRPr="00442557">
        <w:t>.</w:t>
      </w:r>
      <w:r>
        <w:fldChar w:fldCharType="begin"/>
      </w:r>
      <w:r>
        <w:instrText xml:space="preserve"> SEQ Figure \* ARABIC \s 1 </w:instrText>
      </w:r>
      <w:r>
        <w:fldChar w:fldCharType="separate"/>
      </w:r>
      <w:r>
        <w:rPr>
          <w:noProof/>
        </w:rPr>
        <w:t>1</w:t>
      </w:r>
      <w:r>
        <w:rPr>
          <w:noProof/>
        </w:rPr>
        <w:fldChar w:fldCharType="end"/>
      </w:r>
      <w:bookmarkEnd w:id="77"/>
      <w:r w:rsidRPr="00442557">
        <w:t xml:space="preserve"> Relationship between risk of inadequacy and risk of adverse effects for nutrients (adapted from National Academy of Sciences (2018))</w:t>
      </w:r>
    </w:p>
    <w:p w14:paraId="5E58A663" w14:textId="77777777" w:rsidR="00E072FD" w:rsidRPr="00B54ED4" w:rsidRDefault="00E072FD" w:rsidP="006274A5">
      <w:pPr>
        <w:spacing w:before="0" w:after="0" w:line="240" w:lineRule="auto"/>
        <w:jc w:val="center"/>
        <w:rPr>
          <w:sz w:val="16"/>
          <w:szCs w:val="14"/>
        </w:rPr>
      </w:pPr>
    </w:p>
    <w:p w14:paraId="22E6AC0E" w14:textId="25F1A695" w:rsidR="00890812" w:rsidRDefault="00BD6BDB" w:rsidP="003E2E95">
      <w:pPr>
        <w:pStyle w:val="Heading40"/>
      </w:pPr>
      <w:bookmarkStart w:id="78" w:name="_Toc207801053"/>
      <w:bookmarkStart w:id="79" w:name="_Toc207824530"/>
      <w:r>
        <w:lastRenderedPageBreak/>
        <w:t>Adequate</w:t>
      </w:r>
      <w:r w:rsidR="00890812">
        <w:t xml:space="preserve"> Intake (</w:t>
      </w:r>
      <w:r>
        <w:t>AI</w:t>
      </w:r>
      <w:r w:rsidR="00890812">
        <w:t>)</w:t>
      </w:r>
      <w:bookmarkEnd w:id="78"/>
      <w:bookmarkEnd w:id="79"/>
    </w:p>
    <w:p w14:paraId="02632574" w14:textId="659CC410" w:rsidR="00C705C5" w:rsidRDefault="00C705C5" w:rsidP="00C705C5">
      <w:r>
        <w:t>The AI is a mean daily nutrient intake</w:t>
      </w:r>
      <w:r>
        <w:rPr>
          <w:rStyle w:val="FootnoteReference"/>
        </w:rPr>
        <w:footnoteReference w:id="6"/>
      </w:r>
      <w:r>
        <w:t xml:space="preserve"> level, based on observed or experimentally determined approximations or estimates of nutrient intake by a group (or groups) of apparently healthy people</w:t>
      </w:r>
      <w:r w:rsidR="008F2ED2">
        <w:t>. It is</w:t>
      </w:r>
      <w:r>
        <w:t xml:space="preserve"> used when</w:t>
      </w:r>
      <w:r w:rsidR="008F2ED2">
        <w:t xml:space="preserve"> </w:t>
      </w:r>
      <w:r>
        <w:t>an EAR</w:t>
      </w:r>
      <w:r w:rsidR="008F2ED2">
        <w:t xml:space="preserve"> </w:t>
      </w:r>
      <w:r w:rsidR="007E5E0A">
        <w:t>and</w:t>
      </w:r>
      <w:r w:rsidR="008F2ED2">
        <w:t xml:space="preserve"> </w:t>
      </w:r>
      <w:r>
        <w:t>RDI ca</w:t>
      </w:r>
      <w:r w:rsidR="007E5E0A">
        <w:t>n</w:t>
      </w:r>
      <w:r>
        <w:t>n</w:t>
      </w:r>
      <w:r w:rsidR="007E5E0A">
        <w:t>ot</w:t>
      </w:r>
      <w:r>
        <w:t xml:space="preserve"> be determined.</w:t>
      </w:r>
    </w:p>
    <w:p w14:paraId="30A096E1" w14:textId="3F533543" w:rsidR="00C705C5" w:rsidRDefault="00C705C5" w:rsidP="00C705C5">
      <w:r w:rsidRPr="003E60E8">
        <w:rPr>
          <w:b/>
          <w:color w:val="09002E" w:themeColor="text2"/>
        </w:rPr>
        <w:t>Individuals:</w:t>
      </w:r>
      <w:r w:rsidRPr="003E60E8">
        <w:rPr>
          <w:color w:val="09002E" w:themeColor="text2"/>
        </w:rPr>
        <w:t xml:space="preserve"> </w:t>
      </w:r>
      <w:r>
        <w:t>Applied to determine the probability of inadequacy. Usual intake at or above this level has a low probability of inadequacy. When the AI is based on mean intakes of healthy populations, this assessment is made with less confidence.</w:t>
      </w:r>
    </w:p>
    <w:p w14:paraId="5EB2CDE4" w14:textId="3188106F" w:rsidR="00026916" w:rsidRDefault="00C705C5" w:rsidP="00890812">
      <w:r w:rsidRPr="003E60E8">
        <w:rPr>
          <w:b/>
          <w:color w:val="09002E" w:themeColor="text2"/>
        </w:rPr>
        <w:t>Groups:</w:t>
      </w:r>
      <w:r w:rsidRPr="003E60E8">
        <w:rPr>
          <w:color w:val="09002E" w:themeColor="text2"/>
        </w:rPr>
        <w:t xml:space="preserve"> </w:t>
      </w:r>
      <w:r>
        <w:t>Applied to determine the probability of inadequacy. Mean usual intake at or above this level implies a low prevalence of inadequate intakes. When the AI is based on mean intakes of healthy populations, this assessment is made with less confidence.</w:t>
      </w:r>
    </w:p>
    <w:p w14:paraId="535CA9B1" w14:textId="5854D794" w:rsidR="00890812" w:rsidRDefault="00890812" w:rsidP="003E2E95">
      <w:pPr>
        <w:pStyle w:val="Heading40"/>
      </w:pPr>
      <w:bookmarkStart w:id="80" w:name="_Toc153967109"/>
      <w:bookmarkStart w:id="81" w:name="_Toc207801054"/>
      <w:bookmarkStart w:id="82" w:name="_Toc207824531"/>
      <w:r>
        <w:t>Suggested Dietary Target (SDT)</w:t>
      </w:r>
      <w:r w:rsidR="00045740">
        <w:t xml:space="preserve"> and</w:t>
      </w:r>
      <w:r w:rsidR="00F61132">
        <w:t xml:space="preserve"> </w:t>
      </w:r>
      <w:r w:rsidR="002E560C">
        <w:t>Chronic Disease Risk Reduction</w:t>
      </w:r>
      <w:r w:rsidR="00D23E84">
        <w:t xml:space="preserve"> </w:t>
      </w:r>
      <w:r w:rsidR="002E560C">
        <w:t>(CDRR)</w:t>
      </w:r>
      <w:bookmarkEnd w:id="80"/>
      <w:bookmarkEnd w:id="81"/>
      <w:bookmarkEnd w:id="82"/>
    </w:p>
    <w:p w14:paraId="141155D8" w14:textId="7A1BB9B2" w:rsidR="00AE54D1" w:rsidRPr="006671CF" w:rsidRDefault="007F029F" w:rsidP="00AE54D1">
      <w:pPr>
        <w:rPr>
          <w:sz w:val="18"/>
        </w:rPr>
      </w:pPr>
      <w:r>
        <w:t xml:space="preserve">The </w:t>
      </w:r>
      <w:r w:rsidR="006671CF">
        <w:t>Suggested Dietary Target (</w:t>
      </w:r>
      <w:r>
        <w:t>SDT</w:t>
      </w:r>
      <w:r w:rsidR="006671CF">
        <w:t>)</w:t>
      </w:r>
      <w:r>
        <w:t xml:space="preserve"> </w:t>
      </w:r>
      <w:r w:rsidR="00593A35">
        <w:t>refers to the average</w:t>
      </w:r>
      <w:r w:rsidR="00AD4974">
        <w:t xml:space="preserve"> </w:t>
      </w:r>
      <w:r w:rsidR="00890812">
        <w:t>daily intake of nutrients from food and beverages that</w:t>
      </w:r>
      <w:r w:rsidR="00CF0CE9">
        <w:t xml:space="preserve"> </w:t>
      </w:r>
      <w:r w:rsidR="00890812">
        <w:t xml:space="preserve">may </w:t>
      </w:r>
      <w:r w:rsidR="00593A35">
        <w:t xml:space="preserve">contribute to a reduced risk </w:t>
      </w:r>
      <w:r w:rsidR="00890812">
        <w:t xml:space="preserve">of chronic disease. </w:t>
      </w:r>
      <w:r w:rsidR="00593A35">
        <w:t>The SDT may be derived from either the mean or median of available intake data, depending on the strength and nature of the evidence</w:t>
      </w:r>
      <w:r w:rsidR="00AE54D1" w:rsidRPr="00CA12A3">
        <w:rPr>
          <w:szCs w:val="20"/>
        </w:rPr>
        <w:t xml:space="preserve">. </w:t>
      </w:r>
      <w:r w:rsidR="00593A35">
        <w:rPr>
          <w:szCs w:val="20"/>
        </w:rPr>
        <w:t>Where</w:t>
      </w:r>
      <w:r w:rsidR="00AE54D1" w:rsidRPr="00CA12A3">
        <w:rPr>
          <w:szCs w:val="20"/>
        </w:rPr>
        <w:t xml:space="preserve"> meta-analysis </w:t>
      </w:r>
      <w:r w:rsidR="00593A35">
        <w:rPr>
          <w:szCs w:val="20"/>
        </w:rPr>
        <w:t>demonstrates a robust</w:t>
      </w:r>
      <w:r w:rsidR="00AE54D1" w:rsidRPr="00CA12A3">
        <w:rPr>
          <w:szCs w:val="20"/>
        </w:rPr>
        <w:t xml:space="preserve"> association between a nutrient and a primary health outcome, the SDT </w:t>
      </w:r>
      <w:r w:rsidR="008C6747">
        <w:rPr>
          <w:szCs w:val="20"/>
        </w:rPr>
        <w:t>is typically</w:t>
      </w:r>
      <w:r w:rsidR="00AE54D1" w:rsidRPr="00CA12A3">
        <w:rPr>
          <w:szCs w:val="20"/>
        </w:rPr>
        <w:t xml:space="preserve"> based on the mean </w:t>
      </w:r>
      <w:r w:rsidR="00DE0C67">
        <w:rPr>
          <w:szCs w:val="20"/>
        </w:rPr>
        <w:t>intake associated with the des</w:t>
      </w:r>
      <w:r w:rsidR="00756FC2">
        <w:rPr>
          <w:szCs w:val="20"/>
        </w:rPr>
        <w:t>irable health effect</w:t>
      </w:r>
      <w:r w:rsidR="00AE54D1" w:rsidRPr="00CA12A3">
        <w:rPr>
          <w:szCs w:val="20"/>
        </w:rPr>
        <w:t xml:space="preserve">. </w:t>
      </w:r>
      <w:r w:rsidR="00AE54D1" w:rsidRPr="00CF41EE">
        <w:t xml:space="preserve">Historically, </w:t>
      </w:r>
      <w:r w:rsidR="005241C2">
        <w:t xml:space="preserve">SDTs in Australia and New Zealand have been set at </w:t>
      </w:r>
      <w:r w:rsidR="00AE54D1" w:rsidRPr="00CF41EE">
        <w:t>the 90</w:t>
      </w:r>
      <w:r w:rsidR="00AE54D1" w:rsidRPr="00CF41EE">
        <w:rPr>
          <w:vertAlign w:val="superscript"/>
        </w:rPr>
        <w:t>th</w:t>
      </w:r>
      <w:r w:rsidR="00AE54D1" w:rsidRPr="00CF41EE">
        <w:t xml:space="preserve"> percentile </w:t>
      </w:r>
      <w:r w:rsidR="005241C2">
        <w:t>of intake</w:t>
      </w:r>
      <w:r w:rsidR="00AE54D1" w:rsidRPr="00CF41EE">
        <w:t xml:space="preserve">. </w:t>
      </w:r>
    </w:p>
    <w:p w14:paraId="24E6DE78" w14:textId="25CCC30D" w:rsidR="00890812" w:rsidRDefault="006F117A" w:rsidP="00890812">
      <w:r>
        <w:t xml:space="preserve">The </w:t>
      </w:r>
      <w:r w:rsidR="006671CF">
        <w:t>Chronic Disease Risk Reduction</w:t>
      </w:r>
      <w:r w:rsidR="00781C4E" w:rsidRPr="00781C4E">
        <w:t xml:space="preserve"> </w:t>
      </w:r>
      <w:r w:rsidR="00B66537">
        <w:t>(CDRR)</w:t>
      </w:r>
      <w:r>
        <w:t xml:space="preserve"> value</w:t>
      </w:r>
      <w:r w:rsidR="00781C4E" w:rsidRPr="00781C4E">
        <w:t xml:space="preserve"> </w:t>
      </w:r>
      <w:r w:rsidR="00E423E4" w:rsidRPr="00E423E4">
        <w:t xml:space="preserve">represents the lowest level of intake for which there </w:t>
      </w:r>
      <w:r w:rsidR="00E423E4">
        <w:t>is</w:t>
      </w:r>
      <w:r w:rsidR="00E423E4" w:rsidRPr="00E423E4">
        <w:t xml:space="preserve"> sufficient strength of evidence to characteri</w:t>
      </w:r>
      <w:r w:rsidR="00E423E4">
        <w:t>s</w:t>
      </w:r>
      <w:r w:rsidR="00E423E4" w:rsidRPr="00E423E4">
        <w:t>e a chronic disease risk reduction within an apparently healthy population</w:t>
      </w:r>
      <w:r w:rsidR="003C4A8B">
        <w:t xml:space="preserve"> </w:t>
      </w:r>
      <w:r w:rsidR="009B34D1">
        <w:fldChar w:fldCharType="begin"/>
      </w:r>
      <w:r w:rsidR="007607BA">
        <w:instrText xml:space="preserve"> ADDIN EN.CITE &lt;EndNote&gt;&lt;Cite&gt;&lt;Author&gt;NASEM&lt;/Author&gt;&lt;Year&gt;2017&lt;/Year&gt;&lt;RecNum&gt;43&lt;/RecNum&gt;&lt;DisplayText&gt;(NASEM 2017)&lt;/DisplayText&gt;&lt;record&gt;&lt;rec-number&gt;43&lt;/rec-number&gt;&lt;foreign-keys&gt;&lt;key app="EN" db-id="zxfaevvrgpsxebez5ec5vspfe2av5dtxt9xx" timestamp="1754957726"&gt;43&lt;/key&gt;&lt;/foreign-keys&gt;&lt;ref-type name="Book"&gt;6&lt;/ref-type&gt;&lt;contributors&gt;&lt;authors&gt;&lt;author&gt;NASEM,&lt;/author&gt;&lt;/authors&gt;&lt;secondary-authors&gt;&lt;author&gt;Kumanyika, Shiriki&lt;/author&gt;&lt;author&gt;Oria, Maria P.&lt;/author&gt;&lt;/secondary-authors&gt;&lt;/contributors&gt;&lt;titles&gt;&lt;title&gt;Guiding Principles for Developing Dietary Reference Intakes Based on Chronic Disease&lt;/title&gt;&lt;/titles&gt;&lt;pages&gt;334&lt;/pages&gt;&lt;keywords&gt;&lt;keyword&gt;Food and Nutrition&lt;/keyword&gt;&lt;keyword&gt;Health and Medicine&lt;/keyword&gt;&lt;/keywords&gt;&lt;dates&gt;&lt;year&gt;2017&lt;/year&gt;&lt;/dates&gt;&lt;pub-location&gt;Washington, DC&lt;/pub-location&gt;&lt;publisher&gt;The National Academies Press&lt;/publisher&gt;&lt;isbn&gt;978-0-309-46256-3&lt;/isbn&gt;&lt;urls&gt;&lt;related-urls&gt;&lt;url&gt;https://nap.nationalacademies.org/catalog/24828/guiding-principles-for-developing-dietary-reference-intakes-based-on-chronic-disease&lt;/url&gt;&lt;/related-urls&gt;&lt;/urls&gt;&lt;electronic-resource-num&gt;doi:10.17226/24828&lt;/electronic-resource-num&gt;&lt;language&gt;English&lt;/language&gt;&lt;/record&gt;&lt;/Cite&gt;&lt;/EndNote&gt;</w:instrText>
      </w:r>
      <w:r w:rsidR="009B34D1">
        <w:fldChar w:fldCharType="separate"/>
      </w:r>
      <w:r w:rsidR="007607BA">
        <w:rPr>
          <w:noProof/>
        </w:rPr>
        <w:t>(NASEM 2017)</w:t>
      </w:r>
      <w:r w:rsidR="009B34D1">
        <w:fldChar w:fldCharType="end"/>
      </w:r>
      <w:r w:rsidR="00E423E4" w:rsidRPr="003239BE">
        <w:t>.</w:t>
      </w:r>
      <w:r w:rsidR="00781C4E">
        <w:t xml:space="preserve"> </w:t>
      </w:r>
      <w:r w:rsidR="00890FF5">
        <w:t>CDRRs ma</w:t>
      </w:r>
      <w:r w:rsidR="00F2307C">
        <w:t>y</w:t>
      </w:r>
      <w:r w:rsidR="00890FF5">
        <w:t xml:space="preserve"> reflect either beneficial effects (</w:t>
      </w:r>
      <w:r w:rsidR="003F693C">
        <w:t>e.g. increased fibre intake)</w:t>
      </w:r>
      <w:r w:rsidR="004A0192">
        <w:t xml:space="preserve"> or risk-reducing effects through decreased intake (e.g. reduced sodium)</w:t>
      </w:r>
      <w:r w:rsidR="00F765EE">
        <w:rPr>
          <w:sz w:val="18"/>
        </w:rPr>
        <w:t xml:space="preserve"> </w:t>
      </w:r>
      <w:r w:rsidR="004A0192">
        <w:rPr>
          <w:sz w:val="18"/>
        </w:rPr>
        <w:t xml:space="preserve">In line with international </w:t>
      </w:r>
      <w:r w:rsidR="004A0192" w:rsidRPr="00CF41EE">
        <w:t>harmonis</w:t>
      </w:r>
      <w:r w:rsidR="004A0192">
        <w:t>ation</w:t>
      </w:r>
      <w:r w:rsidR="004A0192" w:rsidRPr="00CF41EE">
        <w:t xml:space="preserve"> </w:t>
      </w:r>
      <w:r w:rsidR="00781C4E" w:rsidRPr="00CF41EE">
        <w:t>efforts</w:t>
      </w:r>
      <w:r w:rsidR="00EF3228">
        <w:t xml:space="preserve">, this framework proposes the adoption of </w:t>
      </w:r>
      <w:r w:rsidR="001D1EF2">
        <w:t>the CDRR approach for relevant nutrients</w:t>
      </w:r>
    </w:p>
    <w:p w14:paraId="32C4469D" w14:textId="3E0CDDCE" w:rsidR="001D1EF2" w:rsidRDefault="001D1EF2" w:rsidP="00890812">
      <w:pPr>
        <w:rPr>
          <w:color w:val="09002E" w:themeColor="text2"/>
        </w:rPr>
      </w:pPr>
      <w:r>
        <w:rPr>
          <w:b/>
          <w:color w:val="09002E" w:themeColor="text2"/>
        </w:rPr>
        <w:t>Application to i</w:t>
      </w:r>
      <w:r w:rsidR="00890812" w:rsidRPr="00AE246E">
        <w:rPr>
          <w:b/>
          <w:color w:val="09002E" w:themeColor="text2"/>
        </w:rPr>
        <w:t xml:space="preserve">ndividuals </w:t>
      </w:r>
      <w:r w:rsidR="00D01762">
        <w:rPr>
          <w:b/>
          <w:color w:val="09002E" w:themeColor="text2"/>
        </w:rPr>
        <w:t>and</w:t>
      </w:r>
      <w:r w:rsidR="00890812" w:rsidRPr="00AE246E">
        <w:rPr>
          <w:b/>
          <w:color w:val="09002E" w:themeColor="text2"/>
        </w:rPr>
        <w:t xml:space="preserve"> </w:t>
      </w:r>
      <w:r>
        <w:rPr>
          <w:b/>
          <w:color w:val="09002E" w:themeColor="text2"/>
        </w:rPr>
        <w:t>population g</w:t>
      </w:r>
      <w:r w:rsidR="00890812" w:rsidRPr="00AE246E">
        <w:rPr>
          <w:b/>
          <w:color w:val="09002E" w:themeColor="text2"/>
        </w:rPr>
        <w:t>roups:</w:t>
      </w:r>
      <w:r w:rsidR="00890812" w:rsidRPr="00AE246E">
        <w:rPr>
          <w:color w:val="09002E" w:themeColor="text2"/>
        </w:rPr>
        <w:t xml:space="preserve"> </w:t>
      </w:r>
    </w:p>
    <w:p w14:paraId="47F15C0A" w14:textId="18AB27EA" w:rsidR="00890812" w:rsidRDefault="002C164F" w:rsidP="00890812">
      <w:r>
        <w:rPr>
          <w:color w:val="09002E" w:themeColor="text2"/>
        </w:rPr>
        <w:t>CDRR values are applied</w:t>
      </w:r>
      <w:r w:rsidR="00890812">
        <w:t xml:space="preserve"> where a relationship between intakes of a nutrient and the </w:t>
      </w:r>
      <w:r w:rsidR="00E9352C">
        <w:t>chronic</w:t>
      </w:r>
      <w:r w:rsidR="00003050">
        <w:t xml:space="preserve"> disease risk</w:t>
      </w:r>
      <w:r w:rsidR="00E9352C">
        <w:t xml:space="preserve"> </w:t>
      </w:r>
      <w:r w:rsidR="00003050">
        <w:t xml:space="preserve">has been </w:t>
      </w:r>
      <w:r w:rsidR="00890812">
        <w:t>demonstrated.</w:t>
      </w:r>
      <w:r w:rsidR="00B62669">
        <w:t xml:space="preserve"> </w:t>
      </w:r>
      <w:r w:rsidR="00B62669" w:rsidRPr="00B62669">
        <w:t xml:space="preserve">The suggested threshold value is based on evidence demonstrating at least moderate certainty of both a causal and an intake–response relationship between nutrient intake and chronic disease </w:t>
      </w:r>
      <w:r w:rsidR="00E9352C" w:rsidRPr="00B62669">
        <w:t>risk and</w:t>
      </w:r>
      <w:r w:rsidR="00B62669" w:rsidRPr="00B62669">
        <w:t xml:space="preserve"> is intended to inform recommendations for both individuals and population groups.</w:t>
      </w:r>
      <w:r w:rsidR="00890812">
        <w:t xml:space="preserve"> </w:t>
      </w:r>
    </w:p>
    <w:p w14:paraId="1164B930" w14:textId="77777777" w:rsidR="00890812" w:rsidRDefault="00890812" w:rsidP="003E2E95">
      <w:pPr>
        <w:pStyle w:val="Heading40"/>
      </w:pPr>
      <w:bookmarkStart w:id="83" w:name="_Toc153967110"/>
      <w:bookmarkStart w:id="84" w:name="_Ref197439536"/>
      <w:bookmarkStart w:id="85" w:name="_Toc207801055"/>
      <w:bookmarkStart w:id="86" w:name="_Toc207824532"/>
      <w:r>
        <w:lastRenderedPageBreak/>
        <w:t>Acceptable Macronutrient Distribution Range (AMDR)</w:t>
      </w:r>
      <w:bookmarkEnd w:id="83"/>
      <w:bookmarkEnd w:id="84"/>
      <w:bookmarkEnd w:id="85"/>
      <w:bookmarkEnd w:id="86"/>
    </w:p>
    <w:p w14:paraId="6E960707" w14:textId="431AB058" w:rsidR="00890812" w:rsidRDefault="00890812" w:rsidP="00D01762">
      <w:r w:rsidRPr="00E204B5">
        <w:t>An estimate of the range of intake for each macronutrient for individuals (expressed as per cent contribution to energy), which would allow for an adequate intake of all the other nutrients whilst maximising general health outcome.</w:t>
      </w:r>
    </w:p>
    <w:p w14:paraId="0D62CD00" w14:textId="720212B6" w:rsidR="00C06DB0" w:rsidRDefault="00C06DB0" w:rsidP="003E2E95">
      <w:pPr>
        <w:pStyle w:val="Heading30"/>
      </w:pPr>
      <w:bookmarkStart w:id="87" w:name="_Toc153967111"/>
      <w:bookmarkStart w:id="88" w:name="_Toc207801056"/>
      <w:bookmarkStart w:id="89" w:name="_Toc207824533"/>
      <w:r>
        <w:t xml:space="preserve">International </w:t>
      </w:r>
      <w:bookmarkEnd w:id="87"/>
      <w:r w:rsidR="002E560C">
        <w:t>nutrient recommendations</w:t>
      </w:r>
      <w:bookmarkEnd w:id="88"/>
      <w:bookmarkEnd w:id="89"/>
    </w:p>
    <w:p w14:paraId="5EFDA0CE" w14:textId="5C69BEAD" w:rsidR="001A5455" w:rsidRDefault="003D3479" w:rsidP="003D3479">
      <w:r>
        <w:t xml:space="preserve">The approach taken to categorising and naming nutrient recommendations for the NRVs </w:t>
      </w:r>
      <w:r w:rsidR="005B38E1">
        <w:t xml:space="preserve">for Australia and New Zealand </w:t>
      </w:r>
      <w:r>
        <w:t xml:space="preserve">is largely consistent with international approaches. </w:t>
      </w:r>
      <w:r w:rsidR="00E63B43">
        <w:fldChar w:fldCharType="begin"/>
      </w:r>
      <w:r w:rsidR="00E63B43">
        <w:instrText xml:space="preserve"> REF _Ref197343806 \h </w:instrText>
      </w:r>
      <w:r w:rsidR="00E63B43">
        <w:fldChar w:fldCharType="separate"/>
      </w:r>
      <w:r w:rsidR="009E444B">
        <w:t xml:space="preserve">Table </w:t>
      </w:r>
      <w:r w:rsidR="009E444B">
        <w:rPr>
          <w:noProof/>
        </w:rPr>
        <w:t>2</w:t>
      </w:r>
      <w:r w:rsidR="009E444B">
        <w:t>.</w:t>
      </w:r>
      <w:r w:rsidR="009E444B">
        <w:rPr>
          <w:noProof/>
        </w:rPr>
        <w:t>2</w:t>
      </w:r>
      <w:r w:rsidR="00E63B43">
        <w:fldChar w:fldCharType="end"/>
      </w:r>
      <w:r>
        <w:t xml:space="preserve"> outlines the international approaches to nomenclature and classification of nutrient recommendations.</w:t>
      </w:r>
    </w:p>
    <w:p w14:paraId="1A7BF083" w14:textId="77777777" w:rsidR="001257AC" w:rsidRDefault="001257AC" w:rsidP="003D3479">
      <w:r>
        <w:t>International nutrient recommendat</w:t>
      </w:r>
      <w:r w:rsidR="0044091C">
        <w:t>ions have a range of potential applications in development of the Australian and New Zealand NRVs. This includes:</w:t>
      </w:r>
    </w:p>
    <w:p w14:paraId="20F40802" w14:textId="19B1140C" w:rsidR="00414B2F" w:rsidRDefault="00EB4400" w:rsidP="00211F4C">
      <w:pPr>
        <w:pStyle w:val="ListParagraph"/>
        <w:numPr>
          <w:ilvl w:val="0"/>
          <w:numId w:val="29"/>
        </w:numPr>
      </w:pPr>
      <w:r>
        <w:t>a</w:t>
      </w:r>
      <w:r w:rsidR="0044091C">
        <w:t>s triggers</w:t>
      </w:r>
      <w:r w:rsidR="00414B2F">
        <w:t xml:space="preserve"> for an NRV review and update, where other international reviews have identified new evidence and/or revised NRVs for a particular nutrient</w:t>
      </w:r>
    </w:p>
    <w:p w14:paraId="62EDDC1B" w14:textId="77777777" w:rsidR="003324FB" w:rsidRDefault="00EB4400" w:rsidP="00211F4C">
      <w:pPr>
        <w:pStyle w:val="ListParagraph"/>
        <w:numPr>
          <w:ilvl w:val="0"/>
          <w:numId w:val="29"/>
        </w:numPr>
      </w:pPr>
      <w:r>
        <w:t>a</w:t>
      </w:r>
      <w:r w:rsidR="0044091C">
        <w:t xml:space="preserve">s potential sources of data on which to base </w:t>
      </w:r>
      <w:r w:rsidR="00414B2F">
        <w:t>NRV recommendations, including adapting or adopting NRVs set by other jurisdictions, or utilising systematic reviews undertaken by international bodies to inform development of Australian and New Zealand NRVs</w:t>
      </w:r>
      <w:r w:rsidR="003324FB">
        <w:t xml:space="preserve"> </w:t>
      </w:r>
    </w:p>
    <w:p w14:paraId="79FDB252" w14:textId="065E40F5" w:rsidR="0044091C" w:rsidRDefault="00EB4400" w:rsidP="00211F4C">
      <w:pPr>
        <w:pStyle w:val="ListParagraph"/>
        <w:numPr>
          <w:ilvl w:val="0"/>
          <w:numId w:val="29"/>
        </w:numPr>
        <w:sectPr w:rsidR="0044091C" w:rsidSect="00E30AB1">
          <w:headerReference w:type="even" r:id="rId34"/>
          <w:headerReference w:type="default" r:id="rId35"/>
          <w:headerReference w:type="first" r:id="rId36"/>
          <w:pgSz w:w="11906" w:h="16838" w:code="9"/>
          <w:pgMar w:top="1814" w:right="1134" w:bottom="1565" w:left="907" w:header="510" w:footer="510" w:gutter="0"/>
          <w:cols w:space="708"/>
          <w:titlePg/>
          <w:docGrid w:linePitch="360"/>
        </w:sectPr>
      </w:pPr>
      <w:r>
        <w:t>t</w:t>
      </w:r>
      <w:r w:rsidR="00956422">
        <w:t xml:space="preserve">o benchmark draft NRV recommendations to explore consistency with contemporary NRV recommendations set by comparable international jurisdictions. </w:t>
      </w:r>
    </w:p>
    <w:p w14:paraId="7180F99D" w14:textId="1A60C9DE" w:rsidR="00400857" w:rsidRDefault="00400857" w:rsidP="00126239">
      <w:pPr>
        <w:pStyle w:val="Caption"/>
        <w:keepNext/>
        <w:spacing w:after="120"/>
      </w:pPr>
      <w:bookmarkStart w:id="90" w:name="_Ref197343806"/>
      <w:r>
        <w:lastRenderedPageBreak/>
        <w:t xml:space="preserve">Table </w:t>
      </w:r>
      <w:r w:rsidR="004754FC">
        <w:fldChar w:fldCharType="begin"/>
      </w:r>
      <w:r w:rsidR="004754FC">
        <w:instrText xml:space="preserve"> STYLEREF 1 \s </w:instrText>
      </w:r>
      <w:r w:rsidR="004754FC">
        <w:fldChar w:fldCharType="separate"/>
      </w:r>
      <w:r w:rsidR="009E444B">
        <w:rPr>
          <w:noProof/>
        </w:rPr>
        <w:t>2</w:t>
      </w:r>
      <w:r w:rsidR="004754FC">
        <w:rPr>
          <w:noProof/>
        </w:rPr>
        <w:fldChar w:fldCharType="end"/>
      </w:r>
      <w:bookmarkEnd w:id="90"/>
      <w:r w:rsidR="00522E50">
        <w:t>.</w:t>
      </w:r>
      <w:r w:rsidR="004618CA">
        <w:t>2</w:t>
      </w:r>
      <w:r w:rsidR="007B6BBA">
        <w:fldChar w:fldCharType="begin"/>
      </w:r>
      <w:r w:rsidR="007B6BBA">
        <w:fldChar w:fldCharType="separate"/>
      </w:r>
      <w:r w:rsidR="007B6BBA">
        <w:fldChar w:fldCharType="end"/>
      </w:r>
      <w:r>
        <w:t xml:space="preserve"> Comparison of international nutrient terminology and </w:t>
      </w:r>
      <w:r w:rsidR="0048587A">
        <w:t>c</w:t>
      </w:r>
      <w:r>
        <w:t xml:space="preserve">ategorisations </w:t>
      </w:r>
    </w:p>
    <w:tbl>
      <w:tblPr>
        <w:tblStyle w:val="DefaultTable1"/>
        <w:tblW w:w="14740" w:type="dxa"/>
        <w:tblInd w:w="-5" w:type="dxa"/>
        <w:tblLook w:val="04A0" w:firstRow="1" w:lastRow="0" w:firstColumn="1" w:lastColumn="0" w:noHBand="0" w:noVBand="1"/>
      </w:tblPr>
      <w:tblGrid>
        <w:gridCol w:w="1701"/>
        <w:gridCol w:w="1871"/>
        <w:gridCol w:w="1814"/>
        <w:gridCol w:w="1984"/>
        <w:gridCol w:w="1757"/>
        <w:gridCol w:w="1928"/>
        <w:gridCol w:w="1701"/>
        <w:gridCol w:w="1984"/>
      </w:tblGrid>
      <w:tr w:rsidR="00020148" w:rsidRPr="001C5A8C" w14:paraId="41434005" w14:textId="51B87FBC" w:rsidTr="003357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0A71D238" w14:textId="77777777" w:rsidR="000D138C" w:rsidRPr="003F2B21" w:rsidRDefault="000D138C" w:rsidP="00EB44CB">
            <w:pPr>
              <w:spacing w:before="0" w:after="0" w:line="252" w:lineRule="auto"/>
              <w:rPr>
                <w:b w:val="0"/>
                <w:sz w:val="16"/>
                <w:szCs w:val="16"/>
              </w:rPr>
            </w:pPr>
          </w:p>
          <w:p w14:paraId="708C8B2E" w14:textId="77777777" w:rsidR="00783723" w:rsidRPr="003F2B21" w:rsidRDefault="00783723" w:rsidP="00EB44CB">
            <w:pPr>
              <w:spacing w:before="0" w:after="0" w:line="252" w:lineRule="auto"/>
              <w:rPr>
                <w:b w:val="0"/>
                <w:sz w:val="16"/>
                <w:szCs w:val="16"/>
              </w:rPr>
            </w:pPr>
          </w:p>
          <w:p w14:paraId="44421FC8" w14:textId="17E223F7" w:rsidR="001A5455" w:rsidRPr="003F2B21" w:rsidRDefault="0035184B" w:rsidP="00EB44CB">
            <w:pPr>
              <w:spacing w:before="0" w:after="0" w:line="252" w:lineRule="auto"/>
              <w:rPr>
                <w:sz w:val="16"/>
                <w:szCs w:val="16"/>
              </w:rPr>
            </w:pPr>
            <w:r>
              <w:rPr>
                <w:sz w:val="16"/>
                <w:szCs w:val="16"/>
              </w:rPr>
              <w:t>Values</w:t>
            </w:r>
          </w:p>
        </w:tc>
        <w:tc>
          <w:tcPr>
            <w:tcW w:w="1871" w:type="dxa"/>
          </w:tcPr>
          <w:p w14:paraId="37CA0EAE" w14:textId="776F87A3" w:rsidR="001A5455" w:rsidRPr="003F2B21" w:rsidRDefault="001A5455" w:rsidP="00EB44CB">
            <w:pPr>
              <w:spacing w:before="0" w:after="0" w:line="252" w:lineRule="auto"/>
              <w:cnfStyle w:val="100000000000" w:firstRow="1" w:lastRow="0" w:firstColumn="0" w:lastColumn="0" w:oddVBand="0" w:evenVBand="0" w:oddHBand="0" w:evenHBand="0" w:firstRowFirstColumn="0" w:firstRowLastColumn="0" w:lastRowFirstColumn="0" w:lastRowLastColumn="0"/>
              <w:rPr>
                <w:sz w:val="16"/>
                <w:szCs w:val="16"/>
              </w:rPr>
            </w:pPr>
            <w:r w:rsidRPr="003F2B21">
              <w:rPr>
                <w:sz w:val="16"/>
                <w:szCs w:val="16"/>
              </w:rPr>
              <w:t>Australia/ New</w:t>
            </w:r>
            <w:r w:rsidR="00044792" w:rsidRPr="003F2B21">
              <w:rPr>
                <w:sz w:val="16"/>
                <w:szCs w:val="16"/>
              </w:rPr>
              <w:t> </w:t>
            </w:r>
            <w:r w:rsidRPr="003F2B21">
              <w:rPr>
                <w:sz w:val="16"/>
                <w:szCs w:val="16"/>
              </w:rPr>
              <w:t>Zealand</w:t>
            </w:r>
          </w:p>
        </w:tc>
        <w:tc>
          <w:tcPr>
            <w:tcW w:w="1814" w:type="dxa"/>
          </w:tcPr>
          <w:p w14:paraId="5DA1FD94" w14:textId="77777777" w:rsidR="001A5455" w:rsidRPr="003F2B21" w:rsidRDefault="001A5455" w:rsidP="00EB44CB">
            <w:pPr>
              <w:spacing w:before="0" w:after="0" w:line="252" w:lineRule="auto"/>
              <w:cnfStyle w:val="100000000000" w:firstRow="1" w:lastRow="0" w:firstColumn="0" w:lastColumn="0" w:oddVBand="0" w:evenVBand="0" w:oddHBand="0" w:evenHBand="0" w:firstRowFirstColumn="0" w:firstRowLastColumn="0" w:lastRowFirstColumn="0" w:lastRowLastColumn="0"/>
              <w:rPr>
                <w:sz w:val="16"/>
                <w:szCs w:val="16"/>
              </w:rPr>
            </w:pPr>
            <w:r w:rsidRPr="003F2B21">
              <w:rPr>
                <w:sz w:val="16"/>
                <w:szCs w:val="16"/>
              </w:rPr>
              <w:t>US-Canada</w:t>
            </w:r>
          </w:p>
        </w:tc>
        <w:tc>
          <w:tcPr>
            <w:tcW w:w="1984" w:type="dxa"/>
          </w:tcPr>
          <w:p w14:paraId="2A8A04D6" w14:textId="77777777" w:rsidR="001A5455" w:rsidRPr="003F2B21" w:rsidRDefault="001A5455" w:rsidP="00EB44CB">
            <w:pPr>
              <w:spacing w:before="0" w:after="0" w:line="252" w:lineRule="auto"/>
              <w:cnfStyle w:val="100000000000" w:firstRow="1" w:lastRow="0" w:firstColumn="0" w:lastColumn="0" w:oddVBand="0" w:evenVBand="0" w:oddHBand="0" w:evenHBand="0" w:firstRowFirstColumn="0" w:firstRowLastColumn="0" w:lastRowFirstColumn="0" w:lastRowLastColumn="0"/>
              <w:rPr>
                <w:sz w:val="16"/>
                <w:szCs w:val="16"/>
              </w:rPr>
            </w:pPr>
            <w:r w:rsidRPr="003F2B21">
              <w:rPr>
                <w:sz w:val="16"/>
                <w:szCs w:val="16"/>
              </w:rPr>
              <w:t>World Health Organization</w:t>
            </w:r>
          </w:p>
        </w:tc>
        <w:tc>
          <w:tcPr>
            <w:tcW w:w="1757" w:type="dxa"/>
          </w:tcPr>
          <w:p w14:paraId="0BE85911" w14:textId="77777777" w:rsidR="001A5455" w:rsidRPr="003F2B21" w:rsidRDefault="001A5455" w:rsidP="00EB44CB">
            <w:pPr>
              <w:spacing w:before="0" w:after="0" w:line="252" w:lineRule="auto"/>
              <w:cnfStyle w:val="100000000000" w:firstRow="1" w:lastRow="0" w:firstColumn="0" w:lastColumn="0" w:oddVBand="0" w:evenVBand="0" w:oddHBand="0" w:evenHBand="0" w:firstRowFirstColumn="0" w:firstRowLastColumn="0" w:lastRowFirstColumn="0" w:lastRowLastColumn="0"/>
              <w:rPr>
                <w:sz w:val="16"/>
                <w:szCs w:val="16"/>
              </w:rPr>
            </w:pPr>
            <w:r w:rsidRPr="003F2B21">
              <w:rPr>
                <w:sz w:val="16"/>
                <w:szCs w:val="16"/>
              </w:rPr>
              <w:t>UK (SACN)</w:t>
            </w:r>
          </w:p>
        </w:tc>
        <w:tc>
          <w:tcPr>
            <w:tcW w:w="1928" w:type="dxa"/>
          </w:tcPr>
          <w:p w14:paraId="6BAD940D" w14:textId="77777777" w:rsidR="001A5455" w:rsidRPr="003F2B21" w:rsidRDefault="001A5455" w:rsidP="00EB44CB">
            <w:pPr>
              <w:spacing w:before="0" w:after="0" w:line="252" w:lineRule="auto"/>
              <w:cnfStyle w:val="100000000000" w:firstRow="1" w:lastRow="0" w:firstColumn="0" w:lastColumn="0" w:oddVBand="0" w:evenVBand="0" w:oddHBand="0" w:evenHBand="0" w:firstRowFirstColumn="0" w:firstRowLastColumn="0" w:lastRowFirstColumn="0" w:lastRowLastColumn="0"/>
              <w:rPr>
                <w:sz w:val="16"/>
                <w:szCs w:val="16"/>
              </w:rPr>
            </w:pPr>
            <w:r w:rsidRPr="003F2B21">
              <w:rPr>
                <w:sz w:val="16"/>
                <w:szCs w:val="16"/>
              </w:rPr>
              <w:t>European Food Safety Authority</w:t>
            </w:r>
          </w:p>
        </w:tc>
        <w:tc>
          <w:tcPr>
            <w:tcW w:w="1701" w:type="dxa"/>
          </w:tcPr>
          <w:p w14:paraId="7D159D5F" w14:textId="77777777" w:rsidR="001A5455" w:rsidRPr="003F2B21" w:rsidRDefault="001A5455" w:rsidP="00EB44CB">
            <w:pPr>
              <w:spacing w:before="0" w:after="0" w:line="252" w:lineRule="auto"/>
              <w:cnfStyle w:val="100000000000" w:firstRow="1" w:lastRow="0" w:firstColumn="0" w:lastColumn="0" w:oddVBand="0" w:evenVBand="0" w:oddHBand="0" w:evenHBand="0" w:firstRowFirstColumn="0" w:firstRowLastColumn="0" w:lastRowFirstColumn="0" w:lastRowLastColumn="0"/>
              <w:rPr>
                <w:sz w:val="16"/>
                <w:szCs w:val="16"/>
              </w:rPr>
            </w:pPr>
            <w:r w:rsidRPr="003F2B21">
              <w:rPr>
                <w:sz w:val="16"/>
                <w:szCs w:val="16"/>
              </w:rPr>
              <w:t>EURRECA</w:t>
            </w:r>
          </w:p>
        </w:tc>
        <w:tc>
          <w:tcPr>
            <w:tcW w:w="1984" w:type="dxa"/>
          </w:tcPr>
          <w:p w14:paraId="76BA0ACC" w14:textId="1AF8B1FA" w:rsidR="00044792" w:rsidRPr="003F2B21" w:rsidRDefault="00044792" w:rsidP="00EB44CB">
            <w:pPr>
              <w:spacing w:before="0" w:after="0" w:line="252" w:lineRule="auto"/>
              <w:cnfStyle w:val="100000000000" w:firstRow="1" w:lastRow="0" w:firstColumn="0" w:lastColumn="0" w:oddVBand="0" w:evenVBand="0" w:oddHBand="0" w:evenHBand="0" w:firstRowFirstColumn="0" w:firstRowLastColumn="0" w:lastRowFirstColumn="0" w:lastRowLastColumn="0"/>
              <w:rPr>
                <w:sz w:val="16"/>
                <w:szCs w:val="16"/>
              </w:rPr>
            </w:pPr>
            <w:r w:rsidRPr="003F2B21">
              <w:rPr>
                <w:sz w:val="16"/>
                <w:szCs w:val="16"/>
              </w:rPr>
              <w:t>Nordic Nutri</w:t>
            </w:r>
            <w:r w:rsidR="00873F56" w:rsidRPr="003F2B21">
              <w:rPr>
                <w:sz w:val="16"/>
                <w:szCs w:val="16"/>
              </w:rPr>
              <w:t>tion</w:t>
            </w:r>
            <w:r w:rsidRPr="003F2B21">
              <w:rPr>
                <w:sz w:val="16"/>
                <w:szCs w:val="16"/>
              </w:rPr>
              <w:t xml:space="preserve"> Recommendations </w:t>
            </w:r>
          </w:p>
        </w:tc>
      </w:tr>
      <w:tr w:rsidR="00020148" w:rsidRPr="001C5A8C" w14:paraId="33FB90F9" w14:textId="104E8395" w:rsidTr="0033579C">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701" w:type="dxa"/>
            <w:vMerge/>
          </w:tcPr>
          <w:p w14:paraId="4BFBD90E" w14:textId="77777777" w:rsidR="001A5455" w:rsidRPr="003F2B21" w:rsidRDefault="001A5455" w:rsidP="00EB44CB">
            <w:pPr>
              <w:spacing w:before="0" w:after="0" w:line="252" w:lineRule="auto"/>
              <w:rPr>
                <w:sz w:val="16"/>
                <w:szCs w:val="16"/>
              </w:rPr>
            </w:pPr>
          </w:p>
        </w:tc>
        <w:tc>
          <w:tcPr>
            <w:tcW w:w="1871" w:type="dxa"/>
          </w:tcPr>
          <w:p w14:paraId="17C2D4BE" w14:textId="77777777" w:rsidR="001A5455" w:rsidRPr="003F2B21" w:rsidRDefault="001A5455" w:rsidP="00EB44CB">
            <w:pPr>
              <w:pStyle w:val="Table-ExpText"/>
              <w:spacing w:before="0" w:after="0" w:line="252" w:lineRule="auto"/>
              <w:cnfStyle w:val="000000100000" w:firstRow="0" w:lastRow="0" w:firstColumn="0" w:lastColumn="0" w:oddVBand="0" w:evenVBand="0" w:oddHBand="1" w:evenHBand="0" w:firstRowFirstColumn="0" w:firstRowLastColumn="0" w:lastRowFirstColumn="0" w:lastRowLastColumn="0"/>
              <w:rPr>
                <w:rFonts w:ascii="Gotham Book" w:hAnsi="Gotham Book"/>
                <w:b/>
                <w:i/>
                <w:sz w:val="16"/>
                <w:szCs w:val="16"/>
              </w:rPr>
            </w:pPr>
            <w:r w:rsidRPr="003F2B21">
              <w:rPr>
                <w:rFonts w:ascii="Gotham Book" w:hAnsi="Gotham Book"/>
                <w:b/>
                <w:i/>
                <w:sz w:val="16"/>
                <w:szCs w:val="16"/>
              </w:rPr>
              <w:t xml:space="preserve">Nutrient Reference Values (NRV) </w:t>
            </w:r>
          </w:p>
        </w:tc>
        <w:tc>
          <w:tcPr>
            <w:tcW w:w="1814" w:type="dxa"/>
          </w:tcPr>
          <w:p w14:paraId="3F393A42" w14:textId="28D77A1E" w:rsidR="001A5455" w:rsidRPr="003F2B21" w:rsidRDefault="001A5455" w:rsidP="00EB44CB">
            <w:pPr>
              <w:pStyle w:val="Table-ExpText"/>
              <w:spacing w:before="0" w:after="0" w:line="252" w:lineRule="auto"/>
              <w:cnfStyle w:val="000000100000" w:firstRow="0" w:lastRow="0" w:firstColumn="0" w:lastColumn="0" w:oddVBand="0" w:evenVBand="0" w:oddHBand="1" w:evenHBand="0" w:firstRowFirstColumn="0" w:firstRowLastColumn="0" w:lastRowFirstColumn="0" w:lastRowLastColumn="0"/>
              <w:rPr>
                <w:rFonts w:ascii="Gotham Book" w:hAnsi="Gotham Book"/>
                <w:i/>
                <w:sz w:val="16"/>
                <w:szCs w:val="16"/>
              </w:rPr>
            </w:pPr>
            <w:r w:rsidRPr="003F2B21">
              <w:rPr>
                <w:rFonts w:ascii="Gotham Book" w:hAnsi="Gotham Book"/>
                <w:i/>
                <w:sz w:val="16"/>
                <w:szCs w:val="16"/>
              </w:rPr>
              <w:t xml:space="preserve">Dietary Reference Intake (DRI) </w:t>
            </w:r>
          </w:p>
        </w:tc>
        <w:tc>
          <w:tcPr>
            <w:tcW w:w="1984" w:type="dxa"/>
          </w:tcPr>
          <w:p w14:paraId="117CDDE8" w14:textId="77777777" w:rsidR="001A5455" w:rsidRPr="003F2B21" w:rsidRDefault="001A5455" w:rsidP="00EB44CB">
            <w:pPr>
              <w:pStyle w:val="Table-ExpText"/>
              <w:spacing w:before="0" w:after="0" w:line="252" w:lineRule="auto"/>
              <w:cnfStyle w:val="000000100000" w:firstRow="0" w:lastRow="0" w:firstColumn="0" w:lastColumn="0" w:oddVBand="0" w:evenVBand="0" w:oddHBand="1" w:evenHBand="0" w:firstRowFirstColumn="0" w:firstRowLastColumn="0" w:lastRowFirstColumn="0" w:lastRowLastColumn="0"/>
              <w:rPr>
                <w:rFonts w:ascii="Gotham Book" w:hAnsi="Gotham Book"/>
                <w:i/>
                <w:sz w:val="16"/>
                <w:szCs w:val="16"/>
              </w:rPr>
            </w:pPr>
            <w:r w:rsidRPr="003F2B21">
              <w:rPr>
                <w:rFonts w:ascii="Gotham Book" w:hAnsi="Gotham Book"/>
                <w:i/>
                <w:sz w:val="16"/>
                <w:szCs w:val="16"/>
              </w:rPr>
              <w:t xml:space="preserve">Human Vitamin and Mineral Requirements </w:t>
            </w:r>
          </w:p>
        </w:tc>
        <w:tc>
          <w:tcPr>
            <w:tcW w:w="1757" w:type="dxa"/>
          </w:tcPr>
          <w:p w14:paraId="7E59BE48" w14:textId="77777777" w:rsidR="001A5455" w:rsidRPr="003F2B21" w:rsidRDefault="001A5455" w:rsidP="00EB44CB">
            <w:pPr>
              <w:pStyle w:val="Table-ExpText"/>
              <w:spacing w:before="0" w:after="0" w:line="252" w:lineRule="auto"/>
              <w:cnfStyle w:val="000000100000" w:firstRow="0" w:lastRow="0" w:firstColumn="0" w:lastColumn="0" w:oddVBand="0" w:evenVBand="0" w:oddHBand="1" w:evenHBand="0" w:firstRowFirstColumn="0" w:firstRowLastColumn="0" w:lastRowFirstColumn="0" w:lastRowLastColumn="0"/>
              <w:rPr>
                <w:rFonts w:ascii="Gotham Book" w:hAnsi="Gotham Book"/>
                <w:i/>
                <w:sz w:val="16"/>
                <w:szCs w:val="16"/>
              </w:rPr>
            </w:pPr>
            <w:r w:rsidRPr="003F2B21">
              <w:rPr>
                <w:rFonts w:ascii="Gotham Book" w:hAnsi="Gotham Book"/>
                <w:i/>
                <w:sz w:val="16"/>
                <w:szCs w:val="16"/>
              </w:rPr>
              <w:t xml:space="preserve">Dietary Reference Values (DRV) </w:t>
            </w:r>
          </w:p>
        </w:tc>
        <w:tc>
          <w:tcPr>
            <w:tcW w:w="1928" w:type="dxa"/>
          </w:tcPr>
          <w:p w14:paraId="314678E1" w14:textId="032CB978" w:rsidR="001A5455" w:rsidRPr="003F2B21" w:rsidRDefault="001A5455" w:rsidP="00EB44CB">
            <w:pPr>
              <w:pStyle w:val="Table-ExpText"/>
              <w:spacing w:before="0" w:after="0" w:line="252" w:lineRule="auto"/>
              <w:cnfStyle w:val="000000100000" w:firstRow="0" w:lastRow="0" w:firstColumn="0" w:lastColumn="0" w:oddVBand="0" w:evenVBand="0" w:oddHBand="1" w:evenHBand="0" w:firstRowFirstColumn="0" w:firstRowLastColumn="0" w:lastRowFirstColumn="0" w:lastRowLastColumn="0"/>
              <w:rPr>
                <w:rFonts w:ascii="Gotham Book" w:hAnsi="Gotham Book"/>
                <w:i/>
                <w:sz w:val="16"/>
                <w:szCs w:val="16"/>
              </w:rPr>
            </w:pPr>
            <w:r w:rsidRPr="003F2B21">
              <w:rPr>
                <w:rFonts w:ascii="Gotham Book" w:hAnsi="Gotham Book"/>
                <w:i/>
                <w:sz w:val="16"/>
                <w:szCs w:val="16"/>
              </w:rPr>
              <w:t>Dietary Reference Values (DRV)</w:t>
            </w:r>
          </w:p>
        </w:tc>
        <w:tc>
          <w:tcPr>
            <w:tcW w:w="1701" w:type="dxa"/>
          </w:tcPr>
          <w:p w14:paraId="20F361CC" w14:textId="2958599B" w:rsidR="001A5455" w:rsidRPr="003F2B21" w:rsidRDefault="001A5455" w:rsidP="00EB44CB">
            <w:pPr>
              <w:pStyle w:val="Table-ExpText"/>
              <w:spacing w:before="0" w:after="0" w:line="252" w:lineRule="auto"/>
              <w:cnfStyle w:val="000000100000" w:firstRow="0" w:lastRow="0" w:firstColumn="0" w:lastColumn="0" w:oddVBand="0" w:evenVBand="0" w:oddHBand="1" w:evenHBand="0" w:firstRowFirstColumn="0" w:firstRowLastColumn="0" w:lastRowFirstColumn="0" w:lastRowLastColumn="0"/>
              <w:rPr>
                <w:rFonts w:ascii="Gotham Book" w:hAnsi="Gotham Book"/>
                <w:i/>
                <w:sz w:val="16"/>
                <w:szCs w:val="16"/>
              </w:rPr>
            </w:pPr>
            <w:r w:rsidRPr="003F2B21">
              <w:rPr>
                <w:rFonts w:ascii="Gotham Book" w:hAnsi="Gotham Book"/>
                <w:i/>
                <w:sz w:val="16"/>
                <w:szCs w:val="16"/>
              </w:rPr>
              <w:t xml:space="preserve">Dietary Reference Values (DRVs) </w:t>
            </w:r>
          </w:p>
        </w:tc>
        <w:tc>
          <w:tcPr>
            <w:tcW w:w="1984" w:type="dxa"/>
          </w:tcPr>
          <w:p w14:paraId="5E0382EA" w14:textId="754E8E9D" w:rsidR="00E914BC" w:rsidRPr="003F2B21" w:rsidRDefault="00E914BC" w:rsidP="00EB44CB">
            <w:pPr>
              <w:pStyle w:val="Table-ExpText"/>
              <w:spacing w:before="0" w:after="0" w:line="252" w:lineRule="auto"/>
              <w:cnfStyle w:val="000000100000" w:firstRow="0" w:lastRow="0" w:firstColumn="0" w:lastColumn="0" w:oddVBand="0" w:evenVBand="0" w:oddHBand="1" w:evenHBand="0" w:firstRowFirstColumn="0" w:firstRowLastColumn="0" w:lastRowFirstColumn="0" w:lastRowLastColumn="0"/>
              <w:rPr>
                <w:rFonts w:ascii="Gotham Book" w:hAnsi="Gotham Book"/>
                <w:i/>
                <w:sz w:val="16"/>
                <w:szCs w:val="16"/>
              </w:rPr>
            </w:pPr>
            <w:r w:rsidRPr="003F2B21">
              <w:rPr>
                <w:rFonts w:ascii="Gotham Book" w:hAnsi="Gotham Book"/>
                <w:i/>
                <w:sz w:val="16"/>
                <w:szCs w:val="16"/>
              </w:rPr>
              <w:t>Dietary reference value (DRV)</w:t>
            </w:r>
          </w:p>
        </w:tc>
      </w:tr>
      <w:tr w:rsidR="00020148" w:rsidRPr="001C5A8C" w14:paraId="2E851E26" w14:textId="5ADEFD1B" w:rsidTr="003357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54F56D55" w14:textId="55AAA2B0" w:rsidR="001A5455" w:rsidRPr="003F2B21" w:rsidRDefault="0035184B" w:rsidP="00EB44CB">
            <w:pPr>
              <w:spacing w:before="0" w:after="0" w:line="252" w:lineRule="auto"/>
              <w:rPr>
                <w:sz w:val="16"/>
                <w:szCs w:val="16"/>
              </w:rPr>
            </w:pPr>
            <w:r>
              <w:rPr>
                <w:sz w:val="16"/>
                <w:szCs w:val="16"/>
              </w:rPr>
              <w:t>Requirement</w:t>
            </w:r>
          </w:p>
        </w:tc>
        <w:tc>
          <w:tcPr>
            <w:tcW w:w="1871" w:type="dxa"/>
          </w:tcPr>
          <w:p w14:paraId="66703DA7" w14:textId="77777777"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b/>
                <w:sz w:val="16"/>
                <w:szCs w:val="16"/>
              </w:rPr>
            </w:pPr>
            <w:r w:rsidRPr="003F2B21">
              <w:rPr>
                <w:b/>
                <w:sz w:val="16"/>
                <w:szCs w:val="16"/>
              </w:rPr>
              <w:t>Estimated average requirement (EAR)</w:t>
            </w:r>
          </w:p>
        </w:tc>
        <w:tc>
          <w:tcPr>
            <w:tcW w:w="1814" w:type="dxa"/>
          </w:tcPr>
          <w:p w14:paraId="7AFA1F75" w14:textId="77777777"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Estimated average requirement (EAR)</w:t>
            </w:r>
          </w:p>
        </w:tc>
        <w:tc>
          <w:tcPr>
            <w:tcW w:w="1984" w:type="dxa"/>
          </w:tcPr>
          <w:p w14:paraId="6895CC01" w14:textId="77777777"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Estimated average requirement (EAR)</w:t>
            </w:r>
          </w:p>
        </w:tc>
        <w:tc>
          <w:tcPr>
            <w:tcW w:w="1757" w:type="dxa"/>
          </w:tcPr>
          <w:p w14:paraId="55C02FFB" w14:textId="77777777"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Estimated average requirement (EAR)</w:t>
            </w:r>
          </w:p>
        </w:tc>
        <w:tc>
          <w:tcPr>
            <w:tcW w:w="1928" w:type="dxa"/>
          </w:tcPr>
          <w:p w14:paraId="48FDA66C" w14:textId="4C40D508"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Average requirement</w:t>
            </w:r>
            <w:r w:rsidR="009971EB" w:rsidRPr="003F2B21">
              <w:rPr>
                <w:sz w:val="16"/>
                <w:szCs w:val="16"/>
              </w:rPr>
              <w:t xml:space="preserve"> (AR)</w:t>
            </w:r>
          </w:p>
        </w:tc>
        <w:tc>
          <w:tcPr>
            <w:tcW w:w="1701" w:type="dxa"/>
          </w:tcPr>
          <w:p w14:paraId="45E648D6" w14:textId="77777777"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Estimated average requirement (EAR)</w:t>
            </w:r>
          </w:p>
        </w:tc>
        <w:tc>
          <w:tcPr>
            <w:tcW w:w="1984" w:type="dxa"/>
          </w:tcPr>
          <w:p w14:paraId="21141349" w14:textId="77777777" w:rsidR="00A6202D" w:rsidRPr="003F2B21" w:rsidRDefault="00A6202D"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Average requirement (AR)</w:t>
            </w:r>
          </w:p>
          <w:p w14:paraId="5802E12B" w14:textId="7CFC13C8" w:rsidR="00A6202D" w:rsidRPr="003F2B21" w:rsidRDefault="00A92BA2"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provisional average requirement (Provisional AR)</w:t>
            </w:r>
            <w:r w:rsidRPr="003F2B21">
              <w:rPr>
                <w:rStyle w:val="FootnoteReference"/>
                <w:sz w:val="16"/>
                <w:szCs w:val="16"/>
              </w:rPr>
              <w:footnoteReference w:id="7"/>
            </w:r>
          </w:p>
        </w:tc>
      </w:tr>
      <w:tr w:rsidR="00020148" w:rsidRPr="001C5A8C" w14:paraId="3EF29AC6" w14:textId="1B98FF18" w:rsidTr="003357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tcPr>
          <w:p w14:paraId="43E25A91" w14:textId="77777777" w:rsidR="001A5455" w:rsidRPr="003F2B21" w:rsidRDefault="001A5455" w:rsidP="00EB44CB">
            <w:pPr>
              <w:spacing w:before="0" w:after="0" w:line="252" w:lineRule="auto"/>
              <w:rPr>
                <w:sz w:val="16"/>
                <w:szCs w:val="16"/>
              </w:rPr>
            </w:pPr>
          </w:p>
        </w:tc>
        <w:tc>
          <w:tcPr>
            <w:tcW w:w="1871" w:type="dxa"/>
          </w:tcPr>
          <w:p w14:paraId="5DB94072" w14:textId="77777777"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b/>
                <w:sz w:val="16"/>
                <w:szCs w:val="16"/>
              </w:rPr>
            </w:pPr>
            <w:r w:rsidRPr="003F2B21">
              <w:rPr>
                <w:b/>
                <w:sz w:val="16"/>
                <w:szCs w:val="16"/>
              </w:rPr>
              <w:t>Recommended dietary intake (RDI)</w:t>
            </w:r>
          </w:p>
        </w:tc>
        <w:tc>
          <w:tcPr>
            <w:tcW w:w="1814" w:type="dxa"/>
          </w:tcPr>
          <w:p w14:paraId="26EA321A" w14:textId="77777777"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Recommended dietary allowance (RDA)</w:t>
            </w:r>
          </w:p>
        </w:tc>
        <w:tc>
          <w:tcPr>
            <w:tcW w:w="1984" w:type="dxa"/>
          </w:tcPr>
          <w:p w14:paraId="0190DD60" w14:textId="77777777"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Recommended nutrient intake (RNI)</w:t>
            </w:r>
          </w:p>
        </w:tc>
        <w:tc>
          <w:tcPr>
            <w:tcW w:w="1757" w:type="dxa"/>
          </w:tcPr>
          <w:p w14:paraId="2D895BC1" w14:textId="77777777"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Reference nutrient intake (RNI)</w:t>
            </w:r>
          </w:p>
        </w:tc>
        <w:tc>
          <w:tcPr>
            <w:tcW w:w="1928" w:type="dxa"/>
          </w:tcPr>
          <w:p w14:paraId="0991D794" w14:textId="77777777"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Population reference intake (PRI)</w:t>
            </w:r>
          </w:p>
        </w:tc>
        <w:tc>
          <w:tcPr>
            <w:tcW w:w="1701" w:type="dxa"/>
          </w:tcPr>
          <w:p w14:paraId="3B080D4A" w14:textId="0F1878F4"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Population reference intakes</w:t>
            </w:r>
            <w:r w:rsidR="00106570" w:rsidRPr="003F2B21">
              <w:rPr>
                <w:sz w:val="16"/>
                <w:szCs w:val="16"/>
              </w:rPr>
              <w:t xml:space="preserve"> (PRI)</w:t>
            </w:r>
          </w:p>
        </w:tc>
        <w:tc>
          <w:tcPr>
            <w:tcW w:w="1984" w:type="dxa"/>
          </w:tcPr>
          <w:p w14:paraId="73F5BEA0" w14:textId="3B158D38" w:rsidR="007F780C" w:rsidRPr="003F2B21" w:rsidRDefault="007F780C"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Recommended intake (RI)</w:t>
            </w:r>
          </w:p>
        </w:tc>
      </w:tr>
      <w:tr w:rsidR="00020148" w:rsidRPr="001C5A8C" w14:paraId="12A5F18E" w14:textId="4913755F" w:rsidTr="0033579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01" w:type="dxa"/>
            <w:vMerge/>
          </w:tcPr>
          <w:p w14:paraId="7C2879A3" w14:textId="77777777" w:rsidR="001A5455" w:rsidRPr="003F2B21" w:rsidRDefault="001A5455" w:rsidP="00EB44CB">
            <w:pPr>
              <w:spacing w:before="0" w:after="0" w:line="252" w:lineRule="auto"/>
              <w:rPr>
                <w:sz w:val="16"/>
                <w:szCs w:val="16"/>
              </w:rPr>
            </w:pPr>
          </w:p>
        </w:tc>
        <w:tc>
          <w:tcPr>
            <w:tcW w:w="1871" w:type="dxa"/>
          </w:tcPr>
          <w:p w14:paraId="37CF6F02" w14:textId="77777777"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b/>
                <w:sz w:val="16"/>
                <w:szCs w:val="16"/>
              </w:rPr>
            </w:pPr>
            <w:r w:rsidRPr="003F2B21">
              <w:rPr>
                <w:b/>
                <w:sz w:val="16"/>
                <w:szCs w:val="16"/>
              </w:rPr>
              <w:t>Adequate intake (AI)</w:t>
            </w:r>
          </w:p>
        </w:tc>
        <w:tc>
          <w:tcPr>
            <w:tcW w:w="1814" w:type="dxa"/>
          </w:tcPr>
          <w:p w14:paraId="2BE25EE5" w14:textId="77777777"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Adequate intake (AI)</w:t>
            </w:r>
          </w:p>
        </w:tc>
        <w:tc>
          <w:tcPr>
            <w:tcW w:w="1984" w:type="dxa"/>
          </w:tcPr>
          <w:p w14:paraId="265F2F64" w14:textId="77777777"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w:t>
            </w:r>
          </w:p>
        </w:tc>
        <w:tc>
          <w:tcPr>
            <w:tcW w:w="1757" w:type="dxa"/>
          </w:tcPr>
          <w:p w14:paraId="2CA9CBA6" w14:textId="30A1E8D1"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Safe intake</w:t>
            </w:r>
            <w:r w:rsidR="00106570" w:rsidRPr="003F2B21">
              <w:rPr>
                <w:sz w:val="16"/>
                <w:szCs w:val="16"/>
              </w:rPr>
              <w:t xml:space="preserve"> (SI)</w:t>
            </w:r>
          </w:p>
        </w:tc>
        <w:tc>
          <w:tcPr>
            <w:tcW w:w="1928" w:type="dxa"/>
          </w:tcPr>
          <w:p w14:paraId="08F65B40" w14:textId="77777777"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Adequate Intake (AI)</w:t>
            </w:r>
          </w:p>
        </w:tc>
        <w:tc>
          <w:tcPr>
            <w:tcW w:w="1701" w:type="dxa"/>
          </w:tcPr>
          <w:p w14:paraId="6E1765B6" w14:textId="77777777" w:rsidR="001A5455" w:rsidRPr="003F2B21" w:rsidRDefault="001A5455"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w:t>
            </w:r>
          </w:p>
        </w:tc>
        <w:tc>
          <w:tcPr>
            <w:tcW w:w="1984" w:type="dxa"/>
          </w:tcPr>
          <w:p w14:paraId="78845702" w14:textId="61024661" w:rsidR="00A6202D" w:rsidRPr="003F2B21" w:rsidRDefault="00A6202D"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Adequate intake (AI)</w:t>
            </w:r>
          </w:p>
        </w:tc>
      </w:tr>
      <w:tr w:rsidR="00020148" w:rsidRPr="001C5A8C" w14:paraId="7839364B" w14:textId="25234162" w:rsidTr="0033579C">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1701" w:type="dxa"/>
          </w:tcPr>
          <w:p w14:paraId="03308093" w14:textId="4B2AAA0C" w:rsidR="001A5455" w:rsidRPr="003F2B21" w:rsidRDefault="0035184B" w:rsidP="00EB44CB">
            <w:pPr>
              <w:spacing w:before="0" w:after="0" w:line="252" w:lineRule="auto"/>
              <w:rPr>
                <w:sz w:val="16"/>
                <w:szCs w:val="16"/>
              </w:rPr>
            </w:pPr>
            <w:r>
              <w:rPr>
                <w:sz w:val="16"/>
                <w:szCs w:val="16"/>
              </w:rPr>
              <w:t>Excess</w:t>
            </w:r>
          </w:p>
        </w:tc>
        <w:tc>
          <w:tcPr>
            <w:tcW w:w="1871" w:type="dxa"/>
          </w:tcPr>
          <w:p w14:paraId="76C12C6A" w14:textId="0599D58B"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b/>
                <w:sz w:val="16"/>
                <w:szCs w:val="16"/>
              </w:rPr>
            </w:pPr>
            <w:r w:rsidRPr="003F2B21">
              <w:rPr>
                <w:b/>
                <w:sz w:val="16"/>
                <w:szCs w:val="16"/>
              </w:rPr>
              <w:t>Upper level of intake</w:t>
            </w:r>
            <w:r w:rsidR="00F04492">
              <w:rPr>
                <w:b/>
                <w:sz w:val="16"/>
                <w:szCs w:val="16"/>
              </w:rPr>
              <w:t xml:space="preserve"> (UL)</w:t>
            </w:r>
          </w:p>
        </w:tc>
        <w:tc>
          <w:tcPr>
            <w:tcW w:w="1814" w:type="dxa"/>
          </w:tcPr>
          <w:p w14:paraId="6BD1D45F" w14:textId="77777777" w:rsidR="001A5455" w:rsidRPr="003F2B21" w:rsidRDefault="001A5455" w:rsidP="00EB44CB">
            <w:pPr>
              <w:pStyle w:val="Table-ExpText"/>
              <w:spacing w:before="0" w:after="0" w:line="252" w:lineRule="auto"/>
              <w:cnfStyle w:val="000000100000" w:firstRow="0" w:lastRow="0" w:firstColumn="0" w:lastColumn="0" w:oddVBand="0" w:evenVBand="0" w:oddHBand="1" w:evenHBand="0" w:firstRowFirstColumn="0" w:firstRowLastColumn="0" w:lastRowFirstColumn="0" w:lastRowLastColumn="0"/>
              <w:rPr>
                <w:rFonts w:ascii="Gotham Book" w:hAnsi="Gotham Book"/>
                <w:sz w:val="16"/>
                <w:szCs w:val="16"/>
              </w:rPr>
            </w:pPr>
            <w:r w:rsidRPr="003F2B21">
              <w:rPr>
                <w:rFonts w:ascii="Gotham Book" w:hAnsi="Gotham Book"/>
                <w:sz w:val="16"/>
                <w:szCs w:val="16"/>
              </w:rPr>
              <w:t>Tolerable upper intake level</w:t>
            </w:r>
          </w:p>
          <w:p w14:paraId="6BCD26A3" w14:textId="77777777"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(UL)</w:t>
            </w:r>
          </w:p>
        </w:tc>
        <w:tc>
          <w:tcPr>
            <w:tcW w:w="1984" w:type="dxa"/>
          </w:tcPr>
          <w:p w14:paraId="38502B3C" w14:textId="2F3FF51B"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Upper tolerable nutrient intake level</w:t>
            </w:r>
            <w:r w:rsidR="00ED01A2" w:rsidRPr="003F2B21">
              <w:rPr>
                <w:sz w:val="16"/>
                <w:szCs w:val="16"/>
              </w:rPr>
              <w:t xml:space="preserve"> </w:t>
            </w:r>
            <w:r w:rsidRPr="003F2B21">
              <w:rPr>
                <w:sz w:val="16"/>
                <w:szCs w:val="16"/>
              </w:rPr>
              <w:t>(UL)</w:t>
            </w:r>
          </w:p>
        </w:tc>
        <w:tc>
          <w:tcPr>
            <w:tcW w:w="1757" w:type="dxa"/>
          </w:tcPr>
          <w:p w14:paraId="7697658D" w14:textId="77777777"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Tolerable upper intake level (UL)</w:t>
            </w:r>
          </w:p>
        </w:tc>
        <w:tc>
          <w:tcPr>
            <w:tcW w:w="1928" w:type="dxa"/>
          </w:tcPr>
          <w:p w14:paraId="17FA97C5" w14:textId="77777777"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Tolerable upper intake levels (ULs)</w:t>
            </w:r>
          </w:p>
          <w:p w14:paraId="291FBA60" w14:textId="2C87D81F" w:rsidR="001A5455" w:rsidRPr="003F2B21" w:rsidRDefault="004F01BE"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Safe level of intake</w:t>
            </w:r>
            <w:r w:rsidR="00DF27C0" w:rsidRPr="003F2B21">
              <w:rPr>
                <w:sz w:val="16"/>
                <w:szCs w:val="16"/>
              </w:rPr>
              <w:t xml:space="preserve"> when a UL </w:t>
            </w:r>
            <w:r w:rsidR="00624D0C" w:rsidRPr="003F2B21">
              <w:rPr>
                <w:sz w:val="16"/>
                <w:szCs w:val="16"/>
              </w:rPr>
              <w:t>cannot be established</w:t>
            </w:r>
            <w:r w:rsidR="00866EF0" w:rsidRPr="003F2B21">
              <w:rPr>
                <w:rStyle w:val="FootnoteReference"/>
                <w:sz w:val="16"/>
                <w:szCs w:val="16"/>
              </w:rPr>
              <w:footnoteReference w:id="8"/>
            </w:r>
            <w:r w:rsidR="00E46D1C" w:rsidRPr="003F2B21">
              <w:rPr>
                <w:sz w:val="16"/>
                <w:szCs w:val="16"/>
              </w:rPr>
              <w:t>.</w:t>
            </w:r>
            <w:r w:rsidR="00512275" w:rsidRPr="003F2B21">
              <w:rPr>
                <w:sz w:val="16"/>
                <w:szCs w:val="16"/>
              </w:rPr>
              <w:fldChar w:fldCharType="begin"/>
            </w:r>
            <w:r w:rsidR="008D5BCC" w:rsidRPr="003F2B21">
              <w:rPr>
                <w:sz w:val="16"/>
                <w:szCs w:val="16"/>
              </w:rPr>
              <w:instrText xml:space="preserve"> ADDIN EN.CITE &lt;EndNote&gt;&lt;Cite Hidden="1"&gt;&lt;Author&gt;EFSA&lt;/Author&gt;&lt;Year&gt;2025&lt;/Year&gt;&lt;RecNum&gt;4&lt;/RecNum&gt;&lt;record&gt;&lt;rec-number&gt;4&lt;/rec-number&gt;&lt;foreign-keys&gt;&lt;key app="EN" db-id="zxfaevvrgpsxebez5ec5vspfe2av5dtxt9xx" timestamp="1754957675"&gt;4&lt;/key&gt;&lt;/foreign-keys&gt;&lt;ref-type name="Electronic Book"&gt;44&lt;/ref-type&gt;&lt;contributors&gt;&lt;authors&gt;&lt;author&gt;EFSA,&lt;/author&gt;&lt;/authors&gt;&lt;/contributors&gt;&lt;titles&gt;&lt;title&gt;Overview on Tolerable Upper Intake Levels as derived by the Scientific Committee on Food (SCF) and the EFSA Panel on Dietetic Products, Nutrition and Allergies (NDA), Version 11 (August 2025)&lt;/title&gt;&lt;/titles&gt;&lt;dates&gt;&lt;year&gt;2025&lt;/year&gt;&lt;/dates&gt;&lt;urls&gt;&lt;related-urls&gt;&lt;url&gt;date accessed 18 August 2025, https://www.efsa.europa.eu/sites/default/files/2024-05/ul-summary-report.pdf&lt;/url&gt;&lt;/related-urls&gt;&lt;/urls&gt;&lt;/record&gt;&lt;/Cite&gt;&lt;/EndNote&gt;</w:instrText>
            </w:r>
            <w:r w:rsidR="00512275" w:rsidRPr="003F2B21">
              <w:rPr>
                <w:sz w:val="16"/>
                <w:szCs w:val="16"/>
              </w:rPr>
              <w:fldChar w:fldCharType="separate"/>
            </w:r>
            <w:r w:rsidR="00512275" w:rsidRPr="003F2B21">
              <w:rPr>
                <w:sz w:val="16"/>
                <w:szCs w:val="16"/>
              </w:rPr>
              <w:fldChar w:fldCharType="end"/>
            </w:r>
            <w:r w:rsidR="00E46D1C" w:rsidRPr="003F2B21">
              <w:rPr>
                <w:sz w:val="16"/>
                <w:szCs w:val="16"/>
              </w:rPr>
              <w:t xml:space="preserve"> </w:t>
            </w:r>
          </w:p>
        </w:tc>
        <w:tc>
          <w:tcPr>
            <w:tcW w:w="1701" w:type="dxa"/>
          </w:tcPr>
          <w:p w14:paraId="413DBAEF" w14:textId="77777777" w:rsidR="001A5455" w:rsidRPr="003F2B21" w:rsidRDefault="001A5455"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w:t>
            </w:r>
          </w:p>
        </w:tc>
        <w:tc>
          <w:tcPr>
            <w:tcW w:w="1984" w:type="dxa"/>
          </w:tcPr>
          <w:p w14:paraId="5177CDC4" w14:textId="37DAC6D3" w:rsidR="009D16B8" w:rsidRPr="003F2B21" w:rsidRDefault="009D16B8"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Tolerable Upper Intake Level, corresponds to Upper Intake Level and Upper Level (UL)</w:t>
            </w:r>
          </w:p>
        </w:tc>
      </w:tr>
      <w:tr w:rsidR="008D6050" w:rsidRPr="001C5A8C" w14:paraId="668FCEAD" w14:textId="63E912EC" w:rsidTr="0033579C">
        <w:trPr>
          <w:cnfStyle w:val="000000010000" w:firstRow="0" w:lastRow="0" w:firstColumn="0" w:lastColumn="0" w:oddVBand="0" w:evenVBand="0" w:oddHBand="0" w:evenHBand="1"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45E4C26C" w14:textId="474C2AA3" w:rsidR="008D6050" w:rsidRPr="003F2B21" w:rsidRDefault="008D6050" w:rsidP="00EB44CB">
            <w:pPr>
              <w:spacing w:before="0" w:after="0" w:line="252" w:lineRule="auto"/>
              <w:rPr>
                <w:sz w:val="16"/>
                <w:szCs w:val="16"/>
              </w:rPr>
            </w:pPr>
            <w:r w:rsidRPr="003F2B21">
              <w:rPr>
                <w:sz w:val="16"/>
                <w:szCs w:val="16"/>
              </w:rPr>
              <w:t>Optimum Health/</w:t>
            </w:r>
            <w:r>
              <w:rPr>
                <w:sz w:val="16"/>
                <w:szCs w:val="16"/>
              </w:rPr>
              <w:t xml:space="preserve"> </w:t>
            </w:r>
            <w:r w:rsidRPr="003F2B21">
              <w:rPr>
                <w:sz w:val="16"/>
                <w:szCs w:val="16"/>
              </w:rPr>
              <w:t>Chronic Disease Prevention</w:t>
            </w:r>
          </w:p>
        </w:tc>
        <w:tc>
          <w:tcPr>
            <w:tcW w:w="1871" w:type="dxa"/>
          </w:tcPr>
          <w:p w14:paraId="740387B7" w14:textId="30E10EAC"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b/>
                <w:sz w:val="16"/>
                <w:szCs w:val="16"/>
              </w:rPr>
            </w:pPr>
            <w:r w:rsidRPr="003F2B21">
              <w:rPr>
                <w:b/>
                <w:sz w:val="16"/>
                <w:szCs w:val="16"/>
              </w:rPr>
              <w:t xml:space="preserve">Suggested </w:t>
            </w:r>
            <w:r>
              <w:rPr>
                <w:b/>
                <w:sz w:val="16"/>
                <w:szCs w:val="16"/>
              </w:rPr>
              <w:t>d</w:t>
            </w:r>
            <w:r w:rsidRPr="003F2B21">
              <w:rPr>
                <w:b/>
                <w:sz w:val="16"/>
                <w:szCs w:val="16"/>
              </w:rPr>
              <w:t xml:space="preserve">ietary </w:t>
            </w:r>
            <w:r>
              <w:rPr>
                <w:b/>
                <w:sz w:val="16"/>
                <w:szCs w:val="16"/>
              </w:rPr>
              <w:t>t</w:t>
            </w:r>
            <w:r w:rsidRPr="003F2B21">
              <w:rPr>
                <w:b/>
                <w:sz w:val="16"/>
                <w:szCs w:val="16"/>
              </w:rPr>
              <w:t>arget (SDT)</w:t>
            </w:r>
          </w:p>
        </w:tc>
        <w:tc>
          <w:tcPr>
            <w:tcW w:w="1814" w:type="dxa"/>
          </w:tcPr>
          <w:p w14:paraId="467A798E" w14:textId="2AA88C2E"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Chronic disease risk reduction intake (CDRR)</w:t>
            </w:r>
          </w:p>
        </w:tc>
        <w:tc>
          <w:tcPr>
            <w:tcW w:w="1984" w:type="dxa"/>
          </w:tcPr>
          <w:p w14:paraId="63962303" w14:textId="77777777"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w:t>
            </w:r>
          </w:p>
        </w:tc>
        <w:tc>
          <w:tcPr>
            <w:tcW w:w="1757" w:type="dxa"/>
          </w:tcPr>
          <w:p w14:paraId="11CA0F8C" w14:textId="77777777"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w:t>
            </w:r>
          </w:p>
        </w:tc>
        <w:tc>
          <w:tcPr>
            <w:tcW w:w="1928" w:type="dxa"/>
          </w:tcPr>
          <w:p w14:paraId="0FC31F17" w14:textId="77777777"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w:t>
            </w:r>
          </w:p>
        </w:tc>
        <w:tc>
          <w:tcPr>
            <w:tcW w:w="1701" w:type="dxa"/>
          </w:tcPr>
          <w:p w14:paraId="4B8C75CB" w14:textId="77777777"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w:t>
            </w:r>
          </w:p>
        </w:tc>
        <w:tc>
          <w:tcPr>
            <w:tcW w:w="1984" w:type="dxa"/>
          </w:tcPr>
          <w:p w14:paraId="7B84A9A5" w14:textId="49D3CA64"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Chronic disease risk reduction intake (CDRR)</w:t>
            </w:r>
          </w:p>
        </w:tc>
      </w:tr>
      <w:tr w:rsidR="008D6050" w:rsidRPr="001C5A8C" w14:paraId="395C366E" w14:textId="2867208A" w:rsidTr="003357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tcPr>
          <w:p w14:paraId="35F8AC33" w14:textId="77777777" w:rsidR="008D6050" w:rsidRPr="003F2B21" w:rsidRDefault="008D6050" w:rsidP="00EB44CB">
            <w:pPr>
              <w:spacing w:before="0" w:after="0" w:line="252" w:lineRule="auto"/>
              <w:rPr>
                <w:sz w:val="16"/>
                <w:szCs w:val="16"/>
              </w:rPr>
            </w:pPr>
          </w:p>
        </w:tc>
        <w:tc>
          <w:tcPr>
            <w:tcW w:w="1871" w:type="dxa"/>
          </w:tcPr>
          <w:p w14:paraId="1FF2E2D7" w14:textId="77777777" w:rsidR="008D6050" w:rsidRPr="003F2B21" w:rsidRDefault="008D6050"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b/>
                <w:sz w:val="16"/>
                <w:szCs w:val="16"/>
              </w:rPr>
            </w:pPr>
            <w:r w:rsidRPr="003F2B21">
              <w:rPr>
                <w:b/>
                <w:sz w:val="16"/>
                <w:szCs w:val="16"/>
              </w:rPr>
              <w:t>Estimated energy requirement (EER)</w:t>
            </w:r>
          </w:p>
        </w:tc>
        <w:tc>
          <w:tcPr>
            <w:tcW w:w="1814" w:type="dxa"/>
          </w:tcPr>
          <w:p w14:paraId="43F5226E" w14:textId="77777777" w:rsidR="008D6050" w:rsidRPr="003F2B21" w:rsidRDefault="008D6050"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w:t>
            </w:r>
          </w:p>
        </w:tc>
        <w:tc>
          <w:tcPr>
            <w:tcW w:w="1984" w:type="dxa"/>
          </w:tcPr>
          <w:p w14:paraId="2E36A503" w14:textId="78AF849F" w:rsidR="008D6050" w:rsidRPr="003F2B21" w:rsidRDefault="008D6050"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Energy requirement (ER)</w:t>
            </w:r>
          </w:p>
        </w:tc>
        <w:tc>
          <w:tcPr>
            <w:tcW w:w="1757" w:type="dxa"/>
          </w:tcPr>
          <w:p w14:paraId="01652FC6" w14:textId="3055DEE8" w:rsidR="008D6050" w:rsidRPr="003F2B21" w:rsidRDefault="008D6050"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Estimated average requirement (energy) (EAR)</w:t>
            </w:r>
          </w:p>
        </w:tc>
        <w:tc>
          <w:tcPr>
            <w:tcW w:w="1928" w:type="dxa"/>
          </w:tcPr>
          <w:p w14:paraId="21E65D94" w14:textId="5D44F34C" w:rsidR="008D6050" w:rsidRPr="003F2B21" w:rsidRDefault="008D6050"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 xml:space="preserve">Average Requirements for energy intake (AR) </w:t>
            </w:r>
          </w:p>
        </w:tc>
        <w:tc>
          <w:tcPr>
            <w:tcW w:w="1701" w:type="dxa"/>
          </w:tcPr>
          <w:p w14:paraId="1DA0B569" w14:textId="77777777" w:rsidR="008D6050" w:rsidRPr="003F2B21" w:rsidRDefault="008D6050"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r w:rsidRPr="003F2B21">
              <w:rPr>
                <w:sz w:val="16"/>
                <w:szCs w:val="16"/>
              </w:rPr>
              <w:t>~</w:t>
            </w:r>
          </w:p>
        </w:tc>
        <w:tc>
          <w:tcPr>
            <w:tcW w:w="1984" w:type="dxa"/>
          </w:tcPr>
          <w:p w14:paraId="7E1AB491" w14:textId="77777777" w:rsidR="008D6050" w:rsidRPr="003F2B21" w:rsidRDefault="008D6050" w:rsidP="00EB44CB">
            <w:pPr>
              <w:spacing w:before="0" w:after="0" w:line="252" w:lineRule="auto"/>
              <w:cnfStyle w:val="000000100000" w:firstRow="0" w:lastRow="0" w:firstColumn="0" w:lastColumn="0" w:oddVBand="0" w:evenVBand="0" w:oddHBand="1" w:evenHBand="0" w:firstRowFirstColumn="0" w:firstRowLastColumn="0" w:lastRowFirstColumn="0" w:lastRowLastColumn="0"/>
              <w:rPr>
                <w:sz w:val="16"/>
                <w:szCs w:val="16"/>
              </w:rPr>
            </w:pPr>
          </w:p>
        </w:tc>
      </w:tr>
      <w:tr w:rsidR="008D6050" w:rsidRPr="001C5A8C" w14:paraId="14E7B1AE" w14:textId="4703B0E3" w:rsidTr="0033579C">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01" w:type="dxa"/>
            <w:vMerge/>
          </w:tcPr>
          <w:p w14:paraId="21A0DB6A" w14:textId="77777777" w:rsidR="008D6050" w:rsidRPr="003F2B21" w:rsidRDefault="008D6050" w:rsidP="00EB44CB">
            <w:pPr>
              <w:spacing w:before="0" w:after="0" w:line="252" w:lineRule="auto"/>
              <w:rPr>
                <w:sz w:val="16"/>
                <w:szCs w:val="16"/>
              </w:rPr>
            </w:pPr>
          </w:p>
        </w:tc>
        <w:tc>
          <w:tcPr>
            <w:tcW w:w="1871" w:type="dxa"/>
          </w:tcPr>
          <w:p w14:paraId="330E2B34" w14:textId="77777777"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b/>
                <w:sz w:val="16"/>
                <w:szCs w:val="16"/>
              </w:rPr>
            </w:pPr>
            <w:r w:rsidRPr="003F2B21">
              <w:rPr>
                <w:b/>
                <w:sz w:val="16"/>
                <w:szCs w:val="16"/>
              </w:rPr>
              <w:t>Acceptable macronutrient distribution range (AMDR)</w:t>
            </w:r>
          </w:p>
        </w:tc>
        <w:tc>
          <w:tcPr>
            <w:tcW w:w="1814" w:type="dxa"/>
          </w:tcPr>
          <w:p w14:paraId="419C3E7C" w14:textId="63B8907B"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Acceptable macronutrient distribution range (AMDR)</w:t>
            </w:r>
          </w:p>
        </w:tc>
        <w:tc>
          <w:tcPr>
            <w:tcW w:w="1984" w:type="dxa"/>
          </w:tcPr>
          <w:p w14:paraId="2215F7A9" w14:textId="6B3BDBEE"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p>
        </w:tc>
        <w:tc>
          <w:tcPr>
            <w:tcW w:w="1757" w:type="dxa"/>
          </w:tcPr>
          <w:p w14:paraId="3FCAD55A" w14:textId="3194EB40"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p>
        </w:tc>
        <w:tc>
          <w:tcPr>
            <w:tcW w:w="1928" w:type="dxa"/>
          </w:tcPr>
          <w:p w14:paraId="6367B80F" w14:textId="676BAA91"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p>
        </w:tc>
        <w:tc>
          <w:tcPr>
            <w:tcW w:w="1701" w:type="dxa"/>
          </w:tcPr>
          <w:p w14:paraId="1D0CF38A" w14:textId="77777777" w:rsidR="008D6050" w:rsidRPr="003F2B21"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3F2B21">
              <w:rPr>
                <w:sz w:val="16"/>
                <w:szCs w:val="16"/>
              </w:rPr>
              <w:t>~</w:t>
            </w:r>
          </w:p>
        </w:tc>
        <w:tc>
          <w:tcPr>
            <w:tcW w:w="1984" w:type="dxa"/>
          </w:tcPr>
          <w:p w14:paraId="7C82BA49" w14:textId="388AD4A1" w:rsidR="008D6050" w:rsidRPr="006A1ECA" w:rsidRDefault="008D6050" w:rsidP="00EB44CB">
            <w:pPr>
              <w:spacing w:before="0" w:after="0" w:line="252" w:lineRule="auto"/>
              <w:cnfStyle w:val="000000010000" w:firstRow="0" w:lastRow="0" w:firstColumn="0" w:lastColumn="0" w:oddVBand="0" w:evenVBand="0" w:oddHBand="0" w:evenHBand="1" w:firstRowFirstColumn="0" w:firstRowLastColumn="0" w:lastRowFirstColumn="0" w:lastRowLastColumn="0"/>
              <w:rPr>
                <w:sz w:val="16"/>
                <w:szCs w:val="16"/>
              </w:rPr>
            </w:pPr>
            <w:r w:rsidRPr="006A1ECA">
              <w:rPr>
                <w:sz w:val="16"/>
                <w:szCs w:val="16"/>
              </w:rPr>
              <w:t>Recommended intake range of macronutrients</w:t>
            </w:r>
          </w:p>
        </w:tc>
      </w:tr>
    </w:tbl>
    <w:p w14:paraId="20984F38" w14:textId="75D58AC1" w:rsidR="00D140F9" w:rsidRPr="00365D07" w:rsidRDefault="00E608C2" w:rsidP="009C3069">
      <w:pPr>
        <w:spacing w:before="60" w:after="0" w:line="240" w:lineRule="auto"/>
        <w:rPr>
          <w:i/>
          <w:sz w:val="16"/>
          <w:szCs w:val="16"/>
        </w:rPr>
        <w:sectPr w:rsidR="00D140F9" w:rsidRPr="00365D07" w:rsidSect="00E072FD">
          <w:headerReference w:type="even" r:id="rId37"/>
          <w:headerReference w:type="default" r:id="rId38"/>
          <w:footerReference w:type="default" r:id="rId39"/>
          <w:headerReference w:type="first" r:id="rId40"/>
          <w:footerReference w:type="first" r:id="rId41"/>
          <w:pgSz w:w="16838" w:h="11906" w:orient="landscape" w:code="9"/>
          <w:pgMar w:top="1191" w:right="1134" w:bottom="851" w:left="1134" w:header="340" w:footer="397" w:gutter="0"/>
          <w:cols w:space="708"/>
          <w:titlePg/>
          <w:docGrid w:linePitch="360"/>
        </w:sectPr>
      </w:pPr>
      <w:r w:rsidRPr="00020148">
        <w:rPr>
          <w:i/>
          <w:iCs/>
          <w:sz w:val="16"/>
          <w:szCs w:val="16"/>
        </w:rPr>
        <w:t>A</w:t>
      </w:r>
      <w:r w:rsidR="00084088" w:rsidRPr="00020148">
        <w:rPr>
          <w:i/>
          <w:iCs/>
          <w:sz w:val="16"/>
          <w:szCs w:val="16"/>
        </w:rPr>
        <w:t>dapted from</w:t>
      </w:r>
      <w:r w:rsidR="00514C0E" w:rsidRPr="00020148">
        <w:rPr>
          <w:i/>
          <w:iCs/>
          <w:sz w:val="16"/>
          <w:szCs w:val="16"/>
        </w:rPr>
        <w:t xml:space="preserve"> </w:t>
      </w:r>
      <w:r w:rsidR="00F84981" w:rsidRPr="00020148">
        <w:rPr>
          <w:i/>
          <w:iCs/>
          <w:sz w:val="16"/>
          <w:szCs w:val="16"/>
        </w:rPr>
        <w:fldChar w:fldCharType="begin"/>
      </w:r>
      <w:r w:rsidR="00F84981" w:rsidRPr="00020148">
        <w:rPr>
          <w:i/>
          <w:iCs/>
          <w:sz w:val="16"/>
          <w:szCs w:val="16"/>
        </w:rPr>
        <w:instrText xml:space="preserve"> ADDIN EN.CITE &lt;EndNote&gt;&lt;Cite AuthorYear="1"&gt;&lt;Author&gt;King&lt;/Author&gt;&lt;Year&gt;2007&lt;/Year&gt;&lt;RecNum&gt;82&lt;/RecNum&gt;&lt;DisplayText&gt;King et al. (2007)&lt;/DisplayText&gt;&lt;record&gt;&lt;rec-number&gt;82&lt;/rec-number&gt;&lt;foreign-keys&gt;&lt;key app="EN" db-id="zxfaevvrgpsxebez5ec5vspfe2av5dtxt9xx" timestamp="1754957765"&gt;82&lt;/key&gt;&lt;/foreign-keys&gt;&lt;ref-type name="Journal Article"&gt;17&lt;/ref-type&gt;&lt;contributors&gt;&lt;authors&gt;&lt;author&gt;King, J. C.&lt;/author&gt;&lt;author&gt;Vorster, H. H.&lt;/author&gt;&lt;author&gt;Tome, D. G.&lt;/author&gt;&lt;/authors&gt;&lt;/contributors&gt;&lt;auth-address&gt;Children&amp;apos;s Hospital Oakland Research Institute, 5700 Martin Luther King Jr. Way, Oakland, CA 94609, USA. jking@chori.org&lt;/auth-address&gt;&lt;titles&gt;&lt;title&gt;Nutrient intake values (NIVs): a recommended terminology and framework for the derivation of values&lt;/title&gt;&lt;secondary-title&gt;Food Nutr Bull&lt;/secondary-title&gt;&lt;alt-title&gt;Food and nutrition bulletin&lt;/alt-title&gt;&lt;/titles&gt;&lt;periodical&gt;&lt;full-title&gt;Food Nutr Bull&lt;/full-title&gt;&lt;/periodical&gt;&lt;alt-periodical&gt;&lt;full-title&gt;Food and Nutrition Bulletin&lt;/full-title&gt;&lt;/alt-periodical&gt;&lt;pages&gt;S16-26&lt;/pages&gt;&lt;volume&gt;28&lt;/volume&gt;&lt;number&gt;1 Suppl International&lt;/number&gt;&lt;edition&gt;2007/05/25&lt;/edition&gt;&lt;keywords&gt;&lt;keyword&gt;Health Policy&lt;/keyword&gt;&lt;keyword&gt;Humans&lt;/keyword&gt;&lt;keyword&gt;*Nutrition Assessment&lt;/keyword&gt;&lt;keyword&gt;*Nutrition Policy&lt;/keyword&gt;&lt;keyword&gt;Nutritional Physiological Phenomena/*physiology&lt;/keyword&gt;&lt;keyword&gt;*Nutritional Requirements&lt;/keyword&gt;&lt;keyword&gt;*Risk Assessment&lt;/keyword&gt;&lt;keyword&gt;Terminology as Topic&lt;/keyword&gt;&lt;/keywords&gt;&lt;dates&gt;&lt;year&gt;2007&lt;/year&gt;&lt;pub-dates&gt;&lt;date&gt;Mar&lt;/date&gt;&lt;/pub-dates&gt;&lt;/dates&gt;&lt;isbn&gt;0379-5721 (Print)&amp;#xD;0379-5721 (Linking)&lt;/isbn&gt;&lt;accession-num&gt;17521116&lt;/accession-num&gt;&lt;work-type&gt;Review&lt;/work-type&gt;&lt;urls&gt;&lt;related-urls&gt;&lt;url&gt;http://www.ncbi.nlm.nih.gov/pubmed/17521116&lt;/url&gt;&lt;/related-urls&gt;&lt;/urls&gt;&lt;electronic-resource-num&gt;10.1177/15648265070281S103&lt;/electronic-resource-num&gt;&lt;language&gt;eng&lt;/language&gt;&lt;/record&gt;&lt;/Cite&gt;&lt;/EndNote&gt;</w:instrText>
      </w:r>
      <w:r w:rsidR="00F84981" w:rsidRPr="00020148">
        <w:rPr>
          <w:i/>
          <w:iCs/>
          <w:sz w:val="16"/>
          <w:szCs w:val="16"/>
        </w:rPr>
        <w:fldChar w:fldCharType="separate"/>
      </w:r>
      <w:r w:rsidR="00F84981" w:rsidRPr="00020148">
        <w:rPr>
          <w:i/>
          <w:iCs/>
          <w:noProof/>
          <w:sz w:val="16"/>
          <w:szCs w:val="16"/>
        </w:rPr>
        <w:t>King et al. (2007)</w:t>
      </w:r>
      <w:r w:rsidR="00F84981" w:rsidRPr="00020148">
        <w:rPr>
          <w:i/>
          <w:iCs/>
          <w:sz w:val="16"/>
          <w:szCs w:val="16"/>
        </w:rPr>
        <w:fldChar w:fldCharType="end"/>
      </w:r>
      <w:r w:rsidR="00084088" w:rsidRPr="00020148">
        <w:rPr>
          <w:i/>
          <w:iCs/>
          <w:sz w:val="16"/>
          <w:szCs w:val="16"/>
        </w:rPr>
        <w:t xml:space="preserve"> </w:t>
      </w:r>
    </w:p>
    <w:p w14:paraId="7A1C0317" w14:textId="3F3C03C9" w:rsidR="008D10FE" w:rsidRDefault="00A03FBA" w:rsidP="003449C9">
      <w:pPr>
        <w:pStyle w:val="Heading2Chapter"/>
      </w:pPr>
      <w:bookmarkStart w:id="91" w:name="_Toc153967112"/>
      <w:bookmarkStart w:id="92" w:name="_Toc207801057"/>
      <w:bookmarkStart w:id="93" w:name="_Toc207824534"/>
      <w:r>
        <w:lastRenderedPageBreak/>
        <w:t xml:space="preserve">Prioritising </w:t>
      </w:r>
      <w:r w:rsidR="008D10FE">
        <w:t xml:space="preserve">NRVs for </w:t>
      </w:r>
      <w:r w:rsidR="00A80E1C">
        <w:t>r</w:t>
      </w:r>
      <w:r w:rsidR="008D10FE">
        <w:t>eview</w:t>
      </w:r>
      <w:bookmarkEnd w:id="91"/>
      <w:bookmarkEnd w:id="92"/>
      <w:bookmarkEnd w:id="93"/>
    </w:p>
    <w:p w14:paraId="1F5C008F" w14:textId="132B2152" w:rsidR="004E6128" w:rsidRDefault="004E6128" w:rsidP="003E2E95">
      <w:pPr>
        <w:pStyle w:val="Heading30"/>
      </w:pPr>
      <w:bookmarkStart w:id="94" w:name="_Toc153967113"/>
      <w:bookmarkStart w:id="95" w:name="_Toc207801058"/>
      <w:bookmarkStart w:id="96" w:name="_Toc207824535"/>
      <w:r w:rsidRPr="00904689">
        <w:t>Identifying</w:t>
      </w:r>
      <w:r>
        <w:t xml:space="preserve"> priority NRVs for review</w:t>
      </w:r>
      <w:bookmarkEnd w:id="94"/>
      <w:bookmarkEnd w:id="95"/>
      <w:bookmarkEnd w:id="96"/>
    </w:p>
    <w:p w14:paraId="72BE0968" w14:textId="4D25E168" w:rsidR="00D140F9" w:rsidRDefault="00FF3FA5" w:rsidP="001B41D5">
      <w:pPr>
        <w:spacing w:before="0" w:after="160" w:line="259" w:lineRule="auto"/>
        <w:contextualSpacing/>
      </w:pPr>
      <w:r>
        <w:t>The Steering Group i</w:t>
      </w:r>
      <w:r w:rsidR="00D140F9">
        <w:t xml:space="preserve">s responsible for the ongoing monitoring of triggers for a new review, decision making, resourcing and ensuring nutrient reviews are conducted in a timely manner. </w:t>
      </w:r>
      <w:r w:rsidR="001B41D5">
        <w:t>In selecting and prioritising NRVs for review, consideration will be given to the relative priority, and resource requirements associated with potential updates, along with the available review resources at any given time.</w:t>
      </w:r>
    </w:p>
    <w:p w14:paraId="168F8C16" w14:textId="64891C6A" w:rsidR="00F24ECE" w:rsidRDefault="002C711D" w:rsidP="00D140F9">
      <w:r>
        <w:t xml:space="preserve">An update of existing NRVs </w:t>
      </w:r>
      <w:r w:rsidR="00F24ECE">
        <w:t>may be triggered via several mechanisms, including</w:t>
      </w:r>
      <w:r w:rsidR="00863AC1">
        <w:t xml:space="preserve"> where</w:t>
      </w:r>
      <w:r w:rsidR="00F24ECE">
        <w:t>:</w:t>
      </w:r>
    </w:p>
    <w:p w14:paraId="49CDD476" w14:textId="372F45AD" w:rsidR="00F24ECE" w:rsidRDefault="00863AC1" w:rsidP="00211F4C">
      <w:pPr>
        <w:pStyle w:val="ListParagraph"/>
        <w:numPr>
          <w:ilvl w:val="0"/>
          <w:numId w:val="29"/>
        </w:numPr>
      </w:pPr>
      <w:r>
        <w:t>an u</w:t>
      </w:r>
      <w:r w:rsidR="002C711D">
        <w:t xml:space="preserve">pdate </w:t>
      </w:r>
      <w:r>
        <w:t xml:space="preserve">is </w:t>
      </w:r>
      <w:r w:rsidR="00F24ECE">
        <w:t xml:space="preserve">identified as a priority for review </w:t>
      </w:r>
      <w:r w:rsidR="00A715E0">
        <w:t>by the Steering Group</w:t>
      </w:r>
    </w:p>
    <w:p w14:paraId="22B6B3CF" w14:textId="6602C15D" w:rsidR="00F24ECE" w:rsidRDefault="00863AC1" w:rsidP="00211F4C">
      <w:pPr>
        <w:pStyle w:val="ListParagraph"/>
        <w:numPr>
          <w:ilvl w:val="0"/>
          <w:numId w:val="29"/>
        </w:numPr>
      </w:pPr>
      <w:r>
        <w:t>a</w:t>
      </w:r>
      <w:r w:rsidR="009C0CBA">
        <w:t xml:space="preserve"> recent, high quality systematic review is published</w:t>
      </w:r>
      <w:r w:rsidR="005A28DC">
        <w:t>,</w:t>
      </w:r>
      <w:r w:rsidR="009C0CBA">
        <w:t xml:space="preserve"> </w:t>
      </w:r>
      <w:r>
        <w:t xml:space="preserve">with implications for the currency or accuracy of </w:t>
      </w:r>
      <w:r w:rsidR="009C0CBA">
        <w:t>related NRVs</w:t>
      </w:r>
    </w:p>
    <w:p w14:paraId="0AD699DA" w14:textId="70137E31" w:rsidR="009C0CBA" w:rsidRDefault="005C5D45" w:rsidP="00211F4C">
      <w:pPr>
        <w:pStyle w:val="ListParagraph"/>
        <w:numPr>
          <w:ilvl w:val="0"/>
          <w:numId w:val="29"/>
        </w:numPr>
      </w:pPr>
      <w:r>
        <w:t xml:space="preserve">revised NRVs are set by comparable </w:t>
      </w:r>
      <w:r w:rsidR="00020843">
        <w:t>international</w:t>
      </w:r>
      <w:r>
        <w:t xml:space="preserve"> jurisdictions</w:t>
      </w:r>
      <w:r w:rsidR="005A28DC">
        <w:t>,</w:t>
      </w:r>
      <w:r w:rsidR="007674FC">
        <w:t xml:space="preserve"> with implications for the currency or accuracy of related NRVs</w:t>
      </w:r>
    </w:p>
    <w:p w14:paraId="2A35D71D" w14:textId="6A36B45C" w:rsidR="005C5D45" w:rsidRDefault="00166052" w:rsidP="00211F4C">
      <w:pPr>
        <w:pStyle w:val="ListParagraph"/>
        <w:numPr>
          <w:ilvl w:val="0"/>
          <w:numId w:val="29"/>
        </w:numPr>
      </w:pPr>
      <w:r>
        <w:t xml:space="preserve">review is </w:t>
      </w:r>
      <w:r w:rsidR="00C6057C">
        <w:t>required to inform decisions about mandatory fortification programs.</w:t>
      </w:r>
    </w:p>
    <w:p w14:paraId="087B0AFE" w14:textId="6C419AB5" w:rsidR="001606C8" w:rsidRDefault="001606C8" w:rsidP="001606C8">
      <w:r>
        <w:t>If only one NRV for a particular nutrient is prioritised for review, consideration should be given to the impact of altering this value relative to other NRVs for that nutrient.</w:t>
      </w:r>
    </w:p>
    <w:p w14:paraId="77A48BB5" w14:textId="02C59B63" w:rsidR="00E91A23" w:rsidRDefault="00E91A23" w:rsidP="001606C8">
      <w:r>
        <w:t>When considering several nutrients for update</w:t>
      </w:r>
      <w:r w:rsidR="00425BFC">
        <w:t>, f</w:t>
      </w:r>
      <w:r w:rsidR="00847691" w:rsidRPr="00291D3C">
        <w:rPr>
          <w:rFonts w:eastAsia="Times New Roman"/>
        </w:rPr>
        <w:t xml:space="preserve">actors such as associated health burden or health benefit should be considered relative to other potential nutrients for prioritisation (i.e. </w:t>
      </w:r>
      <w:r w:rsidR="00C61CA3">
        <w:rPr>
          <w:rFonts w:eastAsia="Times New Roman"/>
        </w:rPr>
        <w:t>which nutrient</w:t>
      </w:r>
      <w:r w:rsidR="00847691" w:rsidRPr="00291D3C">
        <w:rPr>
          <w:rFonts w:eastAsia="Times New Roman"/>
        </w:rPr>
        <w:t xml:space="preserve"> has a higher associated health burden at a population level</w:t>
      </w:r>
      <w:r w:rsidR="00C320A8">
        <w:rPr>
          <w:rFonts w:eastAsia="Times New Roman"/>
        </w:rPr>
        <w:t>)</w:t>
      </w:r>
      <w:r w:rsidR="00847691">
        <w:rPr>
          <w:rFonts w:eastAsia="Times New Roman"/>
        </w:rPr>
        <w:t>.</w:t>
      </w:r>
    </w:p>
    <w:p w14:paraId="2EFDD154" w14:textId="4D4BCE6C" w:rsidR="004E6128" w:rsidRDefault="004E6128" w:rsidP="003E2E95">
      <w:pPr>
        <w:pStyle w:val="Heading40"/>
      </w:pPr>
      <w:bookmarkStart w:id="97" w:name="_Toc153967114"/>
      <w:bookmarkStart w:id="98" w:name="_Toc207801059"/>
      <w:bookmarkStart w:id="99" w:name="_Toc207824536"/>
      <w:r>
        <w:t>Prioritisation principles</w:t>
      </w:r>
      <w:bookmarkEnd w:id="97"/>
      <w:bookmarkEnd w:id="98"/>
      <w:bookmarkEnd w:id="99"/>
    </w:p>
    <w:p w14:paraId="36C81E1E" w14:textId="3E0E87DF" w:rsidR="00846513" w:rsidRDefault="00846513" w:rsidP="00846513">
      <w:pPr>
        <w:spacing w:before="0" w:after="160" w:line="259" w:lineRule="auto"/>
        <w:contextualSpacing/>
      </w:pPr>
      <w:r>
        <w:t xml:space="preserve">The nutrient update prioritisation process is guided by the NRVs nutrient update prioritisation </w:t>
      </w:r>
      <w:r w:rsidR="00C320A8">
        <w:t>principles</w:t>
      </w:r>
      <w:r>
        <w:t xml:space="preserve"> (see </w:t>
      </w:r>
      <w:r w:rsidR="009E444B">
        <w:fldChar w:fldCharType="begin"/>
      </w:r>
      <w:r w:rsidR="009E444B">
        <w:instrText xml:space="preserve"> REF _Ref206073231 \r \h </w:instrText>
      </w:r>
      <w:r w:rsidR="009E444B">
        <w:fldChar w:fldCharType="separate"/>
      </w:r>
      <w:r w:rsidR="009E444B">
        <w:t>Appendix B</w:t>
      </w:r>
      <w:r w:rsidR="009E444B">
        <w:fldChar w:fldCharType="end"/>
      </w:r>
      <w:r>
        <w:t xml:space="preserve">). During the prioritisation process, the prioritisation </w:t>
      </w:r>
      <w:r w:rsidR="00FB016B">
        <w:t>principles are</w:t>
      </w:r>
      <w:r>
        <w:t xml:space="preserve"> used to guide discussion and decision making, with the main points of discussion and reasons for decisions documented. This ensures a consistent and transparent process is followed.</w:t>
      </w:r>
    </w:p>
    <w:p w14:paraId="363825B6" w14:textId="77777777" w:rsidR="00846513" w:rsidRDefault="00846513" w:rsidP="00846513">
      <w:pPr>
        <w:spacing w:before="0" w:after="160" w:line="259" w:lineRule="auto"/>
        <w:contextualSpacing/>
      </w:pPr>
    </w:p>
    <w:p w14:paraId="230B9587" w14:textId="516CE6DF" w:rsidR="00846513" w:rsidRPr="00937A44" w:rsidRDefault="00BD7A0E" w:rsidP="00846513">
      <w:pPr>
        <w:spacing w:before="0" w:after="160" w:line="259" w:lineRule="auto"/>
        <w:contextualSpacing/>
      </w:pPr>
      <w:r w:rsidRPr="00BD7A0E">
        <w:t>The prioritisation principles are informed by those used in the review of the Australian Dietary Guidelines, drawing on prioritisation pathways from the Dietary Guidelines for Americans 2021–2025, the Nordic Nutrition Recommendations 2022, and Canada’s Dietary Guidelines 2019.</w:t>
      </w:r>
      <w:r>
        <w:t xml:space="preserve"> </w:t>
      </w:r>
      <w:r w:rsidR="00846513" w:rsidRPr="00937A44">
        <w:t xml:space="preserve">The principles also </w:t>
      </w:r>
      <w:r w:rsidR="00846513">
        <w:t>consider</w:t>
      </w:r>
      <w:r w:rsidR="00846513" w:rsidRPr="00937A44">
        <w:t xml:space="preserve"> prioritisation criteria commonly used in the development of health practice guidelines</w:t>
      </w:r>
      <w:r w:rsidR="00A62722">
        <w:t xml:space="preserve"> </w:t>
      </w:r>
      <w:r w:rsidR="0003473C">
        <w:fldChar w:fldCharType="begin"/>
      </w:r>
      <w:r w:rsidR="00256D81">
        <w:instrText xml:space="preserve"> ADDIN EN.CITE &lt;EndNote&gt;&lt;Cite&gt;&lt;Author&gt;El-Harakeh&lt;/Author&gt;&lt;Year&gt;2019&lt;/Year&gt;&lt;RecNum&gt;26&lt;/RecNum&gt;&lt;DisplayText&gt;(El-Harakeh et al. 2019)&lt;/DisplayText&gt;&lt;record&gt;&lt;rec-number&gt;26&lt;/rec-number&gt;&lt;foreign-keys&gt;&lt;key app="EN" db-id="zxfaevvrgpsxebez5ec5vspfe2av5dtxt9xx" timestamp="1754957726"&gt;26&lt;/key&gt;&lt;/foreign-keys&gt;&lt;ref-type name="Journal Article"&gt;17&lt;/ref-type&gt;&lt;contributors&gt;&lt;authors&gt;&lt;author&gt;El-Harakeh, Amena&lt;/author&gt;&lt;author&gt;Morsi, Rami Z&lt;/author&gt;&lt;author&gt;Fadlallah, Racha&lt;/author&gt;&lt;author&gt;Bou-Karroum, Lama&lt;/author&gt;&lt;author&gt;Lotfi, Tamara&lt;/author&gt;&lt;author&gt;Akl, Elie A&lt;/author&gt;&lt;/authors&gt;&lt;/contributors&gt;&lt;titles&gt;&lt;title&gt;Prioritization approaches in the development of health practice guidelines: a systematic review&lt;/title&gt;&lt;secondary-title&gt;BMC health services research&lt;/secondary-title&gt;&lt;/titles&gt;&lt;periodical&gt;&lt;full-title&gt;BMC health services research&lt;/full-title&gt;&lt;/periodical&gt;&lt;pages&gt;1-10&lt;/pages&gt;&lt;volume&gt;19&lt;/volume&gt;&lt;dates&gt;&lt;year&gt;2019&lt;/year&gt;&lt;/dates&gt;&lt;urls&gt;&lt;/urls&gt;&lt;electronic-resource-num&gt;10.1186/s12913-019-4567-2&lt;/electronic-resource-num&gt;&lt;/record&gt;&lt;/Cite&gt;&lt;/EndNote&gt;</w:instrText>
      </w:r>
      <w:r w:rsidR="0003473C">
        <w:fldChar w:fldCharType="separate"/>
      </w:r>
      <w:r w:rsidR="00705079">
        <w:rPr>
          <w:noProof/>
        </w:rPr>
        <w:t>(El-Harakeh et al. 2019)</w:t>
      </w:r>
      <w:r w:rsidR="0003473C">
        <w:fldChar w:fldCharType="end"/>
      </w:r>
      <w:r w:rsidR="00060590">
        <w:t>.</w:t>
      </w:r>
    </w:p>
    <w:p w14:paraId="0E7430CA" w14:textId="77777777" w:rsidR="00846513" w:rsidRDefault="00846513" w:rsidP="00846513">
      <w:pPr>
        <w:spacing w:before="0" w:after="160" w:line="259" w:lineRule="auto"/>
        <w:ind w:left="720" w:hanging="360"/>
        <w:contextualSpacing/>
        <w:rPr>
          <w:b/>
          <w:color w:val="09002E" w:themeColor="text2"/>
        </w:rPr>
      </w:pPr>
    </w:p>
    <w:p w14:paraId="1A807992" w14:textId="43CF6628" w:rsidR="00846513" w:rsidRDefault="00846513" w:rsidP="00846513">
      <w:r>
        <w:t>The principles that guide prioritisation of NRVs for review are summarised below, and described in further detail in</w:t>
      </w:r>
      <w:r w:rsidR="009E444B">
        <w:t xml:space="preserve"> </w:t>
      </w:r>
      <w:r w:rsidR="00B45269">
        <w:fldChar w:fldCharType="begin"/>
      </w:r>
      <w:r w:rsidR="00B45269">
        <w:instrText xml:space="preserve"> REF _Ref206073231 \r \h </w:instrText>
      </w:r>
      <w:r w:rsidR="00B45269">
        <w:fldChar w:fldCharType="separate"/>
      </w:r>
      <w:r w:rsidR="00B45269">
        <w:t>Appendix B</w:t>
      </w:r>
      <w:r w:rsidR="00B45269">
        <w:fldChar w:fldCharType="end"/>
      </w:r>
      <w:r>
        <w:t>:</w:t>
      </w:r>
    </w:p>
    <w:p w14:paraId="4DC494C1" w14:textId="77777777" w:rsidR="00846513" w:rsidRDefault="00846513" w:rsidP="00211F4C">
      <w:pPr>
        <w:pStyle w:val="ListParagraph"/>
        <w:numPr>
          <w:ilvl w:val="0"/>
          <w:numId w:val="47"/>
        </w:numPr>
        <w:ind w:left="714" w:hanging="357"/>
      </w:pPr>
      <w:r w:rsidRPr="00AB71F9">
        <w:rPr>
          <w:b/>
          <w:bCs/>
          <w:szCs w:val="20"/>
        </w:rPr>
        <w:t>Relevance</w:t>
      </w:r>
      <w:r w:rsidRPr="00AB71F9">
        <w:rPr>
          <w:szCs w:val="20"/>
        </w:rPr>
        <w:t xml:space="preserve"> - </w:t>
      </w:r>
      <w:r>
        <w:t xml:space="preserve">will the NRVs prioritised for review apply </w:t>
      </w:r>
      <w:r w:rsidRPr="00D65814">
        <w:t>to people of all ages and backgrounds in the general population, including people with common diet-related risk factors such as being overweight</w:t>
      </w:r>
      <w:r>
        <w:t>?</w:t>
      </w:r>
      <w:r w:rsidRPr="00A404E4">
        <w:t xml:space="preserve"> </w:t>
      </w:r>
    </w:p>
    <w:p w14:paraId="098B8B3B" w14:textId="77777777" w:rsidR="00846513" w:rsidRPr="00AB71F9" w:rsidRDefault="00846513" w:rsidP="00211F4C">
      <w:pPr>
        <w:pStyle w:val="ListParagraph"/>
        <w:numPr>
          <w:ilvl w:val="0"/>
          <w:numId w:val="47"/>
        </w:numPr>
        <w:ind w:left="714" w:hanging="357"/>
        <w:rPr>
          <w:szCs w:val="20"/>
        </w:rPr>
      </w:pPr>
      <w:r w:rsidRPr="00AB71F9">
        <w:rPr>
          <w:b/>
          <w:bCs/>
          <w:szCs w:val="20"/>
        </w:rPr>
        <w:lastRenderedPageBreak/>
        <w:t>Importance</w:t>
      </w:r>
      <w:r w:rsidRPr="00AB71F9">
        <w:rPr>
          <w:szCs w:val="20"/>
        </w:rPr>
        <w:t xml:space="preserve"> - </w:t>
      </w:r>
      <w:r>
        <w:t>i</w:t>
      </w:r>
      <w:r w:rsidRPr="00632BB3">
        <w:t>s the information on the nutrient or NRV important to current public health priorities and to what degree</w:t>
      </w:r>
      <w:r>
        <w:t>?</w:t>
      </w:r>
    </w:p>
    <w:p w14:paraId="4969051D" w14:textId="77777777" w:rsidR="00846513" w:rsidRPr="00AB71F9" w:rsidRDefault="00846513" w:rsidP="00211F4C">
      <w:pPr>
        <w:pStyle w:val="ListParagraph"/>
        <w:numPr>
          <w:ilvl w:val="0"/>
          <w:numId w:val="47"/>
        </w:numPr>
        <w:ind w:left="714" w:hanging="357"/>
        <w:rPr>
          <w:szCs w:val="20"/>
        </w:rPr>
      </w:pPr>
      <w:r w:rsidRPr="00AB71F9">
        <w:rPr>
          <w:b/>
          <w:bCs/>
          <w:szCs w:val="20"/>
        </w:rPr>
        <w:t>Type of impact</w:t>
      </w:r>
      <w:r w:rsidRPr="00AB71F9">
        <w:rPr>
          <w:szCs w:val="20"/>
        </w:rPr>
        <w:t xml:space="preserve"> – </w:t>
      </w:r>
      <w:r w:rsidRPr="00632BB3">
        <w:t>what type of impact could the nutrient or NRV have on public health including broader societal, economic or environmental impacts?</w:t>
      </w:r>
    </w:p>
    <w:p w14:paraId="4D0CE1C1" w14:textId="44165F1A" w:rsidR="00846513" w:rsidRPr="00FC4506" w:rsidRDefault="00846513" w:rsidP="00211F4C">
      <w:pPr>
        <w:pStyle w:val="ListParagraph"/>
        <w:numPr>
          <w:ilvl w:val="0"/>
          <w:numId w:val="47"/>
        </w:numPr>
        <w:ind w:left="714" w:hanging="357"/>
      </w:pPr>
      <w:r w:rsidRPr="00AB71F9">
        <w:rPr>
          <w:b/>
          <w:bCs/>
          <w:szCs w:val="20"/>
        </w:rPr>
        <w:t>Degree of impact</w:t>
      </w:r>
      <w:r w:rsidRPr="00AB71F9">
        <w:rPr>
          <w:szCs w:val="20"/>
        </w:rPr>
        <w:t xml:space="preserve"> - </w:t>
      </w:r>
      <w:r w:rsidR="00C6599C" w:rsidRPr="00C6599C">
        <w:t xml:space="preserve">how significantly </w:t>
      </w:r>
      <w:r w:rsidR="006D5837">
        <w:t xml:space="preserve">does </w:t>
      </w:r>
      <w:r w:rsidR="00C6599C" w:rsidRPr="00C6599C">
        <w:t>the nutrient or NRV affect health, considering both the severity of related health outcomes and the size of the population likely to be impacted</w:t>
      </w:r>
      <w:r w:rsidR="006D5837">
        <w:t>?</w:t>
      </w:r>
    </w:p>
    <w:p w14:paraId="4C8F2260" w14:textId="2A07C7EB" w:rsidR="00043095" w:rsidRPr="00703D6E" w:rsidRDefault="00846513" w:rsidP="00211F4C">
      <w:pPr>
        <w:pStyle w:val="ListParagraph"/>
        <w:numPr>
          <w:ilvl w:val="0"/>
          <w:numId w:val="47"/>
        </w:numPr>
        <w:ind w:left="714" w:hanging="357"/>
      </w:pPr>
      <w:r w:rsidRPr="00890E52">
        <w:rPr>
          <w:b/>
          <w:bCs/>
          <w:szCs w:val="20"/>
        </w:rPr>
        <w:t>Evidence base</w:t>
      </w:r>
      <w:r w:rsidRPr="00890E52">
        <w:rPr>
          <w:szCs w:val="20"/>
        </w:rPr>
        <w:t xml:space="preserve"> – </w:t>
      </w:r>
      <w:r w:rsidRPr="00A37459">
        <w:t>are there likely to have been changes in the evidence base underpinning recommendations, or the food supply</w:t>
      </w:r>
      <w:r w:rsidR="006D5837">
        <w:t xml:space="preserve"> or </w:t>
      </w:r>
      <w:r w:rsidRPr="00A37459">
        <w:t>dietary patterns that could impact nutrient intake?</w:t>
      </w:r>
    </w:p>
    <w:p w14:paraId="7FA3A7AE" w14:textId="1EFE9A81" w:rsidR="00C164D4" w:rsidRDefault="00C164D4" w:rsidP="003E2E95">
      <w:pPr>
        <w:pStyle w:val="Heading40"/>
      </w:pPr>
      <w:bookmarkStart w:id="100" w:name="_Toc153967119"/>
      <w:bookmarkStart w:id="101" w:name="_Toc207801060"/>
      <w:bookmarkStart w:id="102" w:name="_Toc207824537"/>
      <w:r>
        <w:t xml:space="preserve">Mandatory </w:t>
      </w:r>
      <w:r w:rsidR="00840808">
        <w:t>f</w:t>
      </w:r>
      <w:r>
        <w:t xml:space="preserve">ortification </w:t>
      </w:r>
      <w:r w:rsidR="00840808">
        <w:t>p</w:t>
      </w:r>
      <w:r>
        <w:t>rograms</w:t>
      </w:r>
      <w:bookmarkEnd w:id="100"/>
      <w:bookmarkEnd w:id="101"/>
      <w:bookmarkEnd w:id="102"/>
    </w:p>
    <w:p w14:paraId="4464B652" w14:textId="0E9589AB" w:rsidR="00C164D4" w:rsidRDefault="00C164D4" w:rsidP="00194B98">
      <w:pPr>
        <w:spacing w:line="276" w:lineRule="auto"/>
      </w:pPr>
      <w:r>
        <w:t xml:space="preserve">Review of mandatory fortification programs could trigger a review of NRVs. Mandatory fortification programs </w:t>
      </w:r>
      <w:r w:rsidR="00921ECD">
        <w:t>may</w:t>
      </w:r>
      <w:r>
        <w:t xml:space="preserve"> be reviewed to assess if: </w:t>
      </w:r>
    </w:p>
    <w:p w14:paraId="66B34838" w14:textId="77777777" w:rsidR="00C164D4" w:rsidRDefault="00C164D4" w:rsidP="00211F4C">
      <w:pPr>
        <w:pStyle w:val="ListParagraph"/>
        <w:numPr>
          <w:ilvl w:val="0"/>
          <w:numId w:val="16"/>
        </w:numPr>
        <w:spacing w:before="0" w:after="160" w:line="276" w:lineRule="auto"/>
        <w:contextualSpacing/>
      </w:pPr>
      <w:r>
        <w:t xml:space="preserve">there is still a need for fortification i.e. situational analysis conducted to determine current population intakes and nutrient status; and </w:t>
      </w:r>
    </w:p>
    <w:p w14:paraId="06E683C9" w14:textId="77777777" w:rsidR="00C164D4" w:rsidRDefault="00C164D4" w:rsidP="00211F4C">
      <w:pPr>
        <w:pStyle w:val="ListParagraph"/>
        <w:numPr>
          <w:ilvl w:val="0"/>
          <w:numId w:val="16"/>
        </w:numPr>
        <w:spacing w:before="0" w:after="160" w:line="276" w:lineRule="auto"/>
        <w:contextualSpacing/>
      </w:pPr>
      <w:r>
        <w:t>there are any toxicity concerns that may require changes in ULs and fortification levels.</w:t>
      </w:r>
    </w:p>
    <w:p w14:paraId="545A57A9" w14:textId="45E7EE67" w:rsidR="00C164D4" w:rsidRDefault="00C164D4" w:rsidP="00194B98">
      <w:pPr>
        <w:spacing w:line="276" w:lineRule="auto"/>
      </w:pPr>
      <w:r>
        <w:t xml:space="preserve">Before confirming a review is required, a cost-benefit analysis should be conducted to inform each review of the mandatory nutrient fortification program. </w:t>
      </w:r>
      <w:r w:rsidR="003363DC" w:rsidRPr="003363DC">
        <w:t>This analysis should consider whether the likelihood of a NRV value changing due to the review justifies the investment of time and resources.</w:t>
      </w:r>
    </w:p>
    <w:p w14:paraId="28E1DD97" w14:textId="77777777" w:rsidR="00C164D4" w:rsidRDefault="00C164D4" w:rsidP="00194B98">
      <w:pPr>
        <w:spacing w:line="276" w:lineRule="auto"/>
      </w:pPr>
      <w:r>
        <w:t>The review process should commence with horizon scanning for new evidence, international developments, or relevant changes in government policy that would warrant a nutrient review.</w:t>
      </w:r>
    </w:p>
    <w:p w14:paraId="3D7C3609" w14:textId="77777777" w:rsidR="004562E8" w:rsidRDefault="004562E8" w:rsidP="00194B98">
      <w:pPr>
        <w:spacing w:line="276" w:lineRule="auto"/>
      </w:pPr>
    </w:p>
    <w:p w14:paraId="77C50B29" w14:textId="34583CA1" w:rsidR="004562E8" w:rsidRDefault="004562E8" w:rsidP="00B86F65">
      <w:pPr>
        <w:pStyle w:val="Boxed1Bullet"/>
        <w:keepNext/>
        <w:numPr>
          <w:ilvl w:val="0"/>
          <w:numId w:val="0"/>
        </w:numPr>
        <w:pBdr>
          <w:left w:val="single" w:sz="4" w:space="12" w:color="77BCD9" w:themeColor="accent1"/>
        </w:pBdr>
        <w:spacing w:line="259" w:lineRule="auto"/>
        <w:ind w:left="646"/>
      </w:pPr>
      <w:r>
        <w:t>For more information on vitamins and mineral added to food</w:t>
      </w:r>
      <w:r w:rsidR="00B86F65">
        <w:t>:</w:t>
      </w:r>
      <w:r>
        <w:t xml:space="preserve"> </w:t>
      </w:r>
    </w:p>
    <w:p w14:paraId="58AD74E7" w14:textId="598282AA" w:rsidR="004639BD" w:rsidRDefault="00405B0E" w:rsidP="00B86F65">
      <w:pPr>
        <w:pStyle w:val="Boxed1Bullet"/>
        <w:keepNext/>
        <w:numPr>
          <w:ilvl w:val="0"/>
          <w:numId w:val="0"/>
        </w:numPr>
        <w:pBdr>
          <w:left w:val="single" w:sz="4" w:space="12" w:color="77BCD9" w:themeColor="accent1"/>
        </w:pBdr>
        <w:spacing w:line="259" w:lineRule="auto"/>
        <w:ind w:left="646"/>
      </w:pPr>
      <w:r>
        <w:fldChar w:fldCharType="begin"/>
      </w:r>
      <w:r w:rsidR="0019040A">
        <w:instrText xml:space="preserve"> ADDIN EN.CITE &lt;EndNote&gt;&lt;Cite AuthorYear="1"&gt;&lt;Author&gt;Food Standards Australia New Zealand&lt;/Author&gt;&lt;Year&gt;2016&lt;/Year&gt;&lt;RecNum&gt;121&lt;/RecNum&gt;&lt;DisplayText&gt;Food Standards Australia New Zealand (2016)&lt;/DisplayText&gt;&lt;record&gt;&lt;rec-number&gt;121&lt;/rec-number&gt;&lt;foreign-keys&gt;&lt;key app="EN" db-id="zxfaevvrgpsxebez5ec5vspfe2av5dtxt9xx" timestamp="1756704429"&gt;121&lt;/key&gt;&lt;/foreign-keys&gt;&lt;ref-type name="Web Page"&gt;12&lt;/ref-type&gt;&lt;contributors&gt;&lt;authors&gt;&lt;author&gt;Food Standards Australia New Zealand,&lt;/author&gt;&lt;/authors&gt;&lt;/contributors&gt;&lt;titles&gt;&lt;title&gt;Vitamins and minerals added to food&lt;/title&gt;&lt;/titles&gt;&lt;dates&gt;&lt;year&gt;2016&lt;/year&gt;&lt;/dates&gt;&lt;urls&gt;&lt;related-urls&gt;&lt;url&gt;date accessed 1 September 2025 https://www.foodstandards.gov.au/consumer/food-fortification/vitamin-added&lt;/url&gt;&lt;/related-urls&gt;&lt;/urls&gt;&lt;/record&gt;&lt;/Cite&gt;&lt;/EndNote&gt;</w:instrText>
      </w:r>
      <w:r>
        <w:fldChar w:fldCharType="separate"/>
      </w:r>
      <w:r w:rsidR="0019040A">
        <w:rPr>
          <w:noProof/>
        </w:rPr>
        <w:t>Food Standards Australia New Zealand (2016)</w:t>
      </w:r>
      <w:r>
        <w:fldChar w:fldCharType="end"/>
      </w:r>
      <w:r w:rsidR="00BE2188">
        <w:t xml:space="preserve"> </w:t>
      </w:r>
      <w:hyperlink r:id="rId42" w:history="1">
        <w:r w:rsidR="004639BD" w:rsidRPr="00B86F65">
          <w:t xml:space="preserve">Vitamins and minerals added to food </w:t>
        </w:r>
      </w:hyperlink>
      <w:r w:rsidR="00FF150A">
        <w:t xml:space="preserve"> </w:t>
      </w:r>
      <w:hyperlink r:id="rId43" w:history="1">
        <w:r w:rsidR="00FF150A" w:rsidRPr="000163C7">
          <w:rPr>
            <w:rStyle w:val="Hyperlink"/>
            <w:color w:val="006CBC"/>
          </w:rPr>
          <w:t>https://www.foodstandards.gov.au/consumer/food-fortification/vitamin-added</w:t>
        </w:r>
      </w:hyperlink>
      <w:r w:rsidR="00FF150A">
        <w:t xml:space="preserve"> </w:t>
      </w:r>
    </w:p>
    <w:p w14:paraId="03AF6DE0" w14:textId="1B8903CD" w:rsidR="00946196" w:rsidRDefault="00946196" w:rsidP="00946196"/>
    <w:p w14:paraId="6B4E745D" w14:textId="77777777" w:rsidR="00A03FBA" w:rsidRDefault="00A03FBA">
      <w:pPr>
        <w:spacing w:line="240" w:lineRule="atLeast"/>
        <w:rPr>
          <w:rFonts w:ascii="Gotham Medium" w:eastAsiaTheme="majorEastAsia" w:hAnsi="Gotham Medium" w:cstheme="majorBidi"/>
          <w:color w:val="09002E" w:themeColor="text2"/>
          <w:kern w:val="28"/>
          <w:sz w:val="32"/>
          <w:szCs w:val="36"/>
        </w:rPr>
      </w:pPr>
      <w:r>
        <w:br w:type="page"/>
      </w:r>
    </w:p>
    <w:p w14:paraId="1B7EBC24" w14:textId="5C108D0E" w:rsidR="00B45296" w:rsidRDefault="008A0AF3" w:rsidP="003449C9">
      <w:pPr>
        <w:pStyle w:val="Heading2Chapter"/>
      </w:pPr>
      <w:bookmarkStart w:id="103" w:name="_Toc153967120"/>
      <w:bookmarkStart w:id="104" w:name="_Toc207801061"/>
      <w:bookmarkStart w:id="105" w:name="_Toc207824538"/>
      <w:r>
        <w:lastRenderedPageBreak/>
        <w:t xml:space="preserve">Scoping </w:t>
      </w:r>
      <w:r w:rsidR="0022226C" w:rsidRPr="0022226C">
        <w:t>NRV</w:t>
      </w:r>
      <w:r>
        <w:t>s for review</w:t>
      </w:r>
      <w:bookmarkEnd w:id="103"/>
      <w:bookmarkEnd w:id="104"/>
      <w:bookmarkEnd w:id="105"/>
    </w:p>
    <w:p w14:paraId="1C50767B" w14:textId="50306546" w:rsidR="00470AE6" w:rsidRDefault="00696A98" w:rsidP="003E2E95">
      <w:pPr>
        <w:pStyle w:val="Heading30"/>
      </w:pPr>
      <w:bookmarkStart w:id="106" w:name="_Toc153967121"/>
      <w:bookmarkStart w:id="107" w:name="_Toc207801062"/>
      <w:bookmarkStart w:id="108" w:name="_Toc207824539"/>
      <w:r>
        <w:t xml:space="preserve">Understanding </w:t>
      </w:r>
      <w:r w:rsidR="007A1BD4">
        <w:t xml:space="preserve">the </w:t>
      </w:r>
      <w:r>
        <w:t>context</w:t>
      </w:r>
      <w:bookmarkEnd w:id="106"/>
      <w:bookmarkEnd w:id="107"/>
      <w:bookmarkEnd w:id="108"/>
    </w:p>
    <w:p w14:paraId="293E20B9" w14:textId="538E3965" w:rsidR="00C2159A" w:rsidRDefault="00F303C6" w:rsidP="00BB7BAE">
      <w:r>
        <w:t xml:space="preserve">Prior to commencing an NRV review, </w:t>
      </w:r>
      <w:r w:rsidR="00E71D17">
        <w:t xml:space="preserve">a comprehensive </w:t>
      </w:r>
      <w:r w:rsidR="00C7230B">
        <w:t xml:space="preserve">understanding of the </w:t>
      </w:r>
      <w:r w:rsidR="000A474E">
        <w:t>nutrient</w:t>
      </w:r>
      <w:r>
        <w:t xml:space="preserve">, associated nutrition-related health outcomes </w:t>
      </w:r>
      <w:r w:rsidR="00336438">
        <w:t xml:space="preserve">and </w:t>
      </w:r>
      <w:r>
        <w:t xml:space="preserve">the </w:t>
      </w:r>
      <w:r w:rsidR="001D139A">
        <w:t xml:space="preserve">associated </w:t>
      </w:r>
      <w:r>
        <w:t xml:space="preserve">Australian and New Zealand nutrition and public health context </w:t>
      </w:r>
      <w:r w:rsidR="001D139A">
        <w:t>is essential.</w:t>
      </w:r>
      <w:r w:rsidR="00BF0E60">
        <w:t xml:space="preserve"> </w:t>
      </w:r>
      <w:r w:rsidR="00C2159A">
        <w:t xml:space="preserve">This </w:t>
      </w:r>
      <w:r w:rsidR="001D139A">
        <w:t xml:space="preserve">context will enable identification of </w:t>
      </w:r>
      <w:r w:rsidR="00A30CA0">
        <w:t>the required data/evidence/informat</w:t>
      </w:r>
      <w:r w:rsidR="001D139A">
        <w:t>i</w:t>
      </w:r>
      <w:r w:rsidR="00A30CA0">
        <w:t xml:space="preserve">on </w:t>
      </w:r>
      <w:r w:rsidR="00A8062E">
        <w:t xml:space="preserve">to inform NRV development, </w:t>
      </w:r>
      <w:r w:rsidR="00A30CA0">
        <w:t xml:space="preserve">and </w:t>
      </w:r>
      <w:r w:rsidR="00A8062E">
        <w:t xml:space="preserve">informs decisions about </w:t>
      </w:r>
      <w:r w:rsidR="00A30CA0">
        <w:t xml:space="preserve">the scope, criteria and methods for </w:t>
      </w:r>
      <w:r w:rsidR="00E76155">
        <w:t xml:space="preserve">evidence sources, and NRV development more broadly. Scoping </w:t>
      </w:r>
      <w:r w:rsidR="002A1377">
        <w:t xml:space="preserve">should be informed by </w:t>
      </w:r>
      <w:r w:rsidR="00FD0041">
        <w:t xml:space="preserve">the best-available evidence and </w:t>
      </w:r>
      <w:r w:rsidR="00E46123">
        <w:t xml:space="preserve">general </w:t>
      </w:r>
      <w:r w:rsidR="00FD0041">
        <w:t>population data, where relevant</w:t>
      </w:r>
      <w:r w:rsidR="00C90AFB">
        <w:t xml:space="preserve">. </w:t>
      </w:r>
      <w:r w:rsidR="00643EA0">
        <w:t xml:space="preserve">To avoid duplication of existing research and maximise limited </w:t>
      </w:r>
      <w:r w:rsidR="00D55D16">
        <w:t>r</w:t>
      </w:r>
      <w:r w:rsidR="00C90AFB">
        <w:t>esource</w:t>
      </w:r>
      <w:r w:rsidR="007A5F54">
        <w:t>s</w:t>
      </w:r>
      <w:r w:rsidR="00D55D16">
        <w:t xml:space="preserve">, scoping will </w:t>
      </w:r>
      <w:r w:rsidR="00DD41AD">
        <w:t xml:space="preserve">typically </w:t>
      </w:r>
      <w:r w:rsidR="00D55D16">
        <w:t xml:space="preserve">be based on </w:t>
      </w:r>
      <w:r w:rsidR="00C90AFB">
        <w:t xml:space="preserve">existing sources </w:t>
      </w:r>
      <w:r w:rsidR="00D55D16">
        <w:t>of data and evidence</w:t>
      </w:r>
      <w:r w:rsidR="00DD41AD">
        <w:t xml:space="preserve"> rather than a </w:t>
      </w:r>
      <w:r w:rsidR="00DD41AD" w:rsidRPr="00DD41AD">
        <w:rPr>
          <w:i/>
          <w:iCs/>
        </w:rPr>
        <w:t>de novo</w:t>
      </w:r>
      <w:r w:rsidR="00DD41AD">
        <w:t xml:space="preserve"> review of the evidence.</w:t>
      </w:r>
    </w:p>
    <w:p w14:paraId="481ABBAC" w14:textId="4FC716E5" w:rsidR="00A30CA0" w:rsidRDefault="00A30CA0" w:rsidP="00BB7BAE">
      <w:r>
        <w:t xml:space="preserve">The relationship between information gathered during the scoping and evidence-review stages of the project, and development of NRVs is shown in </w:t>
      </w:r>
      <w:r w:rsidR="00AC376D">
        <w:fldChar w:fldCharType="begin"/>
      </w:r>
      <w:r w:rsidR="00AC376D">
        <w:instrText xml:space="preserve"> </w:instrText>
      </w:r>
      <w:r w:rsidR="00AC376D" w:rsidRPr="00194B98">
        <w:rPr>
          <w:highlight w:val="yellow"/>
        </w:rPr>
        <w:instrText>REF _Ref197343855 \h</w:instrText>
      </w:r>
      <w:r w:rsidR="00AC376D">
        <w:instrText xml:space="preserve"> </w:instrText>
      </w:r>
      <w:r w:rsidR="00AC376D">
        <w:fldChar w:fldCharType="separate"/>
      </w:r>
      <w:r w:rsidR="00322E6C">
        <w:t xml:space="preserve">Figure </w:t>
      </w:r>
      <w:r w:rsidR="00322E6C">
        <w:rPr>
          <w:noProof/>
        </w:rPr>
        <w:t>4</w:t>
      </w:r>
      <w:r w:rsidR="00322E6C">
        <w:t>.</w:t>
      </w:r>
      <w:r w:rsidR="00322E6C">
        <w:rPr>
          <w:noProof/>
        </w:rPr>
        <w:t>1</w:t>
      </w:r>
      <w:r w:rsidR="00AC376D">
        <w:fldChar w:fldCharType="end"/>
      </w:r>
      <w:r>
        <w:t>.</w:t>
      </w:r>
    </w:p>
    <w:p w14:paraId="6370D7F7" w14:textId="34B374EE" w:rsidR="00FD0041" w:rsidRDefault="00FD0041" w:rsidP="003E2E95">
      <w:pPr>
        <w:pStyle w:val="Heading40"/>
      </w:pPr>
      <w:bookmarkStart w:id="109" w:name="_Toc153967122"/>
      <w:bookmarkStart w:id="110" w:name="_Toc207801063"/>
      <w:bookmarkStart w:id="111" w:name="_Toc207824540"/>
      <w:r w:rsidRPr="00470AE6">
        <w:t>Nutrition-specific context</w:t>
      </w:r>
      <w:bookmarkEnd w:id="109"/>
      <w:bookmarkEnd w:id="110"/>
      <w:bookmarkEnd w:id="111"/>
    </w:p>
    <w:p w14:paraId="1D3447FC" w14:textId="5B450A60" w:rsidR="00B61487" w:rsidRDefault="00AC79C4" w:rsidP="0093005E">
      <w:r>
        <w:t xml:space="preserve">An understanding of </w:t>
      </w:r>
      <w:r w:rsidR="000662A2">
        <w:t xml:space="preserve">a </w:t>
      </w:r>
      <w:r w:rsidR="00643EA0">
        <w:t xml:space="preserve">macronutrient and </w:t>
      </w:r>
      <w:r w:rsidR="00C7230B">
        <w:t xml:space="preserve">micronutrient function, physiology and biochemistry </w:t>
      </w:r>
      <w:r w:rsidR="004A362C">
        <w:t>and</w:t>
      </w:r>
      <w:r w:rsidR="000662A2">
        <w:t xml:space="preserve"> of </w:t>
      </w:r>
      <w:r w:rsidR="004A362C">
        <w:t xml:space="preserve">the </w:t>
      </w:r>
      <w:r w:rsidR="000662A2">
        <w:t xml:space="preserve">potential </w:t>
      </w:r>
      <w:r w:rsidR="00956C67">
        <w:t>mechanisms</w:t>
      </w:r>
      <w:r w:rsidR="000662A2">
        <w:t xml:space="preserve"> underlying relationships between nutrient intake and adverse health effects</w:t>
      </w:r>
      <w:r w:rsidR="00FE2E04" w:rsidDel="00F70E95">
        <w:t xml:space="preserve"> </w:t>
      </w:r>
      <w:r w:rsidR="001B22F0" w:rsidDel="00F70E95">
        <w:t xml:space="preserve">is </w:t>
      </w:r>
      <w:r w:rsidR="00BA772C">
        <w:t>required</w:t>
      </w:r>
      <w:r w:rsidR="00C7230B">
        <w:t xml:space="preserve">. </w:t>
      </w:r>
      <w:r w:rsidR="0093005E">
        <w:t xml:space="preserve">While the existing NRVs for Australia and New Zealand summarise the principal functions of micronutrients, </w:t>
      </w:r>
      <w:r w:rsidR="00DF47F7">
        <w:t xml:space="preserve">and mechanisms underlying potential health effects, </w:t>
      </w:r>
      <w:r w:rsidR="0093005E">
        <w:t xml:space="preserve">these descriptions should be revisited to ensure that they reflect current evidence. </w:t>
      </w:r>
    </w:p>
    <w:p w14:paraId="603FE2E6" w14:textId="5B04CAE7" w:rsidR="00862739" w:rsidRDefault="00BE694B" w:rsidP="00862739">
      <w:r>
        <w:t>Scoping</w:t>
      </w:r>
      <w:r w:rsidR="00E74F41">
        <w:t xml:space="preserve"> the nutrient </w:t>
      </w:r>
      <w:r>
        <w:t>should aim to address the following questions, using the best available evidence:</w:t>
      </w:r>
    </w:p>
    <w:p w14:paraId="0DF06A33" w14:textId="56C5E680" w:rsidR="00862739" w:rsidRDefault="00862739" w:rsidP="00211F4C">
      <w:pPr>
        <w:pStyle w:val="ListParagraph"/>
        <w:numPr>
          <w:ilvl w:val="0"/>
          <w:numId w:val="34"/>
        </w:numPr>
      </w:pPr>
      <w:r w:rsidRPr="00326A20">
        <w:t>What is the nutrient’s function, physiology and biochemistry?</w:t>
      </w:r>
      <w:r>
        <w:t xml:space="preserve"> (literature review)</w:t>
      </w:r>
    </w:p>
    <w:p w14:paraId="0803CBC5" w14:textId="0D1EF752" w:rsidR="00530F7E" w:rsidRDefault="00530F7E" w:rsidP="00211F4C">
      <w:pPr>
        <w:pStyle w:val="ListParagraph"/>
        <w:numPr>
          <w:ilvl w:val="0"/>
          <w:numId w:val="34"/>
        </w:numPr>
      </w:pPr>
      <w:r>
        <w:t>What factors are known to impact on requirements</w:t>
      </w:r>
      <w:r w:rsidR="002F2E31">
        <w:t xml:space="preserve"> or nutrient status</w:t>
      </w:r>
      <w:r w:rsidR="00C320CF">
        <w:t xml:space="preserve"> (e.g. </w:t>
      </w:r>
      <w:r w:rsidR="00643EA0">
        <w:t>physical activity</w:t>
      </w:r>
      <w:r w:rsidR="00C320CF" w:rsidRPr="00C320CF">
        <w:t>, height/weight,</w:t>
      </w:r>
      <w:r w:rsidR="00EC5398">
        <w:t xml:space="preserve"> inflammatory factors</w:t>
      </w:r>
      <w:r w:rsidR="00C320CF">
        <w:t>)</w:t>
      </w:r>
      <w:r>
        <w:t xml:space="preserve">? </w:t>
      </w:r>
    </w:p>
    <w:p w14:paraId="5B26D56E" w14:textId="40E92C64" w:rsidR="00862739" w:rsidRDefault="00862739" w:rsidP="00211F4C">
      <w:pPr>
        <w:pStyle w:val="ListParagraph"/>
        <w:numPr>
          <w:ilvl w:val="0"/>
          <w:numId w:val="34"/>
        </w:numPr>
      </w:pPr>
      <w:r w:rsidRPr="00460293">
        <w:t xml:space="preserve">What </w:t>
      </w:r>
      <w:r>
        <w:t xml:space="preserve">health outcomes are associated with insufficiency or excess of this </w:t>
      </w:r>
      <w:r w:rsidRPr="00460293">
        <w:t>nutrient</w:t>
      </w:r>
      <w:r>
        <w:t>?</w:t>
      </w:r>
      <w:r w:rsidR="00ED079A">
        <w:t xml:space="preserve"> (literature review)</w:t>
      </w:r>
    </w:p>
    <w:p w14:paraId="7BD6D1EC" w14:textId="385DC031" w:rsidR="0013120C" w:rsidRDefault="0013120C" w:rsidP="00211F4C">
      <w:pPr>
        <w:pStyle w:val="ListParagraph"/>
        <w:numPr>
          <w:ilvl w:val="0"/>
          <w:numId w:val="34"/>
        </w:numPr>
      </w:pPr>
      <w:r>
        <w:t xml:space="preserve">What factors are known to impact on bioavailability of the nutrient? </w:t>
      </w:r>
      <w:r w:rsidR="00FA23A0">
        <w:t xml:space="preserve">(literature review). </w:t>
      </w:r>
      <w:r>
        <w:t>Consider interactions with:</w:t>
      </w:r>
    </w:p>
    <w:p w14:paraId="7B403953" w14:textId="77777777" w:rsidR="0013120C" w:rsidRDefault="0013120C" w:rsidP="00211F4C">
      <w:pPr>
        <w:pStyle w:val="ListParagraph"/>
        <w:numPr>
          <w:ilvl w:val="1"/>
          <w:numId w:val="34"/>
        </w:numPr>
        <w:spacing w:before="0" w:line="240" w:lineRule="atLeast"/>
        <w:ind w:left="1434" w:hanging="357"/>
      </w:pPr>
      <w:r>
        <w:t>other nutrients</w:t>
      </w:r>
    </w:p>
    <w:p w14:paraId="69E42940" w14:textId="77777777" w:rsidR="0013120C" w:rsidRDefault="0013120C" w:rsidP="00211F4C">
      <w:pPr>
        <w:pStyle w:val="ListParagraph"/>
        <w:numPr>
          <w:ilvl w:val="1"/>
          <w:numId w:val="34"/>
        </w:numPr>
        <w:spacing w:before="0" w:line="240" w:lineRule="atLeast"/>
        <w:ind w:left="1434" w:hanging="357"/>
      </w:pPr>
      <w:r>
        <w:t>nutritional status</w:t>
      </w:r>
    </w:p>
    <w:p w14:paraId="76C03AF7" w14:textId="77777777" w:rsidR="00420F53" w:rsidRDefault="00420F53" w:rsidP="00211F4C">
      <w:pPr>
        <w:pStyle w:val="ListParagraph"/>
        <w:numPr>
          <w:ilvl w:val="1"/>
          <w:numId w:val="34"/>
        </w:numPr>
        <w:spacing w:before="0" w:line="240" w:lineRule="atLeast"/>
        <w:ind w:left="1434" w:hanging="357"/>
      </w:pPr>
      <w:r>
        <w:t>health status</w:t>
      </w:r>
    </w:p>
    <w:p w14:paraId="4A87F3D2" w14:textId="77777777" w:rsidR="00420F53" w:rsidRDefault="00420F53" w:rsidP="00211F4C">
      <w:pPr>
        <w:pStyle w:val="ListParagraph"/>
        <w:numPr>
          <w:ilvl w:val="1"/>
          <w:numId w:val="34"/>
        </w:numPr>
        <w:spacing w:before="0" w:line="240" w:lineRule="atLeast"/>
        <w:ind w:left="1434" w:hanging="357"/>
      </w:pPr>
      <w:r>
        <w:t>genetics</w:t>
      </w:r>
    </w:p>
    <w:p w14:paraId="35B6BBA3" w14:textId="77777777" w:rsidR="007301E0" w:rsidRDefault="007301E0" w:rsidP="00211F4C">
      <w:pPr>
        <w:pStyle w:val="ListParagraph"/>
        <w:numPr>
          <w:ilvl w:val="1"/>
          <w:numId w:val="34"/>
        </w:numPr>
        <w:spacing w:before="0" w:line="240" w:lineRule="atLeast"/>
        <w:ind w:left="1434" w:hanging="357"/>
      </w:pPr>
      <w:r>
        <w:t>gut microbiome</w:t>
      </w:r>
    </w:p>
    <w:p w14:paraId="710F5F14" w14:textId="71BB3394" w:rsidR="006E32BB" w:rsidRDefault="006E32BB" w:rsidP="00211F4C">
      <w:pPr>
        <w:pStyle w:val="ListParagraph"/>
        <w:numPr>
          <w:ilvl w:val="1"/>
          <w:numId w:val="34"/>
        </w:numPr>
        <w:spacing w:before="0" w:line="240" w:lineRule="atLeast"/>
        <w:ind w:left="1434" w:hanging="357"/>
      </w:pPr>
      <w:r>
        <w:t xml:space="preserve">food </w:t>
      </w:r>
      <w:r w:rsidR="00862739">
        <w:t>matrix</w:t>
      </w:r>
    </w:p>
    <w:p w14:paraId="4720449C" w14:textId="77777777" w:rsidR="00864C17" w:rsidRDefault="00864C17" w:rsidP="00211F4C">
      <w:pPr>
        <w:pStyle w:val="ListParagraph"/>
        <w:numPr>
          <w:ilvl w:val="1"/>
          <w:numId w:val="34"/>
        </w:numPr>
        <w:spacing w:before="0" w:line="240" w:lineRule="atLeast"/>
        <w:ind w:left="1434" w:hanging="357"/>
      </w:pPr>
      <w:r>
        <w:t>medication use</w:t>
      </w:r>
    </w:p>
    <w:p w14:paraId="4737805F" w14:textId="15465B10" w:rsidR="00D64A9C" w:rsidRDefault="00D64A9C" w:rsidP="00211F4C">
      <w:pPr>
        <w:pStyle w:val="ListParagraph"/>
        <w:numPr>
          <w:ilvl w:val="1"/>
          <w:numId w:val="34"/>
        </w:numPr>
        <w:spacing w:before="0" w:line="240" w:lineRule="atLeast"/>
        <w:ind w:left="1434" w:hanging="357"/>
      </w:pPr>
      <w:r>
        <w:t>inf</w:t>
      </w:r>
      <w:r w:rsidR="00141F23">
        <w:t>lammat</w:t>
      </w:r>
      <w:r w:rsidR="00DB2DA1">
        <w:t>ory factors</w:t>
      </w:r>
    </w:p>
    <w:p w14:paraId="1B0550C1" w14:textId="54C0BCA2" w:rsidR="00643EA0" w:rsidRDefault="00643EA0" w:rsidP="00211F4C">
      <w:pPr>
        <w:pStyle w:val="ListParagraph"/>
        <w:numPr>
          <w:ilvl w:val="0"/>
          <w:numId w:val="34"/>
        </w:numPr>
      </w:pPr>
      <w:r>
        <w:lastRenderedPageBreak/>
        <w:t xml:space="preserve">What </w:t>
      </w:r>
      <w:r w:rsidR="00D37F58">
        <w:t xml:space="preserve">is </w:t>
      </w:r>
      <w:r>
        <w:t>known to impact on availability of the nutrient? (literature review). Consider:</w:t>
      </w:r>
    </w:p>
    <w:p w14:paraId="27E6F360" w14:textId="6F1B4E7D" w:rsidR="00643EA0" w:rsidRDefault="004C31AB" w:rsidP="00211F4C">
      <w:pPr>
        <w:pStyle w:val="ListParagraph"/>
        <w:numPr>
          <w:ilvl w:val="1"/>
          <w:numId w:val="34"/>
        </w:numPr>
        <w:spacing w:before="0" w:line="240" w:lineRule="atLeast"/>
        <w:ind w:left="1434" w:hanging="357"/>
      </w:pPr>
      <w:r>
        <w:t>f</w:t>
      </w:r>
      <w:r w:rsidR="00D24B04">
        <w:t xml:space="preserve">ood </w:t>
      </w:r>
      <w:r w:rsidR="002907CB">
        <w:t>(what is in the food supply or what is consumed?)</w:t>
      </w:r>
    </w:p>
    <w:p w14:paraId="567B8AA2" w14:textId="37EA7B09" w:rsidR="00643EA0" w:rsidRDefault="00643EA0" w:rsidP="00211F4C">
      <w:pPr>
        <w:pStyle w:val="ListParagraph"/>
        <w:numPr>
          <w:ilvl w:val="1"/>
          <w:numId w:val="34"/>
        </w:numPr>
        <w:spacing w:before="0" w:line="240" w:lineRule="atLeast"/>
        <w:ind w:left="1434" w:hanging="357"/>
      </w:pPr>
      <w:r>
        <w:t xml:space="preserve">water </w:t>
      </w:r>
    </w:p>
    <w:p w14:paraId="28BF14C1" w14:textId="63F802A2" w:rsidR="002A6FB7" w:rsidRDefault="002A6FB7" w:rsidP="00211F4C">
      <w:pPr>
        <w:pStyle w:val="ListParagraph"/>
        <w:numPr>
          <w:ilvl w:val="0"/>
          <w:numId w:val="34"/>
        </w:numPr>
        <w:spacing w:before="0"/>
      </w:pPr>
      <w:r w:rsidRPr="002A6FB7">
        <w:t>Are there any other confounders or effect modifiers relevant to the nutrient or NRV under review?</w:t>
      </w:r>
      <w:r w:rsidR="0033238C" w:rsidRPr="0033238C">
        <w:t xml:space="preserve"> </w:t>
      </w:r>
      <w:r w:rsidR="0033238C">
        <w:t xml:space="preserve"> </w:t>
      </w:r>
      <w:r w:rsidR="0076300B">
        <w:t>For example</w:t>
      </w:r>
      <w:r w:rsidR="004F6671">
        <w:t>,</w:t>
      </w:r>
      <w:r w:rsidR="0033238C">
        <w:t xml:space="preserve"> </w:t>
      </w:r>
      <w:r w:rsidR="0033238C" w:rsidRPr="0033238C">
        <w:tab/>
        <w:t>environmental</w:t>
      </w:r>
      <w:r w:rsidR="0076300B">
        <w:t xml:space="preserve"> factors such as iodine usage as a sanitiser in dairy industry</w:t>
      </w:r>
      <w:r w:rsidR="004F6671">
        <w:t>.</w:t>
      </w:r>
      <w:r w:rsidR="0076300B">
        <w:t xml:space="preserve"> </w:t>
      </w:r>
    </w:p>
    <w:p w14:paraId="4CE31AFC" w14:textId="01F464C4" w:rsidR="00C93FAE" w:rsidRDefault="008B6D4F" w:rsidP="003E2E95">
      <w:pPr>
        <w:pStyle w:val="Heading40"/>
      </w:pPr>
      <w:bookmarkStart w:id="112" w:name="_Toc153967123"/>
      <w:r>
        <w:tab/>
      </w:r>
      <w:bookmarkStart w:id="113" w:name="_Toc207801064"/>
      <w:bookmarkStart w:id="114" w:name="_Toc207824541"/>
      <w:r w:rsidR="00C93FAE" w:rsidRPr="00470AE6">
        <w:t>Country-specific context</w:t>
      </w:r>
      <w:bookmarkEnd w:id="112"/>
      <w:bookmarkEnd w:id="113"/>
      <w:bookmarkEnd w:id="114"/>
    </w:p>
    <w:p w14:paraId="7542B7B1" w14:textId="286821DE" w:rsidR="0072732B" w:rsidRDefault="000841E8" w:rsidP="00956042">
      <w:r>
        <w:t>S</w:t>
      </w:r>
      <w:r w:rsidR="00C56523">
        <w:t xml:space="preserve">coping must </w:t>
      </w:r>
      <w:r>
        <w:t xml:space="preserve">explore the Australian and New Zealand nutrition and public health context and understand how this </w:t>
      </w:r>
      <w:r w:rsidR="007D58CB">
        <w:t xml:space="preserve">intersects with the nutrient-specific factors identified above. </w:t>
      </w:r>
      <w:r w:rsidR="00FA0AB0">
        <w:t>Where relevant, d</w:t>
      </w:r>
      <w:r w:rsidR="00EE4C37">
        <w:t xml:space="preserve">ecisions </w:t>
      </w:r>
      <w:r w:rsidR="006163E6">
        <w:t xml:space="preserve">about </w:t>
      </w:r>
      <w:r w:rsidR="00EE4C37">
        <w:t xml:space="preserve">country-specific </w:t>
      </w:r>
      <w:r w:rsidR="006163E6">
        <w:t xml:space="preserve">context </w:t>
      </w:r>
      <w:r w:rsidR="00EE4C37">
        <w:t xml:space="preserve">factors </w:t>
      </w:r>
      <w:r w:rsidR="006163E6">
        <w:t xml:space="preserve">should be based on </w:t>
      </w:r>
      <w:r w:rsidR="00956042">
        <w:t>current population data</w:t>
      </w:r>
      <w:r w:rsidR="00996328">
        <w:t xml:space="preserve">. </w:t>
      </w:r>
      <w:r w:rsidR="001F2435" w:rsidRPr="001F2435">
        <w:t>If current population data is unavailable, the best available data should be interpreted alongside other relevant evidenc</w:t>
      </w:r>
      <w:r w:rsidR="001F2435">
        <w:t xml:space="preserve">e, </w:t>
      </w:r>
      <w:r w:rsidR="001F2435" w:rsidRPr="001F2435">
        <w:t>such as current dietary patterns and food system</w:t>
      </w:r>
      <w:r w:rsidR="001F2435">
        <w:t xml:space="preserve">s, </w:t>
      </w:r>
      <w:r w:rsidR="001F2435" w:rsidRPr="001F2435">
        <w:t>to assess whether it likely reflects the population’s present status.</w:t>
      </w:r>
    </w:p>
    <w:p w14:paraId="06722F98" w14:textId="01AA170B" w:rsidR="00EE4C37" w:rsidRDefault="00FA0AB0" w:rsidP="00956042">
      <w:r>
        <w:t xml:space="preserve">Where other sources of evidence are used, consideration should be given to the generalisability of evidence to the Australian and New Zealand context. </w:t>
      </w:r>
    </w:p>
    <w:p w14:paraId="27A4BC46" w14:textId="789477CC" w:rsidR="00956042" w:rsidRDefault="00FA0AB0" w:rsidP="0072732B">
      <w:pPr>
        <w:keepNext/>
      </w:pPr>
      <w:r>
        <w:t xml:space="preserve">Scoping </w:t>
      </w:r>
      <w:r w:rsidR="00A229BA">
        <w:t xml:space="preserve">the Australian and New Zealand context </w:t>
      </w:r>
      <w:r>
        <w:t xml:space="preserve">should </w:t>
      </w:r>
      <w:r w:rsidR="00EE4C37">
        <w:t>aim to address the following questions</w:t>
      </w:r>
      <w:r w:rsidR="00956042">
        <w:t>:</w:t>
      </w:r>
    </w:p>
    <w:p w14:paraId="055B210C" w14:textId="6BF62A38" w:rsidR="00C56523" w:rsidRPr="00200212" w:rsidRDefault="00C56523" w:rsidP="00211F4C">
      <w:pPr>
        <w:pStyle w:val="ListParagraph"/>
        <w:numPr>
          <w:ilvl w:val="0"/>
          <w:numId w:val="34"/>
        </w:numPr>
      </w:pPr>
      <w:r w:rsidDel="006E32BB">
        <w:t>W</w:t>
      </w:r>
      <w:r w:rsidRPr="483BD15D">
        <w:rPr>
          <w:rFonts w:cstheme="minorBidi"/>
          <w:lang w:eastAsia="en-US"/>
        </w:rPr>
        <w:t>hat are the current dietary intakes in Australia and New Zealand for this nutrient?</w:t>
      </w:r>
    </w:p>
    <w:p w14:paraId="140F75F2" w14:textId="77777777" w:rsidR="00C56523" w:rsidRPr="00460293" w:rsidRDefault="00C56523" w:rsidP="00211F4C">
      <w:pPr>
        <w:pStyle w:val="ListParagraph"/>
        <w:numPr>
          <w:ilvl w:val="0"/>
          <w:numId w:val="34"/>
        </w:numPr>
      </w:pPr>
      <w:r w:rsidRPr="483BD15D">
        <w:rPr>
          <w:rFonts w:cstheme="minorBidi"/>
          <w:lang w:eastAsia="en-US"/>
        </w:rPr>
        <w:t xml:space="preserve">What is the current nutritional status of the Australian and New Zealand populations? </w:t>
      </w:r>
    </w:p>
    <w:p w14:paraId="1DC15177" w14:textId="742D5FC0" w:rsidR="00267D33" w:rsidRPr="00267D33" w:rsidRDefault="00C56523" w:rsidP="00211F4C">
      <w:pPr>
        <w:pStyle w:val="ListParagraph"/>
        <w:numPr>
          <w:ilvl w:val="0"/>
          <w:numId w:val="34"/>
        </w:numPr>
      </w:pPr>
      <w:r w:rsidRPr="483BD15D">
        <w:rPr>
          <w:rFonts w:cstheme="minorBidi"/>
          <w:lang w:eastAsia="en-US"/>
        </w:rPr>
        <w:t xml:space="preserve">What are the public health implications of current population intakes/status? </w:t>
      </w:r>
    </w:p>
    <w:p w14:paraId="302C7B50" w14:textId="6486ADAA" w:rsidR="00C56523" w:rsidRPr="00460293" w:rsidRDefault="00C56523" w:rsidP="00211F4C">
      <w:pPr>
        <w:pStyle w:val="ListParagraph"/>
        <w:numPr>
          <w:ilvl w:val="1"/>
          <w:numId w:val="34"/>
        </w:numPr>
      </w:pPr>
      <w:r>
        <w:rPr>
          <w:rFonts w:eastAsiaTheme="minorHAnsi" w:cstheme="minorBidi"/>
          <w:lang w:eastAsia="en-US"/>
        </w:rPr>
        <w:t xml:space="preserve">Are there </w:t>
      </w:r>
      <w:r w:rsidRPr="009F02E0">
        <w:rPr>
          <w:rFonts w:eastAsiaTheme="minorHAnsi" w:cstheme="minorBidi"/>
          <w:lang w:eastAsia="en-US"/>
        </w:rPr>
        <w:t>concern</w:t>
      </w:r>
      <w:r>
        <w:rPr>
          <w:rFonts w:eastAsiaTheme="minorHAnsi" w:cstheme="minorBidi"/>
          <w:lang w:eastAsia="en-US"/>
        </w:rPr>
        <w:t>s</w:t>
      </w:r>
      <w:r w:rsidRPr="009F02E0">
        <w:rPr>
          <w:rFonts w:eastAsiaTheme="minorHAnsi" w:cstheme="minorBidi"/>
          <w:lang w:eastAsia="en-US"/>
        </w:rPr>
        <w:t xml:space="preserve"> about disease risk, maintaining function or avoiding toxicity?</w:t>
      </w:r>
    </w:p>
    <w:p w14:paraId="06D60031" w14:textId="36D5D99D" w:rsidR="00C90E84" w:rsidRPr="00A404E4" w:rsidRDefault="00C90E84" w:rsidP="00211F4C">
      <w:pPr>
        <w:pStyle w:val="ListParagraph"/>
        <w:numPr>
          <w:ilvl w:val="1"/>
          <w:numId w:val="34"/>
        </w:numPr>
      </w:pPr>
      <w:r w:rsidRPr="009F02E0">
        <w:rPr>
          <w:rFonts w:eastAsiaTheme="minorHAnsi" w:cstheme="minorBidi"/>
          <w:lang w:eastAsia="en-US"/>
        </w:rPr>
        <w:t xml:space="preserve">Are there specific populations that </w:t>
      </w:r>
      <w:r>
        <w:rPr>
          <w:rFonts w:eastAsiaTheme="minorHAnsi" w:cstheme="minorBidi"/>
          <w:lang w:eastAsia="en-US"/>
        </w:rPr>
        <w:t>require special consideration</w:t>
      </w:r>
      <w:r w:rsidRPr="009F02E0">
        <w:rPr>
          <w:rFonts w:eastAsiaTheme="minorHAnsi" w:cstheme="minorBidi"/>
          <w:lang w:eastAsia="en-US"/>
        </w:rPr>
        <w:t xml:space="preserve">?  </w:t>
      </w:r>
    </w:p>
    <w:p w14:paraId="73F15E08" w14:textId="5E627A60" w:rsidR="00267D33" w:rsidRPr="00460293" w:rsidRDefault="00267D33" w:rsidP="00211F4C">
      <w:pPr>
        <w:pStyle w:val="ListParagraph"/>
        <w:numPr>
          <w:ilvl w:val="1"/>
          <w:numId w:val="34"/>
        </w:numPr>
      </w:pPr>
      <w:r>
        <w:rPr>
          <w:rFonts w:eastAsiaTheme="minorHAnsi" w:cstheme="minorBidi"/>
          <w:lang w:eastAsia="en-US"/>
        </w:rPr>
        <w:t>Do</w:t>
      </w:r>
      <w:r w:rsidR="0087533B">
        <w:rPr>
          <w:rFonts w:eastAsiaTheme="minorHAnsi" w:cstheme="minorBidi"/>
          <w:lang w:eastAsia="en-US"/>
        </w:rPr>
        <w:t>es the</w:t>
      </w:r>
      <w:r>
        <w:rPr>
          <w:rFonts w:eastAsiaTheme="minorHAnsi" w:cstheme="minorBidi"/>
          <w:lang w:eastAsia="en-US"/>
        </w:rPr>
        <w:t xml:space="preserve"> </w:t>
      </w:r>
      <w:r w:rsidR="0087533B">
        <w:rPr>
          <w:rFonts w:eastAsiaTheme="minorHAnsi" w:cstheme="minorBidi"/>
          <w:lang w:eastAsia="en-US"/>
        </w:rPr>
        <w:t xml:space="preserve">current population </w:t>
      </w:r>
      <w:r>
        <w:rPr>
          <w:rFonts w:eastAsiaTheme="minorHAnsi" w:cstheme="minorBidi"/>
          <w:lang w:eastAsia="en-US"/>
        </w:rPr>
        <w:t>intake</w:t>
      </w:r>
      <w:r w:rsidR="008C111A">
        <w:rPr>
          <w:rFonts w:eastAsiaTheme="minorHAnsi" w:cstheme="minorBidi"/>
          <w:lang w:eastAsia="en-US"/>
        </w:rPr>
        <w:t>/</w:t>
      </w:r>
      <w:r>
        <w:rPr>
          <w:rFonts w:eastAsiaTheme="minorHAnsi" w:cstheme="minorBidi"/>
          <w:lang w:eastAsia="en-US"/>
        </w:rPr>
        <w:t>status have implications for bioavailability?</w:t>
      </w:r>
    </w:p>
    <w:p w14:paraId="358380F5" w14:textId="77777777" w:rsidR="00C56523" w:rsidRDefault="00C56523" w:rsidP="00211F4C">
      <w:pPr>
        <w:pStyle w:val="ListParagraph"/>
        <w:numPr>
          <w:ilvl w:val="0"/>
          <w:numId w:val="34"/>
        </w:numPr>
      </w:pPr>
      <w:r>
        <w:t>Are there any considerations relating to the Australian and New Zealand food system for this nutrient?</w:t>
      </w:r>
    </w:p>
    <w:p w14:paraId="10F70921" w14:textId="77777777" w:rsidR="00C56523" w:rsidRPr="00A404E4" w:rsidRDefault="00C56523" w:rsidP="00211F4C">
      <w:pPr>
        <w:pStyle w:val="ListParagraph"/>
        <w:numPr>
          <w:ilvl w:val="0"/>
          <w:numId w:val="34"/>
        </w:numPr>
      </w:pPr>
      <w:r w:rsidRPr="483BD15D">
        <w:rPr>
          <w:rFonts w:cstheme="minorBidi"/>
          <w:lang w:eastAsia="en-US"/>
        </w:rPr>
        <w:t xml:space="preserve">Are there any other factors that are likely to impact the calculation of an NRV for this nutrient? </w:t>
      </w:r>
    </w:p>
    <w:p w14:paraId="59DFD547" w14:textId="77777777" w:rsidR="00875642" w:rsidRDefault="00875642" w:rsidP="00875642">
      <w:pPr>
        <w:pStyle w:val="Boxed1Bullet"/>
        <w:keepNext/>
        <w:numPr>
          <w:ilvl w:val="0"/>
          <w:numId w:val="0"/>
        </w:numPr>
        <w:pBdr>
          <w:left w:val="single" w:sz="4" w:space="12" w:color="77BCD9" w:themeColor="accent1"/>
        </w:pBdr>
        <w:spacing w:line="259" w:lineRule="auto"/>
        <w:ind w:left="646"/>
      </w:pPr>
      <w:r>
        <w:t>Further information is outlined in:</w:t>
      </w:r>
    </w:p>
    <w:p w14:paraId="4280906B" w14:textId="1D915CEE" w:rsidR="00313B4E" w:rsidRPr="00875642" w:rsidRDefault="00A361DD" w:rsidP="00211F4C">
      <w:pPr>
        <w:pStyle w:val="Boxed1Bullet"/>
        <w:keepNext/>
        <w:numPr>
          <w:ilvl w:val="0"/>
          <w:numId w:val="73"/>
        </w:numPr>
        <w:pBdr>
          <w:left w:val="single" w:sz="4" w:space="12" w:color="77BCD9" w:themeColor="accent1"/>
        </w:pBdr>
        <w:spacing w:line="259" w:lineRule="auto"/>
        <w:ind w:left="1003" w:hanging="357"/>
      </w:pP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 </w:instrText>
      </w: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EN.CITE.DATA </w:instrText>
      </w:r>
      <w:r>
        <w:fldChar w:fldCharType="end"/>
      </w:r>
      <w:r>
        <w:fldChar w:fldCharType="separate"/>
      </w:r>
      <w:r>
        <w:rPr>
          <w:noProof/>
        </w:rPr>
        <w:t>Dhonukshe-Rutten et al. (2013)</w:t>
      </w:r>
      <w:r>
        <w:fldChar w:fldCharType="end"/>
      </w:r>
      <w:r>
        <w:t xml:space="preserve"> </w:t>
      </w:r>
      <w:r w:rsidRPr="00A566FA">
        <w:t>EURRECA—evidence-based methodology for deriving micronutrient recommendations. </w:t>
      </w:r>
      <w:r w:rsidRPr="00A566FA">
        <w:rPr>
          <w:i/>
          <w:iCs/>
        </w:rPr>
        <w:t>Critical reviews in food science and nutrition</w:t>
      </w:r>
      <w:r w:rsidRPr="00A566FA">
        <w:t>, </w:t>
      </w:r>
      <w:r w:rsidRPr="00A566FA">
        <w:rPr>
          <w:i/>
          <w:iCs/>
        </w:rPr>
        <w:t>53</w:t>
      </w:r>
      <w:r w:rsidRPr="00A566FA">
        <w:t>(10)</w:t>
      </w:r>
      <w:r>
        <w:t>:</w:t>
      </w:r>
      <w:r w:rsidRPr="00A566FA">
        <w:t>999-1040</w:t>
      </w:r>
      <w:r w:rsidRPr="008129D1">
        <w:t>.</w:t>
      </w:r>
      <w:r w:rsidRPr="008129D1">
        <w:rPr>
          <w:rFonts w:ascii="Segoe UI" w:hAnsi="Segoe UI" w:cs="Segoe UI"/>
          <w:color w:val="212121"/>
          <w:shd w:val="clear" w:color="auto" w:fill="E3F1F7" w:themeFill="accent1" w:themeFillTint="33"/>
        </w:rPr>
        <w:t xml:space="preserve"> </w:t>
      </w:r>
      <w:hyperlink r:id="rId44" w:history="1">
        <w:r w:rsidRPr="000163C7">
          <w:rPr>
            <w:rStyle w:val="Hyperlink"/>
            <w:color w:val="006CBC"/>
          </w:rPr>
          <w:t>https://doi.org/10.1080/10408398.2012.749209</w:t>
        </w:r>
      </w:hyperlink>
      <w:r w:rsidR="00C00063">
        <w:t xml:space="preserve"> </w:t>
      </w:r>
      <w:r w:rsidR="0080174B">
        <w:t xml:space="preserve">- </w:t>
      </w:r>
      <w:r w:rsidR="003850E0" w:rsidRPr="00E60913">
        <w:rPr>
          <w:i/>
          <w:iCs/>
        </w:rPr>
        <w:t>Defining the Problem: Identifying the Nutrition-Related Health Problem (Activity 1</w:t>
      </w:r>
      <w:r w:rsidR="003850E0">
        <w:rPr>
          <w:i/>
          <w:iCs/>
        </w:rPr>
        <w:t xml:space="preserve">, </w:t>
      </w:r>
      <w:r w:rsidR="003850E0" w:rsidRPr="00E60913">
        <w:rPr>
          <w:i/>
          <w:iCs/>
        </w:rPr>
        <w:t>pp.</w:t>
      </w:r>
      <w:r w:rsidR="00214CB7" w:rsidRPr="00E60913">
        <w:rPr>
          <w:i/>
        </w:rPr>
        <w:t xml:space="preserve"> 1000 </w:t>
      </w:r>
      <w:r w:rsidR="00313B4E" w:rsidRPr="00E60913">
        <w:rPr>
          <w:i/>
        </w:rPr>
        <w:t>–</w:t>
      </w:r>
      <w:r w:rsidR="00214CB7" w:rsidRPr="00E60913">
        <w:rPr>
          <w:i/>
        </w:rPr>
        <w:t xml:space="preserve"> 1004</w:t>
      </w:r>
      <w:r w:rsidR="00A566FA">
        <w:rPr>
          <w:i/>
        </w:rPr>
        <w:t>)</w:t>
      </w:r>
    </w:p>
    <w:p w14:paraId="5A8A23DE" w14:textId="35C91717" w:rsidR="00875642" w:rsidRPr="00CD1306" w:rsidRDefault="005501D8" w:rsidP="00211F4C">
      <w:pPr>
        <w:pStyle w:val="Boxed1Bullet"/>
        <w:keepNext/>
        <w:numPr>
          <w:ilvl w:val="0"/>
          <w:numId w:val="73"/>
        </w:numPr>
        <w:pBdr>
          <w:left w:val="single" w:sz="4" w:space="12" w:color="77BCD9" w:themeColor="accent1"/>
        </w:pBdr>
        <w:spacing w:line="259" w:lineRule="auto"/>
        <w:ind w:left="1003" w:hanging="357"/>
      </w:pPr>
      <w:r>
        <w:fldChar w:fldCharType="begin"/>
      </w:r>
      <w:r>
        <w:instrText xml:space="preserve"> ADDIN EN.CITE &lt;EndNote&gt;&lt;Cite AuthorYear="1"&gt;&lt;Author&gt;NASEM&lt;/Author&gt;&lt;Year&gt;2017&lt;/Year&gt;&lt;RecNum&gt;43&lt;/RecNum&gt;&lt;DisplayText&gt;NASEM (2017)&lt;/DisplayText&gt;&lt;record&gt;&lt;rec-number&gt;43&lt;/rec-number&gt;&lt;foreign-keys&gt;&lt;key app="EN" db-id="zxfaevvrgpsxebez5ec5vspfe2av5dtxt9xx" timestamp="1754957726"&gt;43&lt;/key&gt;&lt;/foreign-keys&gt;&lt;ref-type name="Book"&gt;6&lt;/ref-type&gt;&lt;contributors&gt;&lt;authors&gt;&lt;author&gt;NASEM,&lt;/author&gt;&lt;/authors&gt;&lt;secondary-authors&gt;&lt;author&gt;Kumanyika, Shiriki&lt;/author&gt;&lt;author&gt;Oria, Maria P.&lt;/author&gt;&lt;/secondary-authors&gt;&lt;/contributors&gt;&lt;titles&gt;&lt;title&gt;Guiding Principles for Developing Dietary Reference Intakes Based on Chronic Disease&lt;/title&gt;&lt;/titles&gt;&lt;pages&gt;334&lt;/pages&gt;&lt;keywords&gt;&lt;keyword&gt;Food and Nutrition&lt;/keyword&gt;&lt;keyword&gt;Health and Medicine&lt;/keyword&gt;&lt;/keywords&gt;&lt;dates&gt;&lt;year&gt;2017&lt;/year&gt;&lt;/dates&gt;&lt;pub-location&gt;Washington, DC&lt;/pub-location&gt;&lt;publisher&gt;The National Academies Press&lt;/publisher&gt;&lt;isbn&gt;978-0-309-46256-3&lt;/isbn&gt;&lt;urls&gt;&lt;related-urls&gt;&lt;url&gt;https://nap.nationalacademies.org/catalog/24828/guiding-principles-for-developing-dietary-reference-intakes-based-on-chronic-disease&lt;/url&gt;&lt;/related-urls&gt;&lt;/urls&gt;&lt;electronic-resource-num&gt;doi:10.17226/24828&lt;/electronic-resource-num&gt;&lt;language&gt;English&lt;/language&gt;&lt;/record&gt;&lt;/Cite&gt;&lt;/EndNote&gt;</w:instrText>
      </w:r>
      <w:r>
        <w:fldChar w:fldCharType="separate"/>
      </w:r>
      <w:r>
        <w:rPr>
          <w:noProof/>
        </w:rPr>
        <w:t>NASEM (2017)</w:t>
      </w:r>
      <w:r>
        <w:fldChar w:fldCharType="end"/>
      </w:r>
      <w:r w:rsidR="00D97405" w:rsidRPr="00D97405">
        <w:t xml:space="preserve"> </w:t>
      </w:r>
      <w:r w:rsidR="00D97405" w:rsidRPr="00D97405">
        <w:rPr>
          <w:i/>
          <w:iCs/>
        </w:rPr>
        <w:t>Guiding Principles for Developing Dietary Reference Intakes Based on Chronic Disease</w:t>
      </w:r>
      <w:r w:rsidR="00D97405" w:rsidRPr="00D97405">
        <w:t xml:space="preserve">. The National Academies Press. </w:t>
      </w:r>
      <w:hyperlink r:id="rId45" w:history="1">
        <w:r w:rsidR="00D97405" w:rsidRPr="000163C7">
          <w:rPr>
            <w:rStyle w:val="Hyperlink"/>
            <w:color w:val="006CBC"/>
          </w:rPr>
          <w:t>https://doi.org/doi:10.17226/24828</w:t>
        </w:r>
      </w:hyperlink>
      <w:r w:rsidR="00D97405">
        <w:t xml:space="preserve"> </w:t>
      </w:r>
      <w:r w:rsidR="00875642">
        <w:rPr>
          <w:i/>
          <w:iCs/>
        </w:rPr>
        <w:t>- pp. 76-77</w:t>
      </w:r>
    </w:p>
    <w:p w14:paraId="2AF1884D" w14:textId="603657B7" w:rsidR="003A7C1B" w:rsidRDefault="003A7C1B" w:rsidP="008A550E">
      <w:pPr>
        <w:pStyle w:val="Boxed1Bullet"/>
        <w:keepNext/>
        <w:numPr>
          <w:ilvl w:val="0"/>
          <w:numId w:val="0"/>
        </w:numPr>
        <w:spacing w:line="259" w:lineRule="auto"/>
        <w:ind w:left="1004"/>
        <w:sectPr w:rsidR="003A7C1B" w:rsidSect="00E30AB1">
          <w:headerReference w:type="even" r:id="rId46"/>
          <w:headerReference w:type="default" r:id="rId47"/>
          <w:headerReference w:type="first" r:id="rId48"/>
          <w:footerReference w:type="first" r:id="rId49"/>
          <w:pgSz w:w="11906" w:h="16838" w:code="9"/>
          <w:pgMar w:top="1814" w:right="1134" w:bottom="1565" w:left="907" w:header="510" w:footer="510" w:gutter="0"/>
          <w:cols w:space="708"/>
          <w:titlePg/>
          <w:docGrid w:linePitch="360"/>
        </w:sectPr>
      </w:pPr>
    </w:p>
    <w:p w14:paraId="21BFABD1" w14:textId="5E3C1D6F" w:rsidR="0057465B" w:rsidRPr="0057465B" w:rsidRDefault="00637DF8" w:rsidP="0057465B">
      <w:bookmarkStart w:id="115" w:name="_Ref146633866"/>
      <w:r>
        <w:rPr>
          <w:noProof/>
        </w:rPr>
        <w:lastRenderedPageBreak/>
        <mc:AlternateContent>
          <mc:Choice Requires="wpg">
            <w:drawing>
              <wp:anchor distT="0" distB="0" distL="114300" distR="114300" simplePos="0" relativeHeight="251660337" behindDoc="0" locked="0" layoutInCell="1" allowOverlap="1" wp14:anchorId="43420FA7" wp14:editId="4DF3F52A">
                <wp:simplePos x="0" y="0"/>
                <wp:positionH relativeFrom="column">
                  <wp:posOffset>-6322</wp:posOffset>
                </wp:positionH>
                <wp:positionV relativeFrom="paragraph">
                  <wp:posOffset>38928</wp:posOffset>
                </wp:positionV>
                <wp:extent cx="8946515" cy="5038725"/>
                <wp:effectExtent l="57150" t="38100" r="64135" b="104775"/>
                <wp:wrapNone/>
                <wp:docPr id="1793174436" name="Group 1" descr="Flowchart showing inputs for deriving Nutrient Reference Values (NRVs). Tools and resources (systematic reviews, databases, local and regional factors) inform data collection from a range of sources including nutrient status, health outcomes, bioavailability, body size and dietary patterns. These data inputs feed into several methods that are utilised for NRV derivation. "/>
                <wp:cNvGraphicFramePr/>
                <a:graphic xmlns:a="http://schemas.openxmlformats.org/drawingml/2006/main">
                  <a:graphicData uri="http://schemas.microsoft.com/office/word/2010/wordprocessingGroup">
                    <wpg:wgp>
                      <wpg:cNvGrpSpPr/>
                      <wpg:grpSpPr>
                        <a:xfrm>
                          <a:off x="0" y="0"/>
                          <a:ext cx="8946515" cy="5038725"/>
                          <a:chOff x="0" y="0"/>
                          <a:chExt cx="8946515" cy="5038725"/>
                        </a:xfrm>
                      </wpg:grpSpPr>
                      <wpg:grpSp>
                        <wpg:cNvPr id="511645503" name="Group 49"/>
                        <wpg:cNvGrpSpPr>
                          <a:grpSpLocks/>
                        </wpg:cNvGrpSpPr>
                        <wpg:grpSpPr>
                          <a:xfrm>
                            <a:off x="0" y="0"/>
                            <a:ext cx="8946515" cy="5038725"/>
                            <a:chOff x="0" y="0"/>
                            <a:chExt cx="6990737" cy="3362634"/>
                          </a:xfrm>
                        </wpg:grpSpPr>
                        <wps:wsp>
                          <wps:cNvPr id="68500123" name="Rounded Rectangle 6"/>
                          <wps:cNvSpPr/>
                          <wps:spPr>
                            <a:xfrm>
                              <a:off x="0" y="14524"/>
                              <a:ext cx="1258835" cy="452043"/>
                            </a:xfrm>
                            <a:prstGeom prst="roundRect">
                              <a:avLst/>
                            </a:prstGeom>
                            <a:solidFill>
                              <a:schemeClr val="bg1"/>
                            </a:solidFill>
                            <a:ln>
                              <a:solidFill>
                                <a:schemeClr val="accent1">
                                  <a:lumMod val="50000"/>
                                </a:schemeClr>
                              </a:solidFill>
                            </a:ln>
                          </wps:spPr>
                          <wps:style>
                            <a:lnRef idx="1">
                              <a:schemeClr val="accent3"/>
                            </a:lnRef>
                            <a:fillRef idx="2">
                              <a:schemeClr val="accent3"/>
                            </a:fillRef>
                            <a:effectRef idx="1">
                              <a:schemeClr val="accent3"/>
                            </a:effectRef>
                            <a:fontRef idx="minor">
                              <a:schemeClr val="dk1"/>
                            </a:fontRef>
                          </wps:style>
                          <wps:txbx>
                            <w:txbxContent>
                              <w:p w14:paraId="780E8F95" w14:textId="77777777" w:rsidR="0057465B" w:rsidRDefault="0057465B" w:rsidP="0057465B">
                                <w:pPr>
                                  <w:spacing w:after="120" w:line="256" w:lineRule="auto"/>
                                  <w:jc w:val="center"/>
                                  <w:rPr>
                                    <w:rFonts w:asciiTheme="minorHAnsi" w:eastAsia="Calibri" w:hAnsi="Arial"/>
                                    <w:b/>
                                    <w:bCs/>
                                    <w:color w:val="000000" w:themeColor="dark1"/>
                                    <w:kern w:val="24"/>
                                    <w:sz w:val="21"/>
                                    <w:szCs w:val="21"/>
                                    <w:lang w:val="en-US"/>
                                  </w:rPr>
                                </w:pPr>
                                <w:r>
                                  <w:rPr>
                                    <w:rFonts w:asciiTheme="minorHAnsi" w:eastAsia="Calibri" w:hAnsi="Arial"/>
                                    <w:b/>
                                    <w:bCs/>
                                    <w:color w:val="000000" w:themeColor="dark1"/>
                                    <w:kern w:val="24"/>
                                    <w:sz w:val="21"/>
                                    <w:szCs w:val="21"/>
                                    <w:lang w:val="en-US"/>
                                  </w:rPr>
                                  <w:t>Tools/Resources</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914367987" name="Rounded Rectangle 7"/>
                          <wps:cNvSpPr/>
                          <wps:spPr>
                            <a:xfrm>
                              <a:off x="1542089" y="0"/>
                              <a:ext cx="1152502" cy="452043"/>
                            </a:xfrm>
                            <a:prstGeom prst="roundRect">
                              <a:avLst/>
                            </a:prstGeom>
                            <a:solidFill>
                              <a:schemeClr val="bg1"/>
                            </a:solidFill>
                          </wps:spPr>
                          <wps:style>
                            <a:lnRef idx="1">
                              <a:schemeClr val="accent3"/>
                            </a:lnRef>
                            <a:fillRef idx="2">
                              <a:schemeClr val="accent3"/>
                            </a:fillRef>
                            <a:effectRef idx="1">
                              <a:schemeClr val="accent3"/>
                            </a:effectRef>
                            <a:fontRef idx="minor">
                              <a:schemeClr val="dk1"/>
                            </a:fontRef>
                          </wps:style>
                          <wps:txbx>
                            <w:txbxContent>
                              <w:p w14:paraId="68E41F93" w14:textId="77777777" w:rsidR="0057465B" w:rsidRDefault="0057465B" w:rsidP="0057465B">
                                <w:pPr>
                                  <w:spacing w:after="120" w:line="256" w:lineRule="auto"/>
                                  <w:jc w:val="center"/>
                                  <w:rPr>
                                    <w:rFonts w:asciiTheme="minorHAnsi" w:eastAsia="Calibri" w:hAnsi="Arial"/>
                                    <w:b/>
                                    <w:bCs/>
                                    <w:color w:val="000000" w:themeColor="dark1"/>
                                    <w:kern w:val="24"/>
                                    <w:sz w:val="21"/>
                                    <w:szCs w:val="21"/>
                                    <w:lang w:val="en-US"/>
                                  </w:rPr>
                                </w:pPr>
                                <w:r>
                                  <w:rPr>
                                    <w:rFonts w:asciiTheme="minorHAnsi" w:eastAsia="Calibri" w:hAnsi="Arial"/>
                                    <w:b/>
                                    <w:bCs/>
                                    <w:color w:val="000000" w:themeColor="dark1"/>
                                    <w:kern w:val="24"/>
                                    <w:sz w:val="21"/>
                                    <w:szCs w:val="21"/>
                                    <w:lang w:val="en-US"/>
                                  </w:rPr>
                                  <w:t>Data</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50050157" name="Rounded Rectangle 8"/>
                          <wps:cNvSpPr/>
                          <wps:spPr>
                            <a:xfrm>
                              <a:off x="2977843" y="14524"/>
                              <a:ext cx="1430527" cy="452043"/>
                            </a:xfrm>
                            <a:prstGeom prst="roundRect">
                              <a:avLst/>
                            </a:prstGeom>
                            <a:solidFill>
                              <a:schemeClr val="bg1"/>
                            </a:solidFill>
                          </wps:spPr>
                          <wps:style>
                            <a:lnRef idx="1">
                              <a:schemeClr val="accent3"/>
                            </a:lnRef>
                            <a:fillRef idx="2">
                              <a:schemeClr val="accent3"/>
                            </a:fillRef>
                            <a:effectRef idx="1">
                              <a:schemeClr val="accent3"/>
                            </a:effectRef>
                            <a:fontRef idx="minor">
                              <a:schemeClr val="dk1"/>
                            </a:fontRef>
                          </wps:style>
                          <wps:txbx>
                            <w:txbxContent>
                              <w:p w14:paraId="0BCB08D4" w14:textId="77777777" w:rsidR="0057465B" w:rsidRDefault="0057465B" w:rsidP="0057465B">
                                <w:pPr>
                                  <w:spacing w:after="120" w:line="256" w:lineRule="auto"/>
                                  <w:jc w:val="center"/>
                                  <w:rPr>
                                    <w:rFonts w:asciiTheme="minorHAnsi" w:eastAsia="Calibri" w:hAnsi="Arial"/>
                                    <w:b/>
                                    <w:bCs/>
                                    <w:color w:val="000000" w:themeColor="dark1"/>
                                    <w:kern w:val="24"/>
                                    <w:sz w:val="21"/>
                                    <w:szCs w:val="21"/>
                                    <w:lang w:val="en-US"/>
                                  </w:rPr>
                                </w:pPr>
                                <w:r>
                                  <w:rPr>
                                    <w:rFonts w:asciiTheme="minorHAnsi" w:eastAsia="Calibri" w:hAnsi="Arial"/>
                                    <w:b/>
                                    <w:bCs/>
                                    <w:color w:val="000000" w:themeColor="dark1"/>
                                    <w:kern w:val="24"/>
                                    <w:sz w:val="21"/>
                                    <w:szCs w:val="21"/>
                                    <w:lang w:val="en-US"/>
                                  </w:rPr>
                                  <w:t>Approach/Methods</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60988114" name="Rounded Rectangle 9"/>
                          <wps:cNvSpPr/>
                          <wps:spPr>
                            <a:xfrm>
                              <a:off x="4607075" y="31235"/>
                              <a:ext cx="1152502" cy="452043"/>
                            </a:xfrm>
                            <a:prstGeom prst="roundRect">
                              <a:avLst/>
                            </a:prstGeom>
                            <a:solidFill>
                              <a:schemeClr val="bg1"/>
                            </a:solidFill>
                          </wps:spPr>
                          <wps:style>
                            <a:lnRef idx="1">
                              <a:schemeClr val="accent3"/>
                            </a:lnRef>
                            <a:fillRef idx="2">
                              <a:schemeClr val="accent3"/>
                            </a:fillRef>
                            <a:effectRef idx="1">
                              <a:schemeClr val="accent3"/>
                            </a:effectRef>
                            <a:fontRef idx="minor">
                              <a:schemeClr val="dk1"/>
                            </a:fontRef>
                          </wps:style>
                          <wps:txbx>
                            <w:txbxContent>
                              <w:p w14:paraId="32A23C5F" w14:textId="77777777" w:rsidR="0057465B" w:rsidRDefault="0057465B" w:rsidP="0057465B">
                                <w:pPr>
                                  <w:spacing w:after="120" w:line="256" w:lineRule="auto"/>
                                  <w:jc w:val="center"/>
                                  <w:rPr>
                                    <w:rFonts w:asciiTheme="minorHAnsi" w:eastAsia="Calibri" w:hAnsi="Arial"/>
                                    <w:b/>
                                    <w:bCs/>
                                    <w:color w:val="000000" w:themeColor="dark1"/>
                                    <w:kern w:val="24"/>
                                    <w:sz w:val="21"/>
                                    <w:szCs w:val="21"/>
                                    <w:lang w:val="en-US"/>
                                  </w:rPr>
                                </w:pPr>
                                <w:r>
                                  <w:rPr>
                                    <w:rFonts w:asciiTheme="minorHAnsi" w:eastAsia="Calibri" w:hAnsi="Arial"/>
                                    <w:b/>
                                    <w:bCs/>
                                    <w:color w:val="000000" w:themeColor="dark1"/>
                                    <w:kern w:val="24"/>
                                    <w:sz w:val="21"/>
                                    <w:szCs w:val="21"/>
                                    <w:lang w:val="en-US"/>
                                  </w:rPr>
                                  <w:t>Key Reference Values</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900274950" name="Rounded Rectangle 10"/>
                          <wps:cNvSpPr/>
                          <wps:spPr>
                            <a:xfrm>
                              <a:off x="2" y="683843"/>
                              <a:ext cx="1152502" cy="452043"/>
                            </a:xfrm>
                            <a:prstGeom prst="roundRect">
                              <a:avLst/>
                            </a:prstGeom>
                            <a:solidFill>
                              <a:schemeClr val="accent1">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416FF012"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Systematic reviews</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2706669" name="Rounded Rectangle 11"/>
                          <wps:cNvSpPr/>
                          <wps:spPr>
                            <a:xfrm>
                              <a:off x="2" y="1353162"/>
                              <a:ext cx="1152502" cy="452043"/>
                            </a:xfrm>
                            <a:prstGeom prst="roundRect">
                              <a:avLst/>
                            </a:prstGeom>
                            <a:solidFill>
                              <a:schemeClr val="accent1">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536BC91C"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Databases</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204887832" name="Rounded Rectangle 12"/>
                          <wps:cNvSpPr/>
                          <wps:spPr>
                            <a:xfrm>
                              <a:off x="2" y="2547128"/>
                              <a:ext cx="1152502" cy="452043"/>
                            </a:xfrm>
                            <a:prstGeom prst="roundRect">
                              <a:avLst/>
                            </a:prstGeom>
                            <a:solidFill>
                              <a:schemeClr val="accent1">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00FE3DEC"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 xml:space="preserve">Local and regional factors </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2006588507" name="Rounded Rectangle 13"/>
                          <wps:cNvSpPr/>
                          <wps:spPr>
                            <a:xfrm>
                              <a:off x="1564778" y="610049"/>
                              <a:ext cx="1210676" cy="1087160"/>
                            </a:xfrm>
                            <a:prstGeom prst="roundRect">
                              <a:avLst/>
                            </a:prstGeom>
                            <a:solidFill>
                              <a:schemeClr val="accent6">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1C36759A"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Nutrient status</w:t>
                                </w:r>
                              </w:p>
                              <w:p w14:paraId="704A5DF6"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Health outcomes</w:t>
                                </w:r>
                              </w:p>
                              <w:p w14:paraId="700393B9"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Physiological requirement</w:t>
                                </w:r>
                              </w:p>
                              <w:p w14:paraId="54471146"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 xml:space="preserve">Bioavailability </w:t>
                                </w:r>
                              </w:p>
                              <w:p w14:paraId="456E8804"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Health factors (e.g., infection)</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404214473" name="Rounded Rectangle 14"/>
                          <wps:cNvSpPr/>
                          <wps:spPr>
                            <a:xfrm>
                              <a:off x="1593867" y="2421859"/>
                              <a:ext cx="1152502" cy="940775"/>
                            </a:xfrm>
                            <a:prstGeom prst="roundRect">
                              <a:avLst/>
                            </a:prstGeom>
                            <a:solidFill>
                              <a:schemeClr val="accent6">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037D0696"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Body size</w:t>
                                </w:r>
                              </w:p>
                              <w:p w14:paraId="6E726315"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 xml:space="preserve">Dietary patterns </w:t>
                                </w:r>
                              </w:p>
                              <w:p w14:paraId="35501E7B"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 xml:space="preserve">Nutrient intakes </w:t>
                                </w:r>
                              </w:p>
                              <w:p w14:paraId="5DAE2647"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Biomarkers</w:t>
                                </w:r>
                              </w:p>
                              <w:p w14:paraId="7CFF6A93"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Risk of chronic disease</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239853017" name="Rounded Rectangle 15"/>
                          <wps:cNvSpPr/>
                          <wps:spPr>
                            <a:xfrm>
                              <a:off x="3071383" y="569766"/>
                              <a:ext cx="1152502" cy="452043"/>
                            </a:xfrm>
                            <a:prstGeom prst="roundRect">
                              <a:avLst/>
                            </a:prstGeom>
                            <a:solidFill>
                              <a:srgbClr val="92D050"/>
                            </a:solidFill>
                          </wps:spPr>
                          <wps:style>
                            <a:lnRef idx="1">
                              <a:schemeClr val="accent3"/>
                            </a:lnRef>
                            <a:fillRef idx="2">
                              <a:schemeClr val="accent3"/>
                            </a:fillRef>
                            <a:effectRef idx="1">
                              <a:schemeClr val="accent3"/>
                            </a:effectRef>
                            <a:fontRef idx="minor">
                              <a:schemeClr val="dk1"/>
                            </a:fontRef>
                          </wps:style>
                          <wps:txbx>
                            <w:txbxContent>
                              <w:p w14:paraId="74945DFC"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Dose−response modeling</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474234279" name="Rounded Rectangle 16"/>
                          <wps:cNvSpPr/>
                          <wps:spPr>
                            <a:xfrm>
                              <a:off x="3090226" y="1290780"/>
                              <a:ext cx="1152502" cy="452043"/>
                            </a:xfrm>
                            <a:prstGeom prst="roundRect">
                              <a:avLst/>
                            </a:prstGeom>
                            <a:solidFill>
                              <a:srgbClr val="92D050"/>
                            </a:solidFill>
                          </wps:spPr>
                          <wps:style>
                            <a:lnRef idx="1">
                              <a:schemeClr val="accent3"/>
                            </a:lnRef>
                            <a:fillRef idx="2">
                              <a:schemeClr val="accent3"/>
                            </a:fillRef>
                            <a:effectRef idx="1">
                              <a:schemeClr val="accent3"/>
                            </a:effectRef>
                            <a:fontRef idx="minor">
                              <a:schemeClr val="dk1"/>
                            </a:fontRef>
                          </wps:style>
                          <wps:txbx>
                            <w:txbxContent>
                              <w:p w14:paraId="7933F92F"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Factorial approach</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185369201" name="Rounded Rectangle 17"/>
                          <wps:cNvSpPr/>
                          <wps:spPr>
                            <a:xfrm>
                              <a:off x="3085601" y="2486371"/>
                              <a:ext cx="1152502" cy="452043"/>
                            </a:xfrm>
                            <a:prstGeom prst="roundRect">
                              <a:avLst/>
                            </a:prstGeom>
                            <a:solidFill>
                              <a:srgbClr val="92D050"/>
                            </a:solidFill>
                          </wps:spPr>
                          <wps:style>
                            <a:lnRef idx="1">
                              <a:schemeClr val="accent3"/>
                            </a:lnRef>
                            <a:fillRef idx="2">
                              <a:schemeClr val="accent3"/>
                            </a:fillRef>
                            <a:effectRef idx="1">
                              <a:schemeClr val="accent3"/>
                            </a:effectRef>
                            <a:fontRef idx="minor">
                              <a:schemeClr val="dk1"/>
                            </a:fontRef>
                          </wps:style>
                          <wps:txbx>
                            <w:txbxContent>
                              <w:p w14:paraId="3A0F7C44"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Risk assessment</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123779544" name="Rounded Rectangle 18"/>
                          <wps:cNvSpPr/>
                          <wps:spPr>
                            <a:xfrm>
                              <a:off x="4607075" y="2467302"/>
                              <a:ext cx="1231161" cy="452043"/>
                            </a:xfrm>
                            <a:prstGeom prst="roundRect">
                              <a:avLst/>
                            </a:prstGeom>
                            <a:solidFill>
                              <a:srgbClr val="FF66FF"/>
                            </a:solidFill>
                          </wps:spPr>
                          <wps:style>
                            <a:lnRef idx="1">
                              <a:schemeClr val="accent3"/>
                            </a:lnRef>
                            <a:fillRef idx="2">
                              <a:schemeClr val="accent3"/>
                            </a:fillRef>
                            <a:effectRef idx="1">
                              <a:schemeClr val="accent3"/>
                            </a:effectRef>
                            <a:fontRef idx="minor">
                              <a:schemeClr val="dk1"/>
                            </a:fontRef>
                          </wps:style>
                          <wps:txbx>
                            <w:txbxContent>
                              <w:p w14:paraId="65495455" w14:textId="77777777" w:rsidR="0057465B" w:rsidRDefault="0057465B" w:rsidP="0057465B">
                                <w:pPr>
                                  <w:spacing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Tolerable upper level</w:t>
                                </w:r>
                              </w:p>
                              <w:p w14:paraId="49352AC1"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(UL)</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033587139" name="Rounded Rectangle 19"/>
                          <wps:cNvSpPr/>
                          <wps:spPr>
                            <a:xfrm>
                              <a:off x="4607075" y="901119"/>
                              <a:ext cx="1152502" cy="452043"/>
                            </a:xfrm>
                            <a:prstGeom prst="roundRect">
                              <a:avLst/>
                            </a:prstGeom>
                            <a:solidFill>
                              <a:srgbClr val="FF66FF"/>
                            </a:solidFill>
                          </wps:spPr>
                          <wps:style>
                            <a:lnRef idx="1">
                              <a:schemeClr val="accent3"/>
                            </a:lnRef>
                            <a:fillRef idx="2">
                              <a:schemeClr val="accent3"/>
                            </a:fillRef>
                            <a:effectRef idx="1">
                              <a:schemeClr val="accent3"/>
                            </a:effectRef>
                            <a:fontRef idx="minor">
                              <a:schemeClr val="dk1"/>
                            </a:fontRef>
                          </wps:style>
                          <wps:txbx>
                            <w:txbxContent>
                              <w:p w14:paraId="3B64E3F2" w14:textId="77777777" w:rsidR="0057465B" w:rsidRDefault="0057465B" w:rsidP="0057465B">
                                <w:pPr>
                                  <w:spacing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Average requirement</w:t>
                                </w:r>
                              </w:p>
                              <w:p w14:paraId="28898C96"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(EAR)</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820316573" name="Rounded Rectangle 20"/>
                          <wps:cNvSpPr/>
                          <wps:spPr>
                            <a:xfrm>
                              <a:off x="5838235" y="1379917"/>
                              <a:ext cx="1152502" cy="452043"/>
                            </a:xfrm>
                            <a:prstGeom prst="roundRect">
                              <a:avLst/>
                            </a:prstGeom>
                            <a:solidFill>
                              <a:srgbClr val="FF66FF"/>
                            </a:solidFill>
                          </wps:spPr>
                          <wps:style>
                            <a:lnRef idx="1">
                              <a:schemeClr val="accent3"/>
                            </a:lnRef>
                            <a:fillRef idx="2">
                              <a:schemeClr val="accent3"/>
                            </a:fillRef>
                            <a:effectRef idx="1">
                              <a:schemeClr val="accent3"/>
                            </a:effectRef>
                            <a:fontRef idx="minor">
                              <a:schemeClr val="dk1"/>
                            </a:fontRef>
                          </wps:style>
                          <wps:txbx>
                            <w:txbxContent>
                              <w:p w14:paraId="09B0BF55" w14:textId="77777777" w:rsidR="0057465B" w:rsidRDefault="0057465B" w:rsidP="0057465B">
                                <w:pPr>
                                  <w:spacing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Recommended intake</w:t>
                                </w:r>
                              </w:p>
                              <w:p w14:paraId="5CA8C544"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(RDA)</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466175556" name="Left Brace 1017556988"/>
                          <wps:cNvSpPr/>
                          <wps:spPr>
                            <a:xfrm>
                              <a:off x="1331721" y="649872"/>
                              <a:ext cx="233056" cy="1645279"/>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942577541" name="Left Brace 942305982"/>
                          <wps:cNvSpPr/>
                          <wps:spPr>
                            <a:xfrm>
                              <a:off x="1320633" y="2460945"/>
                              <a:ext cx="221456" cy="901689"/>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1658179284" name="Straight Arrow Connector 639827181"/>
                          <wps:cNvCnPr/>
                          <wps:spPr>
                            <a:xfrm>
                              <a:off x="4216776" y="795787"/>
                              <a:ext cx="383190" cy="33135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7146075" name="Straight Arrow Connector 1517100685"/>
                          <wps:cNvCnPr/>
                          <wps:spPr>
                            <a:xfrm flipV="1">
                              <a:off x="4223884" y="1153630"/>
                              <a:ext cx="383190" cy="2347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7760685" name="Straight Arrow Connector 6675145"/>
                          <wps:cNvCnPr/>
                          <wps:spPr>
                            <a:xfrm>
                              <a:off x="5759577" y="1127141"/>
                              <a:ext cx="654909" cy="2527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3211927" name="Right Brace 221865187"/>
                          <wps:cNvSpPr/>
                          <wps:spPr>
                            <a:xfrm>
                              <a:off x="2705682" y="631085"/>
                              <a:ext cx="464560" cy="2712762"/>
                            </a:xfrm>
                            <a:prstGeom prst="rightBrace">
                              <a:avLst/>
                            </a:prstGeom>
                          </wps:spPr>
                          <wps:style>
                            <a:lnRef idx="1">
                              <a:schemeClr val="dk1"/>
                            </a:lnRef>
                            <a:fillRef idx="0">
                              <a:schemeClr val="dk1"/>
                            </a:fillRef>
                            <a:effectRef idx="0">
                              <a:schemeClr val="dk1"/>
                            </a:effectRef>
                            <a:fontRef idx="minor">
                              <a:schemeClr val="tx1"/>
                            </a:fontRef>
                          </wps:style>
                          <wps:bodyPr rtlCol="0" anchor="ctr"/>
                        </wps:wsp>
                      </wpg:grpSp>
                      <wps:wsp>
                        <wps:cNvPr id="1935721101" name="Rounded Rectangle 16"/>
                        <wps:cNvSpPr/>
                        <wps:spPr>
                          <a:xfrm>
                            <a:off x="3959749" y="2759103"/>
                            <a:ext cx="1474470" cy="676910"/>
                          </a:xfrm>
                          <a:prstGeom prst="roundRect">
                            <a:avLst/>
                          </a:prstGeom>
                          <a:solidFill>
                            <a:srgbClr val="92D050"/>
                          </a:solidFill>
                          <a:ln w="9525" cap="flat" cmpd="sng" algn="ctr">
                            <a:solidFill>
                              <a:srgbClr val="A0D1CB">
                                <a:shade val="95000"/>
                                <a:satMod val="105000"/>
                              </a:srgbClr>
                            </a:solidFill>
                            <a:prstDash val="solid"/>
                          </a:ln>
                          <a:effectLst>
                            <a:outerShdw blurRad="40000" dist="20000" dir="5400000" rotWithShape="0">
                              <a:srgbClr val="000000">
                                <a:alpha val="38000"/>
                              </a:srgbClr>
                            </a:outerShdw>
                          </a:effectLst>
                        </wps:spPr>
                        <wps:txbx>
                          <w:txbxContent>
                            <w:p w14:paraId="08C5386D" w14:textId="345AC2BD" w:rsidR="007710EB" w:rsidRDefault="004C11EB" w:rsidP="007710E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Mean intake of heathy population</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963173807" name="Rounded Rectangle 18"/>
                        <wps:cNvSpPr/>
                        <wps:spPr>
                          <a:xfrm>
                            <a:off x="5891916" y="2759103"/>
                            <a:ext cx="1575435" cy="676910"/>
                          </a:xfrm>
                          <a:prstGeom prst="roundRect">
                            <a:avLst/>
                          </a:prstGeom>
                          <a:solidFill>
                            <a:srgbClr val="FF66FF"/>
                          </a:solidFill>
                          <a:ln w="9525" cap="flat" cmpd="sng" algn="ctr">
                            <a:solidFill>
                              <a:srgbClr val="A0D1CB">
                                <a:shade val="95000"/>
                                <a:satMod val="105000"/>
                              </a:srgbClr>
                            </a:solidFill>
                            <a:prstDash val="solid"/>
                          </a:ln>
                          <a:effectLst>
                            <a:outerShdw blurRad="40000" dist="20000" dir="5400000" rotWithShape="0">
                              <a:srgbClr val="000000">
                                <a:alpha val="38000"/>
                              </a:srgbClr>
                            </a:outerShdw>
                          </a:effectLst>
                        </wps:spPr>
                        <wps:txbx>
                          <w:txbxContent>
                            <w:p w14:paraId="76D92D21" w14:textId="77777777" w:rsidR="00615F3F" w:rsidRDefault="004C11EB" w:rsidP="0029237A">
                              <w:pPr>
                                <w:spacing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 xml:space="preserve">Adequate </w:t>
                              </w:r>
                              <w:r w:rsidR="0029237A">
                                <w:rPr>
                                  <w:rFonts w:asciiTheme="minorHAnsi" w:eastAsia="Calibri" w:hAnsi="Arial"/>
                                  <w:color w:val="000000" w:themeColor="dark1"/>
                                  <w:kern w:val="24"/>
                                  <w:sz w:val="18"/>
                                  <w:lang w:val="en-US"/>
                                </w:rPr>
                                <w:t xml:space="preserve">intake </w:t>
                              </w:r>
                            </w:p>
                            <w:p w14:paraId="62C4E718" w14:textId="4CDDDFA2" w:rsidR="004C11EB" w:rsidRDefault="0029237A" w:rsidP="0029237A">
                              <w:pPr>
                                <w:spacing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(AI)</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1018616823" name="Rounded Rectangle 13" descr="Flowchart showing inputs for deriving Nutrient Reference Values (NRVs). Tools and resources (systematic reviews, databases, local and regional factors) inform data collection from a range of sources including nutrient status, health outcomes, bioavailability, body size and dietary patterns. These data inputs feed into several methods that are utilised for NRV derivation. "/>
                        <wps:cNvSpPr/>
                        <wps:spPr>
                          <a:xfrm>
                            <a:off x="2043485" y="2782957"/>
                            <a:ext cx="1549383" cy="617449"/>
                          </a:xfrm>
                          <a:prstGeom prst="roundRect">
                            <a:avLst/>
                          </a:prstGeom>
                          <a:solidFill>
                            <a:schemeClr val="accent6">
                              <a:lumMod val="60000"/>
                              <a:lumOff val="40000"/>
                            </a:schemeClr>
                          </a:solidFill>
                        </wps:spPr>
                        <wps:style>
                          <a:lnRef idx="1">
                            <a:schemeClr val="accent3"/>
                          </a:lnRef>
                          <a:fillRef idx="2">
                            <a:schemeClr val="accent3"/>
                          </a:fillRef>
                          <a:effectRef idx="1">
                            <a:schemeClr val="accent3"/>
                          </a:effectRef>
                          <a:fontRef idx="minor">
                            <a:schemeClr val="dk1"/>
                          </a:fontRef>
                        </wps:style>
                        <wps:txbx>
                          <w:txbxContent>
                            <w:p w14:paraId="3301CCC8" w14:textId="121A2354" w:rsidR="005F760A" w:rsidDel="00801B0C" w:rsidRDefault="00B02616" w:rsidP="005F760A">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Nutrient intakes</w:t>
                              </w:r>
                            </w:p>
                            <w:p w14:paraId="4FC647C4" w14:textId="3ECF185F" w:rsidR="005F760A" w:rsidRDefault="0048779F" w:rsidP="00801B0C">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Health outcomes</w:t>
                              </w:r>
                            </w:p>
                          </w:txbxContent>
                        </wps:txbx>
                        <wps:bodyPr rot="0" spcFirstLastPara="0" vert="horz" wrap="square" lIns="68580" tIns="34290" rIns="68580" bIns="34290" numCol="1" spcCol="0" rtlCol="0" fromWordArt="0" anchor="ctr" anchorCtr="0" forceAA="0" compatLnSpc="1">
                          <a:prstTxWarp prst="textNoShape">
                            <a:avLst/>
                          </a:prstTxWarp>
                          <a:noAutofit/>
                        </wps:bodyPr>
                      </wps:wsp>
                      <wps:wsp>
                        <wps:cNvPr id="847922428" name="Straight Arrow Connector 1"/>
                        <wps:cNvCnPr>
                          <a:cxnSpLocks/>
                        </wps:cNvCnPr>
                        <wps:spPr>
                          <a:xfrm flipV="1">
                            <a:off x="5413347" y="4072725"/>
                            <a:ext cx="472198" cy="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3420FA7" id="Group 1" o:spid="_x0000_s1026" alt="Flowchart showing inputs for deriving Nutrient Reference Values (NRVs). Tools and resources (systematic reviews, databases, local and regional factors) inform data collection from a range of sources including nutrient status, health outcomes, bioavailability, body size and dietary patterns. These data inputs feed into several methods that are utilised for NRV derivation. " style="position:absolute;margin-left:-.5pt;margin-top:3.05pt;width:704.45pt;height:396.75pt;z-index:251660337" coordsize="89465,50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">
                <v:group id="Group 49" o:spid="_x0000_s1027" style="position:absolute;width:89465;height:50387" coordsize="69907,33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">
                  <v:roundrect id="Rounded Rectangle 6" o:spid="_x0000_s1028" style="position:absolute;top:145;width:12588;height:4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" fillcolor="white [3212]" strokecolor="#246682 [1604]">
                    <v:shadow on="t" color="black" opacity="24903f" origin=",.5" offset="0,.55556mm"/>
                    <v:textbox inset="5.4pt,2.7pt,5.4pt,2.7pt">
                      <w:txbxContent>
                        <w:p w14:paraId="780E8F95" w14:textId="77777777" w:rsidR="0057465B" w:rsidRDefault="0057465B" w:rsidP="0057465B">
                          <w:pPr>
                            <w:spacing w:after="120" w:line="256" w:lineRule="auto"/>
                            <w:jc w:val="center"/>
                            <w:rPr>
                              <w:rFonts w:asciiTheme="minorHAnsi" w:eastAsia="Calibri" w:hAnsi="Arial"/>
                              <w:b/>
                              <w:bCs/>
                              <w:color w:val="000000" w:themeColor="dark1"/>
                              <w:kern w:val="24"/>
                              <w:sz w:val="21"/>
                              <w:szCs w:val="21"/>
                              <w:lang w:val="en-US"/>
                            </w:rPr>
                          </w:pPr>
                          <w:r>
                            <w:rPr>
                              <w:rFonts w:asciiTheme="minorHAnsi" w:eastAsia="Calibri" w:hAnsi="Arial"/>
                              <w:b/>
                              <w:bCs/>
                              <w:color w:val="000000" w:themeColor="dark1"/>
                              <w:kern w:val="24"/>
                              <w:sz w:val="21"/>
                              <w:szCs w:val="21"/>
                              <w:lang w:val="en-US"/>
                            </w:rPr>
                            <w:t>Tools/Resources</w:t>
                          </w:r>
                        </w:p>
                      </w:txbxContent>
                    </v:textbox>
                  </v:roundrect>
                  <v:roundrect id="Rounded Rectangle 7" o:spid="_x0000_s1029" style="position:absolute;left:15420;width:11525;height:4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" fillcolor="white [3212]" strokecolor="#93cac3 [3046]">
                    <v:shadow on="t" color="black" opacity="24903f" origin=",.5" offset="0,.55556mm"/>
                    <v:textbox inset="5.4pt,2.7pt,5.4pt,2.7pt">
                      <w:txbxContent>
                        <w:p w14:paraId="68E41F93" w14:textId="77777777" w:rsidR="0057465B" w:rsidRDefault="0057465B" w:rsidP="0057465B">
                          <w:pPr>
                            <w:spacing w:after="120" w:line="256" w:lineRule="auto"/>
                            <w:jc w:val="center"/>
                            <w:rPr>
                              <w:rFonts w:asciiTheme="minorHAnsi" w:eastAsia="Calibri" w:hAnsi="Arial"/>
                              <w:b/>
                              <w:bCs/>
                              <w:color w:val="000000" w:themeColor="dark1"/>
                              <w:kern w:val="24"/>
                              <w:sz w:val="21"/>
                              <w:szCs w:val="21"/>
                              <w:lang w:val="en-US"/>
                            </w:rPr>
                          </w:pPr>
                          <w:r>
                            <w:rPr>
                              <w:rFonts w:asciiTheme="minorHAnsi" w:eastAsia="Calibri" w:hAnsi="Arial"/>
                              <w:b/>
                              <w:bCs/>
                              <w:color w:val="000000" w:themeColor="dark1"/>
                              <w:kern w:val="24"/>
                              <w:sz w:val="21"/>
                              <w:szCs w:val="21"/>
                              <w:lang w:val="en-US"/>
                            </w:rPr>
                            <w:t>Data</w:t>
                          </w:r>
                        </w:p>
                      </w:txbxContent>
                    </v:textbox>
                  </v:roundrect>
                  <v:roundrect id="Rounded Rectangle 8" o:spid="_x0000_s1030" style="position:absolute;left:29778;top:145;width:14305;height:4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" fillcolor="white [3212]" strokecolor="#93cac3 [3046]">
                    <v:shadow on="t" color="black" opacity="24903f" origin=",.5" offset="0,.55556mm"/>
                    <v:textbox inset="5.4pt,2.7pt,5.4pt,2.7pt">
                      <w:txbxContent>
                        <w:p w14:paraId="0BCB08D4" w14:textId="77777777" w:rsidR="0057465B" w:rsidRDefault="0057465B" w:rsidP="0057465B">
                          <w:pPr>
                            <w:spacing w:after="120" w:line="256" w:lineRule="auto"/>
                            <w:jc w:val="center"/>
                            <w:rPr>
                              <w:rFonts w:asciiTheme="minorHAnsi" w:eastAsia="Calibri" w:hAnsi="Arial"/>
                              <w:b/>
                              <w:bCs/>
                              <w:color w:val="000000" w:themeColor="dark1"/>
                              <w:kern w:val="24"/>
                              <w:sz w:val="21"/>
                              <w:szCs w:val="21"/>
                              <w:lang w:val="en-US"/>
                            </w:rPr>
                          </w:pPr>
                          <w:r>
                            <w:rPr>
                              <w:rFonts w:asciiTheme="minorHAnsi" w:eastAsia="Calibri" w:hAnsi="Arial"/>
                              <w:b/>
                              <w:bCs/>
                              <w:color w:val="000000" w:themeColor="dark1"/>
                              <w:kern w:val="24"/>
                              <w:sz w:val="21"/>
                              <w:szCs w:val="21"/>
                              <w:lang w:val="en-US"/>
                            </w:rPr>
                            <w:t>Approach/Methods</w:t>
                          </w:r>
                        </w:p>
                      </w:txbxContent>
                    </v:textbox>
                  </v:roundrect>
                  <v:roundrect id="Rounded Rectangle 9" o:spid="_x0000_s1031" style="position:absolute;left:46070;top:312;width:11525;height:4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" fillcolor="white [3212]" strokecolor="#93cac3 [3046]">
                    <v:shadow on="t" color="black" opacity="24903f" origin=",.5" offset="0,.55556mm"/>
                    <v:textbox inset="5.4pt,2.7pt,5.4pt,2.7pt">
                      <w:txbxContent>
                        <w:p w14:paraId="32A23C5F" w14:textId="77777777" w:rsidR="0057465B" w:rsidRDefault="0057465B" w:rsidP="0057465B">
                          <w:pPr>
                            <w:spacing w:after="120" w:line="256" w:lineRule="auto"/>
                            <w:jc w:val="center"/>
                            <w:rPr>
                              <w:rFonts w:asciiTheme="minorHAnsi" w:eastAsia="Calibri" w:hAnsi="Arial"/>
                              <w:b/>
                              <w:bCs/>
                              <w:color w:val="000000" w:themeColor="dark1"/>
                              <w:kern w:val="24"/>
                              <w:sz w:val="21"/>
                              <w:szCs w:val="21"/>
                              <w:lang w:val="en-US"/>
                            </w:rPr>
                          </w:pPr>
                          <w:r>
                            <w:rPr>
                              <w:rFonts w:asciiTheme="minorHAnsi" w:eastAsia="Calibri" w:hAnsi="Arial"/>
                              <w:b/>
                              <w:bCs/>
                              <w:color w:val="000000" w:themeColor="dark1"/>
                              <w:kern w:val="24"/>
                              <w:sz w:val="21"/>
                              <w:szCs w:val="21"/>
                              <w:lang w:val="en-US"/>
                            </w:rPr>
                            <w:t>Key Reference Values</w:t>
                          </w:r>
                        </w:p>
                      </w:txbxContent>
                    </v:textbox>
                  </v:roundrect>
                  <v:roundrect id="Rounded Rectangle 10" o:spid="_x0000_s1032" style="position:absolute;top:6838;width:11525;height:4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" fillcolor="#add6e8 [1940]" strokecolor="#93cac3 [3046]">
                    <v:shadow on="t" color="black" opacity="24903f" origin=",.5" offset="0,.55556mm"/>
                    <v:textbox inset="5.4pt,2.7pt,5.4pt,2.7pt">
                      <w:txbxContent>
                        <w:p w14:paraId="416FF012"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Systematic reviews</w:t>
                          </w:r>
                        </w:p>
                      </w:txbxContent>
                    </v:textbox>
                  </v:roundrect>
                  <v:roundrect id="Rounded Rectangle 11" o:spid="_x0000_s1033" style="position:absolute;top:13531;width:11525;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" fillcolor="#add6e8 [1940]" strokecolor="#93cac3 [3046]">
                    <v:shadow on="t" color="black" opacity="24903f" origin=",.5" offset="0,.55556mm"/>
                    <v:textbox inset="5.4pt,2.7pt,5.4pt,2.7pt">
                      <w:txbxContent>
                        <w:p w14:paraId="536BC91C"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Databases</w:t>
                          </w:r>
                        </w:p>
                      </w:txbxContent>
                    </v:textbox>
                  </v:roundrect>
                  <v:roundrect id="Rounded Rectangle 12" o:spid="_x0000_s1034" style="position:absolute;top:25471;width:11525;height:4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" fillcolor="#add6e8 [1940]" strokecolor="#93cac3 [3046]">
                    <v:shadow on="t" color="black" opacity="24903f" origin=",.5" offset="0,.55556mm"/>
                    <v:textbox inset="5.4pt,2.7pt,5.4pt,2.7pt">
                      <w:txbxContent>
                        <w:p w14:paraId="00FE3DEC"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 xml:space="preserve">Local and regional factors </w:t>
                          </w:r>
                        </w:p>
                      </w:txbxContent>
                    </v:textbox>
                  </v:roundrect>
                  <v:roundrect id="Rounded Rectangle 13" o:spid="_x0000_s1035" style="position:absolute;left:15647;top:6100;width:12107;height:108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" fillcolor="#00caf1 [1945]" strokecolor="#93cac3 [3046]">
                    <v:shadow on="t" color="black" opacity="24903f" origin=",.5" offset="0,.55556mm"/>
                    <v:textbox inset="5.4pt,2.7pt,5.4pt,2.7pt">
                      <w:txbxContent>
                        <w:p w14:paraId="1C36759A"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Nutrient status</w:t>
                          </w:r>
                        </w:p>
                        <w:p w14:paraId="704A5DF6"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Health outcomes</w:t>
                          </w:r>
                        </w:p>
                        <w:p w14:paraId="700393B9"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Physiological requirement</w:t>
                          </w:r>
                        </w:p>
                        <w:p w14:paraId="54471146"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 xml:space="preserve">Bioavailability </w:t>
                          </w:r>
                        </w:p>
                        <w:p w14:paraId="456E8804"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Health factors (e.g., infection)</w:t>
                          </w:r>
                        </w:p>
                      </w:txbxContent>
                    </v:textbox>
                  </v:roundrect>
                  <v:roundrect id="Rounded Rectangle 14" o:spid="_x0000_s1036" style="position:absolute;left:15938;top:24218;width:11525;height:94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" fillcolor="#00caf1 [1945]" strokecolor="#93cac3 [3046]">
                    <v:shadow on="t" color="black" opacity="24903f" origin=",.5" offset="0,.55556mm"/>
                    <v:textbox inset="5.4pt,2.7pt,5.4pt,2.7pt">
                      <w:txbxContent>
                        <w:p w14:paraId="037D0696"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Body size</w:t>
                          </w:r>
                        </w:p>
                        <w:p w14:paraId="6E726315"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 xml:space="preserve">Dietary patterns </w:t>
                          </w:r>
                        </w:p>
                        <w:p w14:paraId="35501E7B"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 xml:space="preserve">Nutrient intakes </w:t>
                          </w:r>
                        </w:p>
                        <w:p w14:paraId="5DAE2647"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Biomarkers</w:t>
                          </w:r>
                        </w:p>
                        <w:p w14:paraId="7CFF6A93" w14:textId="77777777" w:rsidR="0057465B" w:rsidRDefault="0057465B" w:rsidP="0057465B">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Risk of chronic disease</w:t>
                          </w:r>
                        </w:p>
                      </w:txbxContent>
                    </v:textbox>
                  </v:roundrect>
                  <v:roundrect id="Rounded Rectangle 15" o:spid="_x0000_s1037" style="position:absolute;left:30713;top:5697;width:11525;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" fillcolor="#92d050" strokecolor="#93cac3 [3046]">
                    <v:shadow on="t" color="black" opacity="24903f" origin=",.5" offset="0,.55556mm"/>
                    <v:textbox inset="5.4pt,2.7pt,5.4pt,2.7pt">
                      <w:txbxContent>
                        <w:p w14:paraId="74945DFC"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Dose−response modeling</w:t>
                          </w:r>
                        </w:p>
                      </w:txbxContent>
                    </v:textbox>
                  </v:roundrect>
                  <v:roundrect id="Rounded Rectangle 16" o:spid="_x0000_s1038" style="position:absolute;left:30902;top:12907;width:11525;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" fillcolor="#92d050" strokecolor="#93cac3 [3046]">
                    <v:shadow on="t" color="black" opacity="24903f" origin=",.5" offset="0,.55556mm"/>
                    <v:textbox inset="5.4pt,2.7pt,5.4pt,2.7pt">
                      <w:txbxContent>
                        <w:p w14:paraId="7933F92F"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Factorial approach</w:t>
                          </w:r>
                        </w:p>
                      </w:txbxContent>
                    </v:textbox>
                  </v:roundrect>
                  <v:roundrect id="Rounded Rectangle 17" o:spid="_x0000_s1039" style="position:absolute;left:30856;top:24863;width:11525;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" fillcolor="#92d050" strokecolor="#93cac3 [3046]">
                    <v:shadow on="t" color="black" opacity="24903f" origin=",.5" offset="0,.55556mm"/>
                    <v:textbox inset="5.4pt,2.7pt,5.4pt,2.7pt">
                      <w:txbxContent>
                        <w:p w14:paraId="3A0F7C44"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Risk assessment</w:t>
                          </w:r>
                        </w:p>
                      </w:txbxContent>
                    </v:textbox>
                  </v:roundrect>
                  <v:roundrect id="Rounded Rectangle 18" o:spid="_x0000_s1040" style="position:absolute;left:46070;top:24673;width:12312;height:4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" fillcolor="#f6f" strokecolor="#93cac3 [3046]">
                    <v:shadow on="t" color="black" opacity="24903f" origin=",.5" offset="0,.55556mm"/>
                    <v:textbox inset="5.4pt,2.7pt,5.4pt,2.7pt">
                      <w:txbxContent>
                        <w:p w14:paraId="65495455" w14:textId="77777777" w:rsidR="0057465B" w:rsidRDefault="0057465B" w:rsidP="0057465B">
                          <w:pPr>
                            <w:spacing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Tolerable upper level</w:t>
                          </w:r>
                        </w:p>
                        <w:p w14:paraId="49352AC1"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(UL)</w:t>
                          </w:r>
                        </w:p>
                      </w:txbxContent>
                    </v:textbox>
                  </v:roundrect>
                  <v:roundrect id="Rounded Rectangle 19" o:spid="_x0000_s1041" style="position:absolute;left:46070;top:9011;width:11525;height:4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" fillcolor="#f6f" strokecolor="#93cac3 [3046]">
                    <v:shadow on="t" color="black" opacity="24903f" origin=",.5" offset="0,.55556mm"/>
                    <v:textbox inset="5.4pt,2.7pt,5.4pt,2.7pt">
                      <w:txbxContent>
                        <w:p w14:paraId="3B64E3F2" w14:textId="77777777" w:rsidR="0057465B" w:rsidRDefault="0057465B" w:rsidP="0057465B">
                          <w:pPr>
                            <w:spacing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Average requirement</w:t>
                          </w:r>
                        </w:p>
                        <w:p w14:paraId="28898C96"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(EAR)</w:t>
                          </w:r>
                        </w:p>
                      </w:txbxContent>
                    </v:textbox>
                  </v:roundrect>
                  <v:roundrect id="Rounded Rectangle 20" o:spid="_x0000_s1042" style="position:absolute;left:58382;top:13799;width:11525;height:4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" fillcolor="#f6f" strokecolor="#93cac3 [3046]">
                    <v:shadow on="t" color="black" opacity="24903f" origin=",.5" offset="0,.55556mm"/>
                    <v:textbox inset="5.4pt,2.7pt,5.4pt,2.7pt">
                      <w:txbxContent>
                        <w:p w14:paraId="09B0BF55" w14:textId="77777777" w:rsidR="0057465B" w:rsidRDefault="0057465B" w:rsidP="0057465B">
                          <w:pPr>
                            <w:spacing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Recommended intake</w:t>
                          </w:r>
                        </w:p>
                        <w:p w14:paraId="5CA8C544" w14:textId="77777777" w:rsidR="0057465B" w:rsidRDefault="0057465B" w:rsidP="0057465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(RDA)</w:t>
                          </w:r>
                        </w:p>
                      </w:txbxContent>
                    </v:textbox>
                  </v:round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17556988" o:spid="_x0000_s1043" type="#_x0000_t87" style="position:absolute;left:13317;top:6498;width:2330;height:164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" adj="255" strokecolor="black [3213]"/>
                  <v:shape id="Left Brace 942305982" o:spid="_x0000_s1044" type="#_x0000_t87" style="position:absolute;left:13206;top:24609;width:2214;height:9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" adj="442" strokecolor="black [3213]"/>
                  <v:shapetype id="_x0000_t32" coordsize="21600,21600" o:spt="32" o:oned="t" path="m,l21600,21600e" filled="f">
                    <v:path arrowok="t" fillok="f" o:connecttype="none"/>
                    <o:lock v:ext="edit" shapetype="t"/>
                  </v:shapetype>
                  <v:shape id="Straight Arrow Connector 639827181" o:spid="_x0000_s1045" type="#_x0000_t32" style="position:absolute;left:42167;top:7957;width:3832;height:33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" strokecolor="black [3213]">
                    <v:stroke endarrow="block"/>
                  </v:shape>
                  <v:shape id="Straight Arrow Connector 1517100685" o:spid="_x0000_s1046" type="#_x0000_t32" style="position:absolute;left:42238;top:11536;width:3832;height:23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" strokecolor="black [3213]">
                    <v:stroke endarrow="block"/>
                  </v:shape>
                  <v:shape id="Straight Arrow Connector 6675145" o:spid="_x0000_s1047" type="#_x0000_t32" style="position:absolute;left:57595;top:11271;width:6549;height:25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" strokecolor="black [3213]">
                    <v:stroke endarrow="block"/>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21865187" o:spid="_x0000_s1048" type="#_x0000_t88" style="position:absolute;left:27056;top:6310;width:4646;height:27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" adj="308" strokecolor="black [3040]"/>
                </v:group>
                <v:roundrect id="Rounded Rectangle 16" o:spid="_x0000_s1049" style="position:absolute;left:39597;top:27591;width:14745;height:6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" fillcolor="#92d050" strokecolor="#9bcdc7">
                  <v:shadow on="t" color="black" opacity="24903f" origin=",.5" offset="0,.55556mm"/>
                  <v:textbox inset="5.4pt,2.7pt,5.4pt,2.7pt">
                    <w:txbxContent>
                      <w:p w14:paraId="08C5386D" w14:textId="345AC2BD" w:rsidR="007710EB" w:rsidRDefault="004C11EB" w:rsidP="007710EB">
                        <w:pPr>
                          <w:spacing w:after="12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Mean intake of heathy population</w:t>
                        </w:r>
                      </w:p>
                    </w:txbxContent>
                  </v:textbox>
                </v:roundrect>
                <v:roundrect id="Rounded Rectangle 18" o:spid="_x0000_s1050" style="position:absolute;left:58919;top:27591;width:15754;height:6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" fillcolor="#f6f" strokecolor="#9bcdc7">
                  <v:shadow on="t" color="black" opacity="24903f" origin=",.5" offset="0,.55556mm"/>
                  <v:textbox inset="5.4pt,2.7pt,5.4pt,2.7pt">
                    <w:txbxContent>
                      <w:p w14:paraId="76D92D21" w14:textId="77777777" w:rsidR="00615F3F" w:rsidRDefault="004C11EB" w:rsidP="0029237A">
                        <w:pPr>
                          <w:spacing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 xml:space="preserve">Adequate </w:t>
                        </w:r>
                        <w:r w:rsidR="0029237A">
                          <w:rPr>
                            <w:rFonts w:asciiTheme="minorHAnsi" w:eastAsia="Calibri" w:hAnsi="Arial"/>
                            <w:color w:val="000000" w:themeColor="dark1"/>
                            <w:kern w:val="24"/>
                            <w:sz w:val="18"/>
                            <w:lang w:val="en-US"/>
                          </w:rPr>
                          <w:t xml:space="preserve">intake </w:t>
                        </w:r>
                      </w:p>
                      <w:p w14:paraId="62C4E718" w14:textId="4CDDDFA2" w:rsidR="004C11EB" w:rsidRDefault="0029237A" w:rsidP="0029237A">
                        <w:pPr>
                          <w:spacing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(AI)</w:t>
                        </w:r>
                      </w:p>
                    </w:txbxContent>
                  </v:textbox>
                </v:roundrect>
                <v:roundrect id="Rounded Rectangle 13" o:spid="_x0000_s1051" alt="Flowchart showing inputs for deriving Nutrient Reference Values (NRVs). Tools and resources (systematic reviews, databases, local and regional factors) inform data collection from a range of sources including nutrient status, health outcomes, bioavailability, body size and dietary patterns. These data inputs feed into several methods that are utilised for NRV derivation. " style="position:absolute;left:20434;top:27829;width:15494;height:61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" fillcolor="#00caf1 [1945]" strokecolor="#93cac3 [3046]">
                  <v:shadow on="t" color="black" opacity="24903f" origin=",.5" offset="0,.55556mm"/>
                  <v:textbox inset="5.4pt,2.7pt,5.4pt,2.7pt">
                    <w:txbxContent>
                      <w:p w14:paraId="3301CCC8" w14:textId="121A2354" w:rsidR="005F760A" w:rsidDel="00801B0C" w:rsidRDefault="00B02616" w:rsidP="005F760A">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Nutrient intakes</w:t>
                        </w:r>
                      </w:p>
                      <w:p w14:paraId="4FC647C4" w14:textId="3ECF185F" w:rsidR="005F760A" w:rsidRDefault="0048779F" w:rsidP="00801B0C">
                        <w:pPr>
                          <w:spacing w:after="90" w:line="256" w:lineRule="auto"/>
                          <w:jc w:val="center"/>
                          <w:rPr>
                            <w:rFonts w:asciiTheme="minorHAnsi" w:eastAsia="Calibri" w:hAnsi="Arial"/>
                            <w:color w:val="000000" w:themeColor="dark1"/>
                            <w:kern w:val="24"/>
                            <w:sz w:val="18"/>
                            <w:lang w:val="en-US"/>
                          </w:rPr>
                        </w:pPr>
                        <w:r>
                          <w:rPr>
                            <w:rFonts w:asciiTheme="minorHAnsi" w:eastAsia="Calibri" w:hAnsi="Arial"/>
                            <w:color w:val="000000" w:themeColor="dark1"/>
                            <w:kern w:val="24"/>
                            <w:sz w:val="18"/>
                            <w:lang w:val="en-US"/>
                          </w:rPr>
                          <w:t>Health outcomes</w:t>
                        </w:r>
                      </w:p>
                    </w:txbxContent>
                  </v:textbox>
                </v:roundrect>
                <v:shape id="Straight Arrow Connector 1" o:spid="_x0000_s1052" type="#_x0000_t32" style="position:absolute;left:54133;top:40727;width:472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" strokecolor="black [3213]">
                  <v:stroke endarrow="block"/>
                  <o:lock v:ext="edit" shapetype="f"/>
                </v:shape>
              </v:group>
            </w:pict>
          </mc:Fallback>
        </mc:AlternateContent>
      </w:r>
      <w:r w:rsidR="000F2BE5">
        <w:rPr>
          <w:noProof/>
        </w:rPr>
        <mc:AlternateContent>
          <mc:Choice Requires="wps">
            <w:drawing>
              <wp:anchor distT="0" distB="0" distL="114300" distR="114300" simplePos="0" relativeHeight="251657265" behindDoc="0" locked="0" layoutInCell="1" allowOverlap="1" wp14:anchorId="62A2FD9F" wp14:editId="7C7A8593">
                <wp:simplePos x="0" y="0"/>
                <wp:positionH relativeFrom="column">
                  <wp:posOffset>5420610</wp:posOffset>
                </wp:positionH>
                <wp:positionV relativeFrom="paragraph">
                  <wp:posOffset>3162300</wp:posOffset>
                </wp:positionV>
                <wp:extent cx="472198" cy="1"/>
                <wp:effectExtent l="0" t="0" r="0" b="0"/>
                <wp:wrapNone/>
                <wp:docPr id="44202700"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2198" cy="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074DCC" id="Straight Arrow Connector 1" o:spid="_x0000_s1026" type="#_x0000_t32" alt="&quot;&quot;" style="position:absolute;margin-left:426.8pt;margin-top:249pt;width:37.2pt;height:0;flip:y;z-index:2516572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" strokecolor="black [3213]">
                <v:stroke endarrow="block"/>
                <o:lock v:ext="edit" shapetype="f"/>
              </v:shape>
            </w:pict>
          </mc:Fallback>
        </mc:AlternateContent>
      </w:r>
      <w:bookmarkEnd w:id="115"/>
    </w:p>
    <w:p w14:paraId="69CDB386" w14:textId="156ED1D7" w:rsidR="0032047A" w:rsidRDefault="0032047A" w:rsidP="008D0E91">
      <w:pPr>
        <w:pStyle w:val="FigureTitle"/>
        <w:numPr>
          <w:ilvl w:val="0"/>
          <w:numId w:val="0"/>
        </w:numPr>
        <w:spacing w:before="0"/>
        <w:jc w:val="both"/>
      </w:pPr>
    </w:p>
    <w:p w14:paraId="59413C63" w14:textId="49A0482E" w:rsidR="00DB636E" w:rsidRPr="00DB636E" w:rsidRDefault="00DB636E" w:rsidP="00DB636E"/>
    <w:p w14:paraId="15199895" w14:textId="4C8C9433" w:rsidR="00DB636E" w:rsidRPr="00DB636E" w:rsidRDefault="00DB636E" w:rsidP="00DB636E"/>
    <w:p w14:paraId="0BFAE3A9" w14:textId="5F4EDB92" w:rsidR="00DB636E" w:rsidRPr="00DB636E" w:rsidRDefault="00DB636E" w:rsidP="00DB636E"/>
    <w:p w14:paraId="1B78858F" w14:textId="6BED04ED" w:rsidR="00DB636E" w:rsidRPr="00DB636E" w:rsidRDefault="00DB636E" w:rsidP="00DB636E"/>
    <w:p w14:paraId="4D8B3928" w14:textId="62003B91" w:rsidR="00DB636E" w:rsidRPr="00DB636E" w:rsidRDefault="00DB636E" w:rsidP="00DB636E"/>
    <w:p w14:paraId="7287633A" w14:textId="0F427AD2" w:rsidR="00DB636E" w:rsidRPr="00DB636E" w:rsidRDefault="00DB636E" w:rsidP="00DB636E"/>
    <w:p w14:paraId="685A4EE6" w14:textId="33162501" w:rsidR="00DB636E" w:rsidRPr="00DB636E" w:rsidRDefault="00DB636E" w:rsidP="00DB636E"/>
    <w:p w14:paraId="4F81ABD6" w14:textId="3B3EF4AE" w:rsidR="00DB636E" w:rsidRPr="00DB636E" w:rsidRDefault="00DB636E" w:rsidP="00DB636E"/>
    <w:p w14:paraId="6111970F" w14:textId="3CD3807E" w:rsidR="00DB636E" w:rsidRPr="00DB636E" w:rsidRDefault="00DB636E" w:rsidP="00DB636E"/>
    <w:p w14:paraId="0D65E096" w14:textId="6997B663" w:rsidR="00DB636E" w:rsidRPr="00DB636E" w:rsidRDefault="00DB636E" w:rsidP="00DB636E"/>
    <w:p w14:paraId="0DB615BB" w14:textId="52D6A8F9" w:rsidR="00DB636E" w:rsidRPr="00DB636E" w:rsidRDefault="00DB636E" w:rsidP="00DB636E"/>
    <w:p w14:paraId="6205F21B" w14:textId="6D0932B8" w:rsidR="00DB636E" w:rsidRPr="00DB636E" w:rsidRDefault="00DB636E" w:rsidP="00DB636E"/>
    <w:p w14:paraId="5E113D25" w14:textId="1B9FED8F" w:rsidR="00DB636E" w:rsidRPr="00DB636E" w:rsidRDefault="00DB636E" w:rsidP="00DB636E"/>
    <w:p w14:paraId="43C6784B" w14:textId="2A0709E1" w:rsidR="00DB636E" w:rsidRPr="00DB636E" w:rsidRDefault="00DB636E" w:rsidP="00DB636E"/>
    <w:p w14:paraId="4DB798DE" w14:textId="5209A8A6" w:rsidR="00DB636E" w:rsidRPr="00DB636E" w:rsidRDefault="00DB636E" w:rsidP="00DB636E"/>
    <w:p w14:paraId="4CFA7C57" w14:textId="11BE589B" w:rsidR="00DB636E" w:rsidRPr="00DB636E" w:rsidRDefault="00DB636E" w:rsidP="00DB636E"/>
    <w:p w14:paraId="2BF34B29" w14:textId="1C5D8870" w:rsidR="00DB636E" w:rsidRPr="00DB636E" w:rsidRDefault="00DB636E" w:rsidP="00DB636E"/>
    <w:p w14:paraId="535F9E10" w14:textId="77777777" w:rsidR="00DB636E" w:rsidRPr="00DB636E" w:rsidRDefault="00DB636E" w:rsidP="00DB636E"/>
    <w:p w14:paraId="2152D9E5" w14:textId="77777777" w:rsidR="00DB636E" w:rsidRPr="00DB636E" w:rsidRDefault="00DB636E" w:rsidP="00DB636E"/>
    <w:p w14:paraId="335D1B94" w14:textId="5D92F2FB" w:rsidR="00DB636E" w:rsidRDefault="00DB636E" w:rsidP="00DB636E">
      <w:pPr>
        <w:pStyle w:val="Caption"/>
        <w:spacing w:after="120"/>
      </w:pPr>
      <w:r>
        <w:tab/>
      </w:r>
      <w:bookmarkStart w:id="116" w:name="_Ref197343855"/>
      <w:r>
        <w:t xml:space="preserve">Figure </w:t>
      </w:r>
      <w:r>
        <w:fldChar w:fldCharType="begin"/>
      </w:r>
      <w:r>
        <w:instrText xml:space="preserve"> STYLEREF 1 \s </w:instrText>
      </w:r>
      <w:r>
        <w:fldChar w:fldCharType="separate"/>
      </w:r>
      <w:r>
        <w:rPr>
          <w:noProof/>
        </w:rPr>
        <w:t>4</w:t>
      </w:r>
      <w:r>
        <w:rPr>
          <w:noProof/>
        </w:rPr>
        <w:fldChar w:fldCharType="end"/>
      </w:r>
      <w:r>
        <w:t>.</w:t>
      </w:r>
      <w:r>
        <w:fldChar w:fldCharType="begin"/>
      </w:r>
      <w:r>
        <w:instrText xml:space="preserve"> SEQ Figure \* ARABIC \s 1 </w:instrText>
      </w:r>
      <w:r>
        <w:fldChar w:fldCharType="separate"/>
      </w:r>
      <w:r>
        <w:rPr>
          <w:noProof/>
        </w:rPr>
        <w:t>1</w:t>
      </w:r>
      <w:r>
        <w:rPr>
          <w:noProof/>
        </w:rPr>
        <w:fldChar w:fldCharType="end"/>
      </w:r>
      <w:bookmarkEnd w:id="116"/>
      <w:r>
        <w:t xml:space="preserve"> Specific inputs and their relationships to derive NRVs</w:t>
      </w:r>
    </w:p>
    <w:p w14:paraId="58D6804B" w14:textId="17EFFFED" w:rsidR="00DB636E" w:rsidRPr="00DB636E" w:rsidRDefault="00DB636E" w:rsidP="00DB636E">
      <w:pPr>
        <w:pStyle w:val="Caption"/>
        <w:spacing w:after="0"/>
        <w:rPr>
          <w:i/>
          <w:iCs w:val="0"/>
          <w:sz w:val="16"/>
          <w:szCs w:val="16"/>
        </w:rPr>
      </w:pPr>
      <w:r w:rsidRPr="0037518F">
        <w:rPr>
          <w:rFonts w:ascii="Gotham Book" w:hAnsi="Gotham Book"/>
          <w:i/>
          <w:iCs w:val="0"/>
          <w:sz w:val="16"/>
          <w:szCs w:val="16"/>
        </w:rPr>
        <w:t xml:space="preserve">adapted with permission from </w:t>
      </w:r>
      <w:r w:rsidRPr="0037518F">
        <w:rPr>
          <w:rFonts w:ascii="Gotham Book" w:hAnsi="Gotham Book"/>
          <w:i/>
          <w:iCs w:val="0"/>
          <w:sz w:val="16"/>
          <w:szCs w:val="16"/>
        </w:rPr>
        <w:fldChar w:fldCharType="begin"/>
      </w:r>
      <w:r>
        <w:rPr>
          <w:rFonts w:ascii="Gotham Book" w:hAnsi="Gotham Book"/>
          <w:i/>
          <w:iCs w:val="0"/>
          <w:sz w:val="16"/>
          <w:szCs w:val="16"/>
        </w:rPr>
        <w:instrText xml:space="preserve"> ADDIN EN.CITE &lt;EndNote&gt;&lt;Cite AuthorYear="1"&gt;&lt;Author&gt;Yaktine&lt;/Author&gt;&lt;Year&gt;2020&lt;/Year&gt;&lt;RecNum&gt;5&lt;/RecNum&gt;&lt;DisplayText&gt;Yaktine et al. (2020)&lt;/DisplayText&gt;&lt;record&gt;&lt;rec-number&gt;5&lt;/rec-number&gt;&lt;foreign-keys&gt;&lt;key app="EN" db-id="zxfaevvrgpsxebez5ec5vspfe2av5dtxt9xx" timestamp="1754957675"&gt;5&lt;/key&gt;&lt;/foreign-keys&gt;&lt;ref-type name="Journal Article"&gt;17&lt;/ref-type&gt;&lt;contributors&gt;&lt;authors&gt;&lt;author&gt;Yaktine, Ann L&lt;/author&gt;&lt;author&gt;King, Janet C&lt;/author&gt;&lt;author&gt;Allen, Lindsay H&lt;/author&gt;&lt;/authors&gt;&lt;/contributors&gt;&lt;titles&gt;&lt;title&gt;Why the derivation of nutrient reference values should be harmonized and how it can be accomplished&lt;/title&gt;&lt;secondary-title&gt;Advances in Nutrition&lt;/secondary-title&gt;&lt;/titles&gt;&lt;periodical&gt;&lt;full-title&gt;Advances in Nutrition&lt;/full-title&gt;&lt;/periodical&gt;&lt;pages&gt;1102-1107&lt;/pages&gt;&lt;volume&gt;11&lt;/volume&gt;&lt;number&gt;5&lt;/number&gt;&lt;dates&gt;&lt;year&gt;2020&lt;/year&gt;&lt;/dates&gt;&lt;isbn&gt;2161-8313&lt;/isbn&gt;&lt;urls&gt;&lt;/urls&gt;&lt;electronic-resource-num&gt;10.1093/advances/nmaa048&lt;/electronic-resource-num&gt;&lt;/record&gt;&lt;/Cite&gt;&lt;/EndNote&gt;</w:instrText>
      </w:r>
      <w:r w:rsidRPr="0037518F">
        <w:rPr>
          <w:rFonts w:ascii="Gotham Book" w:hAnsi="Gotham Book"/>
          <w:i/>
          <w:iCs w:val="0"/>
          <w:sz w:val="16"/>
          <w:szCs w:val="16"/>
        </w:rPr>
        <w:fldChar w:fldCharType="separate"/>
      </w:r>
      <w:r w:rsidRPr="0037518F">
        <w:rPr>
          <w:rFonts w:ascii="Gotham Book" w:hAnsi="Gotham Book"/>
          <w:i/>
          <w:iCs w:val="0"/>
          <w:noProof/>
          <w:sz w:val="16"/>
          <w:szCs w:val="16"/>
        </w:rPr>
        <w:t>Yaktine et al. (2020)</w:t>
      </w:r>
      <w:r w:rsidRPr="0037518F">
        <w:rPr>
          <w:rFonts w:ascii="Gotham Book" w:hAnsi="Gotham Book"/>
          <w:i/>
          <w:iCs w:val="0"/>
          <w:sz w:val="16"/>
          <w:szCs w:val="16"/>
        </w:rPr>
        <w:fldChar w:fldCharType="end"/>
      </w:r>
    </w:p>
    <w:p w14:paraId="6674D6CD" w14:textId="54E367FA" w:rsidR="00DB636E" w:rsidRPr="00DB636E" w:rsidRDefault="00DB636E" w:rsidP="00DB636E">
      <w:pPr>
        <w:tabs>
          <w:tab w:val="left" w:pos="469"/>
        </w:tabs>
        <w:sectPr w:rsidR="00DB636E" w:rsidRPr="00DB636E" w:rsidSect="00E30AB1">
          <w:headerReference w:type="even" r:id="rId50"/>
          <w:headerReference w:type="default" r:id="rId51"/>
          <w:headerReference w:type="first" r:id="rId52"/>
          <w:footerReference w:type="first" r:id="rId53"/>
          <w:pgSz w:w="16838" w:h="11906" w:orient="landscape" w:code="9"/>
          <w:pgMar w:top="284" w:right="1814" w:bottom="1134" w:left="1565" w:header="510" w:footer="510" w:gutter="0"/>
          <w:cols w:space="708"/>
          <w:titlePg/>
          <w:docGrid w:linePitch="360"/>
        </w:sectPr>
      </w:pPr>
    </w:p>
    <w:p w14:paraId="7F428F34" w14:textId="407AEC48" w:rsidR="0008708E" w:rsidRDefault="00982C17" w:rsidP="003E2E95">
      <w:pPr>
        <w:pStyle w:val="Heading30"/>
      </w:pPr>
      <w:bookmarkStart w:id="117" w:name="_Toc153967124"/>
      <w:bookmarkStart w:id="118" w:name="_Toc207801065"/>
      <w:bookmarkStart w:id="119" w:name="_Toc207824542"/>
      <w:bookmarkStart w:id="120" w:name="_Ref146633831"/>
      <w:r w:rsidRPr="00D061A9">
        <w:lastRenderedPageBreak/>
        <w:t>Identify</w:t>
      </w:r>
      <w:r w:rsidR="00A600B1">
        <w:t>ing</w:t>
      </w:r>
      <w:r w:rsidRPr="00D061A9">
        <w:t xml:space="preserve"> evidence requirements to derive NRVs</w:t>
      </w:r>
      <w:bookmarkEnd w:id="117"/>
      <w:bookmarkEnd w:id="118"/>
      <w:bookmarkEnd w:id="119"/>
    </w:p>
    <w:p w14:paraId="2F4E729D" w14:textId="3333AF0E" w:rsidR="00781BE0" w:rsidRDefault="00BC065A" w:rsidP="00F218EA">
      <w:r>
        <w:t xml:space="preserve">NRVs can be calculated using </w:t>
      </w:r>
      <w:r w:rsidR="001C2028">
        <w:t>several different approaches</w:t>
      </w:r>
      <w:r w:rsidR="00607738">
        <w:t xml:space="preserve"> </w:t>
      </w:r>
      <w:r w:rsidR="00156BB7">
        <w:t>(</w:t>
      </w:r>
      <w:r w:rsidR="00156BB7" w:rsidRPr="00D061A9">
        <w:t xml:space="preserve">see </w:t>
      </w:r>
      <w:r w:rsidR="00097BA0">
        <w:fldChar w:fldCharType="begin"/>
      </w:r>
      <w:r w:rsidR="00097BA0">
        <w:instrText xml:space="preserve"> REF _Ref197506367 \r \h </w:instrText>
      </w:r>
      <w:r w:rsidR="00097BA0">
        <w:fldChar w:fldCharType="separate"/>
      </w:r>
      <w:r w:rsidR="00783DC4">
        <w:t>Chapter 6</w:t>
      </w:r>
      <w:r w:rsidR="00097BA0">
        <w:fldChar w:fldCharType="end"/>
      </w:r>
      <w:r w:rsidR="00156BB7">
        <w:t>)</w:t>
      </w:r>
      <w:r w:rsidR="00A76597">
        <w:t xml:space="preserve">, </w:t>
      </w:r>
      <w:r w:rsidR="00002B8D">
        <w:t xml:space="preserve">each </w:t>
      </w:r>
      <w:r w:rsidR="00C8345B">
        <w:t xml:space="preserve">based on different data sources, including </w:t>
      </w:r>
      <w:r w:rsidR="00A76597" w:rsidDel="00C8345B">
        <w:t xml:space="preserve">data </w:t>
      </w:r>
      <w:r w:rsidR="00FE3B8E">
        <w:t>on</w:t>
      </w:r>
      <w:r w:rsidR="00156BB7" w:rsidDel="00F218EA">
        <w:t xml:space="preserve"> </w:t>
      </w:r>
      <w:r w:rsidR="00156BB7">
        <w:t>intake-status-health</w:t>
      </w:r>
      <w:r w:rsidR="00FE3B8E">
        <w:t xml:space="preserve"> relationships</w:t>
      </w:r>
      <w:r w:rsidR="00156BB7">
        <w:t xml:space="preserve"> (dose-response approach, risk assessment)</w:t>
      </w:r>
      <w:r w:rsidR="009105AE">
        <w:t xml:space="preserve">, </w:t>
      </w:r>
      <w:r w:rsidR="00156BB7">
        <w:t>physiological requirements (factorial approach)</w:t>
      </w:r>
      <w:r w:rsidR="009105AE">
        <w:t xml:space="preserve">, and </w:t>
      </w:r>
      <w:r w:rsidR="00156BB7">
        <w:t>bioavailability (factorial approach)</w:t>
      </w:r>
      <w:r w:rsidR="009105AE">
        <w:t>.</w:t>
      </w:r>
      <w:r w:rsidR="00067CCB" w:rsidRPr="00067CCB">
        <w:t xml:space="preserve"> </w:t>
      </w:r>
      <w:r w:rsidR="00067CCB">
        <w:t xml:space="preserve">The </w:t>
      </w:r>
      <w:r w:rsidR="00E45FE9">
        <w:t>methods used</w:t>
      </w:r>
      <w:r w:rsidR="00067CCB">
        <w:t xml:space="preserve"> to </w:t>
      </w:r>
      <w:r w:rsidR="00E45FE9">
        <w:t>derive</w:t>
      </w:r>
      <w:r w:rsidR="00067CCB">
        <w:t xml:space="preserve"> an NRV </w:t>
      </w:r>
      <w:r w:rsidR="00E45FE9">
        <w:t>are</w:t>
      </w:r>
      <w:r w:rsidR="00067CCB">
        <w:t xml:space="preserve"> determined by the availability of relevant data</w:t>
      </w:r>
      <w:r w:rsidR="00E45FE9">
        <w:t xml:space="preserve"> for each approach</w:t>
      </w:r>
      <w:r w:rsidR="00067CCB">
        <w:t>.</w:t>
      </w:r>
    </w:p>
    <w:p w14:paraId="2AC5EBE7" w14:textId="7CD660A5" w:rsidR="00EA6D74" w:rsidRDefault="00781BE0" w:rsidP="00F218EA">
      <w:r>
        <w:t xml:space="preserve">Ideally, </w:t>
      </w:r>
      <w:r w:rsidR="0044060F">
        <w:t xml:space="preserve">all the above </w:t>
      </w:r>
      <w:r>
        <w:t xml:space="preserve">data </w:t>
      </w:r>
      <w:r w:rsidR="00F0787E">
        <w:t xml:space="preserve">would be available to support calculation of </w:t>
      </w:r>
      <w:r w:rsidR="005E7009">
        <w:t>several values to be compared</w:t>
      </w:r>
      <w:r w:rsidR="00BB0BAB">
        <w:t>,</w:t>
      </w:r>
      <w:r w:rsidR="005E7009">
        <w:t xml:space="preserve"> to arrive at a final draft NRV.</w:t>
      </w:r>
      <w:r w:rsidR="0044060F" w:rsidDel="002E0516">
        <w:t xml:space="preserve"> </w:t>
      </w:r>
      <w:r w:rsidR="0044060F">
        <w:t xml:space="preserve">However, this is rarely the case in </w:t>
      </w:r>
      <w:r w:rsidR="00307781">
        <w:t>practice</w:t>
      </w:r>
      <w:r w:rsidR="0044060F">
        <w:t>, and r</w:t>
      </w:r>
      <w:r>
        <w:t xml:space="preserve">eviewers must identify </w:t>
      </w:r>
      <w:r w:rsidR="00780BEF">
        <w:t xml:space="preserve">the source of data that is most appropriate – </w:t>
      </w:r>
      <w:r w:rsidR="00B943FA">
        <w:t>and</w:t>
      </w:r>
      <w:r w:rsidR="00780BEF">
        <w:t xml:space="preserve"> most likely to be available – for the purposes of developing a</w:t>
      </w:r>
      <w:r w:rsidR="006A6D4F">
        <w:t xml:space="preserve"> specific</w:t>
      </w:r>
      <w:r w:rsidR="00780BEF">
        <w:t xml:space="preserve"> NRV</w:t>
      </w:r>
      <w:r w:rsidR="006A6D4F">
        <w:t xml:space="preserve"> or set of NRVs</w:t>
      </w:r>
      <w:r w:rsidR="00780BEF">
        <w:t xml:space="preserve">. </w:t>
      </w:r>
    </w:p>
    <w:p w14:paraId="588E50A3" w14:textId="102F4FC0" w:rsidR="00696605" w:rsidRDefault="002F7032" w:rsidP="00D709C0">
      <w:r>
        <w:t>R</w:t>
      </w:r>
      <w:r w:rsidDel="002A0A05">
        <w:t xml:space="preserve">esearch questions </w:t>
      </w:r>
      <w:r>
        <w:t>most likely to produce informative</w:t>
      </w:r>
      <w:r w:rsidDel="00D05827">
        <w:t xml:space="preserve"> evidence </w:t>
      </w:r>
      <w:r w:rsidR="00D709C0">
        <w:t xml:space="preserve">should be </w:t>
      </w:r>
      <w:r w:rsidR="005446E3">
        <w:t>prioritised</w:t>
      </w:r>
      <w:r w:rsidR="00D709C0">
        <w:t xml:space="preserve"> </w:t>
      </w:r>
      <w:r w:rsidR="00B943FA">
        <w:t xml:space="preserve">to support NRV derivation. </w:t>
      </w:r>
    </w:p>
    <w:p w14:paraId="19310CC8" w14:textId="6B95453E" w:rsidR="00D709C0" w:rsidRDefault="00D709C0" w:rsidP="00D709C0">
      <w:r>
        <w:t>Scoping steps may include:</w:t>
      </w:r>
    </w:p>
    <w:p w14:paraId="09C41B18" w14:textId="77777777" w:rsidR="00D709C0" w:rsidRDefault="00D709C0" w:rsidP="00211F4C">
      <w:pPr>
        <w:pStyle w:val="ListParagraph"/>
        <w:numPr>
          <w:ilvl w:val="0"/>
          <w:numId w:val="40"/>
        </w:numPr>
      </w:pPr>
      <w:r>
        <w:t>Reviewing evidence and findings from recent NRVs set by comparable international bodies</w:t>
      </w:r>
    </w:p>
    <w:p w14:paraId="4350114E" w14:textId="77777777" w:rsidR="00D709C0" w:rsidRDefault="00D709C0" w:rsidP="00211F4C">
      <w:pPr>
        <w:pStyle w:val="ListParagraph"/>
        <w:numPr>
          <w:ilvl w:val="0"/>
          <w:numId w:val="40"/>
        </w:numPr>
      </w:pPr>
      <w:r>
        <w:t>Reviewing recent high quality systematic reviews on the intake-status-health relationship/s of interest</w:t>
      </w:r>
    </w:p>
    <w:p w14:paraId="3760BCBD" w14:textId="616B10CE" w:rsidR="003850E0" w:rsidRDefault="003850E0" w:rsidP="00211F4C">
      <w:pPr>
        <w:pStyle w:val="ListParagraph"/>
        <w:numPr>
          <w:ilvl w:val="0"/>
          <w:numId w:val="40"/>
        </w:numPr>
      </w:pPr>
      <w:r>
        <w:t>Conducting a scoping review (depending on available resources)</w:t>
      </w:r>
    </w:p>
    <w:p w14:paraId="26F333E2" w14:textId="2836F162" w:rsidR="005805E9" w:rsidRDefault="00830884" w:rsidP="00211F4C">
      <w:pPr>
        <w:pStyle w:val="ListParagraph"/>
        <w:numPr>
          <w:ilvl w:val="0"/>
          <w:numId w:val="40"/>
        </w:numPr>
      </w:pPr>
      <w:r>
        <w:t xml:space="preserve">Considering sources of evidence for contextual factors </w:t>
      </w:r>
    </w:p>
    <w:p w14:paraId="71B4AFE7" w14:textId="77777777" w:rsidR="00D709C0" w:rsidRDefault="00D709C0" w:rsidP="00D709C0">
      <w:r>
        <w:t>Questions to consider include:</w:t>
      </w:r>
    </w:p>
    <w:p w14:paraId="41033C29" w14:textId="31495DD8" w:rsidR="006312AF" w:rsidRDefault="006312AF" w:rsidP="00211F4C">
      <w:pPr>
        <w:pStyle w:val="ListParagraph"/>
        <w:numPr>
          <w:ilvl w:val="0"/>
          <w:numId w:val="39"/>
        </w:numPr>
      </w:pPr>
      <w:r>
        <w:t>D</w:t>
      </w:r>
      <w:r w:rsidRPr="00830884">
        <w:t xml:space="preserve">oes the existing evidence support the current NRV (when available) or </w:t>
      </w:r>
      <w:r w:rsidR="00BB730F">
        <w:t xml:space="preserve">is there </w:t>
      </w:r>
      <w:r w:rsidRPr="00830884">
        <w:t xml:space="preserve">a need </w:t>
      </w:r>
      <w:r w:rsidR="00BB730F">
        <w:t>for revision?</w:t>
      </w:r>
    </w:p>
    <w:p w14:paraId="3BCD3791" w14:textId="256A4828" w:rsidR="00D709C0" w:rsidRDefault="00D709C0" w:rsidP="00211F4C">
      <w:pPr>
        <w:pStyle w:val="ListParagraph"/>
        <w:numPr>
          <w:ilvl w:val="0"/>
          <w:numId w:val="39"/>
        </w:numPr>
      </w:pPr>
      <w:r>
        <w:t xml:space="preserve">Does existing evidence </w:t>
      </w:r>
      <w:r w:rsidR="00830884">
        <w:t xml:space="preserve">indicate </w:t>
      </w:r>
      <w:r>
        <w:t xml:space="preserve">that </w:t>
      </w:r>
      <w:r w:rsidR="00414781">
        <w:t xml:space="preserve">data on the </w:t>
      </w:r>
      <w:r>
        <w:t>intake-status-health relationship can be used to calculate the NRV of interest? If not</w:t>
      </w:r>
      <w:r w:rsidR="00BB730F">
        <w:t>,</w:t>
      </w:r>
      <w:r w:rsidR="00170C83">
        <w:t xml:space="preserve"> a</w:t>
      </w:r>
      <w:r w:rsidR="00D86D9D">
        <w:t>re any subsequent developments likely to have altered the evidence base such that an NRV can be calculated</w:t>
      </w:r>
      <w:r>
        <w:t>?</w:t>
      </w:r>
    </w:p>
    <w:p w14:paraId="4AD978E3" w14:textId="05F628CD" w:rsidR="00D709C0" w:rsidRDefault="00D709C0" w:rsidP="00211F4C">
      <w:pPr>
        <w:pStyle w:val="ListParagraph"/>
        <w:numPr>
          <w:ilvl w:val="0"/>
          <w:numId w:val="39"/>
        </w:numPr>
      </w:pPr>
      <w:r>
        <w:t xml:space="preserve">Does existing evidence </w:t>
      </w:r>
      <w:r w:rsidR="00D86D9D">
        <w:t xml:space="preserve">indicate </w:t>
      </w:r>
      <w:r>
        <w:t>that data on physiological requirements</w:t>
      </w:r>
      <w:r w:rsidR="0041173E">
        <w:t xml:space="preserve"> or </w:t>
      </w:r>
      <w:r w:rsidR="00CB5472">
        <w:t>adverse effects</w:t>
      </w:r>
      <w:r>
        <w:t xml:space="preserve"> can be used to calculate the NRV of interest? If not, are any subsequent developments likely to have altered the evidence base such that an NRV can be calculated?</w:t>
      </w:r>
    </w:p>
    <w:p w14:paraId="56CF230D" w14:textId="2398CE54" w:rsidR="00802885" w:rsidRDefault="00B31668" w:rsidP="00F218EA">
      <w:r>
        <w:t xml:space="preserve">Based on the outcomes of scoping, a list of research questions </w:t>
      </w:r>
      <w:r w:rsidR="003850E0">
        <w:t xml:space="preserve">to be addressed during the review </w:t>
      </w:r>
      <w:r>
        <w:t>should be developed</w:t>
      </w:r>
      <w:r w:rsidR="00E45BEB">
        <w:t xml:space="preserve">. At this stage, consideration should also be given to whether any supplementary evidence </w:t>
      </w:r>
      <w:r w:rsidR="00575101">
        <w:t>will be</w:t>
      </w:r>
      <w:r w:rsidR="00E45BEB">
        <w:t xml:space="preserve"> required to inform contextual factors </w:t>
      </w:r>
      <w:r w:rsidR="00575101">
        <w:t xml:space="preserve">under </w:t>
      </w:r>
      <w:r w:rsidR="00E45BEB">
        <w:t xml:space="preserve">the </w:t>
      </w:r>
      <w:r w:rsidR="005705E7">
        <w:t>e</w:t>
      </w:r>
      <w:r w:rsidR="00E45BEB">
        <w:t>vidence-to-</w:t>
      </w:r>
      <w:r w:rsidR="005705E7">
        <w:t>d</w:t>
      </w:r>
      <w:r w:rsidR="00E45BEB">
        <w:t>ecision framework (</w:t>
      </w:r>
      <w:r w:rsidR="005744C4">
        <w:t>See</w:t>
      </w:r>
      <w:r w:rsidR="0053380C">
        <w:t xml:space="preserve"> </w:t>
      </w:r>
      <w:r w:rsidR="0053380C">
        <w:fldChar w:fldCharType="begin"/>
      </w:r>
      <w:r w:rsidR="0053380C">
        <w:instrText xml:space="preserve"> REF _Ref197506473 \r \h </w:instrText>
      </w:r>
      <w:r w:rsidR="0053380C">
        <w:fldChar w:fldCharType="separate"/>
      </w:r>
      <w:r w:rsidR="00783DC4">
        <w:t>Chapter 7</w:t>
      </w:r>
      <w:r w:rsidR="0053380C">
        <w:fldChar w:fldCharType="end"/>
      </w:r>
      <w:r w:rsidR="00E45BEB">
        <w:t>)</w:t>
      </w:r>
      <w:r w:rsidR="00C964D2">
        <w:t>.</w:t>
      </w:r>
    </w:p>
    <w:p w14:paraId="4F86D991" w14:textId="72575DF4" w:rsidR="00567988" w:rsidRDefault="00567988" w:rsidP="00567988">
      <w:pPr>
        <w:pStyle w:val="Boxed1Bullet"/>
        <w:numPr>
          <w:ilvl w:val="0"/>
          <w:numId w:val="0"/>
        </w:numPr>
        <w:ind w:left="284"/>
        <w:rPr>
          <w:noProof/>
        </w:rPr>
      </w:pPr>
      <w:r>
        <w:t>Further information is outlined in:</w:t>
      </w:r>
    </w:p>
    <w:p w14:paraId="01966411" w14:textId="0AE97A5C" w:rsidR="00AA46A7" w:rsidRPr="00AA46A7" w:rsidRDefault="003014BE" w:rsidP="00211F4C">
      <w:pPr>
        <w:pStyle w:val="Boxed1Bullet"/>
        <w:numPr>
          <w:ilvl w:val="0"/>
          <w:numId w:val="72"/>
        </w:numPr>
        <w:rPr>
          <w:noProof/>
        </w:rPr>
      </w:pPr>
      <w:r w:rsidRPr="003014BE">
        <w:rPr>
          <w:iCs/>
          <w:noProof/>
        </w:rPr>
        <w:fldChar w:fldCharType="begin"/>
      </w:r>
      <w:r w:rsidR="00272AC4">
        <w:rPr>
          <w:iCs/>
          <w:noProof/>
        </w:rPr>
        <w:instrText xml:space="preserve"> ADDIN EN.CITE &lt;EndNote&gt;&lt;Cite AuthorYear="1"&gt;&lt;Author&gt;NHMRC&lt;/Author&gt;&lt;Year&gt;2019&lt;/Year&gt;&lt;RecNum&gt;50&lt;/RecNum&gt;&lt;DisplayText&gt;NHMRC (2019c)&lt;/DisplayText&gt;&lt;record&gt;&lt;rec-number&gt;50&lt;/rec-number&gt;&lt;foreign-keys&gt;&lt;key app="EN" db-id="zxfaevvrgpsxebez5ec5vspfe2av5dtxt9xx" timestamp="1754957726"&gt;50&lt;/key&gt;&lt;/foreign-keys&gt;&lt;ref-type name="Electronic Book"&gt;44&lt;/ref-type&gt;&lt;contributors&gt;&lt;authors&gt;&lt;author&gt;NHMRC,&lt;/author&gt;&lt;/authors&gt;&lt;/contributors&gt;&lt;titles&gt;&lt;title&gt;Guidelines for Guidelines: Forming the questions&lt;/title&gt;&lt;/titles&gt;&lt;dates&gt;&lt;year&gt;2019&lt;/year&gt;&lt;/dates&gt;&lt;pub-location&gt;Canberra&lt;/pub-location&gt;&lt;urls&gt;&lt;related-urls&gt;&lt;url&gt;date accessed 18 August 2025, https://www.nhmrc.gov.au/guidelinesforguidelines/develop/forming-questions&lt;/url&gt;&lt;/related-urls&gt;&lt;/urls&gt;&lt;/record&gt;&lt;/Cite&gt;&lt;/EndNote&gt;</w:instrText>
      </w:r>
      <w:r w:rsidRPr="003014BE">
        <w:rPr>
          <w:iCs/>
          <w:noProof/>
        </w:rPr>
        <w:fldChar w:fldCharType="separate"/>
      </w:r>
      <w:r w:rsidR="007607BA">
        <w:rPr>
          <w:iCs/>
          <w:noProof/>
        </w:rPr>
        <w:t>NHMRC (2019c)</w:t>
      </w:r>
      <w:r w:rsidRPr="003014BE">
        <w:rPr>
          <w:iCs/>
          <w:noProof/>
        </w:rPr>
        <w:fldChar w:fldCharType="end"/>
      </w:r>
      <w:r w:rsidR="005501D8">
        <w:rPr>
          <w:iCs/>
          <w:noProof/>
        </w:rPr>
        <w:t xml:space="preserve"> </w:t>
      </w:r>
      <w:r w:rsidR="00AA46A7" w:rsidRPr="00AA46A7">
        <w:rPr>
          <w:i/>
          <w:noProof/>
        </w:rPr>
        <w:t>Guidelines for Guidelines: Forming the questions</w:t>
      </w:r>
      <w:r w:rsidR="00AA46A7" w:rsidRPr="00AA46A7">
        <w:rPr>
          <w:noProof/>
        </w:rPr>
        <w:t xml:space="preserve">. Canberra Retrieved from </w:t>
      </w:r>
      <w:hyperlink r:id="rId54" w:history="1">
        <w:r w:rsidR="00AA46A7" w:rsidRPr="000163C7">
          <w:rPr>
            <w:rStyle w:val="Hyperlink"/>
            <w:noProof/>
            <w:color w:val="006CBC"/>
          </w:rPr>
          <w:t>https://www.nhmrc.gov.au/guidelinesforguidelines/develop/forming-questions</w:t>
        </w:r>
      </w:hyperlink>
    </w:p>
    <w:p w14:paraId="050256BB" w14:textId="27699ABC" w:rsidR="00BF16E4" w:rsidRPr="008246A1" w:rsidRDefault="003C07AD" w:rsidP="00211F4C">
      <w:pPr>
        <w:pStyle w:val="Boxed1Bullet"/>
        <w:numPr>
          <w:ilvl w:val="0"/>
          <w:numId w:val="72"/>
        </w:numPr>
      </w:pPr>
      <w:r>
        <w:lastRenderedPageBreak/>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rsidR="008E7E7E">
        <w:instrText xml:space="preserve"> ADDIN EN.CITE </w:instrText>
      </w:r>
      <w:r w:rsidR="008E7E7E">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rsidR="008E7E7E">
        <w:instrText xml:space="preserve"> ADDIN EN.CITE.DATA </w:instrText>
      </w:r>
      <w:r w:rsidR="008E7E7E">
        <w:fldChar w:fldCharType="end"/>
      </w:r>
      <w:r>
        <w:fldChar w:fldCharType="separate"/>
      </w:r>
      <w:r w:rsidR="007A748D">
        <w:rPr>
          <w:noProof/>
        </w:rPr>
        <w:t>Dhonukshe-Rutten et al. (2013)</w:t>
      </w:r>
      <w:r>
        <w:fldChar w:fldCharType="end"/>
      </w:r>
      <w:r w:rsidR="008129D1">
        <w:t xml:space="preserve"> </w:t>
      </w:r>
      <w:r w:rsidR="00E7306D" w:rsidRPr="00A566FA">
        <w:t>EURRECA—evidence-based methodology for deriving micronutrient recommendations. </w:t>
      </w:r>
      <w:r w:rsidR="00E7306D" w:rsidRPr="00A566FA">
        <w:rPr>
          <w:i/>
          <w:iCs/>
        </w:rPr>
        <w:t>Critical reviews in food science and nutrition</w:t>
      </w:r>
      <w:r w:rsidR="00E7306D" w:rsidRPr="00A566FA">
        <w:t>, </w:t>
      </w:r>
      <w:r w:rsidR="00E7306D" w:rsidRPr="00A566FA">
        <w:rPr>
          <w:i/>
          <w:iCs/>
        </w:rPr>
        <w:t>53</w:t>
      </w:r>
      <w:r w:rsidR="00E7306D" w:rsidRPr="00A566FA">
        <w:t>(10)</w:t>
      </w:r>
      <w:r w:rsidR="00184E2A">
        <w:t>:</w:t>
      </w:r>
      <w:r w:rsidR="00E7306D" w:rsidRPr="00A566FA">
        <w:t>999-1040</w:t>
      </w:r>
      <w:r w:rsidR="00E7306D" w:rsidRPr="008129D1">
        <w:t>.</w:t>
      </w:r>
      <w:r w:rsidR="00E7306D" w:rsidRPr="008129D1">
        <w:rPr>
          <w:rFonts w:ascii="Segoe UI" w:hAnsi="Segoe UI" w:cs="Segoe UI"/>
          <w:color w:val="212121"/>
          <w:shd w:val="clear" w:color="auto" w:fill="E3F1F7" w:themeFill="accent1" w:themeFillTint="33"/>
        </w:rPr>
        <w:t xml:space="preserve"> </w:t>
      </w:r>
      <w:hyperlink r:id="rId55" w:history="1">
        <w:r w:rsidR="00E7306D" w:rsidRPr="000163C7">
          <w:rPr>
            <w:rStyle w:val="Hyperlink"/>
            <w:color w:val="006CBC"/>
          </w:rPr>
          <w:t>https://doi.org/10.1080/10408398.2012.749209</w:t>
        </w:r>
      </w:hyperlink>
      <w:r w:rsidR="00BF16E4">
        <w:rPr>
          <w:i/>
          <w:iCs/>
        </w:rPr>
        <w:t xml:space="preserve"> </w:t>
      </w:r>
      <w:r w:rsidR="00E6150B">
        <w:rPr>
          <w:i/>
          <w:iCs/>
        </w:rPr>
        <w:t>-</w:t>
      </w:r>
      <w:r w:rsidR="00BF16E4">
        <w:rPr>
          <w:i/>
          <w:iCs/>
        </w:rPr>
        <w:t xml:space="preserve"> </w:t>
      </w:r>
      <w:r w:rsidR="00BF16E4">
        <w:t>pp. 1016</w:t>
      </w:r>
      <w:r w:rsidR="00184E2A">
        <w:t>-</w:t>
      </w:r>
      <w:r w:rsidR="00BF16E4">
        <w:t>1017</w:t>
      </w:r>
    </w:p>
    <w:p w14:paraId="21721B10" w14:textId="49023270" w:rsidR="001D61A8" w:rsidRDefault="00F44589" w:rsidP="003E2E95">
      <w:pPr>
        <w:pStyle w:val="Heading40"/>
      </w:pPr>
      <w:bookmarkStart w:id="121" w:name="_Toc153967125"/>
      <w:bookmarkStart w:id="122" w:name="_Toc207801066"/>
      <w:bookmarkStart w:id="123" w:name="_Toc207824543"/>
      <w:r>
        <w:t>Identifying</w:t>
      </w:r>
      <w:r w:rsidR="001D61A8">
        <w:t xml:space="preserve"> key</w:t>
      </w:r>
      <w:r>
        <w:t xml:space="preserve"> inclusion </w:t>
      </w:r>
      <w:r w:rsidR="0010678E">
        <w:t xml:space="preserve">and </w:t>
      </w:r>
      <w:r w:rsidR="001D61A8">
        <w:t xml:space="preserve">exclusion </w:t>
      </w:r>
      <w:r>
        <w:t>criteria</w:t>
      </w:r>
      <w:bookmarkEnd w:id="121"/>
      <w:bookmarkEnd w:id="122"/>
      <w:bookmarkEnd w:id="123"/>
    </w:p>
    <w:p w14:paraId="3E708DC4" w14:textId="651F333B" w:rsidR="001D61A8" w:rsidRDefault="001D61A8" w:rsidP="001D61A8">
      <w:r>
        <w:t xml:space="preserve">Before commencing </w:t>
      </w:r>
      <w:r w:rsidR="00575101">
        <w:t>an evidence</w:t>
      </w:r>
      <w:r>
        <w:t xml:space="preserve"> review</w:t>
      </w:r>
      <w:r w:rsidR="00542669">
        <w:t xml:space="preserve"> —</w:t>
      </w:r>
      <w:r>
        <w:t xml:space="preserve"> or considering the appropriateness </w:t>
      </w:r>
      <w:r w:rsidR="00835C60">
        <w:t xml:space="preserve">of </w:t>
      </w:r>
      <w:r>
        <w:t xml:space="preserve">existing </w:t>
      </w:r>
      <w:r w:rsidR="002074D5">
        <w:t>guidance</w:t>
      </w:r>
      <w:r w:rsidR="00BD0CA1">
        <w:t xml:space="preserve"> for adoption/adaption</w:t>
      </w:r>
      <w:r w:rsidR="00542669">
        <w:t xml:space="preserve"> —</w:t>
      </w:r>
      <w:r w:rsidR="002074D5">
        <w:t xml:space="preserve"> </w:t>
      </w:r>
      <w:r w:rsidR="005A2758">
        <w:t xml:space="preserve">the </w:t>
      </w:r>
      <w:r w:rsidR="00BD0CA1">
        <w:t xml:space="preserve">optimal </w:t>
      </w:r>
      <w:r w:rsidR="002C239B">
        <w:t xml:space="preserve">methods and criteria </w:t>
      </w:r>
      <w:r w:rsidR="00770F83">
        <w:t xml:space="preserve">for </w:t>
      </w:r>
      <w:r w:rsidR="00866221">
        <w:t>answer</w:t>
      </w:r>
      <w:r w:rsidR="00770F83">
        <w:t xml:space="preserve">ing </w:t>
      </w:r>
      <w:r w:rsidR="00866221">
        <w:t xml:space="preserve">in scope </w:t>
      </w:r>
      <w:r w:rsidR="00BD0CA1">
        <w:t>research question</w:t>
      </w:r>
      <w:r w:rsidR="00770F83">
        <w:t>s</w:t>
      </w:r>
      <w:r w:rsidR="00835C60">
        <w:t xml:space="preserve"> should be identified</w:t>
      </w:r>
      <w:r w:rsidR="00BD0CA1">
        <w:t>.</w:t>
      </w:r>
      <w:r w:rsidR="005A38A0">
        <w:t xml:space="preserve"> This includes specifying the </w:t>
      </w:r>
      <w:r w:rsidR="00BE74A8">
        <w:t>type of review (</w:t>
      </w:r>
      <w:r w:rsidR="0088763A">
        <w:t>e</w:t>
      </w:r>
      <w:r w:rsidR="00800FCD">
        <w:t>.</w:t>
      </w:r>
      <w:r w:rsidR="00BE74A8">
        <w:t>g. systematic review</w:t>
      </w:r>
      <w:r w:rsidR="001530E5">
        <w:t>, literature review, scoping review</w:t>
      </w:r>
      <w:r w:rsidR="00BE74A8">
        <w:t xml:space="preserve">), </w:t>
      </w:r>
      <w:r w:rsidR="005A38A0">
        <w:t>eligible study designs, and P</w:t>
      </w:r>
      <w:r w:rsidR="001530E5">
        <w:t>I/E</w:t>
      </w:r>
      <w:r w:rsidR="005A38A0">
        <w:t>CO (</w:t>
      </w:r>
      <w:r w:rsidR="001530E5" w:rsidRPr="001530E5">
        <w:rPr>
          <w:u w:val="single"/>
        </w:rPr>
        <w:t>P</w:t>
      </w:r>
      <w:r w:rsidR="001530E5">
        <w:t xml:space="preserve">opulation, </w:t>
      </w:r>
      <w:r w:rsidR="001530E5" w:rsidRPr="001530E5">
        <w:rPr>
          <w:u w:val="single"/>
        </w:rPr>
        <w:t>I</w:t>
      </w:r>
      <w:r w:rsidR="001530E5">
        <w:t>ntervention/</w:t>
      </w:r>
      <w:r w:rsidR="001530E5" w:rsidRPr="001530E5">
        <w:rPr>
          <w:u w:val="single"/>
        </w:rPr>
        <w:t>E</w:t>
      </w:r>
      <w:r w:rsidR="001530E5">
        <w:t xml:space="preserve">xposure, </w:t>
      </w:r>
      <w:r w:rsidR="001530E5" w:rsidRPr="001530E5">
        <w:rPr>
          <w:u w:val="single"/>
        </w:rPr>
        <w:t>C</w:t>
      </w:r>
      <w:r w:rsidR="001530E5">
        <w:t xml:space="preserve">omparator and </w:t>
      </w:r>
      <w:r w:rsidR="001530E5" w:rsidRPr="001530E5">
        <w:rPr>
          <w:u w:val="single"/>
        </w:rPr>
        <w:t>O</w:t>
      </w:r>
      <w:r w:rsidR="001530E5">
        <w:t>utcome)</w:t>
      </w:r>
      <w:r w:rsidR="00BD0CA1">
        <w:t xml:space="preserve"> </w:t>
      </w:r>
      <w:r w:rsidR="001530E5">
        <w:t xml:space="preserve">criteria. </w:t>
      </w:r>
      <w:r w:rsidR="008F4464">
        <w:t xml:space="preserve">Defining these criteria </w:t>
      </w:r>
      <w:r w:rsidR="00866221">
        <w:t xml:space="preserve">provides a benchmark against which </w:t>
      </w:r>
      <w:r w:rsidR="001F6663">
        <w:t xml:space="preserve">potentially usable sources </w:t>
      </w:r>
      <w:r w:rsidR="00866221">
        <w:t>(international NRV</w:t>
      </w:r>
      <w:r w:rsidR="001A3234">
        <w:t xml:space="preserve"> guidance, existing systematic reviews) </w:t>
      </w:r>
      <w:r w:rsidR="001F6663">
        <w:t xml:space="preserve">can be </w:t>
      </w:r>
      <w:proofErr w:type="gramStart"/>
      <w:r w:rsidR="001F6663">
        <w:t>assessed</w:t>
      </w:r>
      <w:r w:rsidR="00866221">
        <w:t>, or</w:t>
      </w:r>
      <w:proofErr w:type="gramEnd"/>
      <w:r w:rsidR="00866221">
        <w:t xml:space="preserve"> inform</w:t>
      </w:r>
      <w:r w:rsidR="002A02C6">
        <w:t>s</w:t>
      </w:r>
      <w:r w:rsidR="00866221">
        <w:t xml:space="preserve"> </w:t>
      </w:r>
      <w:r w:rsidR="002A02C6">
        <w:t xml:space="preserve">further </w:t>
      </w:r>
      <w:r w:rsidR="00866221">
        <w:t xml:space="preserve">research protocol development (for </w:t>
      </w:r>
      <w:r w:rsidR="00866221" w:rsidRPr="00866221">
        <w:rPr>
          <w:i/>
          <w:iCs/>
        </w:rPr>
        <w:t>de novo</w:t>
      </w:r>
      <w:r w:rsidR="00866221">
        <w:t xml:space="preserve"> reviews).</w:t>
      </w:r>
    </w:p>
    <w:p w14:paraId="047004EE" w14:textId="5419C113" w:rsidR="00AB42A8" w:rsidRDefault="00AB42A8" w:rsidP="003E2E95">
      <w:pPr>
        <w:pStyle w:val="Heading50"/>
      </w:pPr>
      <w:bookmarkStart w:id="124" w:name="_Toc207801067"/>
      <w:bookmarkStart w:id="125" w:name="_Toc207824544"/>
      <w:bookmarkEnd w:id="120"/>
      <w:r>
        <w:t>Study designs</w:t>
      </w:r>
      <w:bookmarkEnd w:id="124"/>
      <w:bookmarkEnd w:id="125"/>
    </w:p>
    <w:p w14:paraId="3045B606" w14:textId="77777777" w:rsidR="007A7789" w:rsidRDefault="004753A2" w:rsidP="00AB42A8">
      <w:r>
        <w:t xml:space="preserve">NRVs are developed based on evidence from </w:t>
      </w:r>
      <w:r w:rsidR="00E82F52">
        <w:t xml:space="preserve">observational and experimental studies. </w:t>
      </w:r>
      <w:r w:rsidR="007A7789">
        <w:t xml:space="preserve">In general, experimental studies are used to establish EAR (and RDI) whereas AIs and ULs are typically derived from observational studies. </w:t>
      </w:r>
    </w:p>
    <w:p w14:paraId="3DF48CDE" w14:textId="65A6DA93" w:rsidR="0008719C" w:rsidRDefault="0008719C" w:rsidP="00AB42A8">
      <w:r>
        <w:t>The study designs eligible for inclusion will depend on the NRV being developed, a</w:t>
      </w:r>
      <w:r w:rsidR="00053559">
        <w:t>nd</w:t>
      </w:r>
      <w:r w:rsidR="00AF4BD1">
        <w:t xml:space="preserve"> </w:t>
      </w:r>
      <w:r>
        <w:t>the expected body of evidence available.</w:t>
      </w:r>
      <w:r w:rsidR="00405EE7" w:rsidRPr="00405EE7">
        <w:t xml:space="preserve"> </w:t>
      </w:r>
      <w:r w:rsidR="00405EE7">
        <w:t>Inclusion of evidence from multiple sources assists in triangulating the evidence base and strengthens confidence in the assessment of outcomes.</w:t>
      </w:r>
      <w:r w:rsidR="0046701D">
        <w:t xml:space="preserve"> </w:t>
      </w:r>
    </w:p>
    <w:p w14:paraId="22E2C1B4" w14:textId="77777777" w:rsidR="00A14B7C" w:rsidRDefault="00A14B7C" w:rsidP="00A14B7C">
      <w:pPr>
        <w:pStyle w:val="Boxed1Text"/>
      </w:pPr>
      <w:r>
        <w:t>Further information is outlined in:</w:t>
      </w:r>
    </w:p>
    <w:p w14:paraId="288EF0D9" w14:textId="446A026B" w:rsidR="00A14B7C" w:rsidRDefault="00C422CF" w:rsidP="00211F4C">
      <w:pPr>
        <w:pStyle w:val="Boxed1Bullet"/>
        <w:numPr>
          <w:ilvl w:val="0"/>
          <w:numId w:val="71"/>
        </w:numPr>
      </w:pPr>
      <w:r>
        <w:fldChar w:fldCharType="begin">
          <w:fldData xml:space="preserve">PEVuZE5vdGU+PENpdGUgQXV0aG9yWWVhcj0iMSI+PEF1dGhvcj5OQVNFTTwvQXV0aG9yPjxZZWFy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</w:fldData>
        </w:fldChar>
      </w:r>
      <w:r w:rsidR="007607BA">
        <w:instrText xml:space="preserve"> ADDIN EN.CITE </w:instrText>
      </w:r>
      <w:r w:rsidR="007607BA">
        <w:fldChar w:fldCharType="begin">
          <w:fldData xml:space="preserve">PEVuZE5vdGU+PENpdGUgQXV0aG9yWWVhcj0iMSI+PEF1dGhvcj5OQVNFTTwvQXV0aG9yPjxZZWFy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</w:fldData>
        </w:fldChar>
      </w:r>
      <w:r w:rsidR="007607BA">
        <w:instrText xml:space="preserve"> ADDIN EN.CITE.DATA </w:instrText>
      </w:r>
      <w:r w:rsidR="007607BA">
        <w:fldChar w:fldCharType="end"/>
      </w:r>
      <w:r>
        <w:fldChar w:fldCharType="separate"/>
      </w:r>
      <w:r w:rsidR="007607BA">
        <w:rPr>
          <w:noProof/>
        </w:rPr>
        <w:t>NASEM (2017)</w:t>
      </w:r>
      <w:r>
        <w:fldChar w:fldCharType="end"/>
      </w:r>
      <w:r w:rsidRPr="00C422CF">
        <w:t xml:space="preserve"> </w:t>
      </w:r>
      <w:r w:rsidRPr="00C422CF">
        <w:rPr>
          <w:i/>
          <w:iCs/>
        </w:rPr>
        <w:t>Guiding Principles for Developing Dietary Reference Intakes Based on Chronic Disease</w:t>
      </w:r>
      <w:r w:rsidRPr="00C422CF">
        <w:t xml:space="preserve">. The National Academies Press. </w:t>
      </w:r>
      <w:hyperlink r:id="rId56" w:history="1">
        <w:r w:rsidRPr="000163C7">
          <w:rPr>
            <w:rStyle w:val="Hyperlink"/>
            <w:color w:val="006CBC"/>
          </w:rPr>
          <w:t>https://doi.org/doi:10.17226/24828</w:t>
        </w:r>
      </w:hyperlink>
      <w:r>
        <w:t xml:space="preserve"> </w:t>
      </w:r>
      <w:r w:rsidR="006753F6">
        <w:t>-</w:t>
      </w:r>
      <w:r w:rsidR="00405EE7">
        <w:t xml:space="preserve"> pp. 268 </w:t>
      </w:r>
      <w:r w:rsidR="00493C94">
        <w:t>–</w:t>
      </w:r>
      <w:r w:rsidR="00405EE7">
        <w:t xml:space="preserve"> </w:t>
      </w:r>
      <w:r w:rsidR="009A2C0A">
        <w:t>274</w:t>
      </w:r>
      <w:r w:rsidR="009A720B">
        <w:t xml:space="preserve"> </w:t>
      </w:r>
    </w:p>
    <w:p w14:paraId="5AC15C3F" w14:textId="581CAFF8" w:rsidR="00DB39A1" w:rsidRDefault="00DB39A1" w:rsidP="00211F4C">
      <w:pPr>
        <w:pStyle w:val="Boxed1Bullet"/>
        <w:numPr>
          <w:ilvl w:val="0"/>
          <w:numId w:val="71"/>
        </w:numPr>
      </w:pPr>
      <w:r>
        <w:fldChar w:fldCharType="begin"/>
      </w:r>
      <w:r>
        <w:instrText xml:space="preserve"> ADDIN EN.CITE &lt;EndNote&gt;&lt;Cite AuthorYear="1"&gt;&lt;Author&gt;Beyerbach&lt;/Author&gt;&lt;Year&gt;2022&lt;/Year&gt;&lt;RecNum&gt;14&lt;/RecNum&gt;&lt;DisplayText&gt;Beyerbach et al. (2022)&lt;/DisplayText&gt;&lt;record&gt;&lt;rec-number&gt;14&lt;/rec-number&gt;&lt;foreign-keys&gt;&lt;key app="EN" db-id="zxfaevvrgpsxebez5ec5vspfe2av5dtxt9xx" timestamp="1754957726"&gt;14&lt;/key&gt;&lt;/foreign-keys&gt;&lt;ref-type name="Journal Article"&gt;17&lt;/ref-type&gt;&lt;contributors&gt;&lt;authors&gt;&lt;author&gt;Beyerbach, Jessica&lt;/author&gt;&lt;author&gt;Stadelmaier, Julia&lt;/author&gt;&lt;author&gt;Hoffmann, Georg&lt;/author&gt;&lt;author&gt;Balduzzi, Sara&lt;/author&gt;&lt;author&gt;Bröckelmann, Nils&lt;/author&gt;&lt;author&gt;Schwingshackl, Lukas&lt;/author&gt;&lt;/authors&gt;&lt;/contributors&gt;&lt;titles&gt;&lt;title&gt;Evaluating concordance of bodies of evidence from randomized controlled trials, dietary intake, and biomarkers of intake in cohort studies: a meta-epidemiological study&lt;/title&gt;&lt;secondary-title&gt;Advances in Nutrition&lt;/secondary-title&gt;&lt;/titles&gt;&lt;periodical&gt;&lt;full-title&gt;Advances in Nutrition&lt;/full-title&gt;&lt;/periodical&gt;&lt;pages&gt;48-65&lt;/pages&gt;&lt;volume&gt;13&lt;/volume&gt;&lt;number&gt;1&lt;/number&gt;&lt;dates&gt;&lt;year&gt;2022&lt;/year&gt;&lt;/dates&gt;&lt;isbn&gt;2161-8313&lt;/isbn&gt;&lt;urls&gt;&lt;/urls&gt;&lt;electronic-resource-num&gt;https://doi.org/10.1093/advances/nmab095&lt;/electronic-resource-num&gt;&lt;/record&gt;&lt;/Cite&gt;&lt;/EndNote&gt;</w:instrText>
      </w:r>
      <w:r>
        <w:fldChar w:fldCharType="separate"/>
      </w:r>
      <w:r>
        <w:rPr>
          <w:noProof/>
        </w:rPr>
        <w:t>Beyerbach et al. (2022)</w:t>
      </w:r>
      <w:r>
        <w:fldChar w:fldCharType="end"/>
      </w:r>
      <w:r w:rsidRPr="00DB39A1">
        <w:t xml:space="preserve"> Evaluating concordance of bodies of evidence from randomized controlled trials, dietary intake, and biomarkers of intake in cohort studies: a meta-epidemiological study. </w:t>
      </w:r>
      <w:r w:rsidRPr="00DB39A1">
        <w:rPr>
          <w:i/>
          <w:iCs/>
        </w:rPr>
        <w:t>Advances in Nutrition</w:t>
      </w:r>
      <w:r w:rsidRPr="00DB39A1">
        <w:t>,</w:t>
      </w:r>
      <w:r w:rsidRPr="00DB39A1">
        <w:rPr>
          <w:i/>
          <w:iCs/>
        </w:rPr>
        <w:t xml:space="preserve"> 13</w:t>
      </w:r>
      <w:r w:rsidRPr="00DB39A1">
        <w:t xml:space="preserve">(1), 48-65. </w:t>
      </w:r>
      <w:hyperlink r:id="rId57" w:history="1">
        <w:r w:rsidRPr="000163C7">
          <w:rPr>
            <w:rStyle w:val="Hyperlink"/>
            <w:color w:val="006CBC"/>
          </w:rPr>
          <w:t>https://doi.org/https://doi.org/10.1093/advances/nmab095</w:t>
        </w:r>
      </w:hyperlink>
      <w:r>
        <w:t xml:space="preserve"> </w:t>
      </w:r>
    </w:p>
    <w:p w14:paraId="6E8FC9A8" w14:textId="4BB32D32" w:rsidR="13EDE49A" w:rsidRDefault="00721CFD" w:rsidP="00211F4C">
      <w:pPr>
        <w:pStyle w:val="Boxed1Bullet"/>
        <w:numPr>
          <w:ilvl w:val="0"/>
          <w:numId w:val="71"/>
        </w:numPr>
      </w:pP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 </w:instrText>
      </w: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EN.CITE.DATA </w:instrText>
      </w:r>
      <w:r>
        <w:fldChar w:fldCharType="end"/>
      </w:r>
      <w:r>
        <w:fldChar w:fldCharType="separate"/>
      </w:r>
      <w:r>
        <w:rPr>
          <w:noProof/>
        </w:rPr>
        <w:t>Dhonukshe-Rutten et al. (2013)</w:t>
      </w:r>
      <w:r>
        <w:fldChar w:fldCharType="end"/>
      </w:r>
      <w:r w:rsidR="00381586" w:rsidRPr="00381586">
        <w:t xml:space="preserve"> EURRECA-Evidence-based methodology for deriving micronutrient recommendations. </w:t>
      </w:r>
      <w:r w:rsidR="00381586" w:rsidRPr="00381586">
        <w:rPr>
          <w:i/>
          <w:iCs/>
        </w:rPr>
        <w:t xml:space="preserve">Crit Rev Food Sci </w:t>
      </w:r>
      <w:proofErr w:type="spellStart"/>
      <w:r w:rsidR="00381586" w:rsidRPr="00381586">
        <w:rPr>
          <w:i/>
          <w:iCs/>
        </w:rPr>
        <w:t>Nutr</w:t>
      </w:r>
      <w:proofErr w:type="spellEnd"/>
      <w:r w:rsidR="00381586" w:rsidRPr="00381586">
        <w:t>,</w:t>
      </w:r>
      <w:r w:rsidR="00381586" w:rsidRPr="00381586">
        <w:rPr>
          <w:i/>
          <w:iCs/>
        </w:rPr>
        <w:t xml:space="preserve"> 53</w:t>
      </w:r>
      <w:r w:rsidR="00381586" w:rsidRPr="00381586">
        <w:t xml:space="preserve">(10), 999-1040. </w:t>
      </w:r>
      <w:hyperlink r:id="rId58" w:history="1">
        <w:r w:rsidRPr="000163C7">
          <w:rPr>
            <w:rStyle w:val="Hyperlink"/>
            <w:color w:val="006CBC"/>
          </w:rPr>
          <w:t>https://doi.org/10.1080/10408398.2012.749209</w:t>
        </w:r>
      </w:hyperlink>
      <w:r>
        <w:t xml:space="preserve"> </w:t>
      </w:r>
      <w:r w:rsidR="13EDE49A" w:rsidRPr="0B313C65">
        <w:rPr>
          <w:i/>
          <w:iCs/>
        </w:rPr>
        <w:t xml:space="preserve">- </w:t>
      </w:r>
      <w:r w:rsidR="13EDE49A">
        <w:t>pp. 1016 – 1017</w:t>
      </w:r>
      <w:r w:rsidR="007D76CA">
        <w:t xml:space="preserve"> </w:t>
      </w:r>
    </w:p>
    <w:p w14:paraId="463B3020" w14:textId="2734DD9F" w:rsidR="00000E9F" w:rsidRDefault="00000E9F" w:rsidP="003E2E95">
      <w:pPr>
        <w:pStyle w:val="Heading50"/>
      </w:pPr>
      <w:bookmarkStart w:id="126" w:name="_Toc207801068"/>
      <w:bookmarkStart w:id="127" w:name="_Toc207824545"/>
      <w:r>
        <w:t>Population groups</w:t>
      </w:r>
      <w:bookmarkEnd w:id="126"/>
      <w:bookmarkEnd w:id="127"/>
    </w:p>
    <w:p w14:paraId="498199B3" w14:textId="22FF8C13" w:rsidR="009A2C0A" w:rsidRPr="005B0935" w:rsidRDefault="007B14CB" w:rsidP="009A2C0A">
      <w:r w:rsidRPr="005B0935">
        <w:t>The following population groups have been identified for NRVs</w:t>
      </w:r>
      <w:r w:rsidR="009A2C0A" w:rsidRPr="005B0935">
        <w:t>:</w:t>
      </w:r>
    </w:p>
    <w:p w14:paraId="764CE8A1" w14:textId="3CF9EDA0" w:rsidR="009A2C0A" w:rsidRPr="00FB12CE" w:rsidRDefault="00FD61F3" w:rsidP="00FD61F3">
      <w:pPr>
        <w:pStyle w:val="Bullet1"/>
        <w:rPr>
          <w:color w:val="auto"/>
        </w:rPr>
      </w:pPr>
      <w:r w:rsidRPr="00FB12CE">
        <w:rPr>
          <w:color w:val="auto"/>
        </w:rPr>
        <w:t>Adults</w:t>
      </w:r>
      <w:r w:rsidR="005B0935" w:rsidRPr="00FB12CE">
        <w:rPr>
          <w:color w:val="auto"/>
        </w:rPr>
        <w:t xml:space="preserve"> (</w:t>
      </w:r>
      <w:r w:rsidR="00B51E07" w:rsidRPr="00FB12CE">
        <w:rPr>
          <w:color w:val="auto"/>
        </w:rPr>
        <w:t>18</w:t>
      </w:r>
      <w:r w:rsidR="00CB5472" w:rsidRPr="00FB12CE">
        <w:rPr>
          <w:color w:val="auto"/>
        </w:rPr>
        <w:t xml:space="preserve"> years and older</w:t>
      </w:r>
      <w:r w:rsidR="00593B71" w:rsidRPr="00FB12CE">
        <w:rPr>
          <w:color w:val="auto"/>
        </w:rPr>
        <w:t>)</w:t>
      </w:r>
    </w:p>
    <w:p w14:paraId="02E88939" w14:textId="17DB32C4" w:rsidR="005B0935" w:rsidRPr="00FB12CE" w:rsidRDefault="005B0935" w:rsidP="004D3E5B">
      <w:pPr>
        <w:pStyle w:val="Bullet1"/>
        <w:rPr>
          <w:color w:val="auto"/>
        </w:rPr>
      </w:pPr>
      <w:r w:rsidRPr="00FB12CE">
        <w:rPr>
          <w:color w:val="auto"/>
        </w:rPr>
        <w:t xml:space="preserve">Older adults </w:t>
      </w:r>
      <w:r w:rsidR="00B51E07" w:rsidRPr="00FB12CE">
        <w:rPr>
          <w:color w:val="auto"/>
        </w:rPr>
        <w:t>(65</w:t>
      </w:r>
      <w:r w:rsidR="008C155D" w:rsidRPr="00FB12CE">
        <w:rPr>
          <w:color w:val="auto"/>
        </w:rPr>
        <w:t xml:space="preserve"> years and older</w:t>
      </w:r>
      <w:r w:rsidR="00B51E07" w:rsidRPr="00FB12CE">
        <w:rPr>
          <w:color w:val="auto"/>
        </w:rPr>
        <w:t xml:space="preserve"> </w:t>
      </w:r>
      <w:r w:rsidR="00CC6448" w:rsidRPr="00FB12CE">
        <w:rPr>
          <w:color w:val="auto"/>
        </w:rPr>
        <w:t>and</w:t>
      </w:r>
      <w:r w:rsidR="0062685D" w:rsidRPr="00FB12CE">
        <w:rPr>
          <w:color w:val="auto"/>
        </w:rPr>
        <w:t>/</w:t>
      </w:r>
      <w:r w:rsidR="00B51E07" w:rsidRPr="00FB12CE">
        <w:rPr>
          <w:color w:val="auto"/>
        </w:rPr>
        <w:t xml:space="preserve">or </w:t>
      </w:r>
      <w:r w:rsidR="00CB5472" w:rsidRPr="00FB12CE">
        <w:rPr>
          <w:color w:val="auto"/>
        </w:rPr>
        <w:t>75</w:t>
      </w:r>
      <w:r w:rsidR="008C155D" w:rsidRPr="00FB12CE">
        <w:rPr>
          <w:color w:val="auto"/>
        </w:rPr>
        <w:t xml:space="preserve"> years and older</w:t>
      </w:r>
      <w:r w:rsidR="0062685D" w:rsidRPr="00FB12CE">
        <w:rPr>
          <w:color w:val="auto"/>
        </w:rPr>
        <w:t>)</w:t>
      </w:r>
    </w:p>
    <w:p w14:paraId="19FE490C" w14:textId="26FF4EA7" w:rsidR="00FD61F3" w:rsidRPr="00FB12CE" w:rsidRDefault="00FD61F3" w:rsidP="00FD61F3">
      <w:pPr>
        <w:pStyle w:val="Bullet1"/>
        <w:rPr>
          <w:color w:val="auto"/>
        </w:rPr>
      </w:pPr>
      <w:r w:rsidRPr="00FB12CE">
        <w:rPr>
          <w:color w:val="auto"/>
        </w:rPr>
        <w:t>Pregnan</w:t>
      </w:r>
      <w:r w:rsidR="00511BAF" w:rsidRPr="00FB12CE">
        <w:rPr>
          <w:color w:val="auto"/>
        </w:rPr>
        <w:t>cy</w:t>
      </w:r>
    </w:p>
    <w:p w14:paraId="2F09DCD3" w14:textId="3D536800" w:rsidR="00FD61F3" w:rsidRPr="00FB12CE" w:rsidRDefault="00FD61F3" w:rsidP="00FD61F3">
      <w:pPr>
        <w:pStyle w:val="Bullet1"/>
        <w:rPr>
          <w:color w:val="auto"/>
        </w:rPr>
      </w:pPr>
      <w:r w:rsidRPr="00FB12CE">
        <w:rPr>
          <w:color w:val="auto"/>
        </w:rPr>
        <w:lastRenderedPageBreak/>
        <w:t>Lactati</w:t>
      </w:r>
      <w:r w:rsidR="00300B18" w:rsidRPr="00FB12CE">
        <w:rPr>
          <w:color w:val="auto"/>
        </w:rPr>
        <w:t xml:space="preserve">on </w:t>
      </w:r>
    </w:p>
    <w:p w14:paraId="3304E77D" w14:textId="74B6EA5C" w:rsidR="00FD61F3" w:rsidRPr="00FB12CE" w:rsidRDefault="00FD61F3" w:rsidP="00FD61F3">
      <w:pPr>
        <w:pStyle w:val="Bullet1"/>
        <w:rPr>
          <w:color w:val="auto"/>
        </w:rPr>
      </w:pPr>
      <w:r w:rsidRPr="00FB12CE">
        <w:rPr>
          <w:color w:val="auto"/>
        </w:rPr>
        <w:t>Children and adolescents</w:t>
      </w:r>
      <w:r w:rsidR="007B14CB" w:rsidRPr="00FB12CE">
        <w:rPr>
          <w:color w:val="auto"/>
        </w:rPr>
        <w:t xml:space="preserve"> (aged </w:t>
      </w:r>
      <w:r w:rsidR="00B51E07" w:rsidRPr="00FB12CE">
        <w:rPr>
          <w:color w:val="auto"/>
        </w:rPr>
        <w:t>1 year</w:t>
      </w:r>
      <w:r w:rsidR="007B14CB" w:rsidRPr="00FB12CE">
        <w:rPr>
          <w:color w:val="auto"/>
        </w:rPr>
        <w:t xml:space="preserve"> </w:t>
      </w:r>
      <w:r w:rsidR="005B0935" w:rsidRPr="00FB12CE">
        <w:rPr>
          <w:color w:val="auto"/>
        </w:rPr>
        <w:t xml:space="preserve">to </w:t>
      </w:r>
      <w:r w:rsidR="008C155D" w:rsidRPr="00FB12CE">
        <w:rPr>
          <w:color w:val="auto"/>
        </w:rPr>
        <w:t xml:space="preserve">17 </w:t>
      </w:r>
      <w:r w:rsidR="005B0935" w:rsidRPr="00FB12CE">
        <w:rPr>
          <w:color w:val="auto"/>
        </w:rPr>
        <w:t>years)</w:t>
      </w:r>
    </w:p>
    <w:p w14:paraId="5EAA8802" w14:textId="54309525" w:rsidR="00A1759A" w:rsidRPr="00FB12CE" w:rsidRDefault="00A1759A" w:rsidP="00FD61F3">
      <w:pPr>
        <w:pStyle w:val="Bullet1"/>
        <w:rPr>
          <w:color w:val="auto"/>
        </w:rPr>
      </w:pPr>
      <w:r w:rsidRPr="00FB12CE">
        <w:rPr>
          <w:color w:val="auto"/>
        </w:rPr>
        <w:t>Infants (0 – 12 months)</w:t>
      </w:r>
    </w:p>
    <w:p w14:paraId="2B568F74" w14:textId="36CD9974" w:rsidR="00D0180A" w:rsidRDefault="00CA5E26" w:rsidP="00E40DC5">
      <w:r w:rsidRPr="00CA5E26">
        <w:t xml:space="preserve">To ensure that NRVs are consistent across nutrients, a data set with age range, </w:t>
      </w:r>
      <w:r w:rsidR="00B134B2">
        <w:t>reference</w:t>
      </w:r>
      <w:r w:rsidRPr="00CA5E26">
        <w:t xml:space="preserve"> weights has been developed for use across reviews</w:t>
      </w:r>
      <w:r w:rsidR="00A00AEC">
        <w:t xml:space="preserve"> (see </w:t>
      </w:r>
      <w:r w:rsidR="00A3279A">
        <w:fldChar w:fldCharType="begin"/>
      </w:r>
      <w:r w:rsidR="00A3279A">
        <w:instrText xml:space="preserve"> REF _Ref194584777 \r \h </w:instrText>
      </w:r>
      <w:r w:rsidR="00A3279A">
        <w:fldChar w:fldCharType="separate"/>
      </w:r>
      <w:r w:rsidR="00783DC4">
        <w:t>Appendix C</w:t>
      </w:r>
      <w:r w:rsidR="00A3279A">
        <w:fldChar w:fldCharType="end"/>
      </w:r>
      <w:r w:rsidR="00414FC4">
        <w:t>)</w:t>
      </w:r>
      <w:r w:rsidRPr="00CA5E26">
        <w:t xml:space="preserve">. This data set will be applied when preparing draft NRV values.  </w:t>
      </w:r>
    </w:p>
    <w:p w14:paraId="14551BE1" w14:textId="7EA3E5C8" w:rsidR="00CA5E26" w:rsidRPr="00CA5E26" w:rsidRDefault="003141C9" w:rsidP="00E40DC5">
      <w:r>
        <w:t>Most population groups specify</w:t>
      </w:r>
      <w:r w:rsidR="00AB583E">
        <w:t xml:space="preserve"> the </w:t>
      </w:r>
      <w:r w:rsidR="005C4B3B">
        <w:t xml:space="preserve">relevant </w:t>
      </w:r>
      <w:r w:rsidR="00AB583E">
        <w:t xml:space="preserve">age-range, </w:t>
      </w:r>
      <w:r w:rsidR="007B723C">
        <w:t>and ’</w:t>
      </w:r>
      <w:r w:rsidR="00AB583E">
        <w:t>male</w:t>
      </w:r>
      <w:r w:rsidR="007B723C">
        <w:t>’</w:t>
      </w:r>
      <w:r w:rsidR="00AB583E">
        <w:t xml:space="preserve"> or </w:t>
      </w:r>
      <w:r w:rsidR="007B723C">
        <w:t>’</w:t>
      </w:r>
      <w:r w:rsidR="00AB583E">
        <w:t>female</w:t>
      </w:r>
      <w:r w:rsidR="007B723C">
        <w:t>’</w:t>
      </w:r>
      <w:r w:rsidR="00AB583E">
        <w:t>. Th</w:t>
      </w:r>
      <w:r w:rsidR="005C4B3B">
        <w:t>e</w:t>
      </w:r>
      <w:r w:rsidR="00AB583E">
        <w:t xml:space="preserve"> distinction </w:t>
      </w:r>
      <w:r w:rsidR="005C4B3B">
        <w:t>between male and female</w:t>
      </w:r>
      <w:r w:rsidR="00D61279">
        <w:t xml:space="preserve"> </w:t>
      </w:r>
      <w:r w:rsidR="00AB583E">
        <w:t>is based on sex</w:t>
      </w:r>
      <w:r w:rsidR="00FF0089">
        <w:t xml:space="preserve"> </w:t>
      </w:r>
      <w:r w:rsidR="005D0491">
        <w:t>rather than gender</w:t>
      </w:r>
      <w:r w:rsidR="00AB583E">
        <w:t xml:space="preserve">, as nutrient intake and metabolism </w:t>
      </w:r>
      <w:r w:rsidR="007B723C">
        <w:t>are</w:t>
      </w:r>
      <w:r w:rsidR="00AB583E">
        <w:t xml:space="preserve"> physiological process</w:t>
      </w:r>
      <w:r w:rsidR="007B723C">
        <w:t>es</w:t>
      </w:r>
      <w:r w:rsidR="00AB583E">
        <w:t xml:space="preserve"> that </w:t>
      </w:r>
      <w:r w:rsidR="007B723C">
        <w:t>are</w:t>
      </w:r>
      <w:r w:rsidR="00AB583E">
        <w:t xml:space="preserve"> impacted by hormones.</w:t>
      </w:r>
      <w:r w:rsidR="00BA1222">
        <w:t xml:space="preserve"> The definitions of </w:t>
      </w:r>
      <w:r w:rsidR="007B723C">
        <w:t>‘</w:t>
      </w:r>
      <w:r w:rsidR="00BA1222">
        <w:t>sex</w:t>
      </w:r>
      <w:r w:rsidR="007B723C">
        <w:t>’</w:t>
      </w:r>
      <w:r w:rsidR="00BA1222">
        <w:t xml:space="preserve"> and </w:t>
      </w:r>
      <w:r w:rsidR="007B723C">
        <w:t>‘</w:t>
      </w:r>
      <w:r w:rsidR="00BA1222">
        <w:t>gender</w:t>
      </w:r>
      <w:r w:rsidR="007B723C">
        <w:t>’</w:t>
      </w:r>
      <w:r w:rsidR="00BA1222">
        <w:t xml:space="preserve"> </w:t>
      </w:r>
      <w:r w:rsidR="00822FB6">
        <w:t xml:space="preserve">used to make this distinction </w:t>
      </w:r>
      <w:r w:rsidR="000758E1">
        <w:t xml:space="preserve">come from the </w:t>
      </w:r>
      <w:hyperlink r:id="rId59" w:history="1">
        <w:r w:rsidR="00EB7B03" w:rsidRPr="00D0180A">
          <w:rPr>
            <w:rStyle w:val="Hyperlink"/>
          </w:rPr>
          <w:t xml:space="preserve">NHMRC </w:t>
        </w:r>
        <w:r w:rsidR="00E40DC5" w:rsidRPr="00D0180A">
          <w:rPr>
            <w:rStyle w:val="Hyperlink"/>
          </w:rPr>
          <w:t>Statement on Sex, Gender, Variations of Sex Characteristics and Sexual Orientation in Health and Medical Research</w:t>
        </w:r>
      </w:hyperlink>
      <w:r w:rsidR="00A655A0">
        <w:t xml:space="preserve"> </w:t>
      </w:r>
      <w:r w:rsidR="00A34128">
        <w:fldChar w:fldCharType="begin"/>
      </w:r>
      <w:r w:rsidR="00B34317">
        <w:instrText xml:space="preserve"> ADDIN EN.CITE &lt;EndNote&gt;&lt;Cite ExcludeAuth="1"&gt;&lt;Author&gt;NHMRC&lt;/Author&gt;&lt;Year&gt;2024&lt;/Year&gt;&lt;RecNum&gt;95&lt;/RecNum&gt;&lt;DisplayText&gt;(2024)&lt;/DisplayText&gt;&lt;record&gt;&lt;rec-number&gt;95&lt;/rec-number&gt;&lt;foreign-keys&gt;&lt;key app="EN" db-id="zxfaevvrgpsxebez5ec5vspfe2av5dtxt9xx" timestamp="1754959384"&gt;95&lt;/key&gt;&lt;/foreign-keys&gt;&lt;ref-type name="Electronic Book"&gt;44&lt;/ref-type&gt;&lt;contributors&gt;&lt;authors&gt;&lt;author&gt;NHMRC,&lt;/author&gt;&lt;author&gt;MRFF,&lt;/author&gt;&lt;/authors&gt;&lt;/contributors&gt;&lt;titles&gt;&lt;title&gt;Statement on Sex, Gender, Variations of Sex Characteristics and Sexual Orientation in Health and Medical Research&lt;/title&gt;&lt;/titles&gt;&lt;dates&gt;&lt;year&gt;2024&lt;/year&gt;&lt;/dates&gt;&lt;publisher&gt;Department of Health, Disability and Ageing&lt;/publisher&gt;&lt;urls&gt;&lt;related-urls&gt;&lt;url&gt;date accessed 18 August 2025, https://www.nhmrc.gov.au/research-policy/gender-equity/statement-sex-and-gender-health-and-medical-research&lt;/url&gt;&lt;/related-urls&gt;&lt;/urls&gt;&lt;/record&gt;&lt;/Cite&gt;&lt;/EndNote&gt;</w:instrText>
      </w:r>
      <w:r w:rsidR="00A34128">
        <w:fldChar w:fldCharType="separate"/>
      </w:r>
      <w:r w:rsidR="00D95E9E">
        <w:rPr>
          <w:noProof/>
        </w:rPr>
        <w:t>(2024)</w:t>
      </w:r>
      <w:r w:rsidR="00A34128">
        <w:fldChar w:fldCharType="end"/>
      </w:r>
      <w:r w:rsidR="006B58B0">
        <w:t xml:space="preserve">, where </w:t>
      </w:r>
      <w:r w:rsidR="00406E90">
        <w:t>‘</w:t>
      </w:r>
      <w:r w:rsidR="00D30CA1">
        <w:t>sex</w:t>
      </w:r>
      <w:r w:rsidR="00406E90">
        <w:t>’</w:t>
      </w:r>
      <w:r w:rsidR="00D30CA1">
        <w:t xml:space="preserve"> </w:t>
      </w:r>
      <w:r w:rsidR="00D61279">
        <w:t>relates to</w:t>
      </w:r>
      <w:r w:rsidR="00D30CA1">
        <w:t xml:space="preserve"> </w:t>
      </w:r>
      <w:r w:rsidR="00DC5171">
        <w:t>biological characteristics (i.e. hormones, chromosomes</w:t>
      </w:r>
      <w:r w:rsidR="000A0E91">
        <w:t>, reproductive organs)</w:t>
      </w:r>
      <w:r w:rsidR="00406E90">
        <w:t xml:space="preserve"> and ‘gender’ is a social and cultural concept</w:t>
      </w:r>
      <w:r w:rsidR="00C52D67">
        <w:t>.</w:t>
      </w:r>
      <w:r w:rsidR="00411A44">
        <w:t xml:space="preserve"> </w:t>
      </w:r>
      <w:r w:rsidR="00E45C62">
        <w:t>People who are t</w:t>
      </w:r>
      <w:r w:rsidR="006802AA" w:rsidRPr="006802AA">
        <w:t>rans</w:t>
      </w:r>
      <w:r w:rsidR="00FC2D13">
        <w:t>gender</w:t>
      </w:r>
      <w:r w:rsidR="00661E5F">
        <w:t>,</w:t>
      </w:r>
      <w:r w:rsidR="006802AA" w:rsidRPr="006802AA">
        <w:t xml:space="preserve"> gender diverse </w:t>
      </w:r>
      <w:r w:rsidR="00E45C62">
        <w:t>or who have</w:t>
      </w:r>
      <w:r w:rsidR="006802AA" w:rsidRPr="006802AA">
        <w:t xml:space="preserve"> innate variations of sex characteristics may not identify with their sex recorded at birth and may </w:t>
      </w:r>
      <w:r w:rsidR="00D61279">
        <w:t xml:space="preserve">at some point </w:t>
      </w:r>
      <w:r w:rsidR="006802AA" w:rsidRPr="006802AA">
        <w:t>change the way they report their sex</w:t>
      </w:r>
      <w:r w:rsidR="00E45C62">
        <w:t>. For this reason</w:t>
      </w:r>
      <w:r w:rsidR="009B5AD1">
        <w:t>, when NRVs are developed</w:t>
      </w:r>
      <w:r w:rsidR="00E32CE1">
        <w:t>, it should be specified</w:t>
      </w:r>
      <w:r w:rsidR="007971E0">
        <w:t xml:space="preserve"> in the recommendations</w:t>
      </w:r>
      <w:r w:rsidR="00E32CE1">
        <w:t xml:space="preserve"> that </w:t>
      </w:r>
      <w:r w:rsidR="00801E86">
        <w:t xml:space="preserve">‘male’ and ‘female’ </w:t>
      </w:r>
      <w:r w:rsidR="00245F30">
        <w:t xml:space="preserve">population groups </w:t>
      </w:r>
      <w:r w:rsidR="00801E86">
        <w:t>refer to</w:t>
      </w:r>
      <w:r w:rsidR="00245F30">
        <w:t xml:space="preserve"> biological sex</w:t>
      </w:r>
      <w:r w:rsidR="004F3613">
        <w:t xml:space="preserve">, and </w:t>
      </w:r>
      <w:r w:rsidR="00F07AC9">
        <w:t xml:space="preserve">individuals who think </w:t>
      </w:r>
      <w:r w:rsidR="003C1522">
        <w:t>th</w:t>
      </w:r>
      <w:r w:rsidR="00522859">
        <w:t>is may not be relevant to them</w:t>
      </w:r>
      <w:r w:rsidR="00D5145B">
        <w:t xml:space="preserve"> </w:t>
      </w:r>
      <w:r w:rsidR="00B91AD4">
        <w:t>may need</w:t>
      </w:r>
      <w:r w:rsidR="00472F52">
        <w:t xml:space="preserve"> to consult</w:t>
      </w:r>
      <w:r w:rsidR="00D5145B">
        <w:t xml:space="preserve"> </w:t>
      </w:r>
      <w:r w:rsidR="007971E0">
        <w:t>a</w:t>
      </w:r>
      <w:r w:rsidR="00D5145B">
        <w:t xml:space="preserve"> health practitioner </w:t>
      </w:r>
      <w:r w:rsidR="007971E0">
        <w:t>who</w:t>
      </w:r>
      <w:r w:rsidR="00D5145B">
        <w:t xml:space="preserve"> can consider their individual needs.</w:t>
      </w:r>
      <w:r w:rsidR="006802AA" w:rsidRPr="006802AA">
        <w:t xml:space="preserve"> </w:t>
      </w:r>
    </w:p>
    <w:p w14:paraId="681A34C4" w14:textId="6E0FB2A3" w:rsidR="00316366" w:rsidRDefault="00EB7A67" w:rsidP="00000E9F">
      <w:r>
        <w:t>There m</w:t>
      </w:r>
      <w:r w:rsidR="00C17593">
        <w:t xml:space="preserve">ay be other specific population groups that </w:t>
      </w:r>
      <w:r w:rsidR="00735639">
        <w:t xml:space="preserve">require </w:t>
      </w:r>
      <w:r w:rsidR="008D4D22">
        <w:t xml:space="preserve">additional </w:t>
      </w:r>
      <w:r w:rsidR="00735639">
        <w:t xml:space="preserve">consideration based on </w:t>
      </w:r>
      <w:r w:rsidR="00DB7A37">
        <w:t>other attributes.</w:t>
      </w:r>
      <w:r w:rsidR="00034D28">
        <w:t xml:space="preserve"> </w:t>
      </w:r>
    </w:p>
    <w:p w14:paraId="29F786A1" w14:textId="407D7497" w:rsidR="00947D68" w:rsidRDefault="00947D68" w:rsidP="00000E9F">
      <w:r>
        <w:t>Subgroups of older adults and special population could include:</w:t>
      </w:r>
    </w:p>
    <w:p w14:paraId="6840A73A" w14:textId="118300E5" w:rsidR="00CC6448" w:rsidRDefault="00CC6448" w:rsidP="00821119">
      <w:pPr>
        <w:pStyle w:val="Bullet1"/>
      </w:pPr>
      <w:r>
        <w:t xml:space="preserve">Aboriginal and Torres Strait Islander people </w:t>
      </w:r>
      <w:r w:rsidR="00821119">
        <w:t>(</w:t>
      </w:r>
      <w:r>
        <w:t xml:space="preserve">aged </w:t>
      </w:r>
      <w:r w:rsidR="008E2487">
        <w:t>51+</w:t>
      </w:r>
      <w:r w:rsidR="00821119">
        <w:t>)</w:t>
      </w:r>
    </w:p>
    <w:p w14:paraId="07762DE9" w14:textId="45051469" w:rsidR="00947D68" w:rsidRDefault="00CC6448" w:rsidP="00821119">
      <w:pPr>
        <w:pStyle w:val="Bullet1"/>
      </w:pPr>
      <w:r>
        <w:t>Māori and Pacific Island people</w:t>
      </w:r>
      <w:r w:rsidR="00947D68">
        <w:t>.</w:t>
      </w:r>
    </w:p>
    <w:p w14:paraId="26F6E2C0" w14:textId="520D0D5C" w:rsidR="001D50D6" w:rsidRDefault="00947D68" w:rsidP="00000E9F">
      <w:r>
        <w:t xml:space="preserve">There may be additional functional requirements for some people which should </w:t>
      </w:r>
      <w:r w:rsidR="00D4430D">
        <w:t>considered when applying NRVs.</w:t>
      </w:r>
      <w:r>
        <w:t xml:space="preserve"> </w:t>
      </w:r>
    </w:p>
    <w:p w14:paraId="04F704A0" w14:textId="2465CABF" w:rsidR="00190524" w:rsidRPr="00CA5E26" w:rsidRDefault="00D67E5A" w:rsidP="00000E9F">
      <w:r>
        <w:t>NRV recommendations are designed to be public health advice that appl</w:t>
      </w:r>
      <w:r w:rsidR="00733B8B">
        <w:t>ies</w:t>
      </w:r>
      <w:r>
        <w:t xml:space="preserve"> to the general population. </w:t>
      </w:r>
      <w:r w:rsidR="00190524">
        <w:t>People who need nuanced advice</w:t>
      </w:r>
      <w:r w:rsidR="00825EA0">
        <w:t xml:space="preserve"> on recommended nutrient intakes due to </w:t>
      </w:r>
      <w:r w:rsidR="00E47AC1">
        <w:t xml:space="preserve">specific </w:t>
      </w:r>
      <w:r w:rsidR="00825EA0">
        <w:t xml:space="preserve">health </w:t>
      </w:r>
      <w:r w:rsidR="00E47AC1">
        <w:t xml:space="preserve">conditions </w:t>
      </w:r>
      <w:r w:rsidR="00825EA0">
        <w:t xml:space="preserve">or </w:t>
      </w:r>
      <w:r w:rsidR="0051370E">
        <w:t>other circumstances</w:t>
      </w:r>
      <w:r w:rsidR="00825EA0">
        <w:t xml:space="preserve"> should seek individualised advice from a health </w:t>
      </w:r>
      <w:r w:rsidR="004112DD">
        <w:t xml:space="preserve">professional. This </w:t>
      </w:r>
      <w:r w:rsidR="0051370E">
        <w:t xml:space="preserve">message </w:t>
      </w:r>
      <w:r w:rsidR="004112DD">
        <w:t>should be stated alongside all NRV recommendations</w:t>
      </w:r>
      <w:r w:rsidR="00E368B1">
        <w:t>.</w:t>
      </w:r>
      <w:r w:rsidR="004112DD">
        <w:t xml:space="preserve"> </w:t>
      </w:r>
    </w:p>
    <w:p w14:paraId="49CF55C3" w14:textId="111B8B31" w:rsidR="007E28A3" w:rsidRDefault="00573231" w:rsidP="00F31715">
      <w:pPr>
        <w:pStyle w:val="Heading60"/>
      </w:pPr>
      <w:bookmarkStart w:id="128" w:name="_Toc207801069"/>
      <w:bookmarkStart w:id="129" w:name="_Toc207824546"/>
      <w:r>
        <w:t>Measuring intake and status</w:t>
      </w:r>
      <w:bookmarkEnd w:id="128"/>
      <w:bookmarkEnd w:id="129"/>
    </w:p>
    <w:p w14:paraId="6954E8A3" w14:textId="17EA2ECE" w:rsidR="005C1276" w:rsidRDefault="008761E7" w:rsidP="005C1276">
      <w:r>
        <w:t xml:space="preserve">Methods for </w:t>
      </w:r>
      <w:r w:rsidR="00757BC4">
        <w:t>reliabl</w:t>
      </w:r>
      <w:r w:rsidR="0003754F">
        <w:t>y</w:t>
      </w:r>
      <w:r w:rsidR="00757BC4">
        <w:t xml:space="preserve"> measur</w:t>
      </w:r>
      <w:r w:rsidR="0003754F">
        <w:t>ing</w:t>
      </w:r>
      <w:r w:rsidR="00757BC4">
        <w:t xml:space="preserve"> </w:t>
      </w:r>
      <w:r w:rsidR="006455DB">
        <w:t xml:space="preserve">dietary intake </w:t>
      </w:r>
      <w:r w:rsidR="00A92830">
        <w:t xml:space="preserve">and </w:t>
      </w:r>
      <w:r w:rsidR="00822F63">
        <w:t xml:space="preserve">micronutrient </w:t>
      </w:r>
      <w:r w:rsidR="00A92830">
        <w:t xml:space="preserve">status </w:t>
      </w:r>
      <w:r w:rsidR="0003754F">
        <w:t>(</w:t>
      </w:r>
      <w:r w:rsidR="006455DB">
        <w:t>biomarkers</w:t>
      </w:r>
      <w:r w:rsidR="0003754F">
        <w:t>)</w:t>
      </w:r>
      <w:r w:rsidR="006455DB">
        <w:t xml:space="preserve"> </w:t>
      </w:r>
      <w:r w:rsidR="00F043FA">
        <w:t>must</w:t>
      </w:r>
      <w:r w:rsidR="007E28A3">
        <w:t xml:space="preserve"> be </w:t>
      </w:r>
      <w:r>
        <w:t xml:space="preserve">identified, </w:t>
      </w:r>
      <w:r w:rsidR="00CA68F7">
        <w:t>and</w:t>
      </w:r>
      <w:r>
        <w:t xml:space="preserve"> acceptable (and unacceptable) methods </w:t>
      </w:r>
      <w:r w:rsidR="00CA68F7">
        <w:t xml:space="preserve">reflected in </w:t>
      </w:r>
      <w:r>
        <w:t>review inclusion/exclusion criteria</w:t>
      </w:r>
      <w:r w:rsidR="00317F5E">
        <w:t>.</w:t>
      </w:r>
      <w:r w:rsidR="00822F63">
        <w:t xml:space="preserve"> </w:t>
      </w:r>
      <w:r w:rsidR="005C1276">
        <w:t xml:space="preserve">Decisions about appropriate methods for intake assessment and micronutrient status should be based on evidence, to the extent possible within the available review resources. </w:t>
      </w:r>
    </w:p>
    <w:p w14:paraId="395C5161" w14:textId="61BD1150" w:rsidR="0073306B" w:rsidRDefault="00CB6BAD" w:rsidP="00822F63">
      <w:r>
        <w:t>An i</w:t>
      </w:r>
      <w:r w:rsidR="00A81670">
        <w:t xml:space="preserve">nclusive </w:t>
      </w:r>
      <w:r>
        <w:t xml:space="preserve">approach </w:t>
      </w:r>
      <w:r w:rsidR="00A81670">
        <w:t>that allow</w:t>
      </w:r>
      <w:r>
        <w:t>s</w:t>
      </w:r>
      <w:r w:rsidR="00A81670">
        <w:t xml:space="preserve"> for multiple </w:t>
      </w:r>
      <w:r w:rsidR="0039442B">
        <w:t xml:space="preserve">acceptable </w:t>
      </w:r>
      <w:r w:rsidR="00A81670">
        <w:t>measurement methods should be adopted</w:t>
      </w:r>
      <w:r w:rsidR="00AB3AFC">
        <w:t>, whilst maintaining minimum standards for accuracy and reliability</w:t>
      </w:r>
      <w:r w:rsidR="00A81670">
        <w:t xml:space="preserve">. </w:t>
      </w:r>
      <w:r w:rsidR="00066FBF">
        <w:t xml:space="preserve">This </w:t>
      </w:r>
      <w:r w:rsidR="008E462B">
        <w:t xml:space="preserve">will ensure </w:t>
      </w:r>
      <w:r w:rsidR="00066FBF">
        <w:t>that evidence for the intake-status-health relationship is sufficiently robust to guide NRV development, whilst allowing for the inclusion of a range of studies</w:t>
      </w:r>
      <w:r w:rsidR="0062060D">
        <w:t xml:space="preserve"> with differing methodological approaches</w:t>
      </w:r>
      <w:r w:rsidR="00066FBF">
        <w:t xml:space="preserve"> in the review.</w:t>
      </w:r>
      <w:r w:rsidR="005C1276">
        <w:t xml:space="preserve"> </w:t>
      </w:r>
      <w:r w:rsidR="0062060D">
        <w:t xml:space="preserve">Where measurement methods </w:t>
      </w:r>
      <w:r w:rsidR="008E462B">
        <w:t xml:space="preserve">vary in their reliability, a hierarchy of measures may be developed and </w:t>
      </w:r>
      <w:r w:rsidR="0062060D">
        <w:t>t</w:t>
      </w:r>
      <w:r w:rsidR="0073306B">
        <w:t xml:space="preserve">he impact of including less robust </w:t>
      </w:r>
      <w:r w:rsidR="008E462B">
        <w:t xml:space="preserve">measurement </w:t>
      </w:r>
      <w:r w:rsidR="0073306B">
        <w:t xml:space="preserve">methods explored </w:t>
      </w:r>
      <w:r w:rsidR="0062060D">
        <w:t xml:space="preserve">in sensitivity </w:t>
      </w:r>
      <w:r w:rsidR="0073306B">
        <w:t>analyses</w:t>
      </w:r>
      <w:r w:rsidR="005405F3">
        <w:t xml:space="preserve"> </w:t>
      </w:r>
      <w:r w:rsidR="00E90733">
        <w:t>t</w:t>
      </w:r>
      <w:r w:rsidR="005405F3" w:rsidRPr="005405F3">
        <w:t xml:space="preserve">o assess how sensitive results are to </w:t>
      </w:r>
      <w:r w:rsidR="0014436C">
        <w:t>different</w:t>
      </w:r>
      <w:r w:rsidR="005405F3" w:rsidRPr="005405F3">
        <w:t xml:space="preserve"> assumptions</w:t>
      </w:r>
      <w:r w:rsidR="005468D2">
        <w:t xml:space="preserve"> </w:t>
      </w:r>
      <w:r w:rsidR="00062F51">
        <w:fldChar w:fldCharType="begin"/>
      </w:r>
      <w:r w:rsidR="005674A6">
        <w:instrText xml:space="preserve"> ADDIN EN.CITE &lt;EndNote&gt;&lt;Cite&gt;&lt;Author&gt;Deeks&lt;/Author&gt;&lt;Year&gt;2024&lt;/Year&gt;&lt;RecNum&gt;96&lt;/RecNum&gt;&lt;DisplayText&gt;(Deeks et al. 2024)&lt;/DisplayText&gt;&lt;record&gt;&lt;rec-number&gt;96&lt;/rec-number&gt;&lt;foreign-keys&gt;&lt;key app="EN" db-id="zxfaevvrgpsxebez5ec5vspfe2av5dtxt9xx" timestamp="1754959384"&gt;96&lt;/key&gt;&lt;/foreign-keys&gt;&lt;ref-type name="Electronic Book Section"&gt;60&lt;/ref-type&gt;&lt;contributors&gt;&lt;authors&gt;&lt;author&gt;Deeks, J.J.&lt;/author&gt;&lt;author&gt;Higgins, J.P.T.&lt;/author&gt;&lt;author&gt;Altman, D.G.&lt;/author&gt;&lt;author&gt;McKenzie, J.E.&lt;/author&gt;&lt;author&gt;Veroniki, A.A. &lt;/author&gt;&lt;/authors&gt;&lt;/contributors&gt;&lt;titles&gt;&lt;title&gt;Chapter 10: Analysing data and undertaking meta-analyses [last updated November 2024]&lt;/title&gt;&lt;secondary-title&gt;Cochrane Handbook for Systematic Reviews of Interventions version 6.5&lt;/secondary-title&gt;&lt;/titles&gt;&lt;dates&gt;&lt;year&gt;2024&lt;/year&gt;&lt;/dates&gt;&lt;urls&gt;&lt;related-urls&gt;&lt;url&gt;date accessed 18 August 2025, https://www.cochrane.org/authors/handbooks-and-manuals/handbook/current/chapter-10#_Ref180060260&lt;/url&gt;&lt;/related-urls&gt;&lt;/urls&gt;&lt;/record&gt;&lt;/Cite&gt;&lt;/EndNote&gt;</w:instrText>
      </w:r>
      <w:r w:rsidR="00062F51">
        <w:fldChar w:fldCharType="separate"/>
      </w:r>
      <w:r w:rsidR="00DB4ED5">
        <w:rPr>
          <w:noProof/>
        </w:rPr>
        <w:t>(Deeks et al. 2024)</w:t>
      </w:r>
      <w:r w:rsidR="00062F51">
        <w:fldChar w:fldCharType="end"/>
      </w:r>
      <w:r w:rsidR="0073306B" w:rsidRPr="00982256">
        <w:t>.</w:t>
      </w:r>
    </w:p>
    <w:p w14:paraId="57CE1C19" w14:textId="77777777" w:rsidR="007E28A3" w:rsidRDefault="007E28A3" w:rsidP="007E28A3">
      <w:pPr>
        <w:pStyle w:val="Boxed1Text"/>
      </w:pPr>
      <w:r>
        <w:lastRenderedPageBreak/>
        <w:t>Further information is outlined in:</w:t>
      </w:r>
    </w:p>
    <w:p w14:paraId="1918D6C2" w14:textId="7FB17FD2" w:rsidR="007E28A3" w:rsidRDefault="00721CFD" w:rsidP="00211F4C">
      <w:pPr>
        <w:pStyle w:val="Boxed1Bullet"/>
        <w:numPr>
          <w:ilvl w:val="0"/>
          <w:numId w:val="70"/>
        </w:numPr>
      </w:pP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 </w:instrText>
      </w: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EN.CITE.DATA </w:instrText>
      </w:r>
      <w:r>
        <w:fldChar w:fldCharType="end"/>
      </w:r>
      <w:r>
        <w:fldChar w:fldCharType="separate"/>
      </w:r>
      <w:r>
        <w:rPr>
          <w:noProof/>
        </w:rPr>
        <w:t>Dhonukshe-Rutten et al. (2013)</w:t>
      </w:r>
      <w:r>
        <w:fldChar w:fldCharType="end"/>
      </w:r>
      <w:r w:rsidRPr="00721CFD">
        <w:t xml:space="preserve"> EURRECA-Evidence-based methodology for deriving micronutrient recommendations. </w:t>
      </w:r>
      <w:r w:rsidRPr="00721CFD">
        <w:rPr>
          <w:i/>
          <w:iCs/>
        </w:rPr>
        <w:t xml:space="preserve">Crit Rev Food Sci </w:t>
      </w:r>
      <w:proofErr w:type="spellStart"/>
      <w:r w:rsidRPr="00721CFD">
        <w:rPr>
          <w:i/>
          <w:iCs/>
        </w:rPr>
        <w:t>Nutr</w:t>
      </w:r>
      <w:proofErr w:type="spellEnd"/>
      <w:r w:rsidRPr="00721CFD">
        <w:t>,</w:t>
      </w:r>
      <w:r w:rsidRPr="00721CFD">
        <w:rPr>
          <w:i/>
          <w:iCs/>
        </w:rPr>
        <w:t xml:space="preserve"> 53</w:t>
      </w:r>
      <w:r w:rsidRPr="00721CFD">
        <w:t xml:space="preserve">(10), 999-1040. </w:t>
      </w:r>
      <w:hyperlink r:id="rId60" w:history="1">
        <w:r w:rsidRPr="000163C7">
          <w:rPr>
            <w:rStyle w:val="Hyperlink"/>
            <w:color w:val="006CBC"/>
          </w:rPr>
          <w:t>https://doi.org/10.1080/10408398.2012.749209</w:t>
        </w:r>
      </w:hyperlink>
      <w:r>
        <w:t xml:space="preserve"> </w:t>
      </w:r>
      <w:r w:rsidR="00AB5976">
        <w:t xml:space="preserve">- </w:t>
      </w:r>
      <w:r w:rsidR="007E28A3">
        <w:t xml:space="preserve">pp. </w:t>
      </w:r>
      <w:r w:rsidR="007E28A3" w:rsidRPr="00DE1FA4">
        <w:t>1007 – 1012</w:t>
      </w:r>
    </w:p>
    <w:p w14:paraId="68F384A0" w14:textId="66BFE99A" w:rsidR="007E28A3" w:rsidRPr="00DE1FA4" w:rsidRDefault="000304C0" w:rsidP="00211F4C">
      <w:pPr>
        <w:pStyle w:val="Boxed1Bullet"/>
        <w:numPr>
          <w:ilvl w:val="0"/>
          <w:numId w:val="70"/>
        </w:numPr>
      </w:pPr>
      <w:r>
        <w:fldChar w:fldCharType="begin"/>
      </w:r>
      <w:r w:rsidR="007607BA">
        <w:instrText xml:space="preserve"> ADDIN EN.CITE &lt;EndNote&gt;&lt;Cite AuthorYear="1"&gt;&lt;Author&gt;NASEM&lt;/Author&gt;&lt;Year&gt;2017&lt;/Year&gt;&lt;RecNum&gt;43&lt;/RecNum&gt;&lt;DisplayText&gt;NASEM (2017)&lt;/DisplayText&gt;&lt;record&gt;&lt;rec-number&gt;43&lt;/rec-number&gt;&lt;foreign-keys&gt;&lt;key app="EN" db-id="zxfaevvrgpsxebez5ec5vspfe2av5dtxt9xx" timestamp="1754957726"&gt;43&lt;/key&gt;&lt;/foreign-keys&gt;&lt;ref-type name="Book"&gt;6&lt;/ref-type&gt;&lt;contributors&gt;&lt;authors&gt;&lt;author&gt;NASEM,&lt;/author&gt;&lt;/authors&gt;&lt;secondary-authors&gt;&lt;author&gt;Kumanyika, Shiriki&lt;/author&gt;&lt;author&gt;Oria, Maria P.&lt;/author&gt;&lt;/secondary-authors&gt;&lt;/contributors&gt;&lt;titles&gt;&lt;title&gt;Guiding Principles for Developing Dietary Reference Intakes Based on Chronic Disease&lt;/title&gt;&lt;/titles&gt;&lt;pages&gt;334&lt;/pages&gt;&lt;keywords&gt;&lt;keyword&gt;Food and Nutrition&lt;/keyword&gt;&lt;keyword&gt;Health and Medicine&lt;/keyword&gt;&lt;/keywords&gt;&lt;dates&gt;&lt;year&gt;2017&lt;/year&gt;&lt;/dates&gt;&lt;pub-location&gt;Washington, DC&lt;/pub-location&gt;&lt;publisher&gt;The National Academies Press&lt;/publisher&gt;&lt;isbn&gt;978-0-309-46256-3&lt;/isbn&gt;&lt;urls&gt;&lt;related-urls&gt;&lt;url&gt;https://nap.nationalacademies.org/catalog/24828/guiding-principles-for-developing-dietary-reference-intakes-based-on-chronic-disease&lt;/url&gt;&lt;/related-urls&gt;&lt;/urls&gt;&lt;electronic-resource-num&gt;doi:10.17226/24828&lt;/electronic-resource-num&gt;&lt;language&gt;English&lt;/language&gt;&lt;/record&gt;&lt;/Cite&gt;&lt;/EndNote&gt;</w:instrText>
      </w:r>
      <w:r>
        <w:fldChar w:fldCharType="separate"/>
      </w:r>
      <w:r w:rsidR="007607BA">
        <w:rPr>
          <w:noProof/>
        </w:rPr>
        <w:t>NASEM (2017)</w:t>
      </w:r>
      <w:r>
        <w:fldChar w:fldCharType="end"/>
      </w:r>
      <w:r w:rsidRPr="000304C0">
        <w:t xml:space="preserve"> </w:t>
      </w:r>
      <w:r w:rsidRPr="000304C0">
        <w:rPr>
          <w:i/>
          <w:iCs/>
        </w:rPr>
        <w:t>Guiding Principles for Developing Dietary Reference Intakes Based on Chronic Disease</w:t>
      </w:r>
      <w:r w:rsidRPr="000304C0">
        <w:t xml:space="preserve">. The National Academies Press. </w:t>
      </w:r>
      <w:hyperlink r:id="rId61" w:history="1">
        <w:r w:rsidRPr="000163C7">
          <w:rPr>
            <w:rStyle w:val="Hyperlink"/>
            <w:color w:val="006CBC"/>
          </w:rPr>
          <w:t>https://doi.org/doi:10.17226/24828</w:t>
        </w:r>
      </w:hyperlink>
      <w:r>
        <w:t xml:space="preserve"> </w:t>
      </w:r>
      <w:r w:rsidR="007E28A3">
        <w:t xml:space="preserve">- </w:t>
      </w:r>
      <w:r w:rsidR="007E28A3" w:rsidRPr="00DE1FA4">
        <w:t>pp. 75 – 76</w:t>
      </w:r>
      <w:r w:rsidR="007E28A3">
        <w:t xml:space="preserve"> and pp. 89</w:t>
      </w:r>
      <w:r w:rsidR="00840D92">
        <w:t xml:space="preserve"> - </w:t>
      </w:r>
      <w:r w:rsidR="007E28A3">
        <w:t>104</w:t>
      </w:r>
      <w:r w:rsidR="009A720B">
        <w:t xml:space="preserve"> </w:t>
      </w:r>
    </w:p>
    <w:p w14:paraId="72948DE7" w14:textId="127C6825" w:rsidR="00000E9F" w:rsidRDefault="00D057EA" w:rsidP="003E2E95">
      <w:pPr>
        <w:pStyle w:val="Heading50"/>
      </w:pPr>
      <w:bookmarkStart w:id="130" w:name="_Toc207801070"/>
      <w:bookmarkStart w:id="131" w:name="_Toc207824547"/>
      <w:r>
        <w:t>O</w:t>
      </w:r>
      <w:r w:rsidR="00CA5E26">
        <w:t>utcomes/endpoints</w:t>
      </w:r>
      <w:bookmarkEnd w:id="130"/>
      <w:bookmarkEnd w:id="131"/>
    </w:p>
    <w:p w14:paraId="3BD30679" w14:textId="5D32FCDB" w:rsidR="00D057EA" w:rsidRDefault="00D057EA" w:rsidP="00D057EA">
      <w:r w:rsidRPr="00D057EA">
        <w:t xml:space="preserve">The </w:t>
      </w:r>
      <w:r w:rsidR="004D132C">
        <w:t>outcomes selected for inclusion in the evidence review will vary</w:t>
      </w:r>
      <w:r w:rsidR="005573CD">
        <w:t xml:space="preserve"> </w:t>
      </w:r>
      <w:r w:rsidR="004D132C">
        <w:t>and may include:</w:t>
      </w:r>
    </w:p>
    <w:p w14:paraId="031A85EB" w14:textId="30670373" w:rsidR="004D132C" w:rsidRDefault="00235DF7" w:rsidP="00211F4C">
      <w:pPr>
        <w:pStyle w:val="ListParagraph"/>
        <w:numPr>
          <w:ilvl w:val="0"/>
          <w:numId w:val="28"/>
        </w:numPr>
      </w:pPr>
      <w:r>
        <w:t>c</w:t>
      </w:r>
      <w:r w:rsidR="008C3151">
        <w:t>linical indicators</w:t>
      </w:r>
      <w:r>
        <w:t>, such as</w:t>
      </w:r>
      <w:r w:rsidR="008C3151">
        <w:t xml:space="preserve"> signs of deficiency, altered</w:t>
      </w:r>
      <w:r>
        <w:t xml:space="preserve"> </w:t>
      </w:r>
      <w:r w:rsidR="008C3151">
        <w:t>body composition, impaired function, or increased morbidity</w:t>
      </w:r>
    </w:p>
    <w:p w14:paraId="41B1D170" w14:textId="35736299" w:rsidR="008C3151" w:rsidRDefault="00615C60" w:rsidP="00211F4C">
      <w:pPr>
        <w:pStyle w:val="ListParagraph"/>
        <w:numPr>
          <w:ilvl w:val="0"/>
          <w:numId w:val="28"/>
        </w:numPr>
      </w:pPr>
      <w:r>
        <w:t>b</w:t>
      </w:r>
      <w:r w:rsidR="008C6833">
        <w:t xml:space="preserve">iochemical </w:t>
      </w:r>
      <w:r w:rsidR="008D1EA4">
        <w:t xml:space="preserve">markers of </w:t>
      </w:r>
      <w:r w:rsidR="00CA0B4C">
        <w:t xml:space="preserve">nutrient status or health </w:t>
      </w:r>
      <w:r w:rsidR="00B14870">
        <w:t>outcomes</w:t>
      </w:r>
      <w:r w:rsidR="00CA0B4C">
        <w:t xml:space="preserve"> (</w:t>
      </w:r>
      <w:r>
        <w:t xml:space="preserve">such as </w:t>
      </w:r>
      <w:r w:rsidR="00B14870">
        <w:t>blood or urine levels</w:t>
      </w:r>
      <w:r w:rsidR="00CA0B4C">
        <w:t>)</w:t>
      </w:r>
    </w:p>
    <w:p w14:paraId="1D5D2A60" w14:textId="1FD26B59" w:rsidR="00B14870" w:rsidRDefault="00615C60" w:rsidP="00211F4C">
      <w:pPr>
        <w:pStyle w:val="ListParagraph"/>
        <w:numPr>
          <w:ilvl w:val="0"/>
          <w:numId w:val="28"/>
        </w:numPr>
      </w:pPr>
      <w:r>
        <w:t>f</w:t>
      </w:r>
      <w:r w:rsidR="00235DF7">
        <w:t>unctional measures</w:t>
      </w:r>
      <w:r>
        <w:t xml:space="preserve">, such as </w:t>
      </w:r>
      <w:r w:rsidR="00235DF7">
        <w:t>bone health</w:t>
      </w:r>
      <w:r>
        <w:t xml:space="preserve"> or</w:t>
      </w:r>
      <w:r w:rsidR="00235DF7">
        <w:t xml:space="preserve"> hormone levels</w:t>
      </w:r>
    </w:p>
    <w:p w14:paraId="6E4C3802" w14:textId="000E869E" w:rsidR="00235DF7" w:rsidRDefault="00615C60" w:rsidP="00211F4C">
      <w:pPr>
        <w:pStyle w:val="ListParagraph"/>
        <w:numPr>
          <w:ilvl w:val="0"/>
          <w:numId w:val="28"/>
        </w:numPr>
      </w:pPr>
      <w:r>
        <w:t>r</w:t>
      </w:r>
      <w:r w:rsidR="00235DF7">
        <w:t>isk of developmental abnormalities</w:t>
      </w:r>
    </w:p>
    <w:p w14:paraId="507B39CC" w14:textId="1D78C7DA" w:rsidR="00235DF7" w:rsidRDefault="00615C60" w:rsidP="00211F4C">
      <w:pPr>
        <w:pStyle w:val="ListParagraph"/>
        <w:numPr>
          <w:ilvl w:val="0"/>
          <w:numId w:val="28"/>
        </w:numPr>
      </w:pPr>
      <w:r>
        <w:t>r</w:t>
      </w:r>
      <w:r w:rsidR="00235DF7">
        <w:t>isk of chronic disease outcomes</w:t>
      </w:r>
    </w:p>
    <w:p w14:paraId="3C2A21D1" w14:textId="4959C5B9" w:rsidR="004D132C" w:rsidRDefault="006456F9" w:rsidP="00D057EA">
      <w:r>
        <w:t xml:space="preserve">Typically, </w:t>
      </w:r>
      <w:r w:rsidR="00537EF7">
        <w:t xml:space="preserve">several </w:t>
      </w:r>
      <w:r>
        <w:t xml:space="preserve">outcomes will be </w:t>
      </w:r>
      <w:r w:rsidR="00537EF7">
        <w:t>used as indicators for setting NRVs</w:t>
      </w:r>
      <w:r w:rsidR="00BC2FAA">
        <w:t>, with a focus on the most sensitive end points for the NRV under development</w:t>
      </w:r>
      <w:r w:rsidR="002B062D">
        <w:t xml:space="preserve">. </w:t>
      </w:r>
    </w:p>
    <w:p w14:paraId="0B29AAE7" w14:textId="6B90C38F" w:rsidR="00BD2708" w:rsidRDefault="0017772F" w:rsidP="00092C98">
      <w:r>
        <w:t>Outcome</w:t>
      </w:r>
      <w:r w:rsidR="00A14752">
        <w:t xml:space="preserve">s selected </w:t>
      </w:r>
      <w:r>
        <w:t xml:space="preserve">should be </w:t>
      </w:r>
      <w:r w:rsidR="00B106DE">
        <w:t xml:space="preserve">critical </w:t>
      </w:r>
      <w:r w:rsidR="00B81504">
        <w:t>or</w:t>
      </w:r>
      <w:r w:rsidR="00B106DE">
        <w:t xml:space="preserve"> important to decision making </w:t>
      </w:r>
      <w:r w:rsidR="003915F4">
        <w:t>(</w:t>
      </w:r>
      <w:r>
        <w:t>in accordance with GRADE approach</w:t>
      </w:r>
      <w:r w:rsidR="008B5542">
        <w:t xml:space="preserve"> </w:t>
      </w:r>
      <w:r w:rsidR="00F86DE7">
        <w:t>(</w:t>
      </w:r>
      <w:r w:rsidR="00F86DE7" w:rsidRPr="00F86DE7">
        <w:t>Grading of Recommendations, Assessment, Development, and Evaluations</w:t>
      </w:r>
      <w:r w:rsidR="00A14752">
        <w:t>)</w:t>
      </w:r>
      <w:r w:rsidR="00000135">
        <w:t xml:space="preserve">. </w:t>
      </w:r>
      <w:r w:rsidR="009F2137">
        <w:t>Decisions about</w:t>
      </w:r>
      <w:r>
        <w:t xml:space="preserve"> priority </w:t>
      </w:r>
      <w:r w:rsidR="009F2137">
        <w:t>should consider the importance of an</w:t>
      </w:r>
      <w:r w:rsidR="003E1DB8">
        <w:t xml:space="preserve"> </w:t>
      </w:r>
      <w:r w:rsidR="00777E8E">
        <w:t>outcome for the purposes of setting NRVs</w:t>
      </w:r>
      <w:r w:rsidR="000C788E">
        <w:t xml:space="preserve"> </w:t>
      </w:r>
      <w:r w:rsidR="00092C98">
        <w:t xml:space="preserve">– that is, </w:t>
      </w:r>
      <w:r w:rsidR="00336363">
        <w:t xml:space="preserve">with consideration given to </w:t>
      </w:r>
      <w:r w:rsidR="00092C98">
        <w:t xml:space="preserve">the nutrient and </w:t>
      </w:r>
      <w:r w:rsidR="00F405D3">
        <w:t>country-specific</w:t>
      </w:r>
      <w:r w:rsidR="00092C98">
        <w:t xml:space="preserve"> context</w:t>
      </w:r>
      <w:r w:rsidR="00F405D3">
        <w:t xml:space="preserve">, along with the </w:t>
      </w:r>
      <w:r w:rsidR="009F2137">
        <w:t>likely availability of evidence</w:t>
      </w:r>
      <w:r w:rsidR="00F405D3">
        <w:t xml:space="preserve"> for that outcome</w:t>
      </w:r>
      <w:r w:rsidR="00092C98">
        <w:t xml:space="preserve">. </w:t>
      </w:r>
      <w:r w:rsidR="00B81504">
        <w:t>Adverse outcomes should also be considered</w:t>
      </w:r>
      <w:r w:rsidR="00FD27AE">
        <w:t>.</w:t>
      </w:r>
    </w:p>
    <w:p w14:paraId="1FFB6F8B" w14:textId="77777777" w:rsidR="000749FE" w:rsidRPr="00BD2708" w:rsidRDefault="000749FE" w:rsidP="00092C98">
      <w:pPr>
        <w:rPr>
          <w:highlight w:val="yellow"/>
        </w:rPr>
      </w:pPr>
    </w:p>
    <w:p w14:paraId="6E609B10" w14:textId="3597674D" w:rsidR="00BD2708" w:rsidRPr="00592323" w:rsidRDefault="00BD2708" w:rsidP="00592323">
      <w:pPr>
        <w:pStyle w:val="Boxed1Bullet"/>
        <w:numPr>
          <w:ilvl w:val="0"/>
          <w:numId w:val="0"/>
        </w:numPr>
        <w:ind w:left="567" w:hanging="283"/>
      </w:pPr>
      <w:r w:rsidRPr="00592323">
        <w:t xml:space="preserve">Further </w:t>
      </w:r>
      <w:r w:rsidR="00592323">
        <w:t xml:space="preserve">guidance on outcome selection </w:t>
      </w:r>
      <w:r w:rsidRPr="00592323">
        <w:t>is available from:</w:t>
      </w:r>
    </w:p>
    <w:p w14:paraId="7553573D" w14:textId="0FEA0C4F" w:rsidR="00BD2708" w:rsidRDefault="000304C0" w:rsidP="00211F4C">
      <w:pPr>
        <w:pStyle w:val="Boxed1Bullet"/>
        <w:numPr>
          <w:ilvl w:val="0"/>
          <w:numId w:val="69"/>
        </w:numPr>
      </w:pPr>
      <w:r>
        <w:fldChar w:fldCharType="begin"/>
      </w:r>
      <w:r w:rsidR="007607BA">
        <w:instrText xml:space="preserve"> ADDIN EN.CITE &lt;EndNote&gt;&lt;Cite AuthorYear="1"&gt;&lt;Author&gt;NASEM&lt;/Author&gt;&lt;Year&gt;2017&lt;/Year&gt;&lt;RecNum&gt;43&lt;/RecNum&gt;&lt;DisplayText&gt;NASEM (2017)&lt;/DisplayText&gt;&lt;record&gt;&lt;rec-number&gt;43&lt;/rec-number&gt;&lt;foreign-keys&gt;&lt;key app="EN" db-id="zxfaevvrgpsxebez5ec5vspfe2av5dtxt9xx" timestamp="1754957726"&gt;43&lt;/key&gt;&lt;/foreign-keys&gt;&lt;ref-type name="Book"&gt;6&lt;/ref-type&gt;&lt;contributors&gt;&lt;authors&gt;&lt;author&gt;NASEM,&lt;/author&gt;&lt;/authors&gt;&lt;secondary-authors&gt;&lt;author&gt;Kumanyika, Shiriki&lt;/author&gt;&lt;author&gt;Oria, Maria P.&lt;/author&gt;&lt;/secondary-authors&gt;&lt;/contributors&gt;&lt;titles&gt;&lt;title&gt;Guiding Principles for Developing Dietary Reference Intakes Based on Chronic Disease&lt;/title&gt;&lt;/titles&gt;&lt;pages&gt;334&lt;/pages&gt;&lt;keywords&gt;&lt;keyword&gt;Food and Nutrition&lt;/keyword&gt;&lt;keyword&gt;Health and Medicine&lt;/keyword&gt;&lt;/keywords&gt;&lt;dates&gt;&lt;year&gt;2017&lt;/year&gt;&lt;/dates&gt;&lt;pub-location&gt;Washington, DC&lt;/pub-location&gt;&lt;publisher&gt;The National Academies Press&lt;/publisher&gt;&lt;isbn&gt;978-0-309-46256-3&lt;/isbn&gt;&lt;urls&gt;&lt;related-urls&gt;&lt;url&gt;https://nap.nationalacademies.org/catalog/24828/guiding-principles-for-developing-dietary-reference-intakes-based-on-chronic-disease&lt;/url&gt;&lt;/related-urls&gt;&lt;/urls&gt;&lt;electronic-resource-num&gt;doi:10.17226/24828&lt;/electronic-resource-num&gt;&lt;language&gt;English&lt;/language&gt;&lt;/record&gt;&lt;/Cite&gt;&lt;/EndNote&gt;</w:instrText>
      </w:r>
      <w:r>
        <w:fldChar w:fldCharType="separate"/>
      </w:r>
      <w:r w:rsidR="007607BA">
        <w:rPr>
          <w:noProof/>
        </w:rPr>
        <w:t>NASEM (2017)</w:t>
      </w:r>
      <w:r>
        <w:fldChar w:fldCharType="end"/>
      </w:r>
      <w:r w:rsidRPr="000304C0">
        <w:t xml:space="preserve"> </w:t>
      </w:r>
      <w:r w:rsidRPr="000304C0">
        <w:rPr>
          <w:i/>
          <w:iCs/>
        </w:rPr>
        <w:t>Guiding Principles for Developing Dietary Reference Intakes Based on Chronic Disease</w:t>
      </w:r>
      <w:r w:rsidRPr="000304C0">
        <w:t xml:space="preserve">. The National Academies Press. </w:t>
      </w:r>
      <w:hyperlink r:id="rId62" w:history="1">
        <w:r w:rsidRPr="000163C7">
          <w:rPr>
            <w:rStyle w:val="Hyperlink"/>
            <w:color w:val="006CBC"/>
          </w:rPr>
          <w:t>https://doi.org/doi:10.17226/24828</w:t>
        </w:r>
      </w:hyperlink>
      <w:r>
        <w:t xml:space="preserve"> </w:t>
      </w:r>
      <w:r w:rsidR="00AB5976">
        <w:t>-</w:t>
      </w:r>
      <w:r w:rsidR="00EE46D4">
        <w:t xml:space="preserve"> </w:t>
      </w:r>
      <w:r w:rsidR="114BF93E">
        <w:t>pp. 107 – 125 and pp. 267 – 268 (relating to chronic disease outcome measures)</w:t>
      </w:r>
      <w:r w:rsidR="009A720B">
        <w:t xml:space="preserve"> </w:t>
      </w:r>
    </w:p>
    <w:p w14:paraId="71F83CAA" w14:textId="563C0CE5" w:rsidR="00285129" w:rsidRDefault="003B7B23" w:rsidP="00211F4C">
      <w:pPr>
        <w:pStyle w:val="Boxed1Bullet"/>
        <w:numPr>
          <w:ilvl w:val="0"/>
          <w:numId w:val="69"/>
        </w:numPr>
      </w:pP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 </w:instrText>
      </w: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EN.CITE.DATA </w:instrText>
      </w:r>
      <w:r>
        <w:fldChar w:fldCharType="end"/>
      </w:r>
      <w:r>
        <w:fldChar w:fldCharType="separate"/>
      </w:r>
      <w:r>
        <w:rPr>
          <w:noProof/>
        </w:rPr>
        <w:t>Dhonukshe-Rutten et al. (2013)</w:t>
      </w:r>
      <w:r>
        <w:fldChar w:fldCharType="end"/>
      </w:r>
      <w:r w:rsidRPr="00721CFD">
        <w:t xml:space="preserve"> EURRECA-Evidence-based methodology for deriving micronutrient recommendations. </w:t>
      </w:r>
      <w:r w:rsidRPr="00721CFD">
        <w:rPr>
          <w:i/>
          <w:iCs/>
        </w:rPr>
        <w:t xml:space="preserve">Crit Rev Food Sci </w:t>
      </w:r>
      <w:proofErr w:type="spellStart"/>
      <w:r w:rsidRPr="00721CFD">
        <w:rPr>
          <w:i/>
          <w:iCs/>
        </w:rPr>
        <w:t>Nutr</w:t>
      </w:r>
      <w:proofErr w:type="spellEnd"/>
      <w:r w:rsidRPr="00721CFD">
        <w:t>,</w:t>
      </w:r>
      <w:r w:rsidRPr="00721CFD">
        <w:rPr>
          <w:i/>
          <w:iCs/>
        </w:rPr>
        <w:t xml:space="preserve"> 53</w:t>
      </w:r>
      <w:r w:rsidRPr="00721CFD">
        <w:t xml:space="preserve">(10), 999-1040. </w:t>
      </w:r>
      <w:hyperlink r:id="rId63" w:history="1">
        <w:r w:rsidRPr="000163C7">
          <w:rPr>
            <w:rStyle w:val="Hyperlink"/>
            <w:color w:val="006CBC"/>
          </w:rPr>
          <w:t>https://doi.org/10.1080/10408398.2012.749209</w:t>
        </w:r>
      </w:hyperlink>
      <w:r>
        <w:t xml:space="preserve"> </w:t>
      </w:r>
      <w:r w:rsidR="000749FE">
        <w:t>- p. 1001</w:t>
      </w:r>
    </w:p>
    <w:p w14:paraId="3FD8D159" w14:textId="77777777" w:rsidR="00CF62FD" w:rsidRDefault="00CF62FD" w:rsidP="003449C9">
      <w:pPr>
        <w:pStyle w:val="Heading2Chapter"/>
        <w:sectPr w:rsidR="00CF62FD" w:rsidSect="00E30AB1">
          <w:headerReference w:type="first" r:id="rId64"/>
          <w:footerReference w:type="first" r:id="rId65"/>
          <w:pgSz w:w="11906" w:h="16838" w:code="9"/>
          <w:pgMar w:top="1701" w:right="1134" w:bottom="1565" w:left="907" w:header="510" w:footer="510" w:gutter="0"/>
          <w:cols w:space="708"/>
          <w:titlePg/>
          <w:docGrid w:linePitch="360"/>
        </w:sectPr>
      </w:pPr>
      <w:bookmarkStart w:id="132" w:name="_Ref151728127"/>
      <w:bookmarkStart w:id="133" w:name="_Toc153967126"/>
    </w:p>
    <w:p w14:paraId="5F9FC66B" w14:textId="76DAD976" w:rsidR="008D10FE" w:rsidRPr="00A404E4" w:rsidRDefault="00B92779" w:rsidP="003449C9">
      <w:pPr>
        <w:pStyle w:val="Heading2Chapter"/>
      </w:pPr>
      <w:bookmarkStart w:id="134" w:name="_Toc207801071"/>
      <w:bookmarkStart w:id="135" w:name="_Toc207824548"/>
      <w:r w:rsidRPr="00A404E4">
        <w:lastRenderedPageBreak/>
        <w:t>Gather</w:t>
      </w:r>
      <w:r w:rsidR="0054410E">
        <w:t>ing</w:t>
      </w:r>
      <w:r w:rsidR="00604505" w:rsidRPr="00A404E4">
        <w:t xml:space="preserve"> evidence</w:t>
      </w:r>
      <w:bookmarkEnd w:id="132"/>
      <w:bookmarkEnd w:id="133"/>
      <w:bookmarkEnd w:id="134"/>
      <w:bookmarkEnd w:id="135"/>
      <w:r w:rsidR="008D10FE" w:rsidRPr="00A404E4">
        <w:t xml:space="preserve"> </w:t>
      </w:r>
    </w:p>
    <w:p w14:paraId="180266E4" w14:textId="76015BE8" w:rsidR="00647E48" w:rsidRDefault="00647E48" w:rsidP="003E2E95">
      <w:pPr>
        <w:pStyle w:val="Heading30"/>
      </w:pPr>
      <w:bookmarkStart w:id="136" w:name="_Toc153967127"/>
      <w:bookmarkStart w:id="137" w:name="_Toc207801072"/>
      <w:bookmarkStart w:id="138" w:name="_Toc207824549"/>
      <w:bookmarkStart w:id="139" w:name="_Ref151728080"/>
      <w:bookmarkStart w:id="140" w:name="_Ref151728085"/>
      <w:bookmarkStart w:id="141" w:name="_Ref151728093"/>
      <w:r>
        <w:t>Identify</w:t>
      </w:r>
      <w:r w:rsidR="00A600B1">
        <w:t>ing</w:t>
      </w:r>
      <w:r>
        <w:t xml:space="preserve"> available evidence sources and gaps</w:t>
      </w:r>
      <w:bookmarkEnd w:id="136"/>
      <w:bookmarkEnd w:id="137"/>
      <w:bookmarkEnd w:id="138"/>
    </w:p>
    <w:p w14:paraId="243A518C" w14:textId="547F8257" w:rsidR="002E309E" w:rsidRDefault="008B6D4F" w:rsidP="003E2E95">
      <w:pPr>
        <w:pStyle w:val="Heading40"/>
      </w:pPr>
      <w:bookmarkStart w:id="142" w:name="_Toc153967128"/>
      <w:r>
        <w:tab/>
      </w:r>
      <w:bookmarkStart w:id="143" w:name="_Ref197344618"/>
      <w:bookmarkStart w:id="144" w:name="_Toc207801073"/>
      <w:bookmarkStart w:id="145" w:name="_Toc207824550"/>
      <w:r w:rsidR="00217E2E">
        <w:t>Adopting or a</w:t>
      </w:r>
      <w:r w:rsidR="001C746D">
        <w:t>dapting existing international NRVs</w:t>
      </w:r>
      <w:bookmarkEnd w:id="142"/>
      <w:bookmarkEnd w:id="143"/>
      <w:bookmarkEnd w:id="144"/>
      <w:bookmarkEnd w:id="145"/>
    </w:p>
    <w:p w14:paraId="218D8B42" w14:textId="11C30E80" w:rsidR="00671BCE" w:rsidRDefault="007400BF" w:rsidP="00A17437">
      <w:r>
        <w:rPr>
          <w:szCs w:val="20"/>
        </w:rPr>
        <w:t>M</w:t>
      </w:r>
      <w:r w:rsidR="001A0A86">
        <w:rPr>
          <w:szCs w:val="20"/>
        </w:rPr>
        <w:t>ethods to a</w:t>
      </w:r>
      <w:r w:rsidR="001A0A86" w:rsidRPr="001A0A86">
        <w:rPr>
          <w:szCs w:val="20"/>
        </w:rPr>
        <w:t>dopt</w:t>
      </w:r>
      <w:r w:rsidR="004F6C35">
        <w:rPr>
          <w:szCs w:val="20"/>
        </w:rPr>
        <w:t xml:space="preserve"> or </w:t>
      </w:r>
      <w:r w:rsidR="001A0A86" w:rsidRPr="001A0A86">
        <w:rPr>
          <w:szCs w:val="20"/>
        </w:rPr>
        <w:t xml:space="preserve">adapt existing </w:t>
      </w:r>
      <w:r w:rsidR="004F6C35">
        <w:rPr>
          <w:szCs w:val="20"/>
        </w:rPr>
        <w:t>NRVs</w:t>
      </w:r>
      <w:r w:rsidR="002D5C27">
        <w:rPr>
          <w:szCs w:val="20"/>
        </w:rPr>
        <w:t xml:space="preserve"> </w:t>
      </w:r>
      <w:r w:rsidR="001C746D">
        <w:rPr>
          <w:szCs w:val="20"/>
        </w:rPr>
        <w:t xml:space="preserve">set by comparable international jurisdictions </w:t>
      </w:r>
      <w:r w:rsidR="002D5C27">
        <w:rPr>
          <w:szCs w:val="20"/>
        </w:rPr>
        <w:t xml:space="preserve">are being prioritised. </w:t>
      </w:r>
      <w:r>
        <w:rPr>
          <w:szCs w:val="20"/>
        </w:rPr>
        <w:t xml:space="preserve">This will reduce duplication of effort and better direct resources towards gaps in the evidence base. </w:t>
      </w:r>
      <w:r w:rsidR="00DE0AB6" w:rsidRPr="00C6512D">
        <w:t>If there is a recent NRV set by a comparable jurisdiction, the supporting evidence and documentation</w:t>
      </w:r>
      <w:r w:rsidR="00921975">
        <w:t xml:space="preserve"> underpinning NRV development</w:t>
      </w:r>
      <w:r w:rsidR="00DE0AB6" w:rsidRPr="00C6512D">
        <w:t xml:space="preserve"> </w:t>
      </w:r>
      <w:r w:rsidR="00F068F8">
        <w:t>should</w:t>
      </w:r>
      <w:r w:rsidR="00DE0AB6" w:rsidRPr="00C6512D">
        <w:t xml:space="preserve"> be obtained and reviewed alongside any additional contextual information. </w:t>
      </w:r>
    </w:p>
    <w:p w14:paraId="30A846C6" w14:textId="77777777" w:rsidR="00045C71" w:rsidRDefault="003121FC" w:rsidP="00A17437">
      <w:r w:rsidRPr="00C6512D">
        <w:t xml:space="preserve">The committee should investigate the calculations and assumptions applied to the evidence and </w:t>
      </w:r>
      <w:r w:rsidR="00921975">
        <w:t xml:space="preserve">consider </w:t>
      </w:r>
      <w:r>
        <w:t xml:space="preserve">whether </w:t>
      </w:r>
      <w:r w:rsidR="00B71ABF">
        <w:t>NRVs have been developed consistent with</w:t>
      </w:r>
      <w:r w:rsidR="00045C71">
        <w:t>:</w:t>
      </w:r>
    </w:p>
    <w:p w14:paraId="54C57062" w14:textId="1AF00EA6" w:rsidR="00045C71" w:rsidRDefault="00B71ABF" w:rsidP="00211F4C">
      <w:pPr>
        <w:pStyle w:val="ListParagraph"/>
        <w:numPr>
          <w:ilvl w:val="0"/>
          <w:numId w:val="41"/>
        </w:numPr>
      </w:pPr>
      <w:r>
        <w:t xml:space="preserve">the </w:t>
      </w:r>
      <w:r w:rsidR="003121FC">
        <w:t xml:space="preserve">requirements outlined in </w:t>
      </w:r>
      <w:r>
        <w:t>this framework</w:t>
      </w:r>
    </w:p>
    <w:p w14:paraId="5AAD92DC" w14:textId="066EBE3D" w:rsidR="0094142F" w:rsidRDefault="00045C71" w:rsidP="00211F4C">
      <w:pPr>
        <w:pStyle w:val="ListParagraph"/>
        <w:numPr>
          <w:ilvl w:val="0"/>
          <w:numId w:val="41"/>
        </w:numPr>
      </w:pPr>
      <w:r>
        <w:t>NHMRC Standards</w:t>
      </w:r>
      <w:r w:rsidR="00BA197F">
        <w:t xml:space="preserve"> and </w:t>
      </w:r>
      <w:r w:rsidR="0094142F">
        <w:t>accompanying</w:t>
      </w:r>
      <w:r>
        <w:t xml:space="preserve"> G</w:t>
      </w:r>
      <w:r w:rsidR="0094142F">
        <w:t>u</w:t>
      </w:r>
      <w:r>
        <w:t>idelines for Guidelines</w:t>
      </w:r>
    </w:p>
    <w:p w14:paraId="645D62E9" w14:textId="330D3690" w:rsidR="0094142F" w:rsidRDefault="00B71ABF" w:rsidP="00211F4C">
      <w:pPr>
        <w:pStyle w:val="ListParagraph"/>
        <w:numPr>
          <w:ilvl w:val="0"/>
          <w:numId w:val="41"/>
        </w:numPr>
      </w:pPr>
      <w:r>
        <w:t xml:space="preserve">the specific </w:t>
      </w:r>
      <w:r w:rsidR="003121FC">
        <w:t xml:space="preserve">requirements </w:t>
      </w:r>
      <w:r w:rsidR="00170D2D">
        <w:t>identified during scoping</w:t>
      </w:r>
      <w:r w:rsidR="003121FC">
        <w:t>.</w:t>
      </w:r>
      <w:r w:rsidR="00A17437" w:rsidRPr="00A17437">
        <w:t xml:space="preserve"> </w:t>
      </w:r>
    </w:p>
    <w:p w14:paraId="580D58FF" w14:textId="592C35D3" w:rsidR="00A17437" w:rsidRDefault="00614136" w:rsidP="00A17437">
      <w:r>
        <w:t>A template has been developed to guide decision</w:t>
      </w:r>
      <w:r w:rsidR="00B71ABF">
        <w:t xml:space="preserve"> making</w:t>
      </w:r>
      <w:r>
        <w:t xml:space="preserve"> about </w:t>
      </w:r>
      <w:r w:rsidR="00B71ABF">
        <w:t xml:space="preserve">the </w:t>
      </w:r>
      <w:r>
        <w:t xml:space="preserve">suitability of </w:t>
      </w:r>
      <w:r w:rsidR="00B71ABF">
        <w:t xml:space="preserve">adopting/adapting existing </w:t>
      </w:r>
      <w:r w:rsidR="008E505F">
        <w:t>NRVs and</w:t>
      </w:r>
      <w:r>
        <w:t xml:space="preserve"> is provided at </w:t>
      </w:r>
      <w:r w:rsidR="007C3F0F">
        <w:fldChar w:fldCharType="begin"/>
      </w:r>
      <w:r w:rsidR="007C3F0F">
        <w:instrText xml:space="preserve"> REF _Ref206405196 \r \h </w:instrText>
      </w:r>
      <w:r w:rsidR="007C3F0F">
        <w:fldChar w:fldCharType="separate"/>
      </w:r>
      <w:r w:rsidR="007C3F0F">
        <w:t>Appendix D.</w:t>
      </w:r>
      <w:r w:rsidR="007C3F0F">
        <w:fldChar w:fldCharType="end"/>
      </w:r>
      <w:r w:rsidR="00936CCE">
        <w:fldChar w:fldCharType="begin"/>
      </w:r>
      <w:r w:rsidR="00936CCE">
        <w:instrText xml:space="preserve"> REF _Ref197344850 \r \h </w:instrText>
      </w:r>
      <w:r w:rsidR="00936CCE">
        <w:fldChar w:fldCharType="separate"/>
      </w:r>
      <w:r w:rsidR="00936CCE">
        <w:fldChar w:fldCharType="end"/>
      </w:r>
      <w:r>
        <w:t xml:space="preserve"> </w:t>
      </w:r>
      <w:r w:rsidR="00324167">
        <w:t>A</w:t>
      </w:r>
      <w:r w:rsidR="00324167" w:rsidDel="0028539D">
        <w:t xml:space="preserve"> </w:t>
      </w:r>
      <w:r w:rsidR="00324167">
        <w:t xml:space="preserve">guide to support decision making about </w:t>
      </w:r>
      <w:r w:rsidR="0056601E">
        <w:t xml:space="preserve">the suitability of </w:t>
      </w:r>
      <w:r w:rsidR="00324167">
        <w:t>underpinning systematic reviews is provided at</w:t>
      </w:r>
      <w:r w:rsidR="00E52184">
        <w:t xml:space="preserve"> </w:t>
      </w:r>
      <w:r w:rsidR="00E52184">
        <w:fldChar w:fldCharType="begin"/>
      </w:r>
      <w:r w:rsidR="00E52184">
        <w:instrText xml:space="preserve"> REF _Ref194582525 \r \h </w:instrText>
      </w:r>
      <w:r w:rsidR="00E52184">
        <w:fldChar w:fldCharType="separate"/>
      </w:r>
      <w:r w:rsidR="00783DC4">
        <w:t>Appendix E.</w:t>
      </w:r>
      <w:r w:rsidR="00E52184">
        <w:fldChar w:fldCharType="end"/>
      </w:r>
    </w:p>
    <w:p w14:paraId="3828AC52" w14:textId="4FD279AB" w:rsidR="00BA0BCD" w:rsidRDefault="00A17437" w:rsidP="00A17437">
      <w:r>
        <w:t xml:space="preserve">If the evidence is appropriate to use, and the assumptions underpinning the calculations </w:t>
      </w:r>
      <w:r w:rsidR="001E0C8D">
        <w:t xml:space="preserve">are </w:t>
      </w:r>
      <w:r w:rsidR="004806F7">
        <w:t>generalisable to</w:t>
      </w:r>
      <w:r w:rsidR="001E0C8D">
        <w:t xml:space="preserve"> </w:t>
      </w:r>
      <w:r>
        <w:t xml:space="preserve">the </w:t>
      </w:r>
      <w:r w:rsidR="00170D2D">
        <w:t xml:space="preserve">Australian and New Zealand </w:t>
      </w:r>
      <w:r>
        <w:t>context</w:t>
      </w:r>
      <w:r w:rsidR="00170D2D">
        <w:t>,</w:t>
      </w:r>
      <w:r>
        <w:t xml:space="preserve"> </w:t>
      </w:r>
      <w:r w:rsidR="00170D2D">
        <w:t>consideration</w:t>
      </w:r>
      <w:r>
        <w:t xml:space="preserve"> can </w:t>
      </w:r>
      <w:r w:rsidR="00170D2D">
        <w:t xml:space="preserve">be given to </w:t>
      </w:r>
      <w:r>
        <w:t xml:space="preserve">adopting the value </w:t>
      </w:r>
      <w:r w:rsidR="00170D2D">
        <w:t xml:space="preserve">as </w:t>
      </w:r>
      <w:r>
        <w:t xml:space="preserve">the </w:t>
      </w:r>
      <w:r w:rsidR="005E6F6B">
        <w:t xml:space="preserve">revised </w:t>
      </w:r>
      <w:r>
        <w:t xml:space="preserve">Australian and New Zealand </w:t>
      </w:r>
      <w:r w:rsidR="00170D2D">
        <w:t>NRV</w:t>
      </w:r>
      <w:r>
        <w:t>. If the committee considers th</w:t>
      </w:r>
      <w:r w:rsidR="0077788B">
        <w:t>at the underlying evidence is appropriate, but that different assumptions apply in deriving an NRV based on that evidence, consideration may be given to adapting the value to</w:t>
      </w:r>
      <w:r>
        <w:t xml:space="preserve"> the Australian and New Zealand context. </w:t>
      </w:r>
      <w:r w:rsidR="00DB0AF5">
        <w:t>In both cases, a</w:t>
      </w:r>
      <w:r w:rsidR="00DB0AF5" w:rsidRPr="00DB0AF5">
        <w:t>n evidence</w:t>
      </w:r>
      <w:r w:rsidR="005A67AC">
        <w:t>-</w:t>
      </w:r>
      <w:r w:rsidR="00DB0AF5" w:rsidRPr="00DB0AF5">
        <w:t>to</w:t>
      </w:r>
      <w:r w:rsidR="005A67AC">
        <w:t>-</w:t>
      </w:r>
      <w:r w:rsidR="00DB0AF5" w:rsidRPr="00DB0AF5">
        <w:t xml:space="preserve">decision framework should be </w:t>
      </w:r>
      <w:r w:rsidR="00DB7821">
        <w:t>used</w:t>
      </w:r>
      <w:r w:rsidR="00DB0AF5" w:rsidRPr="00DB0AF5">
        <w:t xml:space="preserve"> for each population group to explain the committee</w:t>
      </w:r>
      <w:r w:rsidR="00DB0AF5">
        <w:t>’</w:t>
      </w:r>
      <w:r w:rsidR="00DB0AF5" w:rsidRPr="00DB0AF5">
        <w:t xml:space="preserve">s judgements </w:t>
      </w:r>
      <w:r w:rsidR="00DB0AF5">
        <w:t>during</w:t>
      </w:r>
      <w:r w:rsidR="00DB0AF5" w:rsidRPr="00DB0AF5">
        <w:t xml:space="preserve"> this process</w:t>
      </w:r>
      <w:r w:rsidR="00175AB7">
        <w:t xml:space="preserve"> (see</w:t>
      </w:r>
      <w:r w:rsidR="008104E5">
        <w:t xml:space="preserve"> Section</w:t>
      </w:r>
      <w:r w:rsidR="00175AB7">
        <w:t xml:space="preserve"> </w:t>
      </w:r>
      <w:r w:rsidR="00175AB7">
        <w:fldChar w:fldCharType="begin"/>
      </w:r>
      <w:r w:rsidR="00175AB7">
        <w:instrText xml:space="preserve"> REF _Ref193279383 \r \h </w:instrText>
      </w:r>
      <w:r w:rsidR="00175AB7">
        <w:fldChar w:fldCharType="separate"/>
      </w:r>
      <w:r w:rsidR="00783DC4">
        <w:t>7.3</w:t>
      </w:r>
      <w:r w:rsidR="00175AB7">
        <w:fldChar w:fldCharType="end"/>
      </w:r>
      <w:r w:rsidR="00175AB7">
        <w:t>)</w:t>
      </w:r>
      <w:r w:rsidR="00DB0AF5" w:rsidRPr="00DB0AF5">
        <w:t>.</w:t>
      </w:r>
    </w:p>
    <w:p w14:paraId="0104ECBC" w14:textId="3FC46650" w:rsidR="00A17437" w:rsidRDefault="00513949" w:rsidP="00A17437">
      <w:r>
        <w:t xml:space="preserve">Where </w:t>
      </w:r>
      <w:r w:rsidR="003603E9">
        <w:t xml:space="preserve">an international NRV </w:t>
      </w:r>
      <w:r>
        <w:t xml:space="preserve">has been deemed unsuitable to be adapted or adopted, consideration should be given to the extent to which </w:t>
      </w:r>
      <w:r w:rsidR="002203EA">
        <w:t xml:space="preserve">any </w:t>
      </w:r>
      <w:r>
        <w:t xml:space="preserve">underpinning </w:t>
      </w:r>
      <w:r w:rsidR="00801579">
        <w:t xml:space="preserve">systematic </w:t>
      </w:r>
      <w:r>
        <w:t>review</w:t>
      </w:r>
      <w:r w:rsidR="002203EA">
        <w:t>s</w:t>
      </w:r>
      <w:r>
        <w:t xml:space="preserve"> may be </w:t>
      </w:r>
      <w:r w:rsidR="00801579">
        <w:t>suitable for use</w:t>
      </w:r>
      <w:r w:rsidR="00175AB7">
        <w:t xml:space="preserve"> </w:t>
      </w:r>
      <w:r w:rsidR="00843864">
        <w:t>–</w:t>
      </w:r>
      <w:r w:rsidR="00801579">
        <w:t xml:space="preserve"> or can be updated for use </w:t>
      </w:r>
      <w:r w:rsidR="00843864">
        <w:t>–</w:t>
      </w:r>
      <w:r w:rsidR="00801579">
        <w:t xml:space="preserve"> </w:t>
      </w:r>
      <w:r w:rsidR="003603E9">
        <w:t xml:space="preserve">to inform the current NRV </w:t>
      </w:r>
      <w:r w:rsidR="003603E9" w:rsidRPr="00105008">
        <w:t>review</w:t>
      </w:r>
      <w:r w:rsidR="00B61343" w:rsidRPr="005C44BB">
        <w:t>. S</w:t>
      </w:r>
      <w:r w:rsidR="00C07F43" w:rsidRPr="005C44BB">
        <w:t xml:space="preserve">ee </w:t>
      </w:r>
      <w:r w:rsidR="00B61343" w:rsidRPr="005C44BB">
        <w:t xml:space="preserve">Section </w:t>
      </w:r>
      <w:r w:rsidR="00936CCE" w:rsidDel="00301378">
        <w:fldChar w:fldCharType="begin"/>
      </w:r>
      <w:r w:rsidR="00936CCE" w:rsidDel="00301378">
        <w:fldChar w:fldCharType="separate"/>
      </w:r>
      <w:r w:rsidR="00936CCE" w:rsidDel="00301378">
        <w:fldChar w:fldCharType="end"/>
      </w:r>
      <w:r w:rsidR="00B61343">
        <w:t xml:space="preserve">and </w:t>
      </w:r>
      <w:r w:rsidR="00916D4C">
        <w:fldChar w:fldCharType="begin"/>
      </w:r>
      <w:r w:rsidR="00916D4C">
        <w:instrText xml:space="preserve"> REF _Ref197344095 \r \h </w:instrText>
      </w:r>
      <w:r w:rsidR="00916D4C">
        <w:fldChar w:fldCharType="separate"/>
      </w:r>
      <w:r w:rsidR="00783DC4">
        <w:t>Appendix E</w:t>
      </w:r>
      <w:r w:rsidR="00916D4C">
        <w:fldChar w:fldCharType="end"/>
      </w:r>
      <w:r w:rsidR="00156D54">
        <w:t xml:space="preserve"> </w:t>
      </w:r>
      <w:r w:rsidR="00B61343">
        <w:t>for further information</w:t>
      </w:r>
      <w:r w:rsidR="003603E9" w:rsidRPr="00105008">
        <w:t>.</w:t>
      </w:r>
      <w:r w:rsidR="003603E9">
        <w:t xml:space="preserve"> </w:t>
      </w:r>
    </w:p>
    <w:p w14:paraId="00A59EB5" w14:textId="3E4501C1" w:rsidR="006B6AF0" w:rsidRPr="006B6AF0" w:rsidRDefault="003808B1" w:rsidP="00A404E4">
      <w:pPr>
        <w:pStyle w:val="Boxed1Bullet"/>
        <w:numPr>
          <w:ilvl w:val="0"/>
          <w:numId w:val="0"/>
        </w:numPr>
        <w:ind w:left="567" w:hanging="283"/>
      </w:pPr>
      <w:r>
        <w:t>Further information is outlined in</w:t>
      </w:r>
      <w:r w:rsidR="006B6AF0" w:rsidRPr="006B6AF0">
        <w:t>:</w:t>
      </w:r>
    </w:p>
    <w:p w14:paraId="14C0AD7E" w14:textId="545F464E" w:rsidR="00640D84" w:rsidRPr="00640D84" w:rsidRDefault="00773577" w:rsidP="00211F4C">
      <w:pPr>
        <w:pStyle w:val="Boxed1Bullet"/>
        <w:numPr>
          <w:ilvl w:val="0"/>
          <w:numId w:val="68"/>
        </w:numPr>
      </w:pPr>
      <w:r>
        <w:fldChar w:fldCharType="begin"/>
      </w:r>
      <w:r w:rsidR="007607BA">
        <w:instrText xml:space="preserve"> ADDIN EN.CITE &lt;EndNote&gt;&lt;Cite AuthorYear="1"&gt;&lt;Author&gt;NHMRC&lt;/Author&gt;&lt;Year&gt;2018&lt;/Year&gt;&lt;RecNum&gt;49&lt;/RecNum&gt;&lt;DisplayText&gt;NHMRC (2018)&lt;/DisplayText&gt;&lt;record&gt;&lt;rec-number&gt;49&lt;/rec-number&gt;&lt;foreign-keys&gt;&lt;key app="EN" db-id="zxfaevvrgpsxebez5ec5vspfe2av5dtxt9xx" timestamp="1754957726"&gt;49&lt;/key&gt;&lt;/foreign-keys&gt;&lt;ref-type name="Electronic Book"&gt;44&lt;/ref-type&gt;&lt;contributors&gt;&lt;authors&gt;&lt;author&gt;NHMRC,&lt;/author&gt;&lt;/authors&gt;&lt;/contributors&gt;&lt;titles&gt;&lt;title&gt;Guidelines for Guidelines: Adopt, adapt or start from scratch&lt;/title&gt;&lt;/titles&gt;&lt;dates&gt;&lt;year&gt;2018&lt;/year&gt;&lt;pub-dates&gt;&lt;date&gt;13 August 2025&lt;/date&gt;&lt;/pub-dates&gt;&lt;/dates&gt;&lt;pub-location&gt;Canberra&lt;/pub-location&gt;&lt;urls&gt;&lt;related-urls&gt;&lt;url&gt;date accessed 13 August 2025 https://www.nhmrc.gov.au/guidelinesforguidelines/plan/adopt-adapt-or-start-scratch&lt;/url&gt;&lt;/related-urls&gt;&lt;/urls&gt;&lt;/record&gt;&lt;/Cite&gt;&lt;/EndNote&gt;</w:instrText>
      </w:r>
      <w:r>
        <w:fldChar w:fldCharType="separate"/>
      </w:r>
      <w:r w:rsidR="007607BA">
        <w:rPr>
          <w:noProof/>
        </w:rPr>
        <w:t>NHMRC (2018)</w:t>
      </w:r>
      <w:r>
        <w:fldChar w:fldCharType="end"/>
      </w:r>
      <w:r w:rsidR="005501D8">
        <w:t xml:space="preserve"> </w:t>
      </w:r>
      <w:r w:rsidR="00AC0151" w:rsidRPr="00AC0151">
        <w:rPr>
          <w:i/>
          <w:iCs/>
        </w:rPr>
        <w:t>Guidelines for Guidelines: Adopt, adapt or start from scratch</w:t>
      </w:r>
      <w:r w:rsidR="00AC0151" w:rsidRPr="00AC0151">
        <w:t xml:space="preserve">   </w:t>
      </w:r>
      <w:hyperlink r:id="rId66" w:history="1">
        <w:r w:rsidR="00AC0151" w:rsidRPr="000163C7">
          <w:rPr>
            <w:rStyle w:val="Hyperlink"/>
            <w:color w:val="006CBC"/>
          </w:rPr>
          <w:t>https://www.nhmrc.gov.au/guidelinesforguidelines/plan/adopt-adapt-or-start-scratch</w:t>
        </w:r>
      </w:hyperlink>
      <w:r w:rsidR="00AC0151">
        <w:t xml:space="preserve"> </w:t>
      </w:r>
    </w:p>
    <w:p w14:paraId="7CBCF089" w14:textId="1BB76E69" w:rsidR="008547AD" w:rsidRDefault="00790B07" w:rsidP="00211F4C">
      <w:pPr>
        <w:pStyle w:val="Boxed1Bullet"/>
        <w:numPr>
          <w:ilvl w:val="0"/>
          <w:numId w:val="68"/>
        </w:numPr>
      </w:pPr>
      <w:r>
        <w:fldChar w:fldCharType="begin">
          <w:fldData xml:space="preserve">PEVuZE5vdGU+PENpdGUgQXV0aG9yWWVhcj0iMSI+PEF1dGhvcj5LbHVnYXI8L0F1dGhvcj48WWVh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</w:fldData>
        </w:fldChar>
      </w:r>
      <w:r w:rsidR="00773577">
        <w:instrText xml:space="preserve"> ADDIN EN.CITE </w:instrText>
      </w:r>
      <w:r w:rsidR="00773577">
        <w:fldChar w:fldCharType="begin">
          <w:fldData xml:space="preserve">PEVuZE5vdGU+PENpdGUgQXV0aG9yWWVhcj0iMSI+PEF1dGhvcj5LbHVnYXI8L0F1dGhvcj48WWVh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</w:fldData>
        </w:fldChar>
      </w:r>
      <w:r w:rsidR="00773577">
        <w:instrText xml:space="preserve"> ADDIN EN.CITE.DATA </w:instrText>
      </w:r>
      <w:r w:rsidR="00773577">
        <w:fldChar w:fldCharType="end"/>
      </w:r>
      <w:r>
        <w:fldChar w:fldCharType="separate"/>
      </w:r>
      <w:r>
        <w:rPr>
          <w:noProof/>
        </w:rPr>
        <w:t>Klugar et al. (2024)</w:t>
      </w:r>
      <w:r>
        <w:fldChar w:fldCharType="end"/>
      </w:r>
      <w:r w:rsidR="001307FB" w:rsidRPr="001307FB">
        <w:t xml:space="preserve"> </w:t>
      </w:r>
      <w:r w:rsidR="00906CA4" w:rsidRPr="00906CA4">
        <w:t xml:space="preserve">GRADE guidance 39: using GRADE-ADOLOPMENT to adopt, adapt or create contextualized recommendations from source guidelines and evidence syntheses. </w:t>
      </w:r>
      <w:r w:rsidR="00906CA4" w:rsidRPr="00906CA4">
        <w:rPr>
          <w:i/>
          <w:iCs/>
        </w:rPr>
        <w:t>Journal of Clinical Epidemiology</w:t>
      </w:r>
      <w:r w:rsidR="00906CA4" w:rsidRPr="00906CA4">
        <w:t>,</w:t>
      </w:r>
      <w:r w:rsidR="00906CA4" w:rsidRPr="00906CA4">
        <w:rPr>
          <w:i/>
          <w:iCs/>
        </w:rPr>
        <w:t xml:space="preserve"> 174</w:t>
      </w:r>
      <w:r w:rsidR="00906CA4" w:rsidRPr="00906CA4">
        <w:t xml:space="preserve">, 111494. </w:t>
      </w:r>
      <w:hyperlink r:id="rId67" w:history="1">
        <w:r w:rsidR="00906CA4" w:rsidRPr="000163C7">
          <w:rPr>
            <w:rStyle w:val="Hyperlink"/>
            <w:color w:val="006CBC"/>
          </w:rPr>
          <w:t>https://doi.org/10.1016/j.jclinepi.2024.111494</w:t>
        </w:r>
      </w:hyperlink>
      <w:r w:rsidR="00906CA4">
        <w:t xml:space="preserve"> </w:t>
      </w:r>
    </w:p>
    <w:p w14:paraId="5F7BB479" w14:textId="0AF1ED59" w:rsidR="008547AD" w:rsidRDefault="008547AD" w:rsidP="00211F4C">
      <w:pPr>
        <w:pStyle w:val="Boxed1Bullet"/>
        <w:numPr>
          <w:ilvl w:val="0"/>
          <w:numId w:val="68"/>
        </w:numPr>
      </w:pPr>
      <w:r>
        <w:lastRenderedPageBreak/>
        <w:fldChar w:fldCharType="begin"/>
      </w:r>
      <w:r w:rsidR="00816408">
        <w:instrText xml:space="preserve"> ADDIN EN.CITE &lt;EndNote&gt;&lt;Cite AuthorYear="1"&gt;&lt;Author&gt;The ADAPTE Collaboration&lt;/Author&gt;&lt;Year&gt;2009&lt;/Year&gt;&lt;RecNum&gt;98&lt;/RecNum&gt;&lt;DisplayText&gt;The ADAPTE Collaboration (2009)&lt;/DisplayText&gt;&lt;record&gt;&lt;rec-number&gt;98&lt;/rec-number&gt;&lt;foreign-keys&gt;&lt;key app="EN" db-id="zxfaevvrgpsxebez5ec5vspfe2av5dtxt9xx" timestamp="1754959384"&gt;98&lt;/key&gt;&lt;/foreign-keys&gt;&lt;ref-type name="Electronic Book"&gt;44&lt;/ref-type&gt;&lt;contributors&gt;&lt;authors&gt;&lt;author&gt;The ADAPTE Collaboration,&lt;/author&gt;&lt;/authors&gt;&lt;/contributors&gt;&lt;titles&gt;&lt;title&gt;The ADAPTE process: Resource toolkit for Guidelines Adaptation. Version 2.0.&lt;/title&gt;&lt;/titles&gt;&lt;dates&gt;&lt;year&gt;2009&lt;/year&gt;&lt;/dates&gt;&lt;urls&gt;&lt;related-urls&gt;&lt;url&gt;date accessed 13 August 2025 http://www.g-i-n.net&lt;/url&gt;&lt;/related-urls&gt;&lt;/urls&gt;&lt;/record&gt;&lt;/Cite&gt;&lt;/EndNote&gt;</w:instrText>
      </w:r>
      <w:r>
        <w:fldChar w:fldCharType="separate"/>
      </w:r>
      <w:r>
        <w:rPr>
          <w:noProof/>
        </w:rPr>
        <w:t>The ADAPTE Collaboration (2009)</w:t>
      </w:r>
      <w:r>
        <w:fldChar w:fldCharType="end"/>
      </w:r>
      <w:r>
        <w:t xml:space="preserve"> </w:t>
      </w:r>
      <w:r w:rsidR="00B25758" w:rsidRPr="00B25758">
        <w:t xml:space="preserve">The ADAPTE Collaboration. (2009). </w:t>
      </w:r>
      <w:r w:rsidR="00B25758" w:rsidRPr="00B25758">
        <w:rPr>
          <w:i/>
          <w:iCs/>
        </w:rPr>
        <w:t>The ADAPTE process: Resource toolkit for Guidelines Adaptation. Version 2.0.</w:t>
      </w:r>
      <w:r w:rsidR="00B25758" w:rsidRPr="00B25758">
        <w:t xml:space="preserve">   </w:t>
      </w:r>
      <w:hyperlink r:id="rId68" w:history="1">
        <w:r w:rsidR="00AC2F43" w:rsidRPr="000163C7">
          <w:rPr>
            <w:rStyle w:val="Hyperlink"/>
            <w:color w:val="006CBC"/>
          </w:rPr>
          <w:t>http://www.g-i-n.net</w:t>
        </w:r>
      </w:hyperlink>
      <w:r>
        <w:t xml:space="preserve">. </w:t>
      </w:r>
    </w:p>
    <w:p w14:paraId="09F9D27B" w14:textId="57AD2B88" w:rsidR="00816408" w:rsidRDefault="00AE7843" w:rsidP="00211F4C">
      <w:pPr>
        <w:pStyle w:val="Boxed1Bullet"/>
        <w:numPr>
          <w:ilvl w:val="0"/>
          <w:numId w:val="68"/>
        </w:numPr>
      </w:pPr>
      <w:r>
        <w:fldChar w:fldCharType="begin">
          <w:fldData xml:space="preserve">PEVuZE5vdGU+PENpdGUgQXV0aG9yWWVhcj0iMSI+PEF1dGhvcj5EYXJ6aTwvQXV0aG9yPjxZZWFy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</w:fldData>
        </w:fldChar>
      </w:r>
      <w:r w:rsidR="00737674">
        <w:instrText xml:space="preserve"> ADDIN EN.CITE </w:instrText>
      </w:r>
      <w:r w:rsidR="00737674">
        <w:fldChar w:fldCharType="begin">
          <w:fldData xml:space="preserve">PEVuZE5vdGU+PENpdGUgQXV0aG9yWWVhcj0iMSI+PEF1dGhvcj5EYXJ6aTwvQXV0aG9yPjxZZWFy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</w:fldData>
        </w:fldChar>
      </w:r>
      <w:r w:rsidR="00737674">
        <w:instrText xml:space="preserve"> ADDIN EN.CITE.DATA </w:instrText>
      </w:r>
      <w:r w:rsidR="00737674">
        <w:fldChar w:fldCharType="end"/>
      </w:r>
      <w:r>
        <w:fldChar w:fldCharType="separate"/>
      </w:r>
      <w:r w:rsidR="00737674">
        <w:rPr>
          <w:noProof/>
        </w:rPr>
        <w:t>Darzi et al. (2017)</w:t>
      </w:r>
      <w:r>
        <w:fldChar w:fldCharType="end"/>
      </w:r>
      <w:r w:rsidR="00816408" w:rsidRPr="00816408">
        <w:t xml:space="preserve"> A methodological survey identified eight proposed frameworks for the adaptation of </w:t>
      </w:r>
      <w:proofErr w:type="gramStart"/>
      <w:r w:rsidR="00816408" w:rsidRPr="00816408">
        <w:t>health related</w:t>
      </w:r>
      <w:proofErr w:type="gramEnd"/>
      <w:r w:rsidR="00816408" w:rsidRPr="00816408">
        <w:t xml:space="preserve"> guidelines. </w:t>
      </w:r>
      <w:r w:rsidR="00816408" w:rsidRPr="00816408">
        <w:rPr>
          <w:i/>
          <w:iCs/>
        </w:rPr>
        <w:t>J Clin Epidemiol</w:t>
      </w:r>
      <w:r w:rsidR="00816408" w:rsidRPr="00816408">
        <w:t>,</w:t>
      </w:r>
      <w:r w:rsidR="00816408" w:rsidRPr="00816408">
        <w:rPr>
          <w:i/>
          <w:iCs/>
        </w:rPr>
        <w:t xml:space="preserve"> 86</w:t>
      </w:r>
      <w:r w:rsidR="00816408" w:rsidRPr="00816408">
        <w:t xml:space="preserve">, 3-10. </w:t>
      </w:r>
      <w:hyperlink r:id="rId69" w:history="1">
        <w:r w:rsidR="00816408" w:rsidRPr="000163C7">
          <w:rPr>
            <w:rStyle w:val="Hyperlink"/>
            <w:color w:val="006CBC"/>
          </w:rPr>
          <w:t>https://doi.org/10.1016/j.jclinepi.2017.01.016</w:t>
        </w:r>
      </w:hyperlink>
    </w:p>
    <w:p w14:paraId="07CD12EB" w14:textId="08DC60C7" w:rsidR="00C07F43" w:rsidRDefault="000B4D79" w:rsidP="003E2E95">
      <w:pPr>
        <w:pStyle w:val="Heading40"/>
      </w:pPr>
      <w:bookmarkStart w:id="146" w:name="_Toc153967129"/>
      <w:r w:rsidDel="00F95B41">
        <w:tab/>
      </w:r>
      <w:bookmarkStart w:id="147" w:name="_Ref197344900"/>
      <w:bookmarkStart w:id="148" w:name="_Toc207801074"/>
      <w:bookmarkStart w:id="149" w:name="_Toc207824551"/>
      <w:r w:rsidR="00647E48">
        <w:t>U</w:t>
      </w:r>
      <w:r w:rsidR="00C07F43">
        <w:t>sing or updating existing systematic reviews</w:t>
      </w:r>
      <w:bookmarkEnd w:id="146"/>
      <w:bookmarkEnd w:id="147"/>
      <w:bookmarkEnd w:id="148"/>
      <w:bookmarkEnd w:id="149"/>
    </w:p>
    <w:p w14:paraId="77EFC47E" w14:textId="3186D881" w:rsidR="00214FF4" w:rsidRDefault="00722DCC" w:rsidP="00214FF4">
      <w:r>
        <w:t>Using an e</w:t>
      </w:r>
      <w:r w:rsidRPr="00404112">
        <w:t xml:space="preserve">xisting review </w:t>
      </w:r>
      <w:r>
        <w:t xml:space="preserve">to address at least some </w:t>
      </w:r>
      <w:r w:rsidRPr="00404112">
        <w:t xml:space="preserve">questions relevant to </w:t>
      </w:r>
      <w:r>
        <w:t xml:space="preserve">the review is </w:t>
      </w:r>
      <w:r w:rsidR="005A67AC">
        <w:t>efficient and</w:t>
      </w:r>
      <w:r>
        <w:t xml:space="preserve"> allows review resources to be concentrated on evidence gaps. </w:t>
      </w:r>
      <w:r w:rsidR="00530E59">
        <w:t>Before commencing a de novo evidence review, consideration should be given to whether an existing</w:t>
      </w:r>
      <w:r w:rsidR="00821E0A">
        <w:t xml:space="preserve">, </w:t>
      </w:r>
      <w:r w:rsidR="005A67AC">
        <w:t>high-quality</w:t>
      </w:r>
      <w:r w:rsidR="00530E59">
        <w:t xml:space="preserve"> </w:t>
      </w:r>
      <w:r w:rsidR="00053E67">
        <w:t>review</w:t>
      </w:r>
      <w:r w:rsidR="00404112" w:rsidRPr="00404112">
        <w:t xml:space="preserve"> </w:t>
      </w:r>
      <w:r w:rsidR="00821E0A">
        <w:t xml:space="preserve">has been published on the research question of interest. </w:t>
      </w:r>
    </w:p>
    <w:p w14:paraId="2FE850E9" w14:textId="0F4696B1" w:rsidR="00940EA4" w:rsidRDefault="00940EA4" w:rsidP="00940EA4">
      <w:r>
        <w:t>Existing reviews may be identified for update</w:t>
      </w:r>
      <w:r w:rsidR="002632C0">
        <w:t xml:space="preserve"> to </w:t>
      </w:r>
      <w:r w:rsidR="00C27ADA">
        <w:t xml:space="preserve">include </w:t>
      </w:r>
      <w:r w:rsidR="002632C0">
        <w:t xml:space="preserve">evidence published since the review search date, or to undertake </w:t>
      </w:r>
      <w:r>
        <w:t xml:space="preserve">additional </w:t>
      </w:r>
      <w:r w:rsidR="002632C0">
        <w:t xml:space="preserve">analysis or synthesis </w:t>
      </w:r>
      <w:r w:rsidR="00A94CE8">
        <w:t xml:space="preserve">to support NRV development </w:t>
      </w:r>
      <w:r w:rsidR="002632C0">
        <w:t>(e</w:t>
      </w:r>
      <w:r w:rsidR="00800FCD">
        <w:t>.</w:t>
      </w:r>
      <w:r w:rsidR="002632C0">
        <w:t xml:space="preserve">g. subgroup analyses). </w:t>
      </w:r>
      <w:r w:rsidR="00A94CE8">
        <w:t>In some cases, an existing review may only partially address the research question of interest, and a supplementary review of the evidence will be required to address gaps.</w:t>
      </w:r>
    </w:p>
    <w:p w14:paraId="5BBEFFC1" w14:textId="03ECD81C" w:rsidR="00390642" w:rsidRDefault="00E12DB4" w:rsidP="00214FF4">
      <w:r>
        <w:t>A</w:t>
      </w:r>
      <w:r w:rsidDel="00501920">
        <w:t xml:space="preserve"> </w:t>
      </w:r>
      <w:r>
        <w:t xml:space="preserve">guide to support decision making about the suitability of underpinning systematic reviews is provided at </w:t>
      </w:r>
      <w:r w:rsidR="0086520C">
        <w:fldChar w:fldCharType="begin"/>
      </w:r>
      <w:r w:rsidR="0086520C">
        <w:instrText xml:space="preserve"> REF _Ref194582729 \r \h </w:instrText>
      </w:r>
      <w:r w:rsidR="0086520C">
        <w:fldChar w:fldCharType="separate"/>
      </w:r>
      <w:r w:rsidR="00783DC4">
        <w:t xml:space="preserve">Appendix E.  </w:t>
      </w:r>
      <w:r w:rsidR="0086520C">
        <w:fldChar w:fldCharType="end"/>
      </w:r>
    </w:p>
    <w:p w14:paraId="7B7CA9B7" w14:textId="1DD17E60" w:rsidR="00053E67" w:rsidRDefault="004D5C55" w:rsidP="00053E67">
      <w:pPr>
        <w:pStyle w:val="Boxed1Bullet"/>
        <w:numPr>
          <w:ilvl w:val="0"/>
          <w:numId w:val="0"/>
        </w:numPr>
        <w:ind w:left="284"/>
      </w:pPr>
      <w:r w:rsidRPr="00592323">
        <w:t xml:space="preserve">Further </w:t>
      </w:r>
      <w:r>
        <w:t xml:space="preserve">guidance on </w:t>
      </w:r>
      <w:r w:rsidR="00E95706">
        <w:t xml:space="preserve">using existing systematic reviews </w:t>
      </w:r>
      <w:r w:rsidR="008D2AFB">
        <w:t>is included in</w:t>
      </w:r>
      <w:r w:rsidR="00053E67">
        <w:t>:</w:t>
      </w:r>
    </w:p>
    <w:p w14:paraId="0C9A8CF2" w14:textId="6F0B7877" w:rsidR="00411CF9" w:rsidRDefault="006C3B7E" w:rsidP="00211F4C">
      <w:pPr>
        <w:pStyle w:val="Boxed1Bullet"/>
        <w:numPr>
          <w:ilvl w:val="0"/>
          <w:numId w:val="67"/>
        </w:numPr>
      </w:pPr>
      <w:r>
        <w:fldChar w:fldCharType="begin"/>
      </w:r>
      <w:r w:rsidR="007607BA">
        <w:instrText xml:space="preserve"> ADDIN EN.CITE &lt;EndNote&gt;&lt;Cite AuthorYear="1"&gt;&lt;Author&gt;NASEM&lt;/Author&gt;&lt;Year&gt;2023&lt;/Year&gt;&lt;RecNum&gt;46&lt;/RecNum&gt;&lt;DisplayText&gt;NASEM (2023)&lt;/DisplayText&gt;&lt;record&gt;&lt;rec-number&gt;46&lt;/rec-number&gt;&lt;foreign-keys&gt;&lt;key app="EN" db-id="zxfaevvrgpsxebez5ec5vspfe2av5dtxt9xx" timestamp="1754957726"&gt;46&lt;/key&gt;&lt;/foreign-keys&gt;&lt;ref-type name="Book"&gt;6&lt;/ref-type&gt;&lt;contributors&gt;&lt;authors&gt;&lt;author&gt;NASEM,&lt;/author&gt;&lt;/authors&gt;&lt;/contributors&gt;&lt;titles&gt;&lt;title&gt;Using Systematic Reviews to Support Future Dietary Reference Intakes: A Letter Report&lt;/title&gt;&lt;/titles&gt;&lt;dates&gt;&lt;year&gt;2023&lt;/year&gt;&lt;/dates&gt;&lt;pub-location&gt;Washington, DC&lt;/pub-location&gt;&lt;publisher&gt;The National Academies Press.&lt;/publisher&gt;&lt;isbn&gt;0309703069&lt;/isbn&gt;&lt;urls&gt;&lt;/urls&gt;&lt;electronic-resource-num&gt;https://doi.org/10.17226/27031.&lt;/electronic-resource-num&gt;&lt;/record&gt;&lt;/Cite&gt;&lt;/EndNote&gt;</w:instrText>
      </w:r>
      <w:r>
        <w:fldChar w:fldCharType="separate"/>
      </w:r>
      <w:r w:rsidR="007607BA">
        <w:rPr>
          <w:noProof/>
        </w:rPr>
        <w:t>NASEM (2023)</w:t>
      </w:r>
      <w:r>
        <w:fldChar w:fldCharType="end"/>
      </w:r>
      <w:r w:rsidRPr="006C3B7E">
        <w:t xml:space="preserve"> </w:t>
      </w:r>
      <w:r w:rsidRPr="006C3B7E">
        <w:rPr>
          <w:i/>
          <w:iCs/>
        </w:rPr>
        <w:t>Using Systematic Reviews to Support Future Dietary Reference Intakes: A Letter Report</w:t>
      </w:r>
      <w:r w:rsidRPr="006C3B7E">
        <w:t>. The National Academies Press. https://doi.org/https://doi.org/10.17226/27031</w:t>
      </w:r>
    </w:p>
    <w:p w14:paraId="62101C34" w14:textId="563EDC94" w:rsidR="006643DA" w:rsidRDefault="00D515F8" w:rsidP="00211F4C">
      <w:pPr>
        <w:pStyle w:val="Boxed1Bullet"/>
        <w:numPr>
          <w:ilvl w:val="0"/>
          <w:numId w:val="67"/>
        </w:numPr>
      </w:pPr>
      <w:r>
        <w:fldChar w:fldCharType="begin"/>
      </w:r>
      <w:r w:rsidR="007607BA">
        <w:instrText xml:space="preserve"> ADDIN EN.CITE &lt;EndNote&gt;&lt;Cite AuthorYear="1"&gt;&lt;Author&gt;NHMRC&lt;/Author&gt;&lt;Year&gt;2019&lt;/Year&gt;&lt;RecNum&gt;51&lt;/RecNum&gt;&lt;DisplayText&gt;NHMRC (2019d)&lt;/DisplayText&gt;&lt;record&gt;&lt;rec-number&gt;51&lt;/rec-number&gt;&lt;foreign-keys&gt;&lt;key app="EN" db-id="zxfaevvrgpsxebez5ec5vspfe2av5dtxt9xx" timestamp="1754957726"&gt;51&lt;/key&gt;&lt;/foreign-keys&gt;&lt;ref-type name="Electronic Book"&gt;44&lt;/ref-type&gt;&lt;contributors&gt;&lt;authors&gt;&lt;author&gt;NHMRC,&lt;/author&gt;&lt;/authors&gt;&lt;/contributors&gt;&lt;titles&gt;&lt;title&gt;Guidelines for Guidelines: Identifying the evidence&lt;/title&gt;&lt;/titles&gt;&lt;dates&gt;&lt;year&gt;2019&lt;/year&gt;&lt;/dates&gt;&lt;pub-location&gt;Canberra&lt;/pub-location&gt;&lt;urls&gt;&lt;related-urls&gt;&lt;url&gt;date accessed 13 August 2025 https://www.nhmrc.gov.au/guidelinesforguidelines/develop/identifying-evidence&lt;/url&gt;&lt;/related-urls&gt;&lt;/urls&gt;&lt;/record&gt;&lt;/Cite&gt;&lt;/EndNote&gt;</w:instrText>
      </w:r>
      <w:r>
        <w:fldChar w:fldCharType="separate"/>
      </w:r>
      <w:r w:rsidR="007607BA">
        <w:rPr>
          <w:noProof/>
        </w:rPr>
        <w:t>NHMRC (2019d)</w:t>
      </w:r>
      <w:r>
        <w:fldChar w:fldCharType="end"/>
      </w:r>
      <w:r>
        <w:t xml:space="preserve"> </w:t>
      </w:r>
      <w:r w:rsidR="004454E1" w:rsidRPr="004454E1">
        <w:rPr>
          <w:i/>
          <w:iCs/>
        </w:rPr>
        <w:t>Guidelines for Guidelines: Identifying the evidence</w:t>
      </w:r>
      <w:r w:rsidR="004454E1" w:rsidRPr="004454E1">
        <w:t xml:space="preserve">   </w:t>
      </w:r>
      <w:hyperlink r:id="rId70" w:history="1">
        <w:r w:rsidR="004454E1" w:rsidRPr="000163C7">
          <w:rPr>
            <w:rStyle w:val="Hyperlink"/>
            <w:color w:val="006CBC"/>
          </w:rPr>
          <w:t>https://www.nhmrc.gov.au/guidelinesforguidelines/develop/identifying-evidence</w:t>
        </w:r>
      </w:hyperlink>
      <w:r w:rsidR="004454E1">
        <w:t xml:space="preserve"> </w:t>
      </w:r>
      <w:r w:rsidR="006643DA" w:rsidRPr="006643DA">
        <w:t>.</w:t>
      </w:r>
    </w:p>
    <w:p w14:paraId="3334CCBE" w14:textId="50C70338" w:rsidR="002402CE" w:rsidRDefault="002F0A5E" w:rsidP="003E2E95">
      <w:pPr>
        <w:pStyle w:val="Heading30"/>
      </w:pPr>
      <w:bookmarkStart w:id="150" w:name="_Toc153967130"/>
      <w:bookmarkStart w:id="151" w:name="_Toc207801075"/>
      <w:bookmarkStart w:id="152" w:name="_Toc207824552"/>
      <w:r>
        <w:t>Conduct</w:t>
      </w:r>
      <w:r w:rsidR="006E7663">
        <w:t>ing a</w:t>
      </w:r>
      <w:r>
        <w:t xml:space="preserve"> </w:t>
      </w:r>
      <w:r w:rsidR="006E7663">
        <w:t>de novo evidence review</w:t>
      </w:r>
      <w:bookmarkEnd w:id="150"/>
      <w:bookmarkEnd w:id="151"/>
      <w:bookmarkEnd w:id="152"/>
      <w:r w:rsidR="006E7663">
        <w:t xml:space="preserve"> </w:t>
      </w:r>
      <w:bookmarkEnd w:id="139"/>
      <w:bookmarkEnd w:id="140"/>
      <w:bookmarkEnd w:id="141"/>
    </w:p>
    <w:p w14:paraId="08CBF7B2" w14:textId="270799D6" w:rsidR="00713143" w:rsidRPr="009E066B" w:rsidRDefault="003146CB" w:rsidP="009E066B">
      <w:r>
        <w:t xml:space="preserve">If no existing evidence reviews </w:t>
      </w:r>
      <w:r w:rsidR="005616BA">
        <w:t>are identified as suitable for use or updating, a de novo evidence review should be undertaken to address key research questions of interest.</w:t>
      </w:r>
      <w:r w:rsidR="00FC020A">
        <w:t xml:space="preserve"> Reviews should meet the NHMRC Standards and be guided by the Guidelines for Guidelines and associated </w:t>
      </w:r>
      <w:r w:rsidR="00805ED6">
        <w:t xml:space="preserve">third-party guidance and </w:t>
      </w:r>
      <w:r w:rsidR="00FC020A">
        <w:t>tools.</w:t>
      </w:r>
      <w:r w:rsidR="00805ED6">
        <w:t xml:space="preserve"> This includes:</w:t>
      </w:r>
    </w:p>
    <w:p w14:paraId="7F4FDDFB" w14:textId="0E24D52D" w:rsidR="000A36EB" w:rsidRDefault="00580202" w:rsidP="00211F4C">
      <w:pPr>
        <w:pStyle w:val="ListParagraph"/>
        <w:numPr>
          <w:ilvl w:val="0"/>
          <w:numId w:val="43"/>
        </w:numPr>
      </w:pPr>
      <w:r>
        <w:t xml:space="preserve">Developing a detailed research protocol to be </w:t>
      </w:r>
      <w:r w:rsidR="00C27ADA">
        <w:t xml:space="preserve">prospectively </w:t>
      </w:r>
      <w:r w:rsidR="006453B1">
        <w:t>registered on</w:t>
      </w:r>
      <w:r w:rsidR="00C27ADA">
        <w:t xml:space="preserve"> an online review registry (</w:t>
      </w:r>
      <w:r w:rsidR="001A62A2">
        <w:t>e.g</w:t>
      </w:r>
      <w:r w:rsidR="00C27ADA">
        <w:t>. PROSPERO</w:t>
      </w:r>
      <w:r w:rsidR="00BC3B4A">
        <w:fldChar w:fldCharType="begin"/>
      </w:r>
      <w:r w:rsidR="00A12B59">
        <w:instrText xml:space="preserve"> ADDIN EN.CITE &lt;EndNote&gt;&lt;Cite Hidden="1"&gt;&lt;RecNum&gt;100&lt;/RecNum&gt;&lt;record&gt;&lt;rec-number&gt;100&lt;/rec-number&gt;&lt;foreign-keys&gt;&lt;key app="EN" db-id="zxfaevvrgpsxebez5ec5vspfe2av5dtxt9xx" timestamp="1754959384"&gt;100&lt;/key&gt;&lt;/foreign-keys&gt;&lt;ref-type name="Web Page"&gt;12&lt;/ref-type&gt;&lt;contributors&gt;&lt;/contributors&gt;&lt;titles&gt;&lt;title&gt;PROSPERO. International prospective register of systematic reviews&lt;/title&gt;&lt;/titles&gt;&lt;dates&gt;&lt;/dates&gt;&lt;publisher&gt;National Institute for Helth and Care Research&lt;/publisher&gt;&lt;urls&gt;&lt;related-urls&gt;&lt;url&gt;date accessed 18 August 2025, https://www.crd.york.ac.uk/prospero/&lt;/url&gt;&lt;/related-urls&gt;&lt;/urls&gt;&lt;/record&gt;&lt;/Cite&gt;&lt;/EndNote&gt;</w:instrText>
      </w:r>
      <w:r w:rsidR="00BC3B4A">
        <w:fldChar w:fldCharType="separate"/>
      </w:r>
      <w:r w:rsidR="00BC3B4A">
        <w:fldChar w:fldCharType="end"/>
      </w:r>
      <w:r w:rsidR="00C27ADA">
        <w:t>)</w:t>
      </w:r>
    </w:p>
    <w:p w14:paraId="319B05FF" w14:textId="3F9A7518" w:rsidR="00E0261D" w:rsidRDefault="00580202" w:rsidP="00211F4C">
      <w:pPr>
        <w:pStyle w:val="ListParagraph"/>
        <w:numPr>
          <w:ilvl w:val="0"/>
          <w:numId w:val="43"/>
        </w:numPr>
      </w:pPr>
      <w:r>
        <w:t xml:space="preserve">Conducting </w:t>
      </w:r>
      <w:r w:rsidR="002C6740">
        <w:t>the evidence review in accordance with the protocol</w:t>
      </w:r>
      <w:r w:rsidR="00E0261D">
        <w:t>, with any deviations to be documented and a supporting rationale provided</w:t>
      </w:r>
    </w:p>
    <w:p w14:paraId="0602B8EE" w14:textId="6E4B99CA" w:rsidR="00580202" w:rsidRDefault="00E0261D" w:rsidP="00211F4C">
      <w:pPr>
        <w:pStyle w:val="ListParagraph"/>
        <w:numPr>
          <w:ilvl w:val="0"/>
          <w:numId w:val="43"/>
        </w:numPr>
      </w:pPr>
      <w:r>
        <w:t xml:space="preserve">Documenting the review </w:t>
      </w:r>
      <w:r w:rsidR="002A6BCD">
        <w:t xml:space="preserve">criteria, </w:t>
      </w:r>
      <w:r>
        <w:t>methods and findings in a comprehensive evidence evaluation report</w:t>
      </w:r>
      <w:r w:rsidR="00521FFD">
        <w:t>.</w:t>
      </w:r>
      <w:r>
        <w:t xml:space="preserve"> </w:t>
      </w:r>
    </w:p>
    <w:p w14:paraId="22F7EF13" w14:textId="3AE70E63" w:rsidR="00FC5562" w:rsidRDefault="000A36EB" w:rsidP="000836B3">
      <w:pPr>
        <w:pStyle w:val="Boxed1Bullet"/>
        <w:numPr>
          <w:ilvl w:val="0"/>
          <w:numId w:val="0"/>
        </w:numPr>
        <w:ind w:left="284"/>
      </w:pPr>
      <w:r w:rsidRPr="000A36EB">
        <w:lastRenderedPageBreak/>
        <w:t xml:space="preserve">NHMRC’s Guidelines for Guidelines </w:t>
      </w:r>
      <w:r w:rsidR="008C1153">
        <w:t xml:space="preserve">(2019) </w:t>
      </w:r>
      <w:r w:rsidRPr="000A36EB">
        <w:t>provides detailed guidance on searching for evidence and the synthesis of evidence into appropriate categories for analysis.</w:t>
      </w:r>
      <w:r>
        <w:t xml:space="preserve"> </w:t>
      </w:r>
      <w:r w:rsidR="00991B63">
        <w:t xml:space="preserve">Relevant </w:t>
      </w:r>
      <w:r w:rsidR="00FC5562">
        <w:t>Guidelines for Guidelines modules</w:t>
      </w:r>
      <w:r w:rsidR="00991B63">
        <w:t xml:space="preserve"> include</w:t>
      </w:r>
      <w:r w:rsidR="00FC5562">
        <w:t>:</w:t>
      </w:r>
    </w:p>
    <w:p w14:paraId="6E079C69" w14:textId="1242A249" w:rsidR="00616284" w:rsidRDefault="00616284" w:rsidP="00211F4C">
      <w:pPr>
        <w:pStyle w:val="Boxed1Bullet"/>
        <w:numPr>
          <w:ilvl w:val="0"/>
          <w:numId w:val="66"/>
        </w:numPr>
      </w:pPr>
      <w:hyperlink r:id="rId71" w:history="1">
        <w:r w:rsidRPr="000163C7">
          <w:rPr>
            <w:rStyle w:val="Hyperlink"/>
            <w:color w:val="006CBC"/>
          </w:rPr>
          <w:t>Identifying the evidence | NHMRC</w:t>
        </w:r>
      </w:hyperlink>
    </w:p>
    <w:p w14:paraId="65127AA3" w14:textId="261F3A96" w:rsidR="007153B2" w:rsidRPr="008246A1" w:rsidRDefault="007153B2" w:rsidP="00211F4C">
      <w:pPr>
        <w:pStyle w:val="Boxed1Bullet"/>
        <w:numPr>
          <w:ilvl w:val="0"/>
          <w:numId w:val="66"/>
        </w:numPr>
      </w:pPr>
      <w:hyperlink r:id="rId72" w:history="1">
        <w:r w:rsidRPr="000163C7">
          <w:rPr>
            <w:rStyle w:val="Hyperlink"/>
            <w:color w:val="006CBC"/>
          </w:rPr>
          <w:t>Selecting studies and data extraction | NHMRC</w:t>
        </w:r>
      </w:hyperlink>
    </w:p>
    <w:p w14:paraId="0AFB937C" w14:textId="77777777" w:rsidR="00D930EF" w:rsidRDefault="00D930EF" w:rsidP="00211F4C">
      <w:pPr>
        <w:pStyle w:val="Boxed1Bullet"/>
        <w:numPr>
          <w:ilvl w:val="0"/>
          <w:numId w:val="66"/>
        </w:numPr>
      </w:pPr>
      <w:hyperlink r:id="rId73" w:history="1">
        <w:r w:rsidRPr="000163C7">
          <w:rPr>
            <w:rStyle w:val="Hyperlink"/>
            <w:color w:val="004894"/>
          </w:rPr>
          <w:t>Synthesising evidence | NHMRC</w:t>
        </w:r>
      </w:hyperlink>
    </w:p>
    <w:p w14:paraId="41402165" w14:textId="77777777" w:rsidR="00451884" w:rsidRDefault="00451884" w:rsidP="00211F4C">
      <w:pPr>
        <w:pStyle w:val="Boxed1Bullet"/>
        <w:numPr>
          <w:ilvl w:val="0"/>
          <w:numId w:val="66"/>
        </w:numPr>
      </w:pPr>
      <w:hyperlink r:id="rId74" w:history="1">
        <w:r w:rsidRPr="000163C7">
          <w:rPr>
            <w:rStyle w:val="Hyperlink"/>
            <w:color w:val="006CBC"/>
          </w:rPr>
          <w:t>Assessing risk of bias | NHMRC</w:t>
        </w:r>
      </w:hyperlink>
    </w:p>
    <w:p w14:paraId="05C88584" w14:textId="2EC1F439" w:rsidR="008C29DA" w:rsidRDefault="008C29DA" w:rsidP="00211F4C">
      <w:pPr>
        <w:pStyle w:val="Boxed1Bullet"/>
        <w:numPr>
          <w:ilvl w:val="0"/>
          <w:numId w:val="66"/>
        </w:numPr>
      </w:pPr>
      <w:hyperlink r:id="rId75" w:history="1">
        <w:r w:rsidRPr="000163C7">
          <w:rPr>
            <w:rStyle w:val="Hyperlink"/>
            <w:color w:val="006CBC"/>
          </w:rPr>
          <w:t>Assessing certainty of evidence | NHMRC</w:t>
        </w:r>
      </w:hyperlink>
    </w:p>
    <w:p w14:paraId="21899228" w14:textId="7DC5255F" w:rsidR="000836B3" w:rsidRDefault="00C30CBA" w:rsidP="000836B3">
      <w:pPr>
        <w:pStyle w:val="Boxed1Bullet"/>
        <w:numPr>
          <w:ilvl w:val="0"/>
          <w:numId w:val="0"/>
        </w:numPr>
        <w:ind w:left="284"/>
      </w:pPr>
      <w:r>
        <w:t>F</w:t>
      </w:r>
      <w:r w:rsidR="006B3131">
        <w:t>urther</w:t>
      </w:r>
      <w:r w:rsidR="000836B3" w:rsidRPr="00B42446">
        <w:t xml:space="preserve"> guidance, specific to systematic reviews in nutrition, is available </w:t>
      </w:r>
      <w:r w:rsidR="008D2AFB">
        <w:t>from</w:t>
      </w:r>
      <w:r w:rsidR="000836B3" w:rsidRPr="00B42446">
        <w:t>:</w:t>
      </w:r>
    </w:p>
    <w:p w14:paraId="4EF52A1C" w14:textId="3A052C92" w:rsidR="009777DA" w:rsidRDefault="005D4F45" w:rsidP="00211F4C">
      <w:pPr>
        <w:pStyle w:val="Boxed1Bullet"/>
        <w:numPr>
          <w:ilvl w:val="0"/>
          <w:numId w:val="66"/>
        </w:numPr>
      </w:pPr>
      <w:r>
        <w:fldChar w:fldCharType="begin"/>
      </w:r>
      <w:r>
        <w:instrText xml:space="preserve"> ADDIN EN.CITE &lt;EndNote&gt;&lt;Cite AuthorYear="1"&gt;&lt;Author&gt;NASEM&lt;/Author&gt;&lt;Year&gt;2017&lt;/Year&gt;&lt;RecNum&gt;43&lt;/RecNum&gt;&lt;DisplayText&gt;NASEM (2017)&lt;/DisplayText&gt;&lt;record&gt;&lt;rec-number&gt;43&lt;/rec-number&gt;&lt;foreign-keys&gt;&lt;key app="EN" db-id="zxfaevvrgpsxebez5ec5vspfe2av5dtxt9xx" timestamp="1754957726"&gt;43&lt;/key&gt;&lt;/foreign-keys&gt;&lt;ref-type name="Book"&gt;6&lt;/ref-type&gt;&lt;contributors&gt;&lt;authors&gt;&lt;author&gt;NASEM,&lt;/author&gt;&lt;/authors&gt;&lt;secondary-authors&gt;&lt;author&gt;Kumanyika, Shiriki&lt;/author&gt;&lt;author&gt;Oria, Maria P.&lt;/author&gt;&lt;/secondary-authors&gt;&lt;/contributors&gt;&lt;titles&gt;&lt;title&gt;Guiding Principles for Developing Dietary Reference Intakes Based on Chronic Disease&lt;/title&gt;&lt;/titles&gt;&lt;pages&gt;334&lt;/pages&gt;&lt;keywords&gt;&lt;keyword&gt;Food and Nutrition&lt;/keyword&gt;&lt;keyword&gt;Health and Medicine&lt;/keyword&gt;&lt;/keywords&gt;&lt;dates&gt;&lt;year&gt;2017&lt;/year&gt;&lt;/dates&gt;&lt;pub-location&gt;Washington, DC&lt;/pub-location&gt;&lt;publisher&gt;The National Academies Press&lt;/publisher&gt;&lt;isbn&gt;978-0-309-46256-3&lt;/isbn&gt;&lt;urls&gt;&lt;related-urls&gt;&lt;url&gt;https://nap.nationalacademies.org/catalog/24828/guiding-principles-for-developing-dietary-reference-intakes-based-on-chronic-disease&lt;/url&gt;&lt;/related-urls&gt;&lt;/urls&gt;&lt;electronic-resource-num&gt;doi:10.17226/24828&lt;/electronic-resource-num&gt;&lt;language&gt;English&lt;/language&gt;&lt;/record&gt;&lt;/Cite&gt;&lt;/EndNote&gt;</w:instrText>
      </w:r>
      <w:r>
        <w:fldChar w:fldCharType="separate"/>
      </w:r>
      <w:r>
        <w:rPr>
          <w:noProof/>
        </w:rPr>
        <w:t>NASEM (2017)</w:t>
      </w:r>
      <w:r>
        <w:fldChar w:fldCharType="end"/>
      </w:r>
      <w:r w:rsidR="00397A37" w:rsidRPr="00397A37">
        <w:t> </w:t>
      </w:r>
      <w:r w:rsidRPr="005D4F45">
        <w:rPr>
          <w:i/>
          <w:iCs/>
        </w:rPr>
        <w:t>Guiding Principles for Developing Dietary Reference Intakes Based on Chronic Disease</w:t>
      </w:r>
      <w:r w:rsidRPr="005D4F45">
        <w:rPr>
          <w:i/>
        </w:rPr>
        <w:t xml:space="preserve">. The National Academies Press. https://doi.org/doi:10.17226/24828 </w:t>
      </w:r>
      <w:r w:rsidR="004E5C5C">
        <w:t>-</w:t>
      </w:r>
      <w:r w:rsidR="008C29DA">
        <w:t xml:space="preserve"> </w:t>
      </w:r>
      <w:r w:rsidR="009777DA" w:rsidRPr="00B42446">
        <w:t xml:space="preserve">pp. 129-141 and </w:t>
      </w:r>
      <w:r w:rsidR="009777DA">
        <w:t xml:space="preserve">pp. </w:t>
      </w:r>
      <w:r w:rsidR="009777DA" w:rsidRPr="00B42446">
        <w:t>165-166</w:t>
      </w:r>
      <w:r w:rsidR="009777DA">
        <w:t xml:space="preserve"> </w:t>
      </w:r>
    </w:p>
    <w:p w14:paraId="050297A5" w14:textId="140A93AA" w:rsidR="009B5614" w:rsidRDefault="00346E9B" w:rsidP="00211F4C">
      <w:pPr>
        <w:pStyle w:val="Boxed1Bullet"/>
        <w:numPr>
          <w:ilvl w:val="0"/>
          <w:numId w:val="66"/>
        </w:numPr>
      </w:pPr>
      <w:r>
        <w:fldChar w:fldCharType="begin"/>
      </w:r>
      <w:r>
        <w:instrText xml:space="preserve"> ADDIN EN.CITE &lt;EndNote&gt;&lt;Cite AuthorYear="1"&gt;&lt;Author&gt;Arnesen&lt;/Author&gt;&lt;Year&gt;2020&lt;/Year&gt;&lt;RecNum&gt;7&lt;/RecNum&gt;&lt;DisplayText&gt;Arnesen et al. (2020)&lt;/DisplayText&gt;&lt;record&gt;&lt;rec-number&gt;7&lt;/rec-number&gt;&lt;foreign-keys&gt;&lt;key app="EN" db-id="zxfaevvrgpsxebez5ec5vspfe2av5dtxt9xx" timestamp="1754957726"&gt;7&lt;/key&gt;&lt;/foreign-keys&gt;&lt;ref-type name="Journal Article"&gt;17&lt;/ref-type&gt;&lt;contributors&gt;&lt;authors&gt;&lt;author&gt;Arnesen, Erik Kristoffer&lt;/author&gt;&lt;author&gt;Christensen, Jacob Juel&lt;/author&gt;&lt;author&gt;Andersen, Rikke&lt;/author&gt;&lt;author&gt;Eneroth, Hanna&lt;/author&gt;&lt;author&gt;Erkkola, Maijaliisa&lt;/author&gt;&lt;author&gt;Høyer, Anne&lt;/author&gt;&lt;author&gt;Lemming, Eva Warensjö&lt;/author&gt;&lt;author&gt;Meltzer, Helle Margrete&lt;/author&gt;&lt;author&gt;Halldórsson, Þórhallur Ingi&lt;/author&gt;&lt;author&gt;Þórsdóttir, Inga&lt;/author&gt;&lt;/authors&gt;&lt;/contributors&gt;&lt;titles&gt;&lt;title&gt;The Nordic Nutrition Recommendations 2022–handbook for qualified systematic reviews&lt;/title&gt;&lt;secondary-title&gt;Food &amp;amp; Nutrition Research&lt;/secondary-title&gt;&lt;/titles&gt;&lt;periodical&gt;&lt;full-title&gt;Food &amp;amp; Nutrition Research&lt;/full-title&gt;&lt;/periodical&gt;&lt;pages&gt;4404&lt;/pages&gt;&lt;volume&gt;64&lt;/volume&gt;&lt;dates&gt;&lt;year&gt;2020&lt;/year&gt;&lt;/dates&gt;&lt;urls&gt;&lt;/urls&gt;&lt;electronic-resource-num&gt;10.29219/fnr&lt;/electronic-resource-num&gt;&lt;/record&gt;&lt;/Cite&gt;&lt;/EndNote&gt;</w:instrText>
      </w:r>
      <w:r>
        <w:fldChar w:fldCharType="separate"/>
      </w:r>
      <w:r>
        <w:rPr>
          <w:noProof/>
        </w:rPr>
        <w:t>Arnesen et al. (2020)</w:t>
      </w:r>
      <w:r>
        <w:fldChar w:fldCharType="end"/>
      </w:r>
      <w:r w:rsidRPr="00346E9B">
        <w:t xml:space="preserve"> The Nordic Nutrition Recommendations 2022–handbook for qualified systematic reviews. </w:t>
      </w:r>
      <w:r w:rsidRPr="00346E9B">
        <w:rPr>
          <w:i/>
          <w:iCs/>
        </w:rPr>
        <w:t>Food &amp; Nutrition Research</w:t>
      </w:r>
      <w:r w:rsidRPr="00346E9B">
        <w:t>,</w:t>
      </w:r>
      <w:r w:rsidRPr="00346E9B">
        <w:rPr>
          <w:i/>
          <w:iCs/>
        </w:rPr>
        <w:t xml:space="preserve"> 64</w:t>
      </w:r>
      <w:r w:rsidRPr="00346E9B">
        <w:t xml:space="preserve">, 4404. </w:t>
      </w:r>
      <w:hyperlink r:id="rId76" w:history="1">
        <w:r w:rsidRPr="000163C7">
          <w:rPr>
            <w:rStyle w:val="Hyperlink"/>
            <w:color w:val="006CBC"/>
          </w:rPr>
          <w:t>https://doi.org/10.29219/fnr</w:t>
        </w:r>
      </w:hyperlink>
      <w:r>
        <w:t xml:space="preserve"> </w:t>
      </w:r>
    </w:p>
    <w:p w14:paraId="2156B16A" w14:textId="3BA0EF8C" w:rsidR="00D860A1" w:rsidRDefault="00D860A1" w:rsidP="003E2E95">
      <w:pPr>
        <w:pStyle w:val="Heading30"/>
      </w:pPr>
      <w:bookmarkStart w:id="153" w:name="_Toc153967131"/>
      <w:bookmarkStart w:id="154" w:name="_Toc207801076"/>
      <w:bookmarkStart w:id="155" w:name="_Toc207824553"/>
      <w:r>
        <w:t>Develop</w:t>
      </w:r>
      <w:r w:rsidR="00A600B1">
        <w:t>ing</w:t>
      </w:r>
      <w:r>
        <w:t xml:space="preserve"> GRADE </w:t>
      </w:r>
      <w:bookmarkEnd w:id="153"/>
      <w:r w:rsidR="00F86DE7">
        <w:t>e</w:t>
      </w:r>
      <w:r>
        <w:t xml:space="preserve">vidence </w:t>
      </w:r>
      <w:r w:rsidR="00F86DE7">
        <w:t>p</w:t>
      </w:r>
      <w:r>
        <w:t>rofiles</w:t>
      </w:r>
      <w:bookmarkEnd w:id="154"/>
      <w:bookmarkEnd w:id="155"/>
    </w:p>
    <w:p w14:paraId="15E0E29D" w14:textId="32FDF227" w:rsidR="00D860A1" w:rsidRDefault="00D860A1" w:rsidP="00D860A1">
      <w:r>
        <w:t>Evidence profiles are a recognised format to summarise the available information</w:t>
      </w:r>
      <w:r w:rsidR="00395F6C">
        <w:t>. A</w:t>
      </w:r>
      <w:r w:rsidR="004215B4">
        <w:t>n</w:t>
      </w:r>
      <w:r w:rsidRPr="00271D93">
        <w:t xml:space="preserve"> evidence profile should be developed for each </w:t>
      </w:r>
      <w:r>
        <w:t xml:space="preserve">research </w:t>
      </w:r>
      <w:r w:rsidRPr="00271D93">
        <w:t>question used</w:t>
      </w:r>
      <w:r>
        <w:t xml:space="preserve"> to inform NRV recommendations. For </w:t>
      </w:r>
      <w:r w:rsidRPr="00F14A36">
        <w:t>de novo</w:t>
      </w:r>
      <w:r>
        <w:t xml:space="preserve"> evidence reviews, Evidence Profiles or Summary of Findings tables will be included in the final review report. Evidence from existing systematic reviews should be extracted and presented in this format, if this step has not been performed by the review authors. </w:t>
      </w:r>
    </w:p>
    <w:p w14:paraId="6F624FDD" w14:textId="4E349858" w:rsidR="00D860A1" w:rsidRPr="00271D93" w:rsidRDefault="00D860A1" w:rsidP="00D860A1">
      <w:r>
        <w:t>S</w:t>
      </w:r>
      <w:r w:rsidRPr="00271D93">
        <w:t xml:space="preserve">ummarising comparable information will ensure that the </w:t>
      </w:r>
      <w:r w:rsidR="00696E7E">
        <w:t>committee</w:t>
      </w:r>
      <w:r w:rsidRPr="00271D93">
        <w:t xml:space="preserve"> has all the information it needs to inform its recommendations.</w:t>
      </w:r>
      <w:r>
        <w:t xml:space="preserve"> </w:t>
      </w:r>
      <w:r w:rsidR="00395F6C">
        <w:t>This process will also provide an opportunity for the committee to i</w:t>
      </w:r>
      <w:r w:rsidR="00395F6C" w:rsidRPr="00395F6C">
        <w:t xml:space="preserve">dentify </w:t>
      </w:r>
      <w:r w:rsidR="00395F6C">
        <w:t xml:space="preserve">any </w:t>
      </w:r>
      <w:r w:rsidR="00395F6C" w:rsidRPr="00395F6C">
        <w:t xml:space="preserve">supplementary analyses required to calculate </w:t>
      </w:r>
      <w:r w:rsidR="00395F6C">
        <w:t xml:space="preserve">an </w:t>
      </w:r>
      <w:r w:rsidR="00395F6C" w:rsidRPr="00395F6C">
        <w:t>NRV</w:t>
      </w:r>
      <w:r w:rsidR="00395F6C">
        <w:t xml:space="preserve"> or inform decisions about </w:t>
      </w:r>
      <w:r w:rsidR="00A600B1">
        <w:t>recommendations</w:t>
      </w:r>
      <w:r w:rsidR="00395F6C">
        <w:t>.</w:t>
      </w:r>
    </w:p>
    <w:p w14:paraId="299EBF48" w14:textId="77777777" w:rsidR="00791A70" w:rsidRPr="00271D93" w:rsidRDefault="00791A70" w:rsidP="00271D93">
      <w:r w:rsidRPr="00271D93">
        <w:t>Each profile should include:</w:t>
      </w:r>
    </w:p>
    <w:p w14:paraId="4A1CF982" w14:textId="77777777" w:rsidR="00791A70" w:rsidRDefault="00791A70" w:rsidP="00211F4C">
      <w:pPr>
        <w:pStyle w:val="ListParagraph"/>
        <w:numPr>
          <w:ilvl w:val="0"/>
          <w:numId w:val="19"/>
        </w:numPr>
      </w:pPr>
      <w:r>
        <w:t>Some brief information on the question in a PI/ECO</w:t>
      </w:r>
      <w:r w:rsidR="000D263A">
        <w:t>S</w:t>
      </w:r>
      <w:r>
        <w:t xml:space="preserve"> </w:t>
      </w:r>
      <w:r w:rsidR="000D263A">
        <w:t>(</w:t>
      </w:r>
      <w:r w:rsidR="000D263A" w:rsidRPr="000D263A">
        <w:t>Population, Intervention/Exposure, Comparator, Outcome, Study design</w:t>
      </w:r>
      <w:r w:rsidR="000D263A">
        <w:t>)</w:t>
      </w:r>
      <w:r>
        <w:t xml:space="preserve"> or similar format.</w:t>
      </w:r>
    </w:p>
    <w:p w14:paraId="549CCD96" w14:textId="43D24281" w:rsidR="00791A70" w:rsidRDefault="00791A70" w:rsidP="00211F4C">
      <w:pPr>
        <w:pStyle w:val="ListParagraph"/>
        <w:numPr>
          <w:ilvl w:val="0"/>
          <w:numId w:val="19"/>
        </w:numPr>
      </w:pPr>
      <w:r>
        <w:t>A list of the critical and important outcomes relevant to the question, including information on the time points at which outcomes are measured and tools/definitions used to measure the outcome</w:t>
      </w:r>
      <w:r w:rsidR="003D12BA">
        <w:t xml:space="preserve">. </w:t>
      </w:r>
      <w:r>
        <w:t>This list should include outcomes for which no evidence was found.</w:t>
      </w:r>
    </w:p>
    <w:p w14:paraId="1E87D9C6" w14:textId="408C036C" w:rsidR="00791A70" w:rsidRDefault="00791A70" w:rsidP="00211F4C">
      <w:pPr>
        <w:pStyle w:val="ListParagraph"/>
        <w:numPr>
          <w:ilvl w:val="0"/>
          <w:numId w:val="19"/>
        </w:numPr>
        <w:rPr>
          <w:szCs w:val="20"/>
        </w:rPr>
      </w:pPr>
      <w:r>
        <w:t xml:space="preserve">Summary statistics for the point estimates from the meta-analyses, including, where possible both absolute </w:t>
      </w:r>
      <w:r w:rsidR="00D344DC">
        <w:t xml:space="preserve">risk (AR) </w:t>
      </w:r>
      <w:r>
        <w:t xml:space="preserve">and relative </w:t>
      </w:r>
      <w:r w:rsidR="00D344DC">
        <w:t xml:space="preserve">risk (RR) </w:t>
      </w:r>
      <w:r>
        <w:t xml:space="preserve">and confidence </w:t>
      </w:r>
      <w:r w:rsidRPr="00E31B95">
        <w:t>intervals</w:t>
      </w:r>
      <w:r w:rsidR="00E31B95" w:rsidRPr="00E31B95">
        <w:t xml:space="preserve"> </w:t>
      </w:r>
      <w:r w:rsidR="006D4935">
        <w:t>(</w:t>
      </w:r>
      <w:r w:rsidR="00E31B95" w:rsidRPr="006D4935">
        <w:t>or for RCTs both mean difference (MD) and number needed to treat (NNT) or equivalent)</w:t>
      </w:r>
      <w:r w:rsidRPr="006D4935">
        <w:t>. M</w:t>
      </w:r>
      <w:r>
        <w:t xml:space="preserve">ore than one absolute effect may be reported for different populations with higher or lower levels of </w:t>
      </w:r>
      <w:r>
        <w:lastRenderedPageBreak/>
        <w:t xml:space="preserve">risk, which can enable the guideline </w:t>
      </w:r>
      <w:r w:rsidRPr="00991B63">
        <w:rPr>
          <w:szCs w:val="20"/>
        </w:rPr>
        <w:t xml:space="preserve">development group to assess the real world impact of its recommendations on different populations </w:t>
      </w:r>
      <w:r w:rsidR="00475D09">
        <w:rPr>
          <w:szCs w:val="20"/>
        </w:rPr>
        <w:fldChar w:fldCharType="begin">
          <w:fldData xml:space="preserve">PEVuZE5vdGU+PENpdGU+PEF1dGhvcj5HdXlhdHQ8L0F1dGhvcj48WWVhcj4yMDEzPC9ZZWFyPjxS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</w:fldData>
        </w:fldChar>
      </w:r>
      <w:r w:rsidR="00705079">
        <w:rPr>
          <w:szCs w:val="20"/>
        </w:rPr>
        <w:instrText xml:space="preserve"> ADDIN EN.CITE </w:instrText>
      </w:r>
      <w:r w:rsidR="00705079">
        <w:rPr>
          <w:szCs w:val="20"/>
        </w:rPr>
        <w:fldChar w:fldCharType="begin">
          <w:fldData xml:space="preserve">PEVuZE5vdGU+PENpdGU+PEF1dGhvcj5HdXlhdHQ8L0F1dGhvcj48WWVhcj4yMDEzPC9ZZWFyPjxS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</w:fldData>
        </w:fldChar>
      </w:r>
      <w:r w:rsidR="00705079">
        <w:rPr>
          <w:szCs w:val="20"/>
        </w:rPr>
        <w:instrText xml:space="preserve"> ADDIN EN.CITE.DATA </w:instrText>
      </w:r>
      <w:r w:rsidR="00705079">
        <w:rPr>
          <w:szCs w:val="20"/>
        </w:rPr>
      </w:r>
      <w:r w:rsidR="00705079">
        <w:rPr>
          <w:szCs w:val="20"/>
        </w:rPr>
        <w:fldChar w:fldCharType="end"/>
      </w:r>
      <w:r w:rsidR="00475D09">
        <w:rPr>
          <w:szCs w:val="20"/>
        </w:rPr>
      </w:r>
      <w:r w:rsidR="00475D09">
        <w:rPr>
          <w:szCs w:val="20"/>
        </w:rPr>
        <w:fldChar w:fldCharType="separate"/>
      </w:r>
      <w:r w:rsidR="00705079">
        <w:rPr>
          <w:noProof/>
          <w:szCs w:val="20"/>
        </w:rPr>
        <w:t>(Guyatt et al. 2013a; Guyatt et al. 2013b)</w:t>
      </w:r>
      <w:r w:rsidR="00475D09">
        <w:rPr>
          <w:szCs w:val="20"/>
        </w:rPr>
        <w:fldChar w:fldCharType="end"/>
      </w:r>
      <w:r w:rsidR="00995B0C">
        <w:rPr>
          <w:szCs w:val="20"/>
        </w:rPr>
        <w:t>.</w:t>
      </w:r>
    </w:p>
    <w:p w14:paraId="6E202F76" w14:textId="77777777" w:rsidR="00791A70" w:rsidRPr="00991B63" w:rsidRDefault="00791A70" w:rsidP="00211F4C">
      <w:pPr>
        <w:pStyle w:val="ListParagraph"/>
        <w:numPr>
          <w:ilvl w:val="0"/>
          <w:numId w:val="19"/>
        </w:numPr>
        <w:spacing w:before="60"/>
        <w:ind w:left="714" w:hanging="357"/>
        <w:rPr>
          <w:szCs w:val="20"/>
        </w:rPr>
      </w:pPr>
      <w:r w:rsidRPr="00991B63">
        <w:rPr>
          <w:szCs w:val="20"/>
        </w:rPr>
        <w:t>Summary statements for any narrative or qualitative syntheses.</w:t>
      </w:r>
    </w:p>
    <w:p w14:paraId="63C9A7EB" w14:textId="4E132F3A" w:rsidR="00D860A1" w:rsidRPr="00991B63" w:rsidRDefault="00D860A1" w:rsidP="00211F4C">
      <w:pPr>
        <w:pStyle w:val="ListParagraph"/>
        <w:numPr>
          <w:ilvl w:val="0"/>
          <w:numId w:val="19"/>
        </w:numPr>
        <w:spacing w:before="60"/>
        <w:ind w:left="714" w:hanging="357"/>
        <w:rPr>
          <w:szCs w:val="20"/>
        </w:rPr>
      </w:pPr>
      <w:r w:rsidRPr="00991B63">
        <w:rPr>
          <w:szCs w:val="20"/>
        </w:rPr>
        <w:t>Details of the GRADE assessment for</w:t>
      </w:r>
      <w:r w:rsidR="00345AE3">
        <w:rPr>
          <w:szCs w:val="20"/>
        </w:rPr>
        <w:t xml:space="preserve"> level of certainty per outcome</w:t>
      </w:r>
      <w:r w:rsidR="00856F5E">
        <w:rPr>
          <w:szCs w:val="20"/>
        </w:rPr>
        <w:t xml:space="preserve"> informed by the necessary sensitivity analyses, subgrouping and meta regressions, dose response testing and consideration of risk of bias within individual studies included in </w:t>
      </w:r>
      <w:r w:rsidR="00604114">
        <w:rPr>
          <w:szCs w:val="20"/>
        </w:rPr>
        <w:t>meta-</w:t>
      </w:r>
      <w:r w:rsidR="00856F5E">
        <w:rPr>
          <w:szCs w:val="20"/>
        </w:rPr>
        <w:t>analyses.</w:t>
      </w:r>
    </w:p>
    <w:p w14:paraId="4A3BCB7F" w14:textId="77777777" w:rsidR="00791A70" w:rsidRPr="00991B63" w:rsidRDefault="00791A70" w:rsidP="00211F4C">
      <w:pPr>
        <w:pStyle w:val="ListParagraph"/>
        <w:numPr>
          <w:ilvl w:val="0"/>
          <w:numId w:val="19"/>
        </w:numPr>
        <w:spacing w:before="60"/>
        <w:ind w:left="714" w:hanging="357"/>
        <w:rPr>
          <w:szCs w:val="20"/>
        </w:rPr>
      </w:pPr>
      <w:r w:rsidRPr="00991B63">
        <w:rPr>
          <w:szCs w:val="20"/>
        </w:rPr>
        <w:t>The number of studies and participants contributing data to this outcome.</w:t>
      </w:r>
    </w:p>
    <w:p w14:paraId="72FA9AE7" w14:textId="75E9C6B0" w:rsidR="00791A70" w:rsidRPr="00681730" w:rsidRDefault="00791A70" w:rsidP="00211F4C">
      <w:pPr>
        <w:pStyle w:val="ListParagraph"/>
        <w:numPr>
          <w:ilvl w:val="0"/>
          <w:numId w:val="19"/>
        </w:numPr>
        <w:spacing w:before="60"/>
        <w:ind w:left="714" w:hanging="357"/>
        <w:rPr>
          <w:szCs w:val="20"/>
        </w:rPr>
      </w:pPr>
      <w:r w:rsidRPr="00691336">
        <w:rPr>
          <w:szCs w:val="20"/>
        </w:rPr>
        <w:t xml:space="preserve">Any additional important comments </w:t>
      </w:r>
      <w:r w:rsidR="00691336" w:rsidRPr="00691336">
        <w:rPr>
          <w:szCs w:val="20"/>
        </w:rPr>
        <w:fldChar w:fldCharType="begin">
          <w:fldData xml:space="preserve">PEVuZE5vdGU+PENpdGU+PEF1dGhvcj5HdXlhdHQ8L0F1dGhvcj48WWVhcj4yMDExPC9ZZWFyPjxS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</w:fldData>
        </w:fldChar>
      </w:r>
      <w:r w:rsidR="00705079">
        <w:rPr>
          <w:szCs w:val="20"/>
        </w:rPr>
        <w:instrText xml:space="preserve"> ADDIN EN.CITE </w:instrText>
      </w:r>
      <w:r w:rsidR="00705079">
        <w:rPr>
          <w:szCs w:val="20"/>
        </w:rPr>
        <w:fldChar w:fldCharType="begin">
          <w:fldData xml:space="preserve">PEVuZE5vdGU+PENpdGU+PEF1dGhvcj5HdXlhdHQ8L0F1dGhvcj48WWVhcj4yMDExPC9ZZWFyPjxS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</w:fldData>
        </w:fldChar>
      </w:r>
      <w:r w:rsidR="00705079">
        <w:rPr>
          <w:szCs w:val="20"/>
        </w:rPr>
        <w:instrText xml:space="preserve"> ADDIN EN.CITE.DATA </w:instrText>
      </w:r>
      <w:r w:rsidR="00705079">
        <w:rPr>
          <w:szCs w:val="20"/>
        </w:rPr>
      </w:r>
      <w:r w:rsidR="00705079">
        <w:rPr>
          <w:szCs w:val="20"/>
        </w:rPr>
        <w:fldChar w:fldCharType="end"/>
      </w:r>
      <w:r w:rsidR="00691336" w:rsidRPr="00691336">
        <w:rPr>
          <w:szCs w:val="20"/>
        </w:rPr>
      </w:r>
      <w:r w:rsidR="00691336" w:rsidRPr="00691336">
        <w:rPr>
          <w:szCs w:val="20"/>
        </w:rPr>
        <w:fldChar w:fldCharType="separate"/>
      </w:r>
      <w:r w:rsidR="00705079">
        <w:rPr>
          <w:noProof/>
          <w:szCs w:val="20"/>
        </w:rPr>
        <w:t>(Guyatt et al. 2011)</w:t>
      </w:r>
      <w:r w:rsidR="00691336" w:rsidRPr="00691336">
        <w:rPr>
          <w:szCs w:val="20"/>
        </w:rPr>
        <w:fldChar w:fldCharType="end"/>
      </w:r>
      <w:r w:rsidR="00B442C2">
        <w:rPr>
          <w:szCs w:val="20"/>
        </w:rPr>
        <w:t xml:space="preserve">. </w:t>
      </w:r>
      <w:r w:rsidR="00681730" w:rsidRPr="00681730">
        <w:rPr>
          <w:szCs w:val="20"/>
        </w:rPr>
        <w:t>If there is pooled data</w:t>
      </w:r>
      <w:r w:rsidR="00B442C2">
        <w:rPr>
          <w:szCs w:val="20"/>
        </w:rPr>
        <w:t>,</w:t>
      </w:r>
      <w:r w:rsidR="00681730" w:rsidRPr="00681730">
        <w:rPr>
          <w:szCs w:val="20"/>
        </w:rPr>
        <w:t xml:space="preserve"> it may be possible to undertake sensitivity </w:t>
      </w:r>
      <w:r w:rsidR="00C05E26" w:rsidRPr="00681730">
        <w:rPr>
          <w:szCs w:val="20"/>
        </w:rPr>
        <w:t>analyse</w:t>
      </w:r>
      <w:r w:rsidR="00C05E26">
        <w:rPr>
          <w:szCs w:val="20"/>
        </w:rPr>
        <w:t>s</w:t>
      </w:r>
      <w:r w:rsidR="00206412">
        <w:rPr>
          <w:szCs w:val="20"/>
        </w:rPr>
        <w:t>.</w:t>
      </w:r>
    </w:p>
    <w:p w14:paraId="69FA7745" w14:textId="68101FDD" w:rsidR="00B36421" w:rsidRDefault="00B36421" w:rsidP="006E294F">
      <w:pPr>
        <w:pStyle w:val="Boxed1Bullet"/>
        <w:numPr>
          <w:ilvl w:val="0"/>
          <w:numId w:val="0"/>
        </w:numPr>
        <w:ind w:left="349"/>
      </w:pPr>
      <w:r>
        <w:t>Further guidance on GRADE is available in</w:t>
      </w:r>
      <w:r w:rsidRPr="006B6AF0">
        <w:t>:</w:t>
      </w:r>
    </w:p>
    <w:p w14:paraId="5A45F6D8" w14:textId="63FF4336" w:rsidR="00560234" w:rsidRDefault="00244675" w:rsidP="00211F4C">
      <w:pPr>
        <w:pStyle w:val="Boxed1Bullet"/>
        <w:numPr>
          <w:ilvl w:val="0"/>
          <w:numId w:val="19"/>
        </w:numPr>
        <w:ind w:left="709"/>
      </w:pPr>
      <w:r>
        <w:fldChar w:fldCharType="begin"/>
      </w:r>
      <w:r w:rsidR="00EF41B5">
        <w:instrText xml:space="preserve"> ADDIN EN.CITE &lt;EndNote&gt;&lt;Cite AuthorYear="1"&gt;&lt;Author&gt;Neumann&lt;/Author&gt;&lt;Year&gt;2025&lt;/Year&gt;&lt;RecNum&gt;86&lt;/RecNum&gt;&lt;DisplayText&gt;Neumann et al. (2025)&lt;/DisplayText&gt;&lt;record&gt;&lt;rec-number&gt;86&lt;/rec-number&gt;&lt;foreign-keys&gt;&lt;key app="EN" db-id="zxfaevvrgpsxebez5ec5vspfe2av5dtxt9xx" timestamp="1754959384"&gt;86&lt;/key&gt;&lt;/foreign-keys&gt;&lt;ref-type name="Electronic Book"&gt;44&lt;/ref-type&gt;&lt;contributors&gt;&lt;authors&gt;&lt;author&gt;Neumann, Ignacio&lt;/author&gt;&lt;author&gt;Brennan, Sue&lt;/author&gt;&lt;author&gt;Meerpohl, Joerg&lt;/author&gt;&lt;author&gt;Davoli, Marina&lt;/author&gt;&lt;author&gt;Coello, Pablo Alonso&lt;/author&gt;&lt;author&gt;Akl, Elie&lt;/author&gt;&lt;author&gt;Dahm, Philip&lt;/author&gt;&lt;author&gt;Skoetz, Nicole&lt;/author&gt;&lt;author&gt;Xia, Jun&lt;/author&gt;&lt;author&gt;Brozek, Jan&lt;/author&gt;&lt;author&gt;Schünemann, Holger J.&lt;/author&gt;&lt;/authors&gt;&lt;/contributors&gt;&lt;titles&gt;&lt;title&gt;GRADE Book&lt;/title&gt;&lt;/titles&gt;&lt;dates&gt;&lt;year&gt;2025&lt;/year&gt;&lt;/dates&gt;&lt;urls&gt;&lt;related-urls&gt;&lt;url&gt;date accessed 18 August 2025, https://book.gradepro.org/&lt;/url&gt;&lt;/related-urls&gt;&lt;/urls&gt;&lt;/record&gt;&lt;/Cite&gt;&lt;/EndNote&gt;</w:instrText>
      </w:r>
      <w:r>
        <w:fldChar w:fldCharType="separate"/>
      </w:r>
      <w:r>
        <w:rPr>
          <w:noProof/>
        </w:rPr>
        <w:t>Neumann et al. (2025)</w:t>
      </w:r>
      <w:r>
        <w:fldChar w:fldCharType="end"/>
      </w:r>
      <w:r w:rsidR="00560234" w:rsidRPr="00560234">
        <w:t xml:space="preserve"> </w:t>
      </w:r>
      <w:r w:rsidR="00560234" w:rsidRPr="00560234">
        <w:rPr>
          <w:i/>
          <w:iCs/>
        </w:rPr>
        <w:t>GRADE Book</w:t>
      </w:r>
      <w:r>
        <w:rPr>
          <w:i/>
          <w:iCs/>
        </w:rPr>
        <w:t>.</w:t>
      </w:r>
      <w:r w:rsidR="00560234" w:rsidRPr="00560234">
        <w:t xml:space="preserve"> </w:t>
      </w:r>
      <w:hyperlink r:id="rId77" w:history="1">
        <w:r w:rsidR="00560234" w:rsidRPr="000163C7">
          <w:rPr>
            <w:rStyle w:val="Hyperlink"/>
            <w:color w:val="006CBC"/>
          </w:rPr>
          <w:t>https://book.gradepro.org/</w:t>
        </w:r>
      </w:hyperlink>
    </w:p>
    <w:p w14:paraId="776E8237" w14:textId="1DD9B868" w:rsidR="00560234" w:rsidRDefault="00244675" w:rsidP="00211F4C">
      <w:pPr>
        <w:pStyle w:val="Boxed1Bullet"/>
        <w:numPr>
          <w:ilvl w:val="0"/>
          <w:numId w:val="19"/>
        </w:numPr>
        <w:ind w:left="709"/>
      </w:pPr>
      <w:r>
        <w:fldChar w:fldCharType="begin"/>
      </w:r>
      <w:r w:rsidR="00A12B59">
        <w:instrText xml:space="preserve"> ADDIN EN.CITE &lt;EndNote&gt;&lt;Cite AuthorYear="1"&gt;&lt;Author&gt;The GRADE Working Group&lt;/Author&gt;&lt;Year&gt;2024&lt;/Year&gt;&lt;RecNum&gt;87&lt;/RecNum&gt;&lt;DisplayText&gt;The GRADE Working Group (2024)&lt;/DisplayText&gt;&lt;record&gt;&lt;rec-number&gt;87&lt;/rec-number&gt;&lt;foreign-keys&gt;&lt;key app="EN" db-id="zxfaevvrgpsxebez5ec5vspfe2av5dtxt9xx" timestamp="1754959384"&gt;87&lt;/key&gt;&lt;/foreign-keys&gt;&lt;ref-type name="Electronic Book"&gt;44&lt;/ref-type&gt;&lt;contributors&gt;&lt;authors&gt;&lt;author&gt;The GRADE Working Group,&lt;/author&gt;&lt;/authors&gt;&lt;secondary-authors&gt;&lt;author&gt;Schünemann H, &lt;/author&gt;&lt;author&gt;&lt;style face="normal" font="default" size="100%"&gt;Bro&lt;/style&gt;&lt;style face="normal" font="default" charset="238" size="100%"&gt;żek J, &lt;/style&gt;&lt;/author&gt;&lt;author&gt;&lt;style face="normal" font="default" charset="238" size="100%"&gt;Guyatt G, &lt;/style&gt;&lt;/author&gt;&lt;author&gt;&lt;style face="normal" font="default" charset="238" size="100%"&gt;Oxman A,&lt;/style&gt;&lt;/author&gt;&lt;/secondary-authors&gt;&lt;/contributors&gt;&lt;titles&gt;&lt;title&gt;GRADE Handbook&lt;/title&gt;&lt;/titles&gt;&lt;dates&gt;&lt;year&gt;2024&lt;/year&gt;&lt;/dates&gt;&lt;urls&gt;&lt;related-urls&gt;&lt;url&gt;date accessed 18 August 2025, https://gdt.gradepro.org/app/handbook/handbook.html&lt;/url&gt;&lt;/related-urls&gt;&lt;/urls&gt;&lt;/record&gt;&lt;/Cite&gt;&lt;/EndNote&gt;</w:instrText>
      </w:r>
      <w:r>
        <w:fldChar w:fldCharType="separate"/>
      </w:r>
      <w:r>
        <w:rPr>
          <w:noProof/>
        </w:rPr>
        <w:t>The GRADE Working Group (2024)</w:t>
      </w:r>
      <w:r>
        <w:fldChar w:fldCharType="end"/>
      </w:r>
      <w:r w:rsidRPr="00244675">
        <w:t xml:space="preserve"> </w:t>
      </w:r>
      <w:r w:rsidRPr="00244675">
        <w:rPr>
          <w:i/>
          <w:iCs/>
        </w:rPr>
        <w:t>GRADE Handbook</w:t>
      </w:r>
      <w:r w:rsidRPr="00244675">
        <w:t xml:space="preserve">   </w:t>
      </w:r>
      <w:hyperlink r:id="rId78" w:history="1">
        <w:r w:rsidR="0046149E" w:rsidRPr="000163C7">
          <w:rPr>
            <w:rStyle w:val="Hyperlink"/>
            <w:color w:val="006CBC"/>
          </w:rPr>
          <w:t>https://gdt.gradepro.org/app/handbook/handbook.html</w:t>
        </w:r>
      </w:hyperlink>
      <w:r w:rsidR="0046149E">
        <w:t xml:space="preserve"> </w:t>
      </w:r>
    </w:p>
    <w:p w14:paraId="039AB5C2" w14:textId="0767DE00" w:rsidR="00BE451B" w:rsidRDefault="00BE451B" w:rsidP="00211F4C">
      <w:pPr>
        <w:pStyle w:val="Boxed1Bullet"/>
        <w:numPr>
          <w:ilvl w:val="0"/>
          <w:numId w:val="19"/>
        </w:numPr>
        <w:ind w:left="709"/>
      </w:pPr>
      <w:r w:rsidRPr="00BE451B">
        <w:t>Journal of Clinical Epidemiology GRADE Guidance series</w:t>
      </w:r>
      <w:r w:rsidR="00E43449">
        <w:t xml:space="preserve">. </w:t>
      </w:r>
      <w:hyperlink r:id="rId79" w:history="1">
        <w:r w:rsidR="0046149E" w:rsidRPr="000163C7">
          <w:rPr>
            <w:rStyle w:val="Hyperlink"/>
            <w:color w:val="006CBC"/>
          </w:rPr>
          <w:t>https://www.sciencedirect.com/special-issue/10F8V3S0J7V</w:t>
        </w:r>
      </w:hyperlink>
      <w:r w:rsidR="0046149E">
        <w:t xml:space="preserve"> </w:t>
      </w:r>
      <w:r w:rsidR="00E43449">
        <w:t xml:space="preserve"> </w:t>
      </w:r>
    </w:p>
    <w:p w14:paraId="63B323FA" w14:textId="7AEFC7D7" w:rsidR="006E294F" w:rsidRDefault="006E294F" w:rsidP="00A85B03">
      <w:pPr>
        <w:pStyle w:val="Boxed1Bullet"/>
        <w:numPr>
          <w:ilvl w:val="0"/>
          <w:numId w:val="0"/>
        </w:numPr>
        <w:ind w:left="349"/>
      </w:pPr>
      <w:r>
        <w:t>Further guidance on sensitivity analysis is available in:</w:t>
      </w:r>
    </w:p>
    <w:p w14:paraId="035335A6" w14:textId="06BEAC7E" w:rsidR="00EB1D05" w:rsidRPr="00DB636E" w:rsidRDefault="00806780" w:rsidP="00211F4C">
      <w:pPr>
        <w:pStyle w:val="Boxed1Bullet"/>
        <w:numPr>
          <w:ilvl w:val="0"/>
          <w:numId w:val="74"/>
        </w:numPr>
        <w:ind w:left="709"/>
      </w:pPr>
      <w:r>
        <w:fldChar w:fldCharType="begin"/>
      </w:r>
      <w:r w:rsidR="005674A6">
        <w:instrText xml:space="preserve"> ADDIN EN.CITE &lt;EndNote&gt;&lt;Cite AuthorYear="1"&gt;&lt;Author&gt;Deeks&lt;/Author&gt;&lt;Year&gt;2024&lt;/Year&gt;&lt;RecNum&gt;96&lt;/RecNum&gt;&lt;DisplayText&gt;Deeks et al. (2024)&lt;/DisplayText&gt;&lt;record&gt;&lt;rec-number&gt;96&lt;/rec-number&gt;&lt;foreign-keys&gt;&lt;key app="EN" db-id="zxfaevvrgpsxebez5ec5vspfe2av5dtxt9xx" timestamp="1754959384"&gt;96&lt;/key&gt;&lt;/foreign-keys&gt;&lt;ref-type name="Electronic Book Section"&gt;60&lt;/ref-type&gt;&lt;contributors&gt;&lt;authors&gt;&lt;author&gt;Deeks, J.J.&lt;/author&gt;&lt;author&gt;Higgins, J.P.T.&lt;/author&gt;&lt;author&gt;Altman, D.G.&lt;/author&gt;&lt;author&gt;McKenzie, J.E.&lt;/author&gt;&lt;author&gt;Veroniki, A.A. &lt;/author&gt;&lt;/authors&gt;&lt;/contributors&gt;&lt;titles&gt;&lt;title&gt;Chapter 10: Analysing data and undertaking meta-analyses [last updated November 2024]&lt;/title&gt;&lt;secondary-title&gt;Cochrane Handbook for Systematic Reviews of Interventions version 6.5&lt;/secondary-title&gt;&lt;/titles&gt;&lt;dates&gt;&lt;year&gt;2024&lt;/year&gt;&lt;/dates&gt;&lt;urls&gt;&lt;related-urls&gt;&lt;url&gt;date accessed 18 August 2025, https://www.cochrane.org/authors/handbooks-and-manuals/handbook/current/chapter-10#_Ref180060260&lt;/url&gt;&lt;/related-urls&gt;&lt;/urls&gt;&lt;/record&gt;&lt;/Cite&gt;&lt;/EndNote&gt;</w:instrText>
      </w:r>
      <w:r>
        <w:fldChar w:fldCharType="separate"/>
      </w:r>
      <w:r>
        <w:rPr>
          <w:noProof/>
        </w:rPr>
        <w:t>Deeks et al. (2024)</w:t>
      </w:r>
      <w:r>
        <w:fldChar w:fldCharType="end"/>
      </w:r>
      <w:r w:rsidRPr="00806780">
        <w:t xml:space="preserve"> Chapter 10: Analysing data and undertaking meta-analyses [last updated November 2024]. In </w:t>
      </w:r>
      <w:r w:rsidRPr="00806780">
        <w:rPr>
          <w:i/>
          <w:iCs/>
        </w:rPr>
        <w:t>Cochrane Handbook for Systematic Reviews of Interventions version 6.5</w:t>
      </w:r>
      <w:r w:rsidRPr="00806780">
        <w:t xml:space="preserve">. </w:t>
      </w:r>
      <w:hyperlink r:id="rId80" w:anchor="_Ref180060260" w:history="1">
        <w:r w:rsidRPr="000163C7">
          <w:rPr>
            <w:rStyle w:val="Hyperlink"/>
            <w:color w:val="006CBC"/>
          </w:rPr>
          <w:t>https://www.cochrane.org/authors/handbooks-and-manuals/handbook/current/chapter-10#_Ref180060260</w:t>
        </w:r>
      </w:hyperlink>
      <w:r>
        <w:t xml:space="preserve"> </w:t>
      </w:r>
    </w:p>
    <w:p w14:paraId="131592F8" w14:textId="5987E3AD" w:rsidR="00D860A1" w:rsidRDefault="00D860A1" w:rsidP="003E2E95">
      <w:pPr>
        <w:pStyle w:val="Heading40"/>
      </w:pPr>
      <w:bookmarkStart w:id="156" w:name="_Toc153967132"/>
      <w:bookmarkStart w:id="157" w:name="_Toc207801077"/>
      <w:bookmarkStart w:id="158" w:name="_Toc207824554"/>
      <w:r>
        <w:t>GRADE certainty of evidence</w:t>
      </w:r>
      <w:bookmarkEnd w:id="156"/>
      <w:bookmarkEnd w:id="157"/>
      <w:bookmarkEnd w:id="158"/>
    </w:p>
    <w:p w14:paraId="3DC12FEE" w14:textId="09139FCF" w:rsidR="000836B3" w:rsidRDefault="000836B3" w:rsidP="000836B3">
      <w:r w:rsidRPr="00B42446">
        <w:t xml:space="preserve">NHMRC has well-established standards and guidelines to support the </w:t>
      </w:r>
      <w:r>
        <w:t xml:space="preserve">application of the GRADE approach to evaluating certainty of evidence. The relevant module </w:t>
      </w:r>
      <w:r w:rsidR="00AD1847">
        <w:t xml:space="preserve">on </w:t>
      </w:r>
      <w:hyperlink r:id="rId81" w:history="1">
        <w:r w:rsidR="00AD1847">
          <w:rPr>
            <w:rStyle w:val="Hyperlink"/>
          </w:rPr>
          <w:t>a</w:t>
        </w:r>
        <w:r w:rsidR="00AD1847" w:rsidRPr="009A6178">
          <w:rPr>
            <w:rStyle w:val="Hyperlink"/>
          </w:rPr>
          <w:t xml:space="preserve">ssessing certainty of evidence </w:t>
        </w:r>
      </w:hyperlink>
      <w:r>
        <w:t xml:space="preserve">is available </w:t>
      </w:r>
      <w:r w:rsidR="00594453">
        <w:t>i</w:t>
      </w:r>
      <w:r w:rsidR="000F0BB4">
        <w:t xml:space="preserve">n the </w:t>
      </w:r>
      <w:r w:rsidR="00594453">
        <w:t>G</w:t>
      </w:r>
      <w:r w:rsidR="000F0BB4">
        <w:t xml:space="preserve">uidelines for </w:t>
      </w:r>
      <w:r w:rsidR="00594453">
        <w:t>G</w:t>
      </w:r>
      <w:r w:rsidR="000F0BB4">
        <w:t xml:space="preserve">uidelines handbook </w:t>
      </w:r>
      <w:r w:rsidR="00285E10">
        <w:fldChar w:fldCharType="begin"/>
      </w:r>
      <w:r w:rsidR="00272AC4">
        <w:instrText xml:space="preserve"> ADDIN EN.CITE &lt;EndNote&gt;&lt;Cite&gt;&lt;Author&gt;NHMRC&lt;/Author&gt;&lt;Year&gt;2019&lt;/Year&gt;&lt;RecNum&gt;54&lt;/RecNum&gt;&lt;DisplayText&gt;(NHMRC 2019a)&lt;/DisplayText&gt;&lt;record&gt;&lt;rec-number&gt;54&lt;/rec-number&gt;&lt;foreign-keys&gt;&lt;key app="EN" db-id="zxfaevvrgpsxebez5ec5vspfe2av5dtxt9xx" timestamp="1754957726"&gt;54&lt;/key&gt;&lt;/foreign-keys&gt;&lt;ref-type name="Electronic Book"&gt;44&lt;/ref-type&gt;&lt;contributors&gt;&lt;authors&gt;&lt;author&gt;NHMRC,&lt;/author&gt;&lt;/authors&gt;&lt;/contributors&gt;&lt;titles&gt;&lt;title&gt;Guidelines for Guidelines: Assessing certainty of evidence&lt;/title&gt;&lt;/titles&gt;&lt;dates&gt;&lt;year&gt;2019&lt;/year&gt;&lt;/dates&gt;&lt;pub-location&gt;Canberra&lt;/pub-location&gt;&lt;urls&gt;&lt;related-urls&gt;&lt;url&gt;date accessed 18 August 2025, https://www.nhmrc.gov.au/guidelinesforguidelines/develop/assessing-certainty-evidence&lt;/url&gt;&lt;/related-urls&gt;&lt;/urls&gt;&lt;/record&gt;&lt;/Cite&gt;&lt;/EndNote&gt;</w:instrText>
      </w:r>
      <w:r w:rsidR="00285E10">
        <w:fldChar w:fldCharType="separate"/>
      </w:r>
      <w:r w:rsidR="007607BA">
        <w:rPr>
          <w:noProof/>
        </w:rPr>
        <w:t>(NHMRC 2019a)</w:t>
      </w:r>
      <w:r w:rsidR="00285E10">
        <w:fldChar w:fldCharType="end"/>
      </w:r>
      <w:r w:rsidR="000B3B5C">
        <w:t>.</w:t>
      </w:r>
    </w:p>
    <w:p w14:paraId="248E57E3" w14:textId="1822C4F7" w:rsidR="000B3B5C" w:rsidRDefault="001042D5" w:rsidP="000836B3">
      <w:r>
        <w:t xml:space="preserve">NHMRC also acknowledges </w:t>
      </w:r>
      <w:r w:rsidR="00732755">
        <w:t>t</w:t>
      </w:r>
      <w:r w:rsidR="000B3B5C">
        <w:t xml:space="preserve">he GRADE approach has recognised challenges with assessing certainty of evidence from diverse sources including non-randomised studies, </w:t>
      </w:r>
      <w:r w:rsidR="000B3B5C" w:rsidRPr="006C7A57">
        <w:t>interpreting outcomes and identifying threshold</w:t>
      </w:r>
      <w:r w:rsidR="000B3B5C">
        <w:t>s</w:t>
      </w:r>
      <w:r w:rsidR="000B3B5C" w:rsidRPr="006C7A57">
        <w:t xml:space="preserve"> for decision-making</w:t>
      </w:r>
      <w:r w:rsidR="000B3B5C">
        <w:t xml:space="preserve"> that are particularly relevant public health </w:t>
      </w:r>
      <w:r w:rsidR="004F283D">
        <w:t>guidelines</w:t>
      </w:r>
      <w:r w:rsidR="00CA7D45">
        <w:t xml:space="preserve"> </w:t>
      </w:r>
      <w:r w:rsidR="00CA7D45">
        <w:fldChar w:fldCharType="begin"/>
      </w:r>
      <w:r w:rsidR="00B3589F">
        <w:instrText xml:space="preserve"> ADDIN EN.CITE &lt;EndNote&gt;&lt;Cite&gt;&lt;Author&gt;Boon&lt;/Author&gt;&lt;Year&gt;2021&lt;/Year&gt;&lt;RecNum&gt;127&lt;/RecNum&gt;&lt;DisplayText&gt;(Boon et al. 2021)&lt;/DisplayText&gt;&lt;record&gt;&lt;rec-number&gt;127&lt;/rec-number&gt;&lt;foreign-keys&gt;&lt;key app="EN" db-id="zxfaevvrgpsxebez5ec5vspfe2av5dtxt9xx" timestamp="1757477189"&gt;127&lt;/key&gt;&lt;/foreign-keys&gt;&lt;ref-type name="Journal Article"&gt;17&lt;/ref-type&gt;&lt;contributors&gt;&lt;authors&gt;&lt;author&gt;Boon, Michele Hilton&lt;/author&gt;&lt;author&gt;Thomson, Hilary&lt;/author&gt;&lt;author&gt;Shaw, Beth&lt;/author&gt;&lt;author&gt;Akl, Elie A&lt;/author&gt;&lt;author&gt;Lhachimi, Stefan K&lt;/author&gt;&lt;author&gt;López-Alcalde, Jesús&lt;/author&gt;&lt;author&gt;Klugar, Miloslav&lt;/author&gt;&lt;author&gt;Choi, Leslie&lt;/author&gt;&lt;author&gt;Saz-Parkinson, Zuleika&lt;/author&gt;&lt;author&gt;Mustafa, Reem A&lt;/author&gt;&lt;/authors&gt;&lt;/contributors&gt;&lt;titles&gt;&lt;title&gt;Challenges in applying the GRADE approach in public health guidelines and systematic reviews: a concept article from the GRADE Public Health Group&lt;/title&gt;&lt;secondary-title&gt;Journal of clinical epidemiology&lt;/secondary-title&gt;&lt;/titles&gt;&lt;periodical&gt;&lt;full-title&gt;Journal of Clinical Epidemiology&lt;/full-title&gt;&lt;/periodical&gt;&lt;pages&gt;42-53&lt;/pages&gt;&lt;volume&gt;135&lt;/volume&gt;&lt;dates&gt;&lt;year&gt;2021&lt;/year&gt;&lt;/dates&gt;&lt;isbn&gt;0895-4356&lt;/isbn&gt;&lt;urls&gt;&lt;/urls&gt;&lt;electronic-resource-num&gt;10.1016/j.jclinepi.2021.01.001&lt;/electronic-resource-num&gt;&lt;/record&gt;&lt;/Cite&gt;&lt;/EndNote&gt;</w:instrText>
      </w:r>
      <w:r w:rsidR="00CA7D45">
        <w:fldChar w:fldCharType="separate"/>
      </w:r>
      <w:r w:rsidR="00CA7D45">
        <w:rPr>
          <w:noProof/>
        </w:rPr>
        <w:t>(Boon et al. 2021)</w:t>
      </w:r>
      <w:r w:rsidR="00CA7D45">
        <w:fldChar w:fldCharType="end"/>
      </w:r>
      <w:r w:rsidR="004F283D">
        <w:t>.</w:t>
      </w:r>
      <w:r w:rsidR="000B3B5C">
        <w:t xml:space="preserve"> </w:t>
      </w:r>
    </w:p>
    <w:p w14:paraId="375895CD" w14:textId="790ADC24" w:rsidR="000836B3" w:rsidRPr="00B42446" w:rsidRDefault="00E11D90" w:rsidP="000836B3">
      <w:pPr>
        <w:pStyle w:val="Boxed1Bullet"/>
        <w:numPr>
          <w:ilvl w:val="0"/>
          <w:numId w:val="0"/>
        </w:numPr>
        <w:ind w:left="284"/>
      </w:pPr>
      <w:r>
        <w:t>Further information on</w:t>
      </w:r>
      <w:r w:rsidR="000836B3" w:rsidRPr="00B42446">
        <w:t xml:space="preserve"> </w:t>
      </w:r>
      <w:r w:rsidR="000836B3">
        <w:t xml:space="preserve">the application of GRADE </w:t>
      </w:r>
      <w:r w:rsidR="000836B3" w:rsidRPr="00B42446">
        <w:t xml:space="preserve">in </w:t>
      </w:r>
      <w:r w:rsidR="000836B3">
        <w:t xml:space="preserve">the </w:t>
      </w:r>
      <w:r w:rsidR="000836B3" w:rsidRPr="00B42446">
        <w:t>nutrition</w:t>
      </w:r>
      <w:r w:rsidR="000836B3">
        <w:t xml:space="preserve"> context</w:t>
      </w:r>
      <w:r w:rsidR="000836B3" w:rsidRPr="00B42446">
        <w:t xml:space="preserve"> is available </w:t>
      </w:r>
      <w:r>
        <w:t>in</w:t>
      </w:r>
      <w:r w:rsidR="000836B3" w:rsidRPr="00B42446">
        <w:t>:</w:t>
      </w:r>
    </w:p>
    <w:p w14:paraId="56A7C5AF" w14:textId="4B0060FC" w:rsidR="00BB6344" w:rsidRPr="00957C11" w:rsidRDefault="000E40FB" w:rsidP="0045661B">
      <w:pPr>
        <w:pStyle w:val="Boxed1Bullet"/>
        <w:numPr>
          <w:ilvl w:val="0"/>
          <w:numId w:val="0"/>
        </w:numPr>
        <w:ind w:left="284"/>
      </w:pPr>
      <w:r>
        <w:fldChar w:fldCharType="begin"/>
      </w:r>
      <w:r>
        <w:instrText xml:space="preserve"> ADDIN EN.CITE &lt;EndNote&gt;&lt;Cite AuthorYear="1"&gt;&lt;Author&gt;NASEM&lt;/Author&gt;&lt;Year&gt;2017&lt;/Year&gt;&lt;RecNum&gt;43&lt;/RecNum&gt;&lt;DisplayText&gt;NASEM (2017)&lt;/DisplayText&gt;&lt;record&gt;&lt;rec-number&gt;43&lt;/rec-number&gt;&lt;foreign-keys&gt;&lt;key app="EN" db-id="zxfaevvrgpsxebez5ec5vspfe2av5dtxt9xx" timestamp="1754957726"&gt;43&lt;/key&gt;&lt;/foreign-keys&gt;&lt;ref-type name="Book"&gt;6&lt;/ref-type&gt;&lt;contributors&gt;&lt;authors&gt;&lt;author&gt;NASEM,&lt;/author&gt;&lt;/authors&gt;&lt;secondary-authors&gt;&lt;author&gt;Kumanyika, Shiriki&lt;/author&gt;&lt;author&gt;Oria, Maria P.&lt;/author&gt;&lt;/secondary-authors&gt;&lt;/contributors&gt;&lt;titles&gt;&lt;title&gt;Guiding Principles for Developing Dietary Reference Intakes Based on Chronic Disease&lt;/title&gt;&lt;/titles&gt;&lt;pages&gt;334&lt;/pages&gt;&lt;keywords&gt;&lt;keyword&gt;Food and Nutrition&lt;/keyword&gt;&lt;keyword&gt;Health and Medicine&lt;/keyword&gt;&lt;/keywords&gt;&lt;dates&gt;&lt;year&gt;2017&lt;/year&gt;&lt;/dates&gt;&lt;pub-location&gt;Washington, DC&lt;/pub-location&gt;&lt;publisher&gt;The National Academies Press&lt;/publisher&gt;&lt;isbn&gt;978-0-309-46256-3&lt;/isbn&gt;&lt;urls&gt;&lt;related-urls&gt;&lt;url&gt;https://nap.nationalacademies.org/catalog/24828/guiding-principles-for-developing-dietary-reference-intakes-based-on-chronic-disease&lt;/url&gt;&lt;/related-urls&gt;&lt;/urls&gt;&lt;electronic-resource-num&gt;doi:10.17226/24828&lt;/electronic-resource-num&gt;&lt;language&gt;English&lt;/language&gt;&lt;/record&gt;&lt;/Cite&gt;&lt;/EndNote&gt;</w:instrText>
      </w:r>
      <w:r>
        <w:fldChar w:fldCharType="separate"/>
      </w:r>
      <w:r>
        <w:rPr>
          <w:noProof/>
        </w:rPr>
        <w:t>NASEM (2017)</w:t>
      </w:r>
      <w:r>
        <w:fldChar w:fldCharType="end"/>
      </w:r>
      <w:r w:rsidR="0050080D" w:rsidRPr="0050080D">
        <w:t> </w:t>
      </w:r>
      <w:r w:rsidRPr="000E40FB">
        <w:rPr>
          <w:i/>
          <w:iCs/>
        </w:rPr>
        <w:t>Guiding Principles for Developing Dietary Reference Intakes Based on Chronic Disease</w:t>
      </w:r>
      <w:r w:rsidRPr="000E40FB">
        <w:rPr>
          <w:i/>
        </w:rPr>
        <w:t xml:space="preserve">. The National Academies Press. </w:t>
      </w:r>
      <w:hyperlink r:id="rId82" w:history="1">
        <w:r w:rsidRPr="000163C7">
          <w:rPr>
            <w:rStyle w:val="Hyperlink"/>
            <w:i/>
            <w:color w:val="006CBC"/>
          </w:rPr>
          <w:t>https://doi.org/doi:10.17226/24828</w:t>
        </w:r>
      </w:hyperlink>
      <w:r w:rsidR="00BB6344">
        <w:br/>
      </w:r>
      <w:r w:rsidR="00BB6344" w:rsidRPr="00B42446">
        <w:t xml:space="preserve">pp. </w:t>
      </w:r>
      <w:r w:rsidR="00BB6344">
        <w:t>149-162, p 166 [GRADE certainty of evidence - general]</w:t>
      </w:r>
    </w:p>
    <w:p w14:paraId="7D57A59C" w14:textId="77777777" w:rsidR="00BB6344" w:rsidRDefault="00BB6344" w:rsidP="0045661B">
      <w:pPr>
        <w:pStyle w:val="Boxed1Bullet"/>
        <w:numPr>
          <w:ilvl w:val="0"/>
          <w:numId w:val="0"/>
        </w:numPr>
        <w:ind w:left="567" w:hanging="283"/>
      </w:pPr>
      <w:r>
        <w:t>pp. 206 – 215 [GRADE certainty of evidence for intake-response relationships]</w:t>
      </w:r>
    </w:p>
    <w:p w14:paraId="51933FE4" w14:textId="5AD14F43" w:rsidR="00044F88" w:rsidRDefault="00BB6344" w:rsidP="00DB636E">
      <w:pPr>
        <w:pStyle w:val="Boxed1Bullet"/>
        <w:numPr>
          <w:ilvl w:val="0"/>
          <w:numId w:val="0"/>
        </w:numPr>
        <w:ind w:left="567" w:hanging="283"/>
      </w:pPr>
      <w:r>
        <w:t xml:space="preserve">pp. 215 - 231 [GRADE </w:t>
      </w:r>
      <w:proofErr w:type="spellStart"/>
      <w:r>
        <w:t>EtD</w:t>
      </w:r>
      <w:proofErr w:type="spellEnd"/>
      <w:r>
        <w:t xml:space="preserve"> for NRVs]</w:t>
      </w:r>
    </w:p>
    <w:p w14:paraId="2FA3E152" w14:textId="31B25C1C" w:rsidR="008D10FE" w:rsidRDefault="00655CAB" w:rsidP="003449C9">
      <w:pPr>
        <w:pStyle w:val="Heading2Chapter"/>
      </w:pPr>
      <w:bookmarkStart w:id="159" w:name="_Toc153967133"/>
      <w:bookmarkStart w:id="160" w:name="_Ref197506341"/>
      <w:bookmarkStart w:id="161" w:name="_Ref197506367"/>
      <w:bookmarkStart w:id="162" w:name="_Toc207801078"/>
      <w:bookmarkStart w:id="163" w:name="_Toc207824555"/>
      <w:r>
        <w:lastRenderedPageBreak/>
        <w:t>NRV calculation and recommendations</w:t>
      </w:r>
      <w:bookmarkEnd w:id="159"/>
      <w:bookmarkEnd w:id="160"/>
      <w:bookmarkEnd w:id="161"/>
      <w:bookmarkEnd w:id="162"/>
      <w:bookmarkEnd w:id="163"/>
    </w:p>
    <w:p w14:paraId="3AFE4282" w14:textId="68AD60B9" w:rsidR="00877527" w:rsidRDefault="007C0BE6" w:rsidP="003E2E95">
      <w:pPr>
        <w:pStyle w:val="Heading30"/>
      </w:pPr>
      <w:bookmarkStart w:id="164" w:name="_Toc153967134"/>
      <w:bookmarkStart w:id="165" w:name="_Toc207801079"/>
      <w:bookmarkStart w:id="166" w:name="_Toc207824556"/>
      <w:r>
        <w:t>Determining the approach</w:t>
      </w:r>
      <w:bookmarkEnd w:id="164"/>
      <w:bookmarkEnd w:id="165"/>
      <w:bookmarkEnd w:id="166"/>
    </w:p>
    <w:p w14:paraId="4EA76A0E" w14:textId="5710AD45" w:rsidR="002B5D28" w:rsidRDefault="009367E9" w:rsidP="00B37058">
      <w:r>
        <w:t xml:space="preserve">Once the relevant evidence has been collated and synthesised, the approach for </w:t>
      </w:r>
      <w:r w:rsidR="008406F9">
        <w:t xml:space="preserve">estimating nutritional requirements </w:t>
      </w:r>
      <w:r w:rsidR="004A419D">
        <w:t xml:space="preserve">and </w:t>
      </w:r>
      <w:r>
        <w:t xml:space="preserve">deriving a draft NRV </w:t>
      </w:r>
      <w:r w:rsidR="00283EE7">
        <w:t>can</w:t>
      </w:r>
      <w:r>
        <w:t xml:space="preserve"> be determined. </w:t>
      </w:r>
    </w:p>
    <w:p w14:paraId="5935BA96" w14:textId="2BF54340" w:rsidR="00490CDE" w:rsidRDefault="00373A4C" w:rsidP="00B37058">
      <w:r>
        <w:t xml:space="preserve">Key considerations </w:t>
      </w:r>
      <w:r w:rsidR="002B5D28">
        <w:t xml:space="preserve">when determining the approach </w:t>
      </w:r>
      <w:r>
        <w:t>include:</w:t>
      </w:r>
    </w:p>
    <w:p w14:paraId="6191EC66" w14:textId="77777777" w:rsidR="00373A4C" w:rsidRPr="008B1B80" w:rsidRDefault="00373A4C" w:rsidP="00211F4C">
      <w:pPr>
        <w:pStyle w:val="ListParagraph"/>
        <w:numPr>
          <w:ilvl w:val="0"/>
          <w:numId w:val="22"/>
        </w:numPr>
        <w:spacing w:before="60"/>
        <w:ind w:left="777" w:hanging="357"/>
      </w:pPr>
      <w:r w:rsidRPr="008B1B80">
        <w:t xml:space="preserve">the specific </w:t>
      </w:r>
      <w:r>
        <w:t xml:space="preserve">type of </w:t>
      </w:r>
      <w:r w:rsidRPr="008B1B80">
        <w:t>NRV being developed</w:t>
      </w:r>
    </w:p>
    <w:p w14:paraId="3626FBAB" w14:textId="77777777" w:rsidR="00373A4C" w:rsidRPr="008B1B80" w:rsidRDefault="00373A4C" w:rsidP="00211F4C">
      <w:pPr>
        <w:pStyle w:val="ListParagraph"/>
        <w:numPr>
          <w:ilvl w:val="0"/>
          <w:numId w:val="22"/>
        </w:numPr>
        <w:spacing w:before="60"/>
        <w:ind w:left="777" w:hanging="357"/>
      </w:pPr>
      <w:r w:rsidRPr="008B1B80">
        <w:t>the specific nutrition-related health problem that the NRV review aims to address</w:t>
      </w:r>
    </w:p>
    <w:p w14:paraId="10919735" w14:textId="77777777" w:rsidR="00373A4C" w:rsidRPr="008B1B80" w:rsidRDefault="00373A4C" w:rsidP="00211F4C">
      <w:pPr>
        <w:pStyle w:val="ListParagraph"/>
        <w:numPr>
          <w:ilvl w:val="0"/>
          <w:numId w:val="22"/>
        </w:numPr>
        <w:spacing w:before="60"/>
        <w:ind w:left="777" w:hanging="357"/>
      </w:pPr>
      <w:r w:rsidRPr="008B1B80">
        <w:t>the availability and certainty of evidence for the relationship between dietary intakes and</w:t>
      </w:r>
      <w:r>
        <w:t xml:space="preserve"> </w:t>
      </w:r>
      <w:r w:rsidRPr="008B1B80">
        <w:t xml:space="preserve">physiological </w:t>
      </w:r>
      <w:r>
        <w:t xml:space="preserve">function, </w:t>
      </w:r>
      <w:r w:rsidRPr="008B1B80">
        <w:t>nutritional status</w:t>
      </w:r>
      <w:r>
        <w:t xml:space="preserve"> and </w:t>
      </w:r>
      <w:r w:rsidRPr="008B1B80">
        <w:t>health outcomes</w:t>
      </w:r>
    </w:p>
    <w:p w14:paraId="3C6275B1" w14:textId="1ABD9CC5" w:rsidR="00373A4C" w:rsidRPr="008B1B80" w:rsidRDefault="00373A4C" w:rsidP="00211F4C">
      <w:pPr>
        <w:pStyle w:val="ListParagraph"/>
        <w:numPr>
          <w:ilvl w:val="0"/>
          <w:numId w:val="22"/>
        </w:numPr>
        <w:spacing w:before="60"/>
        <w:ind w:left="777" w:hanging="357"/>
      </w:pPr>
      <w:r w:rsidRPr="008B1B80">
        <w:t xml:space="preserve">relevant factors that may impact on the NRV calculation, </w:t>
      </w:r>
      <w:r>
        <w:t>such as nutrient interactions, the food matrix and level of processing. Increasingly, the effect of the whole dietary pattern is considered to impact bioavailability and nutrient absorption</w:t>
      </w:r>
      <w:r w:rsidR="0020666C">
        <w:t xml:space="preserve"> </w:t>
      </w:r>
      <w:r w:rsidR="00CC67F2" w:rsidRPr="00D273E5">
        <w:fldChar w:fldCharType="begin"/>
      </w:r>
      <w:r w:rsidR="00FD5765">
        <w:instrText xml:space="preserve"> ADDIN EN.CITE &lt;EndNote&gt;&lt;Cite&gt;&lt;Author&gt;EFSA Panel on Nutrition Novel Foods and Food Allergens&lt;/Author&gt;&lt;Year&gt;2024&lt;/Year&gt;&lt;RecNum&gt;1&lt;/RecNum&gt;&lt;DisplayText&gt;(EFSA Panel on Nutrition Novel Foods and Food Allergens et al. 2024b)&lt;/DisplayText&gt;&lt;record&gt;&lt;rec-number&gt;1&lt;/rec-number&gt;&lt;foreign-keys&gt;&lt;key app="EN" db-id="zxfaevvrgpsxebez5ec5vspfe2av5dtxt9xx" timestamp="1754957675"&gt;1&lt;/key&gt;&lt;/foreign-keys&gt;&lt;ref-type name="Journal Article"&gt;17&lt;/ref-type&gt;&lt;contributors&gt;&lt;authors&gt;&lt;author&gt;EFSA Panel on Nutrition Novel Foods and Food Alle</w:instrText>
      </w:r>
      <w:r w:rsidR="00FD5765">
        <w:rPr>
          <w:rFonts w:hint="eastAsia"/>
        </w:rPr>
        <w:instrText>rgens,&lt;/author&gt;&lt;author&gt;Turck, Dominique&lt;/author&gt;&lt;author&gt;Bohn, Torsten&lt;/author&gt;&lt;author&gt;Castenmiller, Jacqueline&lt;/author&gt;&lt;author&gt;de Henauw, Stefaan&lt;/author&gt;&lt;author&gt;Hirsch</w:instrText>
      </w:r>
      <w:r w:rsidR="00FD5765">
        <w:rPr>
          <w:rFonts w:hint="eastAsia"/>
        </w:rPr>
        <w:instrText>‐</w:instrText>
      </w:r>
      <w:r w:rsidR="00FD5765">
        <w:rPr>
          <w:rFonts w:hint="eastAsia"/>
        </w:rPr>
        <w:instrText>Ernst, Karen Ildico&lt;/author&gt;&lt;author&gt;Knutsen, Helle Katrine&lt;/author&gt;&lt;author&gt;Maciuk, Ale</w:instrText>
      </w:r>
      <w:r w:rsidR="00FD5765">
        <w:instrText>xandre&lt;/author&gt;&lt;author&gt;Mangelsdorf, Inge&lt;/author&gt;&lt;author&gt;McArdle, Harry J&lt;/author&gt;&lt;/authors&gt;&lt;/contributors&gt;&lt;titles&gt;&lt;title&gt;Guidance on scientific principles and data requirements for the safety and relative bioavailability assessment of new micronutrient sources&lt;/title&gt;&lt;secondary-title&gt;EFSA Journal&lt;/secondary-title&gt;&lt;/titles&gt;&lt;periodical&gt;&lt;full-title&gt;EFSA Journal&lt;/full-title&gt;&lt;/periodical&gt;&lt;pages&gt;e8946&lt;/pages&gt;&lt;volume&gt;22&lt;/volume&gt;&lt;number&gt;9&lt;/number&gt;&lt;dates&gt;&lt;year&gt;2024&lt;/year&gt;&lt;/dates&gt;&lt;isbn&gt;1831-4732&lt;/isbn&gt;&lt;urls&gt;&lt;/urls&gt;&lt;electronic-resource-num&gt;10.2903/j.efsa.2024.8946&lt;/electronic-resource-num&gt;&lt;/record&gt;&lt;/Cite&gt;&lt;/EndNote&gt;</w:instrText>
      </w:r>
      <w:r w:rsidR="00CC67F2" w:rsidRPr="00D273E5">
        <w:fldChar w:fldCharType="separate"/>
      </w:r>
      <w:r w:rsidR="00FD5765">
        <w:rPr>
          <w:noProof/>
        </w:rPr>
        <w:t>(EFSA Panel on Nutrition Novel Foods and Food Allergens et al. 2024b)</w:t>
      </w:r>
      <w:r w:rsidR="00CC67F2" w:rsidRPr="00D273E5">
        <w:fldChar w:fldCharType="end"/>
      </w:r>
      <w:r>
        <w:t xml:space="preserve">. </w:t>
      </w:r>
    </w:p>
    <w:p w14:paraId="2849CBF0" w14:textId="3E823EBF" w:rsidR="00373A4C" w:rsidRPr="008B1B80" w:rsidRDefault="00373A4C" w:rsidP="00211F4C">
      <w:pPr>
        <w:pStyle w:val="ListParagraph"/>
        <w:numPr>
          <w:ilvl w:val="0"/>
          <w:numId w:val="22"/>
        </w:numPr>
        <w:spacing w:before="60"/>
        <w:ind w:left="777" w:hanging="357"/>
      </w:pPr>
      <w:r w:rsidRPr="008B1B80">
        <w:t xml:space="preserve">the need for scaling and extrapolation approaches to set NRVs for population groups where </w:t>
      </w:r>
      <w:r w:rsidR="00856F5E">
        <w:t>insufficient</w:t>
      </w:r>
      <w:r w:rsidRPr="008B1B80">
        <w:t xml:space="preserve"> evidence is identified</w:t>
      </w:r>
    </w:p>
    <w:p w14:paraId="3221785A" w14:textId="4E2644BC" w:rsidR="00373A4C" w:rsidRPr="008B1B80" w:rsidRDefault="00373A4C" w:rsidP="00211F4C">
      <w:pPr>
        <w:pStyle w:val="ListParagraph"/>
        <w:numPr>
          <w:ilvl w:val="0"/>
          <w:numId w:val="22"/>
        </w:numPr>
        <w:spacing w:before="60"/>
        <w:ind w:left="777" w:hanging="357"/>
      </w:pPr>
      <w:r w:rsidRPr="008B1B80">
        <w:t>the impact of chang</w:t>
      </w:r>
      <w:r w:rsidR="007E6424">
        <w:t>es to</w:t>
      </w:r>
      <w:r w:rsidRPr="008B1B80">
        <w:t xml:space="preserve"> height</w:t>
      </w:r>
      <w:r w:rsidR="007E6424">
        <w:t xml:space="preserve"> and </w:t>
      </w:r>
      <w:r w:rsidRPr="008B1B80">
        <w:t>weight on result</w:t>
      </w:r>
      <w:r w:rsidR="007E6424">
        <w:t xml:space="preserve">s and </w:t>
      </w:r>
      <w:r w:rsidRPr="008B1B80">
        <w:t>recommendations. A sensitivity analysis may be required to explore this.</w:t>
      </w:r>
    </w:p>
    <w:p w14:paraId="407861A5" w14:textId="6C105C05" w:rsidR="00794019" w:rsidRDefault="00373A4C" w:rsidP="006071CB">
      <w:r w:rsidRPr="008B1B80">
        <w:t>Additional information may be required for development of specific NRVs, as identified below.</w:t>
      </w:r>
    </w:p>
    <w:p w14:paraId="6E82C6BB" w14:textId="5408E254" w:rsidR="0097609B" w:rsidRDefault="0097609B" w:rsidP="007C22E4">
      <w:pPr>
        <w:keepNext/>
      </w:pPr>
      <w:r>
        <w:t xml:space="preserve">There are several approaches that may be used to </w:t>
      </w:r>
      <w:r w:rsidR="004A419D">
        <w:t xml:space="preserve">estimate </w:t>
      </w:r>
      <w:r>
        <w:t>a draft NRV, depending on the above factors. These include:</w:t>
      </w:r>
    </w:p>
    <w:p w14:paraId="2A0ED74A" w14:textId="77777777" w:rsidR="0097609B" w:rsidRDefault="0097609B" w:rsidP="00211F4C">
      <w:pPr>
        <w:pStyle w:val="ListParagraph"/>
        <w:numPr>
          <w:ilvl w:val="0"/>
          <w:numId w:val="24"/>
        </w:numPr>
      </w:pPr>
      <w:r w:rsidRPr="002B5D28">
        <w:rPr>
          <w:b/>
          <w:bCs/>
          <w:i/>
          <w:iCs/>
        </w:rPr>
        <w:t>factorial approach:</w:t>
      </w:r>
      <w:r>
        <w:t xml:space="preserve"> typically used </w:t>
      </w:r>
      <w:r>
        <w:rPr>
          <w:color w:val="000000"/>
          <w:shd w:val="clear" w:color="auto" w:fill="FFFFFF"/>
        </w:rPr>
        <w:t>for nutrients that are not metabolised (i.e. minerals because losses are more readily measurable as they are excreted in the same form as in the diet).</w:t>
      </w:r>
    </w:p>
    <w:p w14:paraId="16660654" w14:textId="77777777" w:rsidR="0097609B" w:rsidRPr="0045622C" w:rsidRDefault="0097609B" w:rsidP="00211F4C">
      <w:pPr>
        <w:pStyle w:val="ListParagraph"/>
        <w:numPr>
          <w:ilvl w:val="0"/>
          <w:numId w:val="24"/>
        </w:numPr>
      </w:pPr>
      <w:r w:rsidRPr="002B5D28">
        <w:rPr>
          <w:b/>
          <w:bCs/>
          <w:i/>
          <w:iCs/>
        </w:rPr>
        <w:t xml:space="preserve">dose-response </w:t>
      </w:r>
      <w:r w:rsidRPr="0045622C">
        <w:rPr>
          <w:b/>
          <w:bCs/>
          <w:i/>
          <w:iCs/>
        </w:rPr>
        <w:t>approach:</w:t>
      </w:r>
      <w:r w:rsidRPr="0045622C">
        <w:rPr>
          <w:color w:val="000000"/>
          <w:shd w:val="clear" w:color="auto" w:fill="FFFFFF"/>
        </w:rPr>
        <w:t xml:space="preserve"> used to set an EAR or UL when there is a clear relationship between the intake of a nutrient and a metabolic or functional outcome.</w:t>
      </w:r>
    </w:p>
    <w:p w14:paraId="630D9330" w14:textId="55ED3F20" w:rsidR="0097609B" w:rsidRPr="00C3303F" w:rsidRDefault="0097609B" w:rsidP="00211F4C">
      <w:pPr>
        <w:pStyle w:val="ListParagraph"/>
        <w:numPr>
          <w:ilvl w:val="0"/>
          <w:numId w:val="24"/>
        </w:numPr>
        <w:rPr>
          <w:b/>
          <w:bCs/>
          <w:i/>
          <w:iCs/>
        </w:rPr>
      </w:pPr>
      <w:r w:rsidRPr="0045622C">
        <w:rPr>
          <w:b/>
          <w:bCs/>
          <w:i/>
          <w:iCs/>
        </w:rPr>
        <w:t>risk assessment</w:t>
      </w:r>
      <w:r w:rsidR="001142C3">
        <w:rPr>
          <w:b/>
          <w:bCs/>
          <w:i/>
          <w:iCs/>
        </w:rPr>
        <w:t xml:space="preserve"> appr</w:t>
      </w:r>
      <w:r w:rsidR="00A139BE">
        <w:rPr>
          <w:b/>
          <w:bCs/>
          <w:i/>
          <w:iCs/>
        </w:rPr>
        <w:t>oach</w:t>
      </w:r>
      <w:r w:rsidRPr="0045622C">
        <w:rPr>
          <w:b/>
          <w:bCs/>
          <w:i/>
          <w:iCs/>
        </w:rPr>
        <w:t xml:space="preserve">: </w:t>
      </w:r>
      <w:r w:rsidRPr="0045622C">
        <w:t>used to</w:t>
      </w:r>
      <w:r w:rsidRPr="0045622C">
        <w:rPr>
          <w:b/>
          <w:bCs/>
          <w:i/>
          <w:iCs/>
        </w:rPr>
        <w:t xml:space="preserve"> </w:t>
      </w:r>
      <w:r w:rsidRPr="0045622C">
        <w:t>determine UL based on a risk assessment that considers</w:t>
      </w:r>
      <w:r>
        <w:t xml:space="preserve"> traditional adverse event (toxicity) endpoints.</w:t>
      </w:r>
    </w:p>
    <w:p w14:paraId="1AD48E01" w14:textId="324D4C8F" w:rsidR="0097609B" w:rsidRDefault="0097609B" w:rsidP="0097609B">
      <w:r w:rsidRPr="00C3303F">
        <w:t>These approaches may also be used in combination with each</w:t>
      </w:r>
      <w:r>
        <w:t xml:space="preserve"> </w:t>
      </w:r>
      <w:r w:rsidRPr="00C3303F">
        <w:t>other, where appropriate</w:t>
      </w:r>
      <w:r>
        <w:t xml:space="preserve"> and supported by the available evidence</w:t>
      </w:r>
      <w:r w:rsidR="00334383">
        <w:t xml:space="preserve"> (see </w:t>
      </w:r>
      <w:r w:rsidR="00F25CE9">
        <w:fldChar w:fldCharType="begin"/>
      </w:r>
      <w:r w:rsidR="00F25CE9">
        <w:instrText xml:space="preserve"> REF _Ref199932787 \h </w:instrText>
      </w:r>
      <w:r w:rsidR="00F25CE9">
        <w:fldChar w:fldCharType="separate"/>
      </w:r>
      <w:r w:rsidR="00783DC4">
        <w:t>Figure 6.</w:t>
      </w:r>
      <w:r w:rsidR="00783DC4">
        <w:rPr>
          <w:noProof/>
        </w:rPr>
        <w:t>2</w:t>
      </w:r>
      <w:r w:rsidR="00F25CE9">
        <w:fldChar w:fldCharType="end"/>
      </w:r>
      <w:r w:rsidR="00F25CE9">
        <w:t>)</w:t>
      </w:r>
      <w:r w:rsidRPr="00F25CE9">
        <w:t>.</w:t>
      </w:r>
    </w:p>
    <w:p w14:paraId="67586F9D" w14:textId="77777777" w:rsidR="0097609B" w:rsidRDefault="0097609B" w:rsidP="0097609B">
      <w:r w:rsidRPr="00996E78">
        <w:t>Draft NRV values must be supported with a rationale for the approach taken.</w:t>
      </w:r>
    </w:p>
    <w:p w14:paraId="0DBD6376" w14:textId="22F8386D" w:rsidR="007C22E4" w:rsidRPr="00996E78" w:rsidRDefault="007C22E4" w:rsidP="007C22E4">
      <w:pPr>
        <w:pStyle w:val="Boxed1Bullet"/>
        <w:numPr>
          <w:ilvl w:val="0"/>
          <w:numId w:val="0"/>
        </w:numPr>
        <w:ind w:left="284"/>
      </w:pPr>
      <w:r w:rsidRPr="00996E78">
        <w:t xml:space="preserve">Further </w:t>
      </w:r>
      <w:r w:rsidR="008D2AFB">
        <w:t>information is</w:t>
      </w:r>
      <w:r w:rsidRPr="00996E78">
        <w:t xml:space="preserve"> provided in:</w:t>
      </w:r>
    </w:p>
    <w:p w14:paraId="359D5466" w14:textId="3D3CE504" w:rsidR="007C22E4" w:rsidRDefault="00C22C24" w:rsidP="00211F4C">
      <w:pPr>
        <w:pStyle w:val="Boxed1Bullet"/>
        <w:numPr>
          <w:ilvl w:val="0"/>
          <w:numId w:val="65"/>
        </w:numPr>
      </w:pP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 </w:instrText>
      </w: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EN.CITE.DATA </w:instrText>
      </w:r>
      <w:r>
        <w:fldChar w:fldCharType="end"/>
      </w:r>
      <w:r>
        <w:fldChar w:fldCharType="separate"/>
      </w:r>
      <w:r>
        <w:rPr>
          <w:noProof/>
        </w:rPr>
        <w:t>Dhonukshe-Rutten et al. (2013)</w:t>
      </w:r>
      <w:r>
        <w:fldChar w:fldCharType="end"/>
      </w:r>
      <w:r>
        <w:t xml:space="preserve"> </w:t>
      </w:r>
      <w:r w:rsidRPr="00C22C24">
        <w:t xml:space="preserve">EURRECA-Evidence-based methodology for deriving micronutrient recommendations. </w:t>
      </w:r>
      <w:r w:rsidRPr="00C22C24">
        <w:rPr>
          <w:i/>
          <w:iCs/>
        </w:rPr>
        <w:t xml:space="preserve">Crit Rev Food Sci </w:t>
      </w:r>
      <w:proofErr w:type="spellStart"/>
      <w:r w:rsidRPr="00C22C24">
        <w:rPr>
          <w:i/>
          <w:iCs/>
        </w:rPr>
        <w:t>Nutr</w:t>
      </w:r>
      <w:proofErr w:type="spellEnd"/>
      <w:r w:rsidRPr="00C22C24">
        <w:t>,</w:t>
      </w:r>
      <w:r w:rsidRPr="00C22C24">
        <w:rPr>
          <w:i/>
          <w:iCs/>
        </w:rPr>
        <w:t xml:space="preserve"> 53</w:t>
      </w:r>
      <w:r w:rsidRPr="00C22C24">
        <w:t xml:space="preserve">(10), 999-1040. </w:t>
      </w:r>
      <w:hyperlink r:id="rId83" w:history="1">
        <w:r w:rsidRPr="000163C7">
          <w:rPr>
            <w:rStyle w:val="Hyperlink"/>
            <w:color w:val="006CBC"/>
          </w:rPr>
          <w:t>https://doi.org/10.1080/10408398.2012.749209</w:t>
        </w:r>
      </w:hyperlink>
      <w:r>
        <w:t xml:space="preserve"> </w:t>
      </w:r>
      <w:r w:rsidR="002D60E8" w:rsidRPr="00EA1DFF">
        <w:rPr>
          <w:i/>
          <w:iCs/>
        </w:rPr>
        <w:t>-</w:t>
      </w:r>
      <w:r w:rsidR="007C22E4" w:rsidRPr="002D60E8">
        <w:t xml:space="preserve"> </w:t>
      </w:r>
      <w:r w:rsidR="002D60E8" w:rsidRPr="002D60E8">
        <w:t>pp. 1012 – 1023</w:t>
      </w:r>
      <w:r w:rsidR="006E33AB">
        <w:t xml:space="preserve"> </w:t>
      </w:r>
    </w:p>
    <w:p w14:paraId="6FBB9F2C" w14:textId="47C7E0F6" w:rsidR="007C22E4" w:rsidRDefault="009A4E8E" w:rsidP="00211F4C">
      <w:pPr>
        <w:pStyle w:val="Boxed1Bullet"/>
        <w:numPr>
          <w:ilvl w:val="0"/>
          <w:numId w:val="65"/>
        </w:numPr>
      </w:pPr>
      <w:r>
        <w:lastRenderedPageBreak/>
        <w:fldChar w:fldCharType="begin"/>
      </w:r>
      <w:r>
        <w:instrText xml:space="preserve"> ADDIN EN.CITE &lt;EndNote&gt;&lt;Cite AuthorYear="1"&gt;&lt;Author&gt;NASEM&lt;/Author&gt;&lt;Year&gt;2018&lt;/Year&gt;&lt;RecNum&gt;67&lt;/RecNum&gt;&lt;DisplayText&gt;NASEM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fldChar w:fldCharType="separate"/>
      </w:r>
      <w:r>
        <w:rPr>
          <w:noProof/>
        </w:rPr>
        <w:t>NASEM (2018)</w:t>
      </w:r>
      <w:r>
        <w:fldChar w:fldCharType="end"/>
      </w:r>
      <w:r w:rsidR="004465B6" w:rsidRPr="004465B6">
        <w:t> </w:t>
      </w:r>
      <w:r w:rsidR="00EE25AD" w:rsidRPr="00EE25AD">
        <w:rPr>
          <w:i/>
          <w:iCs/>
        </w:rPr>
        <w:t>Harmonization of Approaches to Nutrient Reference Values: Applications to Young Children and Women of Reproductive Age</w:t>
      </w:r>
      <w:r w:rsidR="004465B6" w:rsidRPr="004465B6">
        <w:t xml:space="preserve">. Washington, DC: The National Academies Press. </w:t>
      </w:r>
      <w:hyperlink r:id="rId84" w:history="1">
        <w:r w:rsidR="00551EB9" w:rsidRPr="000163C7">
          <w:rPr>
            <w:rStyle w:val="Hyperlink"/>
            <w:color w:val="006CBC"/>
          </w:rPr>
          <w:t>https://doi.org/10.17226/25148 - Chapter 3</w:t>
        </w:r>
      </w:hyperlink>
      <w:r w:rsidR="002D60E8" w:rsidRPr="002D60E8">
        <w:t>.</w:t>
      </w:r>
    </w:p>
    <w:p w14:paraId="2AB36050" w14:textId="660323B7" w:rsidR="00551EB9" w:rsidRPr="00AB2646" w:rsidRDefault="00EC3771" w:rsidP="00211F4C">
      <w:pPr>
        <w:pStyle w:val="Boxed1Bullet"/>
        <w:numPr>
          <w:ilvl w:val="0"/>
          <w:numId w:val="65"/>
        </w:numPr>
      </w:pPr>
      <w:r>
        <w:fldChar w:fldCharType="begin"/>
      </w:r>
      <w:r w:rsidR="00B7176A">
        <w:instrText xml:space="preserve"> ADDIN EN.CITE &lt;EndNote&gt;&lt;Cite AuthorYear="1"&gt;&lt;Author&gt;Gibson&lt;/Author&gt;&lt;Year&gt;2024&lt;/Year&gt;&lt;RecNum&gt;125&lt;/RecNum&gt;&lt;DisplayText&gt;Gibson (2024)&lt;/DisplayText&gt;&lt;record&gt;&lt;rec-number&gt;125&lt;/rec-number&gt;&lt;foreign-keys&gt;&lt;key app="EN" db-id="zxfaevvrgpsxebez5ec5vspfe2av5dtxt9xx" timestamp="1756960842"&gt;125&lt;/key&gt;&lt;/foreign-keys&gt;&lt;ref-type name="Electronic Book"&gt;44&lt;/ref-type&gt;&lt;contributors&gt;&lt;authors&gt;&lt;author&gt;Gibson, RS&lt;/author&gt;&lt;/authors&gt;&lt;/contributors&gt;&lt;titles&gt;&lt;title&gt;Principles of Nutritional Assessment. Nutrient Reference Values&lt;/title&gt;&lt;/titles&gt;&lt;dates&gt;&lt;year&gt;2024&lt;/year&gt;&lt;/dates&gt;&lt;urls&gt;&lt;related-urls&gt;&lt;url&gt;date accessed 4 September 2025  https://nutritionalassessment.org/nrv/&lt;/url&gt;&lt;/related-urls&gt;&lt;/urls&gt;&lt;/record&gt;&lt;/Cite&gt;&lt;/EndNote&gt;</w:instrText>
      </w:r>
      <w:r>
        <w:fldChar w:fldCharType="separate"/>
      </w:r>
      <w:r w:rsidR="00B7176A">
        <w:rPr>
          <w:noProof/>
        </w:rPr>
        <w:t>Gibson (2024)</w:t>
      </w:r>
      <w:r>
        <w:fldChar w:fldCharType="end"/>
      </w:r>
      <w:r w:rsidR="00AB2646" w:rsidRPr="00AB2646">
        <w:t>. Principles of Nutritional Assessment. Nutrient Reference Values. </w:t>
      </w:r>
      <w:hyperlink r:id="rId85" w:history="1">
        <w:r w:rsidR="00AB2646" w:rsidRPr="000163C7">
          <w:rPr>
            <w:rStyle w:val="Hyperlink"/>
            <w:color w:val="006CBC"/>
          </w:rPr>
          <w:t>https://nutritionalassessment.org/nrv/</w:t>
        </w:r>
      </w:hyperlink>
      <w:r w:rsidR="00AB2646">
        <w:t xml:space="preserve"> 8a.23</w:t>
      </w:r>
    </w:p>
    <w:p w14:paraId="535A93F7" w14:textId="77777777" w:rsidR="00A86544" w:rsidRDefault="00A86544" w:rsidP="00A86544">
      <w:bookmarkStart w:id="167" w:name="_Toc153967135"/>
    </w:p>
    <w:p w14:paraId="297528A8" w14:textId="0729381E" w:rsidR="007C22E4" w:rsidRDefault="007C22E4" w:rsidP="003E2E95">
      <w:pPr>
        <w:pStyle w:val="Heading40"/>
      </w:pPr>
      <w:bookmarkStart w:id="168" w:name="_Toc207801080"/>
      <w:bookmarkStart w:id="169" w:name="_Toc207824557"/>
      <w:r>
        <w:t>Factorial approach</w:t>
      </w:r>
      <w:bookmarkEnd w:id="167"/>
      <w:bookmarkEnd w:id="168"/>
      <w:bookmarkEnd w:id="169"/>
    </w:p>
    <w:p w14:paraId="08C54B1A" w14:textId="442CA601" w:rsidR="008B189A" w:rsidRDefault="007C22E4" w:rsidP="005334CE">
      <w:r>
        <w:t xml:space="preserve">This approach measures the various (exchanges between) body pools to estimate losses and needs for maintenance and growth. </w:t>
      </w:r>
      <w:r w:rsidR="004448EA">
        <w:t>The f</w:t>
      </w:r>
      <w:r>
        <w:t xml:space="preserve">actorial approach </w:t>
      </w:r>
      <w:r w:rsidR="004448EA">
        <w:t xml:space="preserve">is </w:t>
      </w:r>
      <w:r>
        <w:t xml:space="preserve">used </w:t>
      </w:r>
      <w:r w:rsidR="00D20687">
        <w:t xml:space="preserve">in the absence of </w:t>
      </w:r>
      <w:r w:rsidR="00DE335F">
        <w:t xml:space="preserve">suitable biomarkers for the relationship between </w:t>
      </w:r>
      <w:r w:rsidR="00E869BA">
        <w:t>intake and status or health</w:t>
      </w:r>
      <w:r w:rsidR="00DE335F">
        <w:t xml:space="preserve">, or where </w:t>
      </w:r>
      <w:r w:rsidR="00D20687">
        <w:t xml:space="preserve">scientific </w:t>
      </w:r>
      <w:r w:rsidR="00DE335F">
        <w:t xml:space="preserve">evidence for this relationship is lacking. </w:t>
      </w:r>
      <w:r w:rsidR="004448EA">
        <w:t xml:space="preserve">It is </w:t>
      </w:r>
      <w:r w:rsidR="00DE335F">
        <w:t xml:space="preserve">also applied </w:t>
      </w:r>
      <w:r w:rsidR="001A54A4">
        <w:t xml:space="preserve">to derive requirements </w:t>
      </w:r>
      <w:r>
        <w:t>during periods of growth and development</w:t>
      </w:r>
      <w:r w:rsidR="001A54A4">
        <w:t>, such as during pregnancy or lactation</w:t>
      </w:r>
      <w:r>
        <w:t xml:space="preserve">. </w:t>
      </w:r>
    </w:p>
    <w:p w14:paraId="726B4FB9" w14:textId="2F34F189" w:rsidR="00E62E4A" w:rsidRDefault="005B501E" w:rsidP="00D8190A">
      <w:r>
        <w:t xml:space="preserve">At its core, the factorial approach calculates the </w:t>
      </w:r>
      <w:r w:rsidR="00C50ADD">
        <w:t xml:space="preserve">estimated average requirement for </w:t>
      </w:r>
      <w:r>
        <w:t>replace</w:t>
      </w:r>
      <w:r w:rsidR="00C50ADD">
        <w:t>ment of</w:t>
      </w:r>
      <w:r>
        <w:t xml:space="preserve"> obligatory losses </w:t>
      </w:r>
      <w:r w:rsidR="00931851">
        <w:t>(via faecal, urin</w:t>
      </w:r>
      <w:r w:rsidR="00BF3E5A">
        <w:t xml:space="preserve">e, skin and other routes) </w:t>
      </w:r>
      <w:r>
        <w:t xml:space="preserve">and </w:t>
      </w:r>
      <w:r w:rsidR="00C50ADD">
        <w:t xml:space="preserve">to </w:t>
      </w:r>
      <w:r w:rsidR="00BF3E5A">
        <w:t xml:space="preserve">support </w:t>
      </w:r>
      <w:r>
        <w:t>growth and development</w:t>
      </w:r>
      <w:r w:rsidR="001024E2">
        <w:t xml:space="preserve">, accounting for the absorption efficiency from diet. The formula for </w:t>
      </w:r>
      <w:r w:rsidR="004972FE">
        <w:t xml:space="preserve">estimating </w:t>
      </w:r>
      <w:r w:rsidR="007C22E4">
        <w:t xml:space="preserve">dietary requirements using the factorial approach is shown in </w:t>
      </w:r>
      <w:r w:rsidR="002246C3">
        <w:fldChar w:fldCharType="begin"/>
      </w:r>
      <w:r w:rsidR="002246C3">
        <w:instrText xml:space="preserve"> REF _Ref206407326 \h </w:instrText>
      </w:r>
      <w:r w:rsidR="002246C3">
        <w:fldChar w:fldCharType="separate"/>
      </w:r>
      <w:r w:rsidR="002246C3">
        <w:t>Figure 6.</w:t>
      </w:r>
      <w:r w:rsidR="002246C3">
        <w:rPr>
          <w:noProof/>
        </w:rPr>
        <w:t>1</w:t>
      </w:r>
      <w:r w:rsidR="002246C3">
        <w:fldChar w:fldCharType="end"/>
      </w:r>
      <w:r w:rsidR="00A33452">
        <w:t>,</w:t>
      </w:r>
      <w:r w:rsidR="00ED4DB1">
        <w:t xml:space="preserve"> </w:t>
      </w:r>
      <w:r w:rsidR="007C22E4">
        <w:t xml:space="preserve">taken from </w:t>
      </w:r>
      <w:r w:rsidR="00117DA7">
        <w:t xml:space="preserve">the </w:t>
      </w:r>
      <w:r w:rsidR="007C22E4">
        <w:t>EURRECA Framework</w:t>
      </w:r>
      <w:r w:rsidR="008C699A">
        <w:t xml:space="preserve"> </w:t>
      </w:r>
      <w:r w:rsidR="00343D95">
        <w:fldChar w:fldCharType="begin">
          <w:fldData xml:space="preserve">PEVuZE5vdGU+PENpdGU+PEF1dGhvcj5EaG9udWtzaGUtUnV0dGVuPC9BdXRob3I+PFllYXI+MjAx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</w:fldData>
        </w:fldChar>
      </w:r>
      <w:r w:rsidR="00343D95">
        <w:instrText xml:space="preserve"> ADDIN EN.CITE </w:instrText>
      </w:r>
      <w:r w:rsidR="00343D95">
        <w:fldChar w:fldCharType="begin">
          <w:fldData xml:space="preserve">PEVuZE5vdGU+PENpdGU+PEF1dGhvcj5EaG9udWtzaGUtUnV0dGVuPC9BdXRob3I+PFllYXI+MjAx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</w:fldData>
        </w:fldChar>
      </w:r>
      <w:r w:rsidR="00343D95">
        <w:instrText xml:space="preserve"> ADDIN EN.CITE.DATA </w:instrText>
      </w:r>
      <w:r w:rsidR="00343D95">
        <w:fldChar w:fldCharType="end"/>
      </w:r>
      <w:r w:rsidR="00343D95">
        <w:fldChar w:fldCharType="separate"/>
      </w:r>
      <w:r w:rsidR="00343D95">
        <w:rPr>
          <w:noProof/>
        </w:rPr>
        <w:t>(Dhonukshe-Rutten et al. 2013)</w:t>
      </w:r>
      <w:r w:rsidR="00343D95">
        <w:fldChar w:fldCharType="end"/>
      </w:r>
      <w:r w:rsidR="00D8190A">
        <w:t>.</w:t>
      </w:r>
    </w:p>
    <w:p w14:paraId="6A89E971" w14:textId="2EE3676A" w:rsidR="004A5E79" w:rsidRDefault="007C22E4" w:rsidP="009D183C">
      <w:pPr>
        <w:keepNext/>
        <w:spacing w:after="0"/>
      </w:pPr>
      <w:r>
        <w:rPr>
          <w:noProof/>
        </w:rPr>
        <w:drawing>
          <wp:inline distT="0" distB="0" distL="0" distR="0" wp14:anchorId="474234D3" wp14:editId="5CA238FD">
            <wp:extent cx="5752643" cy="1290938"/>
            <wp:effectExtent l="19050" t="19050" r="19685" b="24130"/>
            <wp:docPr id="19" name="Picture 19" descr="Dietary requirements are calculated by dividing the sum of nutrient losses (from faeces, urine, skin, menses etc) and growth and development requirements (foetus, pregnancy, lactation) by the bioavailability factor of the specific nutri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etary requirements are calculated by dividing the sum of nutrient losses (from faeces, urine, skin, menses etc) and growth and development requirements (foetus, pregnancy, lactation) by the bioavailability factor of the specific nutrient. "/>
                    <pic:cNvPicPr/>
                  </pic:nvPicPr>
                  <pic:blipFill rotWithShape="1">
                    <a:blip r:embed="rId86"/>
                    <a:srcRect l="10524" t="49885" r="23949" b="36329"/>
                    <a:stretch/>
                  </pic:blipFill>
                  <pic:spPr bwMode="auto">
                    <a:xfrm>
                      <a:off x="0" y="0"/>
                      <a:ext cx="5752643" cy="1290938"/>
                    </a:xfrm>
                    <a:prstGeom prst="rect">
                      <a:avLst/>
                    </a:prstGeom>
                    <a:ln w="12700">
                      <a:solidFill>
                        <a:srgbClr val="F9A54F"/>
                      </a:solidFill>
                    </a:ln>
                    <a:extLst>
                      <a:ext uri="{53640926-AAD7-44D8-BBD7-CCE9431645EC}">
                        <a14:shadowObscured xmlns:a14="http://schemas.microsoft.com/office/drawing/2010/main"/>
                      </a:ext>
                    </a:extLst>
                  </pic:spPr>
                </pic:pic>
              </a:graphicData>
            </a:graphic>
          </wp:inline>
        </w:drawing>
      </w:r>
    </w:p>
    <w:p w14:paraId="5EBB445E" w14:textId="7167B963" w:rsidR="007C22E4" w:rsidRDefault="004A5E79" w:rsidP="00CD0526">
      <w:pPr>
        <w:pStyle w:val="Caption"/>
      </w:pPr>
      <w:bookmarkStart w:id="170" w:name="_Ref206407326"/>
      <w:r>
        <w:t xml:space="preserve">Figure </w:t>
      </w:r>
      <w:r w:rsidR="00266FE3">
        <w:t>6</w:t>
      </w:r>
      <w:r w:rsidR="00893B6C">
        <w:t>.</w:t>
      </w:r>
      <w:r w:rsidR="00783DC4">
        <w:fldChar w:fldCharType="begin"/>
      </w:r>
      <w:r w:rsidR="00783DC4">
        <w:instrText xml:space="preserve"> SEQ Figure \* ARABIC \s 1 </w:instrText>
      </w:r>
      <w:r w:rsidR="00783DC4">
        <w:fldChar w:fldCharType="separate"/>
      </w:r>
      <w:r w:rsidR="00783DC4">
        <w:rPr>
          <w:noProof/>
        </w:rPr>
        <w:t>1</w:t>
      </w:r>
      <w:r w:rsidR="00783DC4">
        <w:rPr>
          <w:noProof/>
        </w:rPr>
        <w:fldChar w:fldCharType="end"/>
      </w:r>
      <w:bookmarkEnd w:id="170"/>
      <w:r>
        <w:t xml:space="preserve"> </w:t>
      </w:r>
      <w:r w:rsidRPr="0097472E">
        <w:t>Equation for calculating dietary requirements using factorial approach</w:t>
      </w:r>
    </w:p>
    <w:p w14:paraId="4BF013A4" w14:textId="77777777" w:rsidR="00614A55" w:rsidRDefault="00614A55" w:rsidP="00BF4C22">
      <w:r>
        <w:t>When accounting for g</w:t>
      </w:r>
      <w:r w:rsidR="00BF4C22">
        <w:t>rowth and development requirements</w:t>
      </w:r>
      <w:r>
        <w:t>, consideration may be given to:</w:t>
      </w:r>
    </w:p>
    <w:p w14:paraId="5508F45E" w14:textId="60D67F38" w:rsidR="00BF4C22" w:rsidRPr="00366AD9" w:rsidRDefault="00BF4C22" w:rsidP="00211F4C">
      <w:pPr>
        <w:pStyle w:val="ListParagraph"/>
        <w:numPr>
          <w:ilvl w:val="0"/>
          <w:numId w:val="81"/>
        </w:numPr>
      </w:pPr>
      <w:r w:rsidRPr="00366AD9">
        <w:t xml:space="preserve">tissue deposition / accretion </w:t>
      </w:r>
      <w:r w:rsidR="00614A55" w:rsidRPr="00366AD9">
        <w:t xml:space="preserve">(including in </w:t>
      </w:r>
      <w:proofErr w:type="spellStart"/>
      <w:r w:rsidR="00614A55" w:rsidRPr="00366AD9">
        <w:t>fetal</w:t>
      </w:r>
      <w:proofErr w:type="spellEnd"/>
      <w:r w:rsidR="00614A55" w:rsidRPr="00366AD9">
        <w:t xml:space="preserve"> tissue, placenta or maternal tissue during pregnancy or lactation)</w:t>
      </w:r>
    </w:p>
    <w:p w14:paraId="62D41DCD" w14:textId="522E3666" w:rsidR="00525DB6" w:rsidRPr="00366AD9" w:rsidRDefault="00525DB6" w:rsidP="00211F4C">
      <w:pPr>
        <w:pStyle w:val="ListParagraph"/>
        <w:numPr>
          <w:ilvl w:val="0"/>
          <w:numId w:val="81"/>
        </w:numPr>
      </w:pPr>
      <w:r w:rsidRPr="00366AD9">
        <w:t xml:space="preserve">requirements for </w:t>
      </w:r>
      <w:r w:rsidR="002765EC" w:rsidRPr="00366AD9">
        <w:t xml:space="preserve">breast </w:t>
      </w:r>
      <w:r w:rsidRPr="00366AD9">
        <w:t>milk production (</w:t>
      </w:r>
      <w:r w:rsidR="00DB636E" w:rsidRPr="00366AD9">
        <w:t>e.g.</w:t>
      </w:r>
      <w:r w:rsidRPr="00366AD9">
        <w:t xml:space="preserve"> breast milk concentration, daily volume).</w:t>
      </w:r>
    </w:p>
    <w:p w14:paraId="05C441D3" w14:textId="54F12EE5" w:rsidR="00BD4A00" w:rsidRPr="00BD4A00" w:rsidRDefault="00BD4A00" w:rsidP="00BD4A00">
      <w:r>
        <w:t xml:space="preserve">Derivation of reference values for micronutrients through the factorial approach often requires application of a bioavailability factor to account for absorption from diet and convert the physiological requirement into a dietary intake value </w:t>
      </w:r>
      <w:r>
        <w:fldChar w:fldCharType="begin"/>
      </w:r>
      <w:r w:rsidR="00B0311B">
        <w:instrText xml:space="preserve"> ADDIN EN.CITE &lt;EndNote&gt;&lt;Cite&gt;&lt;Author&gt;Fairweather-Tait&lt;/Author&gt;&lt;Year&gt;2010&lt;/Year&gt;&lt;RecNum&gt;79&lt;/RecNum&gt;&lt;DisplayText&gt;(Fairweather-Tait &amp;amp; Collings 2010)&lt;/DisplayText&gt;&lt;record&gt;&lt;rec-number&gt;79&lt;/rec-number&gt;&lt;foreign-keys&gt;&lt;key app="EN" db-id="zxfaevvrgpsxebez5ec5vspfe2av5dtxt9xx" timestamp="1754957765"&gt;79&lt;/key&gt;&lt;/foreign-keys&gt;&lt;ref-type name="Journal Article"&gt;17&lt;/ref-type&gt;&lt;contributors&gt;&lt;authors&gt;&lt;author&gt;Fairweather-Tait, S. J.&lt;/author&gt;&lt;author&gt;Collings, R.&lt;/author&gt;&lt;/authors&gt;&lt;/contributors&gt;&lt;auth-address&gt;Norwich Medical School, University of East Anglia, Norwich, UK. s.fairweather-tait@uea.ac.uk&lt;/auth-address&gt;&lt;titles&gt;&lt;title&gt;Estimating the bioavailability factors needed for setting dietary reference values&lt;/title&gt;&lt;secondary-title&gt;Int J Vitam Nutr Res&lt;/secondary-title&gt;&lt;alt-title&gt;International journal for vitamin and nutrition research. &lt;/alt-title&gt;&lt;/titles&gt;&lt;periodical&gt;&lt;full-title&gt;Int J Vitam Nutr Res&lt;/full-title&gt;&lt;/periodical&gt;&lt;pages&gt;249-56&lt;/pages&gt;&lt;volume&gt;80&lt;/volume&gt;&lt;number&gt;4-5&lt;/number&gt;&lt;edition&gt;2011/04/05&lt;/edition&gt;&lt;keywords&gt;&lt;keyword&gt;Biological Availability&lt;/keyword&gt;&lt;keyword&gt;Biomarkers/blood&lt;/keyword&gt;&lt;keyword&gt;*Diet&lt;/keyword&gt;&lt;keyword&gt;Humans&lt;/keyword&gt;&lt;keyword&gt;*Intestinal Absorption&lt;/keyword&gt;&lt;keyword&gt;Iron, Dietary/blood&lt;/keyword&gt;&lt;keyword&gt;Micronutrients/*blood&lt;/keyword&gt;&lt;keyword&gt;*Nutrition Policy&lt;/keyword&gt;&lt;keyword&gt;*Nutritional Requirements&lt;/keyword&gt;&lt;keyword&gt;Reference Values&lt;/keyword&gt;&lt;keyword&gt;Zinc/blood&lt;/keyword&gt;&lt;/keywords&gt;&lt;dates&gt;&lt;year&gt;2010&lt;/year&gt;&lt;pub-dates&gt;&lt;date&gt;Oct&lt;/date&gt;&lt;/pub-dates&gt;&lt;/dates&gt;&lt;isbn&gt;0300-9831 (Print)&amp;#xD;0300-9831 (Linking)&lt;/isbn&gt;&lt;accession-num&gt;21462107&lt;/accession-num&gt;&lt;urls&gt;&lt;related-urls&gt;&lt;url&gt;http://www.ncbi.nlm.nih.gov/pubmed/21462107&lt;/url&gt;&lt;/related-urls&gt;&lt;/urls&gt;&lt;electronic-resource-num&gt;10.1024/0300-9831/a000031&lt;/electronic-resource-num&gt;&lt;language&gt;eng&lt;/language&gt;&lt;/record&gt;&lt;/Cite&gt;&lt;/EndNote&gt;</w:instrText>
      </w:r>
      <w:r>
        <w:fldChar w:fldCharType="separate"/>
      </w:r>
      <w:r>
        <w:rPr>
          <w:noProof/>
        </w:rPr>
        <w:t>(Fairweather-Tait &amp; Collings 2010)</w:t>
      </w:r>
      <w:r>
        <w:fldChar w:fldCharType="end"/>
      </w:r>
      <w:r>
        <w:t xml:space="preserve">. </w:t>
      </w:r>
    </w:p>
    <w:p w14:paraId="6CBECC23" w14:textId="515A5F47" w:rsidR="005C5E43" w:rsidRDefault="005C5E43" w:rsidP="005C5E43">
      <w:r>
        <w:t>For many nutrients</w:t>
      </w:r>
      <w:r w:rsidR="00C66A29">
        <w:t>,</w:t>
      </w:r>
      <w:r>
        <w:t xml:space="preserve"> </w:t>
      </w:r>
      <w:r w:rsidRPr="00510FF3">
        <w:t xml:space="preserve">factors affecting bioavailability </w:t>
      </w:r>
      <w:r>
        <w:t xml:space="preserve">are not well </w:t>
      </w:r>
      <w:r w:rsidRPr="00510FF3">
        <w:t>established, so appropriate adjustments cannot be made</w:t>
      </w:r>
      <w:r>
        <w:t>.</w:t>
      </w:r>
      <w:r w:rsidRPr="00510FF3">
        <w:t xml:space="preserve"> The adjustments required depend on </w:t>
      </w:r>
      <w:r>
        <w:t xml:space="preserve">usual dietary intake, the </w:t>
      </w:r>
      <w:r w:rsidRPr="00510FF3">
        <w:t xml:space="preserve">chemical form of the nutrient in the diet, and factors known to affect the absorption </w:t>
      </w:r>
      <w:r>
        <w:t xml:space="preserve">and metabolism </w:t>
      </w:r>
      <w:r w:rsidRPr="00510FF3">
        <w:t xml:space="preserve">of the nutrient. </w:t>
      </w:r>
      <w:r>
        <w:t>F</w:t>
      </w:r>
      <w:r w:rsidRPr="00510FF3">
        <w:t xml:space="preserve">ixed bioavailability factors </w:t>
      </w:r>
      <w:r>
        <w:t xml:space="preserve">may be </w:t>
      </w:r>
      <w:r w:rsidRPr="00510FF3">
        <w:t xml:space="preserve">applied, </w:t>
      </w:r>
      <w:r>
        <w:t xml:space="preserve">or adjusted as </w:t>
      </w:r>
      <w:r w:rsidRPr="00510FF3">
        <w:t>efficiency of absorption may vary with the dietary level of the nutrient</w:t>
      </w:r>
      <w:r w:rsidR="00DF67A1">
        <w:t>, individual status</w:t>
      </w:r>
      <w:r w:rsidRPr="00510FF3">
        <w:t xml:space="preserve"> or life-stage group</w:t>
      </w:r>
      <w:r w:rsidR="00BD4D32">
        <w:fldChar w:fldCharType="begin"/>
      </w:r>
      <w:r w:rsidR="00BD4D32">
        <w:instrText xml:space="preserve"> ADDIN EN.CITE &lt;EndNote&gt;&lt;Cite&gt;&lt;Author&gt;Gibson&lt;/Author&gt;&lt;Year&gt;2024&lt;/Year&gt;&lt;RecNum&gt;125&lt;/RecNum&gt;&lt;DisplayText&gt;(Gibson 2024)&lt;/DisplayText&gt;&lt;record&gt;&lt;rec-number&gt;125&lt;/rec-number&gt;&lt;foreign-keys&gt;&lt;key app="EN" db-id="zxfaevvrgpsxebez5ec5vspfe2av5dtxt9xx" timestamp="1756960842"&gt;125&lt;/key&gt;&lt;/foreign-keys&gt;&lt;ref-type name="Electronic Book"&gt;44&lt;/ref-type&gt;&lt;contributors&gt;&lt;authors&gt;&lt;author&gt;Gibson, RS&lt;/author&gt;&lt;/authors&gt;&lt;/contributors&gt;&lt;titles&gt;&lt;title&gt;Principles of Nutritional Assessment. Nutrient Reference Values&lt;/title&gt;&lt;/titles&gt;&lt;dates&gt;&lt;year&gt;2024&lt;/year&gt;&lt;/dates&gt;&lt;urls&gt;&lt;related-urls&gt;&lt;url&gt;date accessed 4 September 2025  https://nutritionalassessment.org/nrv/&lt;/url&gt;&lt;/related-urls&gt;&lt;/urls&gt;&lt;/record&gt;&lt;/Cite&gt;&lt;/EndNote&gt;</w:instrText>
      </w:r>
      <w:r w:rsidR="00BD4D32">
        <w:fldChar w:fldCharType="separate"/>
      </w:r>
      <w:r w:rsidR="00BD4D32">
        <w:rPr>
          <w:noProof/>
        </w:rPr>
        <w:t>(Gibson 2024)</w:t>
      </w:r>
      <w:r w:rsidR="00BD4D32">
        <w:fldChar w:fldCharType="end"/>
      </w:r>
      <w:r w:rsidRPr="00510FF3">
        <w:t>. </w:t>
      </w:r>
    </w:p>
    <w:p w14:paraId="74A52089" w14:textId="77777777" w:rsidR="0038234F" w:rsidRPr="00BD4A00" w:rsidRDefault="0038234F" w:rsidP="00BD4A00"/>
    <w:p w14:paraId="53A8FBF3" w14:textId="7FDA918E" w:rsidR="007C22E4" w:rsidRDefault="008D2AFB" w:rsidP="007C22E4">
      <w:pPr>
        <w:pStyle w:val="Boxed1Bullet"/>
        <w:numPr>
          <w:ilvl w:val="0"/>
          <w:numId w:val="0"/>
        </w:numPr>
        <w:ind w:left="284"/>
      </w:pPr>
      <w:r>
        <w:t xml:space="preserve">Further information </w:t>
      </w:r>
      <w:r w:rsidR="003D0418">
        <w:t>on t</w:t>
      </w:r>
      <w:r w:rsidR="007C22E4">
        <w:t xml:space="preserve">he factorial approach </w:t>
      </w:r>
      <w:r w:rsidR="003D0418">
        <w:t>can be found</w:t>
      </w:r>
      <w:r w:rsidR="007C22E4">
        <w:t xml:space="preserve"> in:</w:t>
      </w:r>
    </w:p>
    <w:p w14:paraId="14D67A63" w14:textId="41F0371B" w:rsidR="007C22E4" w:rsidRDefault="00916291" w:rsidP="454E2F41">
      <w:pPr>
        <w:pStyle w:val="Boxed1Bullet"/>
      </w:pP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 </w:instrText>
      </w: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EN.CITE.DATA </w:instrText>
      </w:r>
      <w:r>
        <w:fldChar w:fldCharType="end"/>
      </w:r>
      <w:r>
        <w:fldChar w:fldCharType="separate"/>
      </w:r>
      <w:r>
        <w:rPr>
          <w:noProof/>
        </w:rPr>
        <w:t>Dhonukshe-Rutten et al. (2013)</w:t>
      </w:r>
      <w:r>
        <w:fldChar w:fldCharType="end"/>
      </w:r>
      <w:r>
        <w:t xml:space="preserve"> </w:t>
      </w:r>
      <w:r w:rsidRPr="00C22C24">
        <w:t xml:space="preserve">EURRECA-Evidence-based methodology for deriving micronutrient recommendations. </w:t>
      </w:r>
      <w:r w:rsidRPr="00C22C24">
        <w:rPr>
          <w:i/>
          <w:iCs/>
        </w:rPr>
        <w:t xml:space="preserve">Crit Rev Food Sci </w:t>
      </w:r>
      <w:proofErr w:type="spellStart"/>
      <w:r w:rsidRPr="00C22C24">
        <w:rPr>
          <w:i/>
          <w:iCs/>
        </w:rPr>
        <w:t>Nutr</w:t>
      </w:r>
      <w:proofErr w:type="spellEnd"/>
      <w:r w:rsidRPr="00C22C24">
        <w:t>,</w:t>
      </w:r>
      <w:r w:rsidRPr="00C22C24">
        <w:rPr>
          <w:i/>
          <w:iCs/>
        </w:rPr>
        <w:t xml:space="preserve"> 53</w:t>
      </w:r>
      <w:r w:rsidRPr="00C22C24">
        <w:t xml:space="preserve">(10), 999-1040. </w:t>
      </w:r>
      <w:hyperlink r:id="rId87">
        <w:r w:rsidRPr="000163C7">
          <w:rPr>
            <w:rStyle w:val="Hyperlink"/>
            <w:color w:val="006CBC"/>
          </w:rPr>
          <w:t>https://doi.org/10.1080/10408398.2012.749209</w:t>
        </w:r>
      </w:hyperlink>
      <w:r w:rsidR="00B22DD1">
        <w:t xml:space="preserve"> </w:t>
      </w:r>
      <w:r w:rsidR="00EE25AD" w:rsidRPr="454E2F41">
        <w:rPr>
          <w:i/>
          <w:iCs/>
        </w:rPr>
        <w:t xml:space="preserve">- </w:t>
      </w:r>
      <w:r w:rsidR="007C22E4">
        <w:t>pp. 1014–1016 and p. 1021</w:t>
      </w:r>
      <w:r w:rsidR="006E33AB">
        <w:t xml:space="preserve"> </w:t>
      </w:r>
    </w:p>
    <w:p w14:paraId="0321EB08" w14:textId="1DD2861C" w:rsidR="007C22E4" w:rsidRDefault="00A10C3F" w:rsidP="00211F4C">
      <w:pPr>
        <w:pStyle w:val="Boxed1Bullet"/>
        <w:numPr>
          <w:ilvl w:val="0"/>
          <w:numId w:val="64"/>
        </w:numPr>
      </w:pPr>
      <w:r>
        <w:fldChar w:fldCharType="begin"/>
      </w:r>
      <w:r w:rsidR="009A4E8E">
        <w:instrText xml:space="preserve"> ADDIN EN.CITE &lt;EndNote&gt;&lt;Cite AuthorYear="1"&gt;&lt;Author&gt;NASEM&lt;/Author&gt;&lt;Year&gt;2018&lt;/Year&gt;&lt;RecNum&gt;67&lt;/RecNum&gt;&lt;DisplayText&gt;NASEM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fldChar w:fldCharType="separate"/>
      </w:r>
      <w:r w:rsidR="009A4E8E">
        <w:rPr>
          <w:noProof/>
        </w:rPr>
        <w:t>NASEM (2018)</w:t>
      </w:r>
      <w:r>
        <w:fldChar w:fldCharType="end"/>
      </w:r>
      <w:r w:rsidR="00FB25EB" w:rsidRPr="00FB25EB">
        <w:t> </w:t>
      </w:r>
      <w:r w:rsidRPr="00A10C3F">
        <w:rPr>
          <w:i/>
          <w:iCs/>
        </w:rPr>
        <w:t xml:space="preserve">Harmonization of Approaches to Nutrient Reference Values: Applications to Young Children and Women of Reproductive Age. National Academies Press (US) </w:t>
      </w:r>
      <w:hyperlink r:id="rId88" w:history="1">
        <w:r w:rsidR="0068277A" w:rsidRPr="000163C7">
          <w:rPr>
            <w:rStyle w:val="Hyperlink"/>
            <w:i/>
            <w:iCs/>
            <w:color w:val="006CBC"/>
          </w:rPr>
          <w:t xml:space="preserve">https://doi.org/10.17226/25148 </w:t>
        </w:r>
        <w:r w:rsidR="0068277A" w:rsidRPr="000163C7">
          <w:rPr>
            <w:rStyle w:val="Hyperlink"/>
            <w:color w:val="006CBC"/>
          </w:rPr>
          <w:t>- pp. 55-56</w:t>
        </w:r>
      </w:hyperlink>
    </w:p>
    <w:p w14:paraId="2A6EB8D0" w14:textId="77777777" w:rsidR="0068277A" w:rsidRPr="000D4740" w:rsidRDefault="0068277A" w:rsidP="00211F4C">
      <w:pPr>
        <w:pStyle w:val="Boxed1Bullet"/>
        <w:numPr>
          <w:ilvl w:val="0"/>
          <w:numId w:val="64"/>
        </w:numPr>
      </w:pPr>
      <w:r>
        <w:fldChar w:fldCharType="begin"/>
      </w:r>
      <w:r>
        <w:instrText xml:space="preserve"> ADDIN EN.CITE &lt;EndNote&gt;&lt;Cite AuthorYear="1"&gt;&lt;Author&gt;FAO&lt;/Author&gt;&lt;Year&gt;2024&lt;/Year&gt;&lt;RecNum&gt;112&lt;/RecNum&gt;&lt;DisplayText&gt;FAO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fldChar w:fldCharType="separate"/>
      </w:r>
      <w:r>
        <w:rPr>
          <w:noProof/>
        </w:rPr>
        <w:t>FAO (2024)</w:t>
      </w:r>
      <w:r>
        <w:fldChar w:fldCharType="end"/>
      </w:r>
      <w:r>
        <w:t xml:space="preserve"> </w:t>
      </w:r>
      <w:r w:rsidRPr="00B172F1">
        <w:rPr>
          <w:i/>
          <w:iCs/>
        </w:rPr>
        <w:t>Review of derivation methods for dietary intake reference values for older infants and young children – FAO request for scientific advice to develop general principles for the establishment of Codex nutrient reference values for older infants and young children.</w:t>
      </w:r>
      <w:r w:rsidRPr="00B172F1">
        <w:t xml:space="preserve"> Food and Agriculture Organization of the United Nations. </w:t>
      </w:r>
      <w:hyperlink r:id="rId89" w:history="1">
        <w:r w:rsidRPr="000163C7">
          <w:rPr>
            <w:rStyle w:val="Hyperlink"/>
            <w:color w:val="006CBC"/>
          </w:rPr>
          <w:t>https://doi.org/10.4060/cb9380en</w:t>
        </w:r>
      </w:hyperlink>
      <w:r>
        <w:t xml:space="preserve"> </w:t>
      </w:r>
    </w:p>
    <w:bookmarkStart w:id="171" w:name="_Toc153967136"/>
    <w:p w14:paraId="2B47F1BB" w14:textId="3FD36428" w:rsidR="00DF1054" w:rsidRPr="00DF1054" w:rsidRDefault="008E386A" w:rsidP="00211F4C">
      <w:pPr>
        <w:pStyle w:val="Boxed1Bullet"/>
        <w:numPr>
          <w:ilvl w:val="0"/>
          <w:numId w:val="64"/>
        </w:numPr>
      </w:pPr>
      <w:r>
        <w:fldChar w:fldCharType="begin"/>
      </w:r>
      <w:r w:rsidR="00B0311B">
        <w:instrText xml:space="preserve"> ADDIN EN.CITE &lt;EndNote&gt;&lt;Cite AuthorYear="1"&gt;&lt;Author&gt;Fairweather-Tait&lt;/Author&gt;&lt;Year&gt;2010&lt;/Year&gt;&lt;RecNum&gt;79&lt;/RecNum&gt;&lt;DisplayText&gt;Fairweather-Tait and Collings (2010)&lt;/DisplayText&gt;&lt;record&gt;&lt;rec-number&gt;79&lt;/rec-number&gt;&lt;foreign-keys&gt;&lt;key app="EN" db-id="zxfaevvrgpsxebez5ec5vspfe2av5dtxt9xx" timestamp="1754957765"&gt;79&lt;/key&gt;&lt;/foreign-keys&gt;&lt;ref-type name="Journal Article"&gt;17&lt;/ref-type&gt;&lt;contributors&gt;&lt;authors&gt;&lt;author&gt;Fairweather-Tait, S. J.&lt;/author&gt;&lt;author&gt;Collings, R.&lt;/author&gt;&lt;/authors&gt;&lt;/contributors&gt;&lt;auth-address&gt;Norwich Medical School, University of East Anglia, Norwich, UK. s.fairweather-tait@uea.ac.uk&lt;/auth-address&gt;&lt;titles&gt;&lt;title&gt;Estimating the bioavailability factors needed for setting dietary reference values&lt;/title&gt;&lt;secondary-title&gt;Int J Vitam Nutr Res&lt;/secondary-title&gt;&lt;alt-title&gt;International journal for vitamin and nutrition research. &lt;/alt-title&gt;&lt;/titles&gt;&lt;periodical&gt;&lt;full-title&gt;Int J Vitam Nutr Res&lt;/full-title&gt;&lt;/periodical&gt;&lt;pages&gt;249-56&lt;/pages&gt;&lt;volume&gt;80&lt;/volume&gt;&lt;number&gt;4-5&lt;/number&gt;&lt;edition&gt;2011/04/05&lt;/edition&gt;&lt;keywords&gt;&lt;keyword&gt;Biological Availability&lt;/keyword&gt;&lt;keyword&gt;Biomarkers/blood&lt;/keyword&gt;&lt;keyword&gt;*Diet&lt;/keyword&gt;&lt;keyword&gt;Humans&lt;/keyword&gt;&lt;keyword&gt;*Intestinal Absorption&lt;/keyword&gt;&lt;keyword&gt;Iron, Dietary/blood&lt;/keyword&gt;&lt;keyword&gt;Micronutrients/*blood&lt;/keyword&gt;&lt;keyword&gt;*Nutrition Policy&lt;/keyword&gt;&lt;keyword&gt;*Nutritional Requirements&lt;/keyword&gt;&lt;keyword&gt;Reference Values&lt;/keyword&gt;&lt;keyword&gt;Zinc/blood&lt;/keyword&gt;&lt;/keywords&gt;&lt;dates&gt;&lt;year&gt;2010&lt;/year&gt;&lt;pub-dates&gt;&lt;date&gt;Oct&lt;/date&gt;&lt;/pub-dates&gt;&lt;/dates&gt;&lt;isbn&gt;0300-9831 (Print)&amp;#xD;0300-9831 (Linking)&lt;/isbn&gt;&lt;accession-num&gt;21462107&lt;/accession-num&gt;&lt;urls&gt;&lt;related-urls&gt;&lt;url&gt;http://www.ncbi.nlm.nih.gov/pubmed/21462107&lt;/url&gt;&lt;/related-urls&gt;&lt;/urls&gt;&lt;electronic-resource-num&gt;10.1024/0300-9831/a000031&lt;/electronic-resource-num&gt;&lt;language&gt;eng&lt;/language&gt;&lt;/record&gt;&lt;/Cite&gt;&lt;/EndNote&gt;</w:instrText>
      </w:r>
      <w:r>
        <w:fldChar w:fldCharType="separate"/>
      </w:r>
      <w:r>
        <w:rPr>
          <w:noProof/>
        </w:rPr>
        <w:t>Fairweather-Tait and Collings (2010)</w:t>
      </w:r>
      <w:r>
        <w:fldChar w:fldCharType="end"/>
      </w:r>
      <w:r>
        <w:t xml:space="preserve"> </w:t>
      </w:r>
      <w:r w:rsidRPr="008E386A">
        <w:t xml:space="preserve">Estimating the bioavailability factors needed for setting dietary reference values. </w:t>
      </w:r>
      <w:r w:rsidRPr="008E386A">
        <w:rPr>
          <w:i/>
          <w:iCs/>
        </w:rPr>
        <w:t xml:space="preserve">Int J </w:t>
      </w:r>
      <w:proofErr w:type="spellStart"/>
      <w:r w:rsidRPr="008E386A">
        <w:rPr>
          <w:i/>
          <w:iCs/>
        </w:rPr>
        <w:t>Vitam</w:t>
      </w:r>
      <w:proofErr w:type="spellEnd"/>
      <w:r w:rsidRPr="008E386A">
        <w:rPr>
          <w:i/>
          <w:iCs/>
        </w:rPr>
        <w:t xml:space="preserve"> </w:t>
      </w:r>
      <w:proofErr w:type="spellStart"/>
      <w:r w:rsidRPr="008E386A">
        <w:rPr>
          <w:i/>
          <w:iCs/>
        </w:rPr>
        <w:t>Nutr</w:t>
      </w:r>
      <w:proofErr w:type="spellEnd"/>
      <w:r w:rsidRPr="008E386A">
        <w:rPr>
          <w:i/>
          <w:iCs/>
        </w:rPr>
        <w:t xml:space="preserve"> Res</w:t>
      </w:r>
      <w:r w:rsidRPr="008E386A">
        <w:t>,</w:t>
      </w:r>
      <w:r w:rsidRPr="008E386A">
        <w:rPr>
          <w:i/>
          <w:iCs/>
        </w:rPr>
        <w:t xml:space="preserve"> 80</w:t>
      </w:r>
      <w:r w:rsidRPr="008E386A">
        <w:t xml:space="preserve">(4-5), 249-256. </w:t>
      </w:r>
      <w:hyperlink r:id="rId90" w:history="1">
        <w:r w:rsidRPr="000163C7">
          <w:rPr>
            <w:rStyle w:val="Hyperlink"/>
            <w:color w:val="006CBC"/>
          </w:rPr>
          <w:t>https://doi.org/10.1024/0300-9831/a000031</w:t>
        </w:r>
      </w:hyperlink>
      <w:r>
        <w:t xml:space="preserve"> </w:t>
      </w:r>
      <w:r w:rsidR="00DF1054">
        <w:t xml:space="preserve"> </w:t>
      </w:r>
    </w:p>
    <w:p w14:paraId="42AC1884" w14:textId="73919FD4" w:rsidR="00921A75" w:rsidRPr="0036545F" w:rsidRDefault="00921A75" w:rsidP="003E2E95">
      <w:pPr>
        <w:pStyle w:val="Heading40"/>
      </w:pPr>
      <w:bookmarkStart w:id="172" w:name="_Toc207801082"/>
      <w:bookmarkStart w:id="173" w:name="_Toc207824559"/>
      <w:r w:rsidRPr="0036545F">
        <w:t>Dose</w:t>
      </w:r>
      <w:r w:rsidR="002B3431" w:rsidRPr="0036545F">
        <w:t xml:space="preserve"> </w:t>
      </w:r>
      <w:r w:rsidRPr="0036545F">
        <w:t>response approach</w:t>
      </w:r>
      <w:bookmarkEnd w:id="171"/>
      <w:bookmarkEnd w:id="172"/>
      <w:bookmarkEnd w:id="173"/>
    </w:p>
    <w:p w14:paraId="0B280BF0" w14:textId="2584E94D" w:rsidR="00B41DCD" w:rsidRDefault="005D186D" w:rsidP="00921A75">
      <w:r>
        <w:t>D</w:t>
      </w:r>
      <w:r w:rsidR="00310FA9" w:rsidRPr="00310FA9">
        <w:t>ose re</w:t>
      </w:r>
      <w:r w:rsidR="003763D0">
        <w:t>s</w:t>
      </w:r>
      <w:r w:rsidR="00310FA9" w:rsidRPr="00310FA9">
        <w:t>po</w:t>
      </w:r>
      <w:r w:rsidR="003763D0">
        <w:t>n</w:t>
      </w:r>
      <w:r w:rsidR="00310FA9" w:rsidRPr="00310FA9">
        <w:t>se testing</w:t>
      </w:r>
      <w:r>
        <w:t xml:space="preserve"> </w:t>
      </w:r>
      <w:r w:rsidR="00D45ED6">
        <w:t xml:space="preserve">can be </w:t>
      </w:r>
      <w:r w:rsidR="000D50C1">
        <w:t>based on</w:t>
      </w:r>
      <w:r w:rsidR="00310FA9" w:rsidRPr="00310FA9">
        <w:t xml:space="preserve"> </w:t>
      </w:r>
      <w:r w:rsidR="003F03A8" w:rsidRPr="00310FA9">
        <w:t xml:space="preserve">data </w:t>
      </w:r>
      <w:r w:rsidR="003660F1">
        <w:t xml:space="preserve">or </w:t>
      </w:r>
      <w:r w:rsidR="00310FA9" w:rsidRPr="00310FA9">
        <w:t>meta</w:t>
      </w:r>
      <w:r w:rsidR="00516336">
        <w:t>-</w:t>
      </w:r>
      <w:r w:rsidR="00310FA9" w:rsidRPr="00310FA9">
        <w:t>analyses from both</w:t>
      </w:r>
      <w:r w:rsidR="0095186B">
        <w:t xml:space="preserve"> </w:t>
      </w:r>
      <w:r w:rsidR="00637481">
        <w:t xml:space="preserve">intervention </w:t>
      </w:r>
      <w:r w:rsidR="00310FA9" w:rsidRPr="00310FA9">
        <w:t xml:space="preserve">trials </w:t>
      </w:r>
      <w:r w:rsidR="00310FA9">
        <w:t>and</w:t>
      </w:r>
      <w:r w:rsidR="00310FA9" w:rsidRPr="00310FA9">
        <w:t xml:space="preserve"> prospective observational studies. </w:t>
      </w:r>
      <w:r w:rsidR="00921A75">
        <w:t>The dose response is based on the prediction of a physiologically relevant outcome (</w:t>
      </w:r>
      <w:r w:rsidR="0063505E" w:rsidRPr="0063505E">
        <w:t>e.g. measurement of an established micronutrient status biomarker; data or meta-analyses from prospective observational studies examining dietary intake; or assessment of clinical disease endpoints in relation to nutrient intake or status</w:t>
      </w:r>
      <w:r w:rsidR="00921A75">
        <w:t>).</w:t>
      </w:r>
      <w:r w:rsidR="0092022F">
        <w:t xml:space="preserve"> </w:t>
      </w:r>
    </w:p>
    <w:p w14:paraId="778F6954" w14:textId="77777777" w:rsidR="00661D38" w:rsidRDefault="00661D38" w:rsidP="00921A75">
      <w:r w:rsidRPr="00661D38">
        <w:t>Estimation of the dose–response relationship requires testing at least two different intake levels. Very high doses—where 100% of the population achieves the target biomarker level—are of limited value, as they do not indicate how much the dose could be reduced while still achieving the same outcome. Conversely, testing a dose that results in only 20–30% of the population reaching repletion may require depletion–repletion studies, which differ physiologically from maintenance studies (where most participants are already replete). For example, iron absorption increases significantly during deficiency compared to repletion; however, only the absorption rate under replete conditions is relevant for estimating the Estimated Average Requirement (EAR).</w:t>
      </w:r>
    </w:p>
    <w:p w14:paraId="1AA34ADD" w14:textId="15AD3A96" w:rsidR="00921A75" w:rsidRDefault="00921A75" w:rsidP="00921A75">
      <w:r>
        <w:t xml:space="preserve">This </w:t>
      </w:r>
      <w:r w:rsidR="002B3431">
        <w:t xml:space="preserve">dose response </w:t>
      </w:r>
      <w:r>
        <w:t xml:space="preserve">approach provides evidence on optimal nutrition in relation to specific health outcomes and endpoints and is usually based on RCTs </w:t>
      </w:r>
      <w:r w:rsidR="0043047B">
        <w:t>(</w:t>
      </w:r>
      <w:r w:rsidR="00A14BC1">
        <w:t>e.g.</w:t>
      </w:r>
      <w:r w:rsidR="006C54D2">
        <w:t xml:space="preserve"> intermediate health outcomes such as</w:t>
      </w:r>
      <w:r w:rsidR="00A14BC1">
        <w:t xml:space="preserve"> </w:t>
      </w:r>
      <w:r w:rsidR="004913A2">
        <w:t>cardiometabolic risk factors) or prospective observational studies (</w:t>
      </w:r>
      <w:r w:rsidR="006C54D2">
        <w:t xml:space="preserve">e.g. </w:t>
      </w:r>
      <w:r w:rsidR="004913A2">
        <w:t xml:space="preserve">disease occurrence and mortality). </w:t>
      </w:r>
      <w:r w:rsidR="004913A2">
        <w:rPr>
          <w:color w:val="000000"/>
          <w:szCs w:val="20"/>
        </w:rPr>
        <w:t>Ecological</w:t>
      </w:r>
      <w:r w:rsidR="00986481">
        <w:rPr>
          <w:color w:val="000000"/>
          <w:szCs w:val="20"/>
        </w:rPr>
        <w:t xml:space="preserve">, </w:t>
      </w:r>
      <w:r w:rsidR="004913A2">
        <w:rPr>
          <w:color w:val="000000"/>
          <w:szCs w:val="20"/>
        </w:rPr>
        <w:t>cross</w:t>
      </w:r>
      <w:r w:rsidR="009E4C86">
        <w:rPr>
          <w:color w:val="000000"/>
          <w:szCs w:val="20"/>
        </w:rPr>
        <w:t>-</w:t>
      </w:r>
      <w:r w:rsidR="004913A2">
        <w:rPr>
          <w:color w:val="000000"/>
          <w:szCs w:val="20"/>
        </w:rPr>
        <w:t>sectional</w:t>
      </w:r>
      <w:r w:rsidR="009E4C86">
        <w:rPr>
          <w:color w:val="000000"/>
          <w:szCs w:val="20"/>
        </w:rPr>
        <w:t xml:space="preserve"> </w:t>
      </w:r>
      <w:r w:rsidR="00986481">
        <w:rPr>
          <w:color w:val="000000"/>
          <w:szCs w:val="20"/>
        </w:rPr>
        <w:t xml:space="preserve">and case-control studies </w:t>
      </w:r>
      <w:r w:rsidR="004913A2">
        <w:rPr>
          <w:color w:val="000000"/>
          <w:szCs w:val="20"/>
        </w:rPr>
        <w:t>are very rarely used due to the bias introduced in their study designs.</w:t>
      </w:r>
    </w:p>
    <w:p w14:paraId="765BCBD8" w14:textId="5120645E" w:rsidR="007E283D" w:rsidRDefault="007E283D" w:rsidP="007E283D">
      <w:r>
        <w:t>The dose</w:t>
      </w:r>
      <w:r w:rsidR="002B3431">
        <w:t xml:space="preserve"> </w:t>
      </w:r>
      <w:r>
        <w:t>response approach evaluates the associations between one or more of the following:</w:t>
      </w:r>
    </w:p>
    <w:p w14:paraId="3AA80A44" w14:textId="2DB47B60" w:rsidR="007E283D" w:rsidRDefault="007E283D" w:rsidP="00211F4C">
      <w:pPr>
        <w:pStyle w:val="ListParagraph"/>
        <w:numPr>
          <w:ilvl w:val="0"/>
          <w:numId w:val="27"/>
        </w:numPr>
      </w:pPr>
      <w:r>
        <w:t>Micronutrient</w:t>
      </w:r>
      <w:r w:rsidR="004913A2">
        <w:t xml:space="preserve"> or macronutrient</w:t>
      </w:r>
      <w:r>
        <w:t xml:space="preserve"> intake and biomarkers of status (typically from RCTs)</w:t>
      </w:r>
    </w:p>
    <w:p w14:paraId="5B9EA2A6" w14:textId="47A557F9" w:rsidR="007E283D" w:rsidRDefault="007E283D" w:rsidP="00211F4C">
      <w:pPr>
        <w:pStyle w:val="ListParagraph"/>
        <w:numPr>
          <w:ilvl w:val="0"/>
          <w:numId w:val="27"/>
        </w:numPr>
      </w:pPr>
      <w:r>
        <w:lastRenderedPageBreak/>
        <w:t xml:space="preserve">Micronutrient </w:t>
      </w:r>
      <w:r w:rsidR="004913A2">
        <w:t xml:space="preserve">or macronutrient </w:t>
      </w:r>
      <w:r>
        <w:t>intake and health outcomes (typically from RCTs and cohort studies)</w:t>
      </w:r>
    </w:p>
    <w:p w14:paraId="6FD2B33D" w14:textId="4A85E875" w:rsidR="007E283D" w:rsidRDefault="007E283D" w:rsidP="00211F4C">
      <w:pPr>
        <w:pStyle w:val="ListParagraph"/>
        <w:numPr>
          <w:ilvl w:val="0"/>
          <w:numId w:val="27"/>
        </w:numPr>
      </w:pPr>
      <w:r>
        <w:t xml:space="preserve">Micronutrient </w:t>
      </w:r>
      <w:r w:rsidR="004913A2">
        <w:t xml:space="preserve">or macronutrient </w:t>
      </w:r>
      <w:r>
        <w:t>status biomarkers and health outcomes (typically from cohort studies).</w:t>
      </w:r>
    </w:p>
    <w:p w14:paraId="431F0201" w14:textId="5625BFFA" w:rsidR="00944FB9" w:rsidRDefault="00921A75" w:rsidP="00921A75">
      <w:r w:rsidRPr="00595B96">
        <w:t>There are a range of suitable approaches for dose-response modelling</w:t>
      </w:r>
      <w:r w:rsidR="00922D99" w:rsidRPr="00595B96">
        <w:t xml:space="preserve"> (e.g. restricted cubic splines or fractional polynomials</w:t>
      </w:r>
      <w:r w:rsidRPr="00595B96">
        <w:t>, depending on the available data and type of relationship being evaluated</w:t>
      </w:r>
      <w:r w:rsidR="00595B96">
        <w:t>)</w:t>
      </w:r>
      <w:r w:rsidRPr="00595B96">
        <w:t>.</w:t>
      </w:r>
      <w:r>
        <w:t xml:space="preserve"> </w:t>
      </w:r>
    </w:p>
    <w:p w14:paraId="77585E3D" w14:textId="77777777" w:rsidR="00921A75" w:rsidRDefault="00921A75" w:rsidP="00921A75">
      <w:pPr>
        <w:pStyle w:val="Boxed1Bullet"/>
        <w:numPr>
          <w:ilvl w:val="0"/>
          <w:numId w:val="0"/>
        </w:numPr>
        <w:ind w:left="284"/>
      </w:pPr>
      <w:r>
        <w:t>Further information about the dose-response approach is provided in:</w:t>
      </w:r>
    </w:p>
    <w:p w14:paraId="142449B1" w14:textId="3B5D3657" w:rsidR="00921A75" w:rsidRDefault="00675CE3" w:rsidP="00211F4C">
      <w:pPr>
        <w:pStyle w:val="Boxed1Bullet"/>
        <w:numPr>
          <w:ilvl w:val="0"/>
          <w:numId w:val="63"/>
        </w:numPr>
      </w:pP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 </w:instrText>
      </w: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EN.CITE.DATA </w:instrText>
      </w:r>
      <w:r>
        <w:fldChar w:fldCharType="end"/>
      </w:r>
      <w:r>
        <w:fldChar w:fldCharType="separate"/>
      </w:r>
      <w:r>
        <w:rPr>
          <w:noProof/>
        </w:rPr>
        <w:t>Dhonukshe-Rutten et al. (2013)</w:t>
      </w:r>
      <w:r>
        <w:fldChar w:fldCharType="end"/>
      </w:r>
      <w:r w:rsidR="00B74DD3" w:rsidRPr="00A566FA">
        <w:t xml:space="preserve"> </w:t>
      </w:r>
      <w:r w:rsidRPr="00675CE3">
        <w:t xml:space="preserve">EURRECA-Evidence-based methodology for deriving micronutrient recommendations. </w:t>
      </w:r>
      <w:r w:rsidRPr="00675CE3">
        <w:rPr>
          <w:i/>
          <w:iCs/>
        </w:rPr>
        <w:t xml:space="preserve">Crit Rev Food Sci </w:t>
      </w:r>
      <w:proofErr w:type="spellStart"/>
      <w:r w:rsidRPr="00675CE3">
        <w:rPr>
          <w:i/>
          <w:iCs/>
        </w:rPr>
        <w:t>Nutr</w:t>
      </w:r>
      <w:proofErr w:type="spellEnd"/>
      <w:r w:rsidRPr="00675CE3">
        <w:t>,</w:t>
      </w:r>
      <w:r w:rsidRPr="00675CE3">
        <w:rPr>
          <w:i/>
          <w:iCs/>
        </w:rPr>
        <w:t xml:space="preserve"> 53</w:t>
      </w:r>
      <w:r w:rsidRPr="00675CE3">
        <w:t xml:space="preserve">(10), 999-1040. </w:t>
      </w:r>
      <w:hyperlink r:id="rId91" w:history="1">
        <w:r w:rsidRPr="000163C7">
          <w:rPr>
            <w:rStyle w:val="Hyperlink"/>
            <w:color w:val="006CBC"/>
          </w:rPr>
          <w:t>https://doi.org/10.1080/10408398.2012.749209</w:t>
        </w:r>
      </w:hyperlink>
      <w:r>
        <w:t xml:space="preserve"> </w:t>
      </w:r>
      <w:r w:rsidR="000D19FC" w:rsidRPr="00B74DD3">
        <w:rPr>
          <w:i/>
          <w:iCs/>
        </w:rPr>
        <w:t xml:space="preserve">- </w:t>
      </w:r>
      <w:r w:rsidR="00921A75">
        <w:t>pp. 1016–1017 and pp 1021–1022</w:t>
      </w:r>
      <w:r w:rsidR="006E33AB">
        <w:t xml:space="preserve"> </w:t>
      </w:r>
    </w:p>
    <w:p w14:paraId="4F2BC4C5" w14:textId="793F49A6" w:rsidR="00921A75" w:rsidRDefault="00675CE3" w:rsidP="00211F4C">
      <w:pPr>
        <w:pStyle w:val="Boxed1Bullet"/>
        <w:numPr>
          <w:ilvl w:val="0"/>
          <w:numId w:val="63"/>
        </w:numPr>
      </w:pPr>
      <w:r>
        <w:fldChar w:fldCharType="begin"/>
      </w:r>
      <w:r>
        <w:instrText xml:space="preserve"> ADDIN EN.CITE &lt;EndNote&gt;&lt;Cite AuthorYear="1"&gt;&lt;Author&gt;NASEM&lt;/Author&gt;&lt;Year&gt;2018&lt;/Year&gt;&lt;RecNum&gt;67&lt;/RecNum&gt;&lt;DisplayText&gt;NASEM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fldChar w:fldCharType="separate"/>
      </w:r>
      <w:r>
        <w:rPr>
          <w:noProof/>
        </w:rPr>
        <w:t>NASEM (2018)</w:t>
      </w:r>
      <w:r>
        <w:fldChar w:fldCharType="end"/>
      </w:r>
      <w:r w:rsidRPr="00FB25EB">
        <w:t> </w:t>
      </w:r>
      <w:r w:rsidRPr="00A10C3F">
        <w:rPr>
          <w:i/>
          <w:iCs/>
        </w:rPr>
        <w:t xml:space="preserve">Harmonization of Approaches to Nutrient Reference Values: Applications to Young Children and Women of Reproductive Age. National Academies Press (US) </w:t>
      </w:r>
      <w:hyperlink r:id="rId92" w:history="1">
        <w:r w:rsidRPr="000163C7">
          <w:rPr>
            <w:rStyle w:val="Hyperlink"/>
            <w:i/>
            <w:iCs/>
            <w:color w:val="006CBC"/>
          </w:rPr>
          <w:t>https://doi.org/10.17226/25148</w:t>
        </w:r>
      </w:hyperlink>
      <w:r w:rsidR="000D19FC">
        <w:t xml:space="preserve"> - </w:t>
      </w:r>
      <w:r w:rsidR="00921A75">
        <w:t>pp. 54-55</w:t>
      </w:r>
    </w:p>
    <w:p w14:paraId="24D78F5E" w14:textId="45E882F2" w:rsidR="002020BC" w:rsidRDefault="00084D3B" w:rsidP="00211F4C">
      <w:pPr>
        <w:pStyle w:val="Boxed1Bullet"/>
        <w:numPr>
          <w:ilvl w:val="0"/>
          <w:numId w:val="63"/>
        </w:numPr>
      </w:pPr>
      <w:r>
        <w:fldChar w:fldCharType="begin"/>
      </w:r>
      <w:r>
        <w:instrText xml:space="preserve"> ADDIN EN.CITE &lt;EndNote&gt;&lt;Cite AuthorYear="1"&gt;&lt;Author&gt;NASEM&lt;/Author&gt;&lt;Year&gt;2017&lt;/Year&gt;&lt;RecNum&gt;43&lt;/RecNum&gt;&lt;DisplayText&gt;NASEM (2017)&lt;/DisplayText&gt;&lt;record&gt;&lt;rec-number&gt;43&lt;/rec-number&gt;&lt;foreign-keys&gt;&lt;key app="EN" db-id="zxfaevvrgpsxebez5ec5vspfe2av5dtxt9xx" timestamp="1754957726"&gt;43&lt;/key&gt;&lt;/foreign-keys&gt;&lt;ref-type name="Book"&gt;6&lt;/ref-type&gt;&lt;contributors&gt;&lt;authors&gt;&lt;author&gt;NASEM,&lt;/author&gt;&lt;/authors&gt;&lt;secondary-authors&gt;&lt;author&gt;Kumanyika, Shiriki&lt;/author&gt;&lt;author&gt;Oria, Maria P.&lt;/author&gt;&lt;/secondary-authors&gt;&lt;/contributors&gt;&lt;titles&gt;&lt;title&gt;Guiding Principles for Developing Dietary Reference Intakes Based on Chronic Disease&lt;/title&gt;&lt;/titles&gt;&lt;pages&gt;334&lt;/pages&gt;&lt;keywords&gt;&lt;keyword&gt;Food and Nutrition&lt;/keyword&gt;&lt;keyword&gt;Health and Medicine&lt;/keyword&gt;&lt;/keywords&gt;&lt;dates&gt;&lt;year&gt;2017&lt;/year&gt;&lt;/dates&gt;&lt;pub-location&gt;Washington, DC&lt;/pub-location&gt;&lt;publisher&gt;The National Academies Press&lt;/publisher&gt;&lt;isbn&gt;978-0-309-46256-3&lt;/isbn&gt;&lt;urls&gt;&lt;related-urls&gt;&lt;url&gt;https://nap.nationalacademies.org/catalog/24828/guiding-principles-for-developing-dietary-reference-intakes-based-on-chronic-disease&lt;/url&gt;&lt;/related-urls&gt;&lt;/urls&gt;&lt;electronic-resource-num&gt;doi:10.17226/24828&lt;/electronic-resource-num&gt;&lt;language&gt;English&lt;/language&gt;&lt;/record&gt;&lt;/Cite&gt;&lt;/EndNote&gt;</w:instrText>
      </w:r>
      <w:r>
        <w:fldChar w:fldCharType="separate"/>
      </w:r>
      <w:r>
        <w:rPr>
          <w:noProof/>
        </w:rPr>
        <w:t>NASEM (2017)</w:t>
      </w:r>
      <w:r>
        <w:fldChar w:fldCharType="end"/>
      </w:r>
      <w:r w:rsidR="00C91260" w:rsidRPr="00C91260">
        <w:t> </w:t>
      </w:r>
      <w:r w:rsidRPr="00084D3B">
        <w:rPr>
          <w:i/>
          <w:iCs/>
        </w:rPr>
        <w:t xml:space="preserve">Guiding Principles for Developing Dietary Reference Intakes Based on Chronic Disease. The National Academies Press. </w:t>
      </w:r>
      <w:hyperlink r:id="rId93" w:history="1">
        <w:r w:rsidRPr="000163C7">
          <w:rPr>
            <w:rStyle w:val="Hyperlink"/>
            <w:i/>
            <w:iCs/>
            <w:color w:val="006CBC"/>
          </w:rPr>
          <w:t>https://doi.org/doi:10.17226/24828</w:t>
        </w:r>
      </w:hyperlink>
      <w:r>
        <w:rPr>
          <w:i/>
          <w:iCs/>
        </w:rPr>
        <w:t xml:space="preserve"> </w:t>
      </w:r>
      <w:r w:rsidR="00F50E44">
        <w:t xml:space="preserve"> </w:t>
      </w:r>
      <w:r w:rsidR="00234C04">
        <w:t>-</w:t>
      </w:r>
      <w:r w:rsidR="00F50E44">
        <w:t xml:space="preserve"> pp. </w:t>
      </w:r>
      <w:r w:rsidR="008C33C6">
        <w:t xml:space="preserve">196 </w:t>
      </w:r>
      <w:r w:rsidR="00742CA4">
        <w:t>–</w:t>
      </w:r>
      <w:r w:rsidR="008C33C6">
        <w:t xml:space="preserve"> </w:t>
      </w:r>
      <w:r w:rsidR="00461C05">
        <w:t>206</w:t>
      </w:r>
    </w:p>
    <w:p w14:paraId="2E6BE478" w14:textId="7EE67E88" w:rsidR="00CC69F2" w:rsidRDefault="0016602A" w:rsidP="00211F4C">
      <w:pPr>
        <w:pStyle w:val="Boxed1Bullet"/>
        <w:numPr>
          <w:ilvl w:val="0"/>
          <w:numId w:val="63"/>
        </w:numPr>
      </w:pPr>
      <w:r>
        <w:fldChar w:fldCharType="begin"/>
      </w:r>
      <w:r w:rsidR="00B0311B">
        <w:instrText xml:space="preserve"> ADDIN EN.CITE &lt;EndNote&gt;&lt;Cite AuthorYear="1"&gt;&lt;Author&gt;Greenland&lt;/Author&gt;&lt;Year&gt;1992&lt;/Year&gt;&lt;RecNum&gt;3&lt;/RecNum&gt;&lt;DisplayText&gt;Greenland and Longnecker (1992)&lt;/DisplayText&gt;&lt;record&gt;&lt;rec-number&gt;3&lt;/rec-number&gt;&lt;foreign-keys&gt;&lt;key app="EN" db-id="zxfaevvrgpsxebez5ec5vspfe2av5dtxt9xx" timestamp="1754957675"&gt;3&lt;/key&gt;&lt;/foreign-keys&gt;&lt;ref-type name="Journal Article"&gt;17&lt;/ref-type&gt;&lt;contributors&gt;&lt;authors&gt;&lt;author&gt;Greenland, Sander&lt;/author&gt;&lt;author&gt;Longnecker, Matthew P&lt;/author&gt;&lt;/authors&gt;&lt;/contributors&gt;&lt;titles&gt;&lt;title&gt;Methods for trend estimation from summarized dose-response data, with applications to meta-analysis&lt;/title&gt;&lt;secondary-title&gt;American journal of epidemiology&lt;/secondary-title&gt;&lt;/titles&gt;&lt;periodical&gt;&lt;full-title&gt;American journal of epidemiology&lt;/full-title&gt;&lt;/periodical&gt;&lt;pages&gt;1301-1309&lt;/pages&gt;&lt;volume&gt;135&lt;/volume&gt;&lt;number&gt;11&lt;/number&gt;&lt;dates&gt;&lt;year&gt;1992&lt;/year&gt;&lt;/dates&gt;&lt;isbn&gt;1476-6256&lt;/isbn&gt;&lt;urls&gt;&lt;/urls&gt;&lt;electronic-resource-num&gt;10.1093/oxfordjournals.aje.a116237&lt;/electronic-resource-num&gt;&lt;/record&gt;&lt;/Cite&gt;&lt;Cite&gt;&lt;Author&gt;Greenland&lt;/Author&gt;&lt;Year&gt;1992&lt;/Year&gt;&lt;RecNum&gt;3&lt;/RecNum&gt;&lt;record&gt;&lt;rec-number&gt;3&lt;/rec-number&gt;&lt;foreign-keys&gt;&lt;key app="EN" db-id="zxfaevvrgpsxebez5ec5vspfe2av5dtxt9xx" timestamp="1754957675"&gt;3&lt;/key&gt;&lt;/foreign-keys&gt;&lt;ref-type name="Journal Article"&gt;17&lt;/ref-type&gt;&lt;contributors&gt;&lt;authors&gt;&lt;author&gt;Greenland, Sander&lt;/author&gt;&lt;author&gt;Longnecker, Matthew P&lt;/author&gt;&lt;/authors&gt;&lt;/contributors&gt;&lt;titles&gt;&lt;title&gt;Methods for trend estimation from summarized dose-response data, with applications to meta-analysis&lt;/title&gt;&lt;secondary-title&gt;American journal of epidemiology&lt;/secondary-title&gt;&lt;/titles&gt;&lt;periodical&gt;&lt;full-title&gt;American journal of epidemiology&lt;/full-title&gt;&lt;/periodical&gt;&lt;pages&gt;1301-1309&lt;/pages&gt;&lt;volume&gt;135&lt;/volume&gt;&lt;number&gt;11&lt;/number&gt;&lt;dates&gt;&lt;year&gt;1992&lt;/year&gt;&lt;/dates&gt;&lt;isbn&gt;1476-6256&lt;/isbn&gt;&lt;urls&gt;&lt;/urls&gt;&lt;electronic-resource-num&gt;10.1093/oxfordjournals.aje.a116237&lt;/electronic-resource-num&gt;&lt;/record&gt;&lt;/Cite&gt;&lt;/EndNote&gt;</w:instrText>
      </w:r>
      <w:r>
        <w:fldChar w:fldCharType="separate"/>
      </w:r>
      <w:r w:rsidR="00355B45">
        <w:rPr>
          <w:noProof/>
        </w:rPr>
        <w:t>Greenland and Longnecker (1992)</w:t>
      </w:r>
      <w:r>
        <w:fldChar w:fldCharType="end"/>
      </w:r>
      <w:r w:rsidR="00CC69F2" w:rsidRPr="00CC69F2">
        <w:t xml:space="preserve"> </w:t>
      </w:r>
      <w:r w:rsidR="005D1EB3" w:rsidRPr="005D1EB3">
        <w:t xml:space="preserve">Methods for trend estimation from summarized dose-response data, with applications to meta-analysis. </w:t>
      </w:r>
      <w:r w:rsidR="005D1EB3" w:rsidRPr="005D1EB3">
        <w:rPr>
          <w:i/>
          <w:iCs/>
        </w:rPr>
        <w:t>American journal of epidemiology</w:t>
      </w:r>
      <w:r w:rsidR="005D1EB3" w:rsidRPr="005D1EB3">
        <w:t>,</w:t>
      </w:r>
      <w:r w:rsidR="005D1EB3" w:rsidRPr="005D1EB3">
        <w:rPr>
          <w:i/>
          <w:iCs/>
        </w:rPr>
        <w:t xml:space="preserve"> 135</w:t>
      </w:r>
      <w:r w:rsidR="005D1EB3" w:rsidRPr="005D1EB3">
        <w:t xml:space="preserve">(11), 1301-1309. </w:t>
      </w:r>
      <w:hyperlink r:id="rId94" w:history="1">
        <w:r w:rsidR="005D1EB3" w:rsidRPr="000163C7">
          <w:rPr>
            <w:rStyle w:val="Hyperlink"/>
            <w:color w:val="006CBC"/>
          </w:rPr>
          <w:t>https://doi.org/10.1093/oxfordjournals.aje.a116237</w:t>
        </w:r>
      </w:hyperlink>
      <w:r w:rsidR="005D1EB3">
        <w:t xml:space="preserve"> </w:t>
      </w:r>
    </w:p>
    <w:p w14:paraId="6CE58706" w14:textId="77777777" w:rsidR="00366AD9" w:rsidRDefault="00366AD9">
      <w:pPr>
        <w:spacing w:line="240" w:lineRule="atLeast"/>
      </w:pPr>
      <w:r>
        <w:rPr>
          <w:noProof/>
        </w:rPr>
        <w:lastRenderedPageBreak/>
        <mc:AlternateContent>
          <mc:Choice Requires="wpg">
            <w:drawing>
              <wp:inline distT="0" distB="0" distL="0" distR="0" wp14:anchorId="0EF1ED5A" wp14:editId="7AC09E0D">
                <wp:extent cx="6106064" cy="4667250"/>
                <wp:effectExtent l="0" t="0" r="0" b="19050"/>
                <wp:docPr id="915011421" name="Group 47" descr="Flowchart showing parallel pathways for factorial and dose-response approaches to deriving NRVs. The factorial approach follows three steps to calculate required intake, while the dose-response uses health outcomes, biomarkers and intake measurements to determined required intake. Both pathways converge at scaling for age and sex based on body size, leading to proposed EAR and RDI values, then final NRV recommendations.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064" cy="4667250"/>
                          <a:chOff x="0" y="0"/>
                          <a:chExt cx="6783129" cy="5365018"/>
                        </a:xfrm>
                      </wpg:grpSpPr>
                      <wpg:grpSp>
                        <wpg:cNvPr id="814387009" name="Group 2"/>
                        <wpg:cNvGrpSpPr/>
                        <wpg:grpSpPr>
                          <a:xfrm>
                            <a:off x="0" y="0"/>
                            <a:ext cx="6783129" cy="5365018"/>
                            <a:chOff x="0" y="0"/>
                            <a:chExt cx="6783129" cy="5365018"/>
                          </a:xfrm>
                        </wpg:grpSpPr>
                        <wpg:grpSp>
                          <wpg:cNvPr id="245720917" name="Group 82"/>
                          <wpg:cNvGrpSpPr/>
                          <wpg:grpSpPr>
                            <a:xfrm>
                              <a:off x="0" y="0"/>
                              <a:ext cx="6783129" cy="5365018"/>
                              <a:chOff x="0" y="0"/>
                              <a:chExt cx="6783129" cy="5365018"/>
                            </a:xfrm>
                          </wpg:grpSpPr>
                          <wps:wsp>
                            <wps:cNvPr id="1075640855" name="Straight Arrow Connector 66"/>
                            <wps:cNvCnPr/>
                            <wps:spPr>
                              <a:xfrm>
                                <a:off x="4399040" y="1354570"/>
                                <a:ext cx="0" cy="273059"/>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wpg:grpSp>
                            <wpg:cNvPr id="267012650" name="Group 81"/>
                            <wpg:cNvGrpSpPr/>
                            <wpg:grpSpPr>
                              <a:xfrm>
                                <a:off x="0" y="0"/>
                                <a:ext cx="6783129" cy="5365018"/>
                                <a:chOff x="0" y="0"/>
                                <a:chExt cx="6783129" cy="5365018"/>
                              </a:xfrm>
                            </wpg:grpSpPr>
                            <wps:wsp>
                              <wps:cNvPr id="103667020" name="Straight Arrow Connector 68"/>
                              <wps:cNvCnPr/>
                              <wps:spPr>
                                <a:xfrm>
                                  <a:off x="4405859" y="1926846"/>
                                  <a:ext cx="0" cy="273059"/>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wpg:grpSp>
                              <wpg:cNvPr id="1609546071" name="Group 80"/>
                              <wpg:cNvGrpSpPr/>
                              <wpg:grpSpPr>
                                <a:xfrm>
                                  <a:off x="0" y="0"/>
                                  <a:ext cx="6783129" cy="5365018"/>
                                  <a:chOff x="0" y="0"/>
                                  <a:chExt cx="6783129" cy="5365018"/>
                                </a:xfrm>
                              </wpg:grpSpPr>
                              <wpg:grpSp>
                                <wpg:cNvPr id="35600418" name="Group 64"/>
                                <wpg:cNvGrpSpPr/>
                                <wpg:grpSpPr>
                                  <a:xfrm>
                                    <a:off x="0" y="0"/>
                                    <a:ext cx="5809342" cy="5365018"/>
                                    <a:chOff x="-30" y="0"/>
                                    <a:chExt cx="5810157" cy="5365190"/>
                                  </a:xfrm>
                                </wpg:grpSpPr>
                                <wpg:grpSp>
                                  <wpg:cNvPr id="930685907" name="Group 26"/>
                                  <wpg:cNvGrpSpPr/>
                                  <wpg:grpSpPr>
                                    <a:xfrm>
                                      <a:off x="-30" y="0"/>
                                      <a:ext cx="5810157" cy="5365190"/>
                                      <a:chOff x="-30" y="0"/>
                                      <a:chExt cx="5810157" cy="5365190"/>
                                    </a:xfrm>
                                  </wpg:grpSpPr>
                                  <wpg:grpSp>
                                    <wpg:cNvPr id="277149888" name="Group 20"/>
                                    <wpg:cNvGrpSpPr/>
                                    <wpg:grpSpPr>
                                      <a:xfrm>
                                        <a:off x="-30" y="0"/>
                                        <a:ext cx="2637244" cy="2962799"/>
                                        <a:chOff x="-30" y="0"/>
                                        <a:chExt cx="2637244" cy="2962799"/>
                                      </a:xfrm>
                                    </wpg:grpSpPr>
                                    <wps:wsp>
                                      <wps:cNvPr id="175718567" name="Rectangle 11"/>
                                      <wps:cNvSpPr/>
                                      <wps:spPr>
                                        <a:xfrm>
                                          <a:off x="2538" y="2168735"/>
                                          <a:ext cx="2584074" cy="445077"/>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F1C50A2" w14:textId="77777777" w:rsidR="001C1E9A" w:rsidRPr="00853E77" w:rsidRDefault="001C1E9A" w:rsidP="001C1E9A">
                                            <w:pPr>
                                              <w:spacing w:before="0" w:after="0" w:line="240" w:lineRule="auto"/>
                                              <w:jc w:val="center"/>
                                              <w:rPr>
                                                <w:color w:val="FFFFFF" w:themeColor="background1"/>
                                                <w:sz w:val="18"/>
                                              </w:rPr>
                                            </w:pPr>
                                            <w:r w:rsidRPr="00853E77">
                                              <w:rPr>
                                                <w:color w:val="FFFFFF" w:themeColor="background1"/>
                                                <w:sz w:val="18"/>
                                              </w:rPr>
                                              <w:t>Required intake = needs / bioavailability factor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8631830" name="Rectangle 12"/>
                                      <wps:cNvSpPr/>
                                      <wps:spPr>
                                        <a:xfrm>
                                          <a:off x="10631" y="0"/>
                                          <a:ext cx="2626583" cy="315599"/>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C4E5435" w14:textId="77777777" w:rsidR="001C1E9A" w:rsidRPr="00853E77" w:rsidRDefault="001C1E9A" w:rsidP="001C1E9A">
                                            <w:pPr>
                                              <w:spacing w:before="0" w:after="0" w:line="240" w:lineRule="auto"/>
                                              <w:jc w:val="center"/>
                                              <w:rPr>
                                                <w:b/>
                                                <w:bCs/>
                                                <w:color w:val="FFFFFF" w:themeColor="background1"/>
                                                <w:sz w:val="18"/>
                                              </w:rPr>
                                            </w:pPr>
                                            <w:r>
                                              <w:rPr>
                                                <w:b/>
                                                <w:bCs/>
                                                <w:color w:val="FFFFFF" w:themeColor="background1"/>
                                                <w:sz w:val="18"/>
                                              </w:rPr>
                                              <w:t>FACTORIAL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20935" name="Straight Connector 25"/>
                                      <wps:cNvCnPr/>
                                      <wps:spPr>
                                        <a:xfrm>
                                          <a:off x="1341030" y="1797818"/>
                                          <a:ext cx="0" cy="372219"/>
                                        </a:xfrm>
                                        <a:prstGeom prst="line">
                                          <a:avLst/>
                                        </a:prstGeom>
                                        <a:ln w="9525" cap="flat" cmpd="sng" algn="ctr">
                                          <a:solidFill>
                                            <a:schemeClr val="accent2"/>
                                          </a:solidFill>
                                          <a:prstDash val="solid"/>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wps:wsp>
                                      <wps:cNvPr id="1826942058" name="Straight Connector 36"/>
                                      <wps:cNvCnPr/>
                                      <wps:spPr>
                                        <a:xfrm>
                                          <a:off x="1364321" y="2623042"/>
                                          <a:ext cx="0" cy="339757"/>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697391698" name="Rectangle 7"/>
                                      <wps:cNvSpPr/>
                                      <wps:spPr>
                                        <a:xfrm>
                                          <a:off x="-30" y="1424120"/>
                                          <a:ext cx="2615814" cy="42901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4014ABF" w14:textId="77777777" w:rsidR="001C1E9A" w:rsidRPr="00853E77" w:rsidRDefault="001C1E9A" w:rsidP="001C1E9A">
                                            <w:pPr>
                                              <w:spacing w:before="0" w:after="0" w:line="240" w:lineRule="auto"/>
                                              <w:jc w:val="center"/>
                                              <w:rPr>
                                                <w:color w:val="FFFFFF" w:themeColor="background1"/>
                                                <w:sz w:val="18"/>
                                              </w:rPr>
                                            </w:pPr>
                                            <w:r w:rsidRPr="00853E77">
                                              <w:rPr>
                                                <w:color w:val="FFFFFF" w:themeColor="background1"/>
                                                <w:sz w:val="18"/>
                                              </w:rPr>
                                              <w:t>Identify bioavailability factor to account for fractional absorption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299979" name="Rectangle 6"/>
                                      <wps:cNvSpPr/>
                                      <wps:spPr>
                                        <a:xfrm>
                                          <a:off x="1" y="505920"/>
                                          <a:ext cx="2615783" cy="618909"/>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771EAE94" w14:textId="77777777" w:rsidR="001C1E9A" w:rsidRPr="00853E77" w:rsidRDefault="001C1E9A" w:rsidP="001C1E9A">
                                            <w:pPr>
                                              <w:spacing w:before="0" w:after="0" w:line="240" w:lineRule="auto"/>
                                              <w:jc w:val="center"/>
                                              <w:rPr>
                                                <w:color w:val="FFFFFF" w:themeColor="background1"/>
                                                <w:sz w:val="18"/>
                                              </w:rPr>
                                            </w:pPr>
                                            <w:r w:rsidRPr="00853E77">
                                              <w:rPr>
                                                <w:color w:val="FFFFFF" w:themeColor="background1"/>
                                                <w:sz w:val="18"/>
                                              </w:rPr>
                                              <w:t>Identify needs for maintenance of stores, compensation of losses and needs for growth and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76722397" name="Group 51"/>
                                    <wpg:cNvGrpSpPr/>
                                    <wpg:grpSpPr>
                                      <a:xfrm>
                                        <a:off x="1837561" y="1"/>
                                        <a:ext cx="3972566" cy="5365189"/>
                                        <a:chOff x="-23141" y="-31898"/>
                                        <a:chExt cx="3973208" cy="5365405"/>
                                      </a:xfrm>
                                    </wpg:grpSpPr>
                                    <wpg:grpSp>
                                      <wpg:cNvPr id="1556873745" name="Group 50"/>
                                      <wpg:cNvGrpSpPr/>
                                      <wpg:grpSpPr>
                                        <a:xfrm>
                                          <a:off x="1520492" y="-31898"/>
                                          <a:ext cx="2429575" cy="1917348"/>
                                          <a:chOff x="164" y="-31898"/>
                                          <a:chExt cx="2429575" cy="1917348"/>
                                        </a:xfrm>
                                      </wpg:grpSpPr>
                                      <wps:wsp>
                                        <wps:cNvPr id="29129704" name="Rectangle 14"/>
                                        <wps:cNvSpPr/>
                                        <wps:spPr>
                                          <a:xfrm>
                                            <a:off x="10641" y="-31898"/>
                                            <a:ext cx="2270637" cy="331796"/>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134610F" w14:textId="77777777" w:rsidR="001C1E9A" w:rsidRPr="00853E77" w:rsidRDefault="001C1E9A" w:rsidP="001C1E9A">
                                              <w:pPr>
                                                <w:spacing w:before="0" w:after="0" w:line="240" w:lineRule="auto"/>
                                                <w:jc w:val="center"/>
                                                <w:rPr>
                                                  <w:b/>
                                                  <w:bCs/>
                                                  <w:sz w:val="18"/>
                                                </w:rPr>
                                              </w:pPr>
                                              <w:r>
                                                <w:rPr>
                                                  <w:b/>
                                                  <w:bCs/>
                                                  <w:sz w:val="18"/>
                                                </w:rPr>
                                                <w:t>DOSE RESPONSE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0123959" name="Rectangle 21"/>
                                        <wps:cNvSpPr/>
                                        <wps:spPr>
                                          <a:xfrm>
                                            <a:off x="193" y="1595848"/>
                                            <a:ext cx="2101557" cy="289602"/>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17C5B50" w14:textId="77777777" w:rsidR="001C1E9A" w:rsidRPr="00853E77" w:rsidRDefault="001C1E9A" w:rsidP="001C1E9A">
                                              <w:pPr>
                                                <w:spacing w:before="0" w:after="0" w:line="240" w:lineRule="auto"/>
                                                <w:jc w:val="center"/>
                                                <w:rPr>
                                                  <w:sz w:val="18"/>
                                                </w:rPr>
                                              </w:pPr>
                                              <w:r w:rsidRPr="00853E77">
                                                <w:rPr>
                                                  <w:sz w:val="18"/>
                                                </w:rPr>
                                                <w:t>Intake as measured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3515597" name="Rectangle 23"/>
                                        <wps:cNvSpPr/>
                                        <wps:spPr>
                                          <a:xfrm>
                                            <a:off x="193" y="1049623"/>
                                            <a:ext cx="2101557" cy="26487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6AC7BDE3" w14:textId="77777777" w:rsidR="001C1E9A" w:rsidRPr="00853E77" w:rsidRDefault="001C1E9A" w:rsidP="001C1E9A">
                                              <w:pPr>
                                                <w:spacing w:before="0" w:after="0" w:line="240" w:lineRule="auto"/>
                                                <w:jc w:val="center"/>
                                                <w:rPr>
                                                  <w:sz w:val="18"/>
                                                </w:rPr>
                                              </w:pPr>
                                              <w:r w:rsidRPr="00853E77">
                                                <w:rPr>
                                                  <w:sz w:val="18"/>
                                                </w:rPr>
                                                <w:t>Status biomarker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3253144" name="Straight Arrow Connector 27"/>
                                        <wps:cNvCnPr/>
                                        <wps:spPr>
                                          <a:xfrm>
                                            <a:off x="1017302" y="768455"/>
                                            <a:ext cx="0" cy="273076"/>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wpg:grpSp>
                                        <wpg:cNvPr id="229947992" name="Group 35"/>
                                        <wpg:cNvGrpSpPr/>
                                        <wpg:grpSpPr>
                                          <a:xfrm>
                                            <a:off x="2085559" y="604529"/>
                                            <a:ext cx="344180" cy="1081832"/>
                                            <a:chOff x="-1" y="365990"/>
                                            <a:chExt cx="344180" cy="1081832"/>
                                          </a:xfrm>
                                        </wpg:grpSpPr>
                                        <wps:wsp>
                                          <wps:cNvPr id="923064810" name="Straight Arrow Connector 32"/>
                                          <wps:cNvCnPr/>
                                          <wps:spPr>
                                            <a:xfrm flipH="1">
                                              <a:off x="16189" y="1447822"/>
                                              <a:ext cx="327990" cy="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wps:wsp>
                                          <wps:cNvPr id="81674243" name="Straight Connector 34"/>
                                          <wps:cNvCnPr/>
                                          <wps:spPr>
                                            <a:xfrm>
                                              <a:off x="-1" y="365990"/>
                                              <a:ext cx="338123" cy="0"/>
                                            </a:xfrm>
                                            <a:prstGeom prst="line">
                                              <a:avLst/>
                                            </a:prstGeom>
                                          </wps:spPr>
                                          <wps:style>
                                            <a:lnRef idx="1">
                                              <a:schemeClr val="accent3"/>
                                            </a:lnRef>
                                            <a:fillRef idx="0">
                                              <a:schemeClr val="accent3"/>
                                            </a:fillRef>
                                            <a:effectRef idx="0">
                                              <a:schemeClr val="accent3"/>
                                            </a:effectRef>
                                            <a:fontRef idx="minor">
                                              <a:schemeClr val="tx1"/>
                                            </a:fontRef>
                                          </wps:style>
                                          <wps:bodyPr/>
                                        </wps:wsp>
                                      </wpg:grpSp>
                                      <wps:wsp>
                                        <wps:cNvPr id="268763239" name="Rectangle 22"/>
                                        <wps:cNvSpPr/>
                                        <wps:spPr>
                                          <a:xfrm>
                                            <a:off x="164" y="487593"/>
                                            <a:ext cx="2101586" cy="27358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0BCCA5A7" w14:textId="77777777" w:rsidR="001C1E9A" w:rsidRPr="00853E77" w:rsidRDefault="001C1E9A" w:rsidP="001C1E9A">
                                              <w:pPr>
                                                <w:spacing w:before="0" w:after="0" w:line="240" w:lineRule="auto"/>
                                                <w:jc w:val="center"/>
                                                <w:rPr>
                                                  <w:sz w:val="18"/>
                                                </w:rPr>
                                              </w:pPr>
                                              <w:r w:rsidRPr="00853E77">
                                                <w:rPr>
                                                  <w:sz w:val="18"/>
                                                </w:rPr>
                                                <w:t>Health or functional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4916568" name="Straight Connector 37"/>
                                      <wps:cNvCnPr/>
                                      <wps:spPr>
                                        <a:xfrm>
                                          <a:off x="2544982" y="2579273"/>
                                          <a:ext cx="0" cy="351122"/>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1984681712" name="Straight Connector 39"/>
                                      <wps:cNvCnPr/>
                                      <wps:spPr>
                                        <a:xfrm flipH="1" flipV="1">
                                          <a:off x="1244991" y="2930881"/>
                                          <a:ext cx="1301253" cy="138"/>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1011559506" name="Rectangle 40"/>
                                      <wps:cNvSpPr/>
                                      <wps:spPr>
                                        <a:xfrm>
                                          <a:off x="-12240" y="3321639"/>
                                          <a:ext cx="2602836" cy="5875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FBB8A1" w14:textId="77777777" w:rsidR="001C1E9A" w:rsidRPr="00853E77" w:rsidRDefault="001C1E9A" w:rsidP="001C1E9A">
                                            <w:pPr>
                                              <w:spacing w:before="0" w:after="0" w:line="240" w:lineRule="auto"/>
                                              <w:jc w:val="center"/>
                                              <w:rPr>
                                                <w:sz w:val="18"/>
                                              </w:rPr>
                                            </w:pPr>
                                            <w:r w:rsidRPr="00853E77">
                                              <w:rPr>
                                                <w:sz w:val="18"/>
                                              </w:rPr>
                                              <w:t>Scaling for age and sex, based on body size (growth curves) and energy intake (physical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6487908" name="Straight Arrow Connector 42"/>
                                      <wps:cNvCnPr/>
                                      <wps:spPr>
                                        <a:xfrm>
                                          <a:off x="1233056" y="2930881"/>
                                          <a:ext cx="0" cy="37768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12275197" name="Rectangle 44"/>
                                      <wps:cNvSpPr/>
                                      <wps:spPr>
                                        <a:xfrm>
                                          <a:off x="-23141" y="5022873"/>
                                          <a:ext cx="2613705" cy="31063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E6E4D7" w14:textId="77777777" w:rsidR="001C1E9A" w:rsidRPr="00853E77" w:rsidRDefault="001C1E9A" w:rsidP="001C1E9A">
                                            <w:pPr>
                                              <w:spacing w:before="0" w:after="0" w:line="240" w:lineRule="auto"/>
                                              <w:jc w:val="center"/>
                                              <w:rPr>
                                                <w:sz w:val="18"/>
                                              </w:rPr>
                                            </w:pPr>
                                            <w:r w:rsidRPr="00853E77">
                                              <w:rPr>
                                                <w:sz w:val="18"/>
                                              </w:rPr>
                                              <w:t>Final NRV Recommendations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203192" name="Straight Arrow Connector 46"/>
                                      <wps:cNvCnPr/>
                                      <wps:spPr>
                                        <a:xfrm>
                                          <a:off x="1244991" y="3927162"/>
                                          <a:ext cx="0" cy="2782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42442075" name="Straight Arrow Connector 49"/>
                                      <wps:cNvCnPr/>
                                      <wps:spPr>
                                        <a:xfrm>
                                          <a:off x="1261179" y="4629591"/>
                                          <a:ext cx="0" cy="3771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59357658" name="Rectangle 43"/>
                                      <wps:cNvSpPr/>
                                      <wps:spPr>
                                        <a:xfrm>
                                          <a:off x="-12404" y="4205459"/>
                                          <a:ext cx="2602984" cy="48064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E5B23F" w14:textId="77777777" w:rsidR="001C1E9A" w:rsidRPr="00853E77" w:rsidRDefault="001C1E9A" w:rsidP="001C1E9A">
                                            <w:pPr>
                                              <w:spacing w:before="0" w:after="0" w:line="240" w:lineRule="auto"/>
                                              <w:jc w:val="center"/>
                                              <w:rPr>
                                                <w:sz w:val="18"/>
                                              </w:rPr>
                                            </w:pPr>
                                            <w:r w:rsidRPr="00853E77">
                                              <w:rPr>
                                                <w:sz w:val="18"/>
                                              </w:rPr>
                                              <w:t>Derive proposed NRVs: EAR &amp; RDI, specific for age, sex, life cycle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0344552" name="Text Box 2"/>
                                      <wps:cNvSpPr txBox="1">
                                        <a:spLocks noChangeArrowheads="1"/>
                                      </wps:cNvSpPr>
                                      <wps:spPr bwMode="auto">
                                        <a:xfrm>
                                          <a:off x="210581" y="4538917"/>
                                          <a:ext cx="2496819" cy="514965"/>
                                        </a:xfrm>
                                        <a:prstGeom prst="rect">
                                          <a:avLst/>
                                        </a:prstGeom>
                                        <a:noFill/>
                                        <a:ln w="9525">
                                          <a:noFill/>
                                          <a:miter lim="800000"/>
                                          <a:headEnd/>
                                          <a:tailEnd/>
                                        </a:ln>
                                      </wps:spPr>
                                      <wps:txbx>
                                        <w:txbxContent>
                                          <w:p w14:paraId="509D64E4" w14:textId="6A60A78A" w:rsidR="001C1E9A" w:rsidRPr="00853E77" w:rsidRDefault="001C1E9A" w:rsidP="001C1E9A">
                                            <w:pPr>
                                              <w:rPr>
                                                <w:color w:val="004663" w:themeColor="accent2" w:themeShade="BF"/>
                                                <w:sz w:val="18"/>
                                              </w:rPr>
                                            </w:pPr>
                                            <w:r w:rsidRPr="00853E77">
                                              <w:rPr>
                                                <w:color w:val="004663" w:themeColor="accent2" w:themeShade="BF"/>
                                                <w:sz w:val="18"/>
                                              </w:rPr>
                                              <w:t>GRADE Evidence</w:t>
                                            </w:r>
                                            <w:r w:rsidR="005A2C61">
                                              <w:rPr>
                                                <w:color w:val="004663" w:themeColor="accent2" w:themeShade="BF"/>
                                                <w:sz w:val="18"/>
                                              </w:rPr>
                                              <w:t xml:space="preserve"> </w:t>
                                            </w:r>
                                            <w:r w:rsidRPr="00853E77">
                                              <w:rPr>
                                                <w:color w:val="004663" w:themeColor="accent2" w:themeShade="BF"/>
                                                <w:sz w:val="18"/>
                                              </w:rPr>
                                              <w:t>to Decision</w:t>
                                            </w:r>
                                          </w:p>
                                        </w:txbxContent>
                                      </wps:txbx>
                                      <wps:bodyPr rot="0" vert="horz" wrap="square" lIns="91440" tIns="45720" rIns="91440" bIns="45720" anchor="t" anchorCtr="0">
                                        <a:noAutofit/>
                                      </wps:bodyPr>
                                    </wps:wsp>
                                  </wpg:grpSp>
                                </wpg:grpSp>
                                <wps:wsp>
                                  <wps:cNvPr id="1648820163" name="Straight Connector 52"/>
                                  <wps:cNvCnPr/>
                                  <wps:spPr>
                                    <a:xfrm flipV="1">
                                      <a:off x="1364236" y="2962041"/>
                                      <a:ext cx="1738676" cy="758"/>
                                    </a:xfrm>
                                    <a:prstGeom prst="line">
                                      <a:avLst/>
                                    </a:prstGeom>
                                  </wps:spPr>
                                  <wps:style>
                                    <a:lnRef idx="1">
                                      <a:schemeClr val="accent2"/>
                                    </a:lnRef>
                                    <a:fillRef idx="0">
                                      <a:schemeClr val="accent2"/>
                                    </a:fillRef>
                                    <a:effectRef idx="0">
                                      <a:schemeClr val="accent2"/>
                                    </a:effectRef>
                                    <a:fontRef idx="minor">
                                      <a:schemeClr val="tx1"/>
                                    </a:fontRef>
                                  </wps:style>
                                  <wps:bodyPr/>
                                </wps:wsp>
                              </wpg:grpSp>
                              <wps:wsp>
                                <wps:cNvPr id="39971665" name="Rectangle 67"/>
                                <wps:cNvSpPr/>
                                <wps:spPr>
                                  <a:xfrm>
                                    <a:off x="3383087" y="2208374"/>
                                    <a:ext cx="2076450" cy="462086"/>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69F3DFD2" w14:textId="77777777" w:rsidR="001C1E9A" w:rsidRPr="00853E77" w:rsidRDefault="001C1E9A" w:rsidP="001C1E9A">
                                      <w:pPr>
                                        <w:spacing w:before="0" w:after="0" w:line="240" w:lineRule="auto"/>
                                        <w:jc w:val="center"/>
                                        <w:rPr>
                                          <w:sz w:val="18"/>
                                        </w:rPr>
                                      </w:pPr>
                                      <w:r w:rsidRPr="00853E77">
                                        <w:rPr>
                                          <w:sz w:val="18"/>
                                        </w:rPr>
                                        <w:t>Required intake = integrated I-S-H dose-response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92783435" name="Group 79"/>
                                <wpg:cNvGrpSpPr/>
                                <wpg:grpSpPr>
                                  <a:xfrm>
                                    <a:off x="4450430" y="635887"/>
                                    <a:ext cx="2332699" cy="1068615"/>
                                    <a:chOff x="48551" y="-533695"/>
                                    <a:chExt cx="2332699" cy="1068615"/>
                                  </a:xfrm>
                                </wpg:grpSpPr>
                                <wps:wsp>
                                  <wps:cNvPr id="414979354" name="Text Box 2"/>
                                  <wps:cNvSpPr txBox="1">
                                    <a:spLocks noChangeArrowheads="1"/>
                                  </wps:cNvSpPr>
                                  <wps:spPr bwMode="auto">
                                    <a:xfrm>
                                      <a:off x="48551" y="67560"/>
                                      <a:ext cx="2094230" cy="467360"/>
                                    </a:xfrm>
                                    <a:prstGeom prst="rect">
                                      <a:avLst/>
                                    </a:prstGeom>
                                    <a:noFill/>
                                    <a:ln w="9525">
                                      <a:noFill/>
                                      <a:miter lim="800000"/>
                                      <a:headEnd/>
                                      <a:tailEnd/>
                                    </a:ln>
                                  </wps:spPr>
                                  <wps:txbx>
                                    <w:txbxContent>
                                      <w:p w14:paraId="2C159D6B" w14:textId="77777777" w:rsidR="001C1E9A" w:rsidRPr="00853E77" w:rsidRDefault="001C1E9A" w:rsidP="001C1E9A">
                                        <w:pPr>
                                          <w:rPr>
                                            <w:i/>
                                            <w:iCs/>
                                            <w:color w:val="3C7C74" w:themeColor="accent3" w:themeShade="80"/>
                                            <w:sz w:val="18"/>
                                          </w:rPr>
                                        </w:pPr>
                                        <w:r w:rsidRPr="00853E77">
                                          <w:rPr>
                                            <w:i/>
                                            <w:iCs/>
                                            <w:color w:val="3C7C74" w:themeColor="accent3" w:themeShade="80"/>
                                            <w:sz w:val="18"/>
                                          </w:rPr>
                                          <w:t>I-S relationship</w:t>
                                        </w:r>
                                      </w:p>
                                    </w:txbxContent>
                                  </wps:txbx>
                                  <wps:bodyPr rot="0" vert="horz" wrap="square" lIns="91440" tIns="45720" rIns="91440" bIns="45720" anchor="t" anchorCtr="0">
                                    <a:noAutofit/>
                                  </wps:bodyPr>
                                </wps:wsp>
                                <wps:wsp>
                                  <wps:cNvPr id="434745097" name="Text Box 2"/>
                                  <wps:cNvSpPr txBox="1">
                                    <a:spLocks noChangeArrowheads="1"/>
                                  </wps:cNvSpPr>
                                  <wps:spPr bwMode="auto">
                                    <a:xfrm>
                                      <a:off x="1371600" y="-393842"/>
                                      <a:ext cx="1009650" cy="648335"/>
                                    </a:xfrm>
                                    <a:prstGeom prst="rect">
                                      <a:avLst/>
                                    </a:prstGeom>
                                    <a:noFill/>
                                    <a:ln w="9525">
                                      <a:noFill/>
                                      <a:miter lim="800000"/>
                                      <a:headEnd/>
                                      <a:tailEnd/>
                                    </a:ln>
                                  </wps:spPr>
                                  <wps:txbx>
                                    <w:txbxContent>
                                      <w:p w14:paraId="5444EAA9" w14:textId="77777777" w:rsidR="001C1E9A" w:rsidRPr="00853E77" w:rsidRDefault="001C1E9A" w:rsidP="001C1E9A">
                                        <w:pPr>
                                          <w:rPr>
                                            <w:i/>
                                            <w:iCs/>
                                            <w:color w:val="3C7C74" w:themeColor="accent3" w:themeShade="80"/>
                                            <w:sz w:val="18"/>
                                          </w:rPr>
                                        </w:pPr>
                                        <w:r w:rsidRPr="00853E77">
                                          <w:rPr>
                                            <w:i/>
                                            <w:iCs/>
                                            <w:color w:val="3C7C74" w:themeColor="accent3" w:themeShade="80"/>
                                            <w:sz w:val="18"/>
                                          </w:rPr>
                                          <w:t>I-H relationship</w:t>
                                        </w:r>
                                      </w:p>
                                    </w:txbxContent>
                                  </wps:txbx>
                                  <wps:bodyPr rot="0" vert="horz" wrap="square" lIns="91440" tIns="45720" rIns="91440" bIns="45720" anchor="t" anchorCtr="0">
                                    <a:noAutofit/>
                                  </wps:bodyPr>
                                </wps:wsp>
                                <wps:wsp>
                                  <wps:cNvPr id="501234184" name="Text Box 2"/>
                                  <wps:cNvSpPr txBox="1">
                                    <a:spLocks noChangeArrowheads="1"/>
                                  </wps:cNvSpPr>
                                  <wps:spPr bwMode="auto">
                                    <a:xfrm>
                                      <a:off x="48551" y="-533695"/>
                                      <a:ext cx="2094230" cy="488906"/>
                                    </a:xfrm>
                                    <a:prstGeom prst="rect">
                                      <a:avLst/>
                                    </a:prstGeom>
                                    <a:noFill/>
                                    <a:ln w="9525">
                                      <a:noFill/>
                                      <a:miter lim="800000"/>
                                      <a:headEnd/>
                                      <a:tailEnd/>
                                    </a:ln>
                                  </wps:spPr>
                                  <wps:txbx>
                                    <w:txbxContent>
                                      <w:p w14:paraId="4BDE5953" w14:textId="77777777" w:rsidR="001C1E9A" w:rsidRPr="00853E77" w:rsidRDefault="001C1E9A" w:rsidP="001C1E9A">
                                        <w:pPr>
                                          <w:rPr>
                                            <w:i/>
                                            <w:iCs/>
                                            <w:color w:val="3C7C74" w:themeColor="accent3" w:themeShade="80"/>
                                            <w:sz w:val="18"/>
                                          </w:rPr>
                                        </w:pPr>
                                        <w:r w:rsidRPr="00853E77">
                                          <w:rPr>
                                            <w:i/>
                                            <w:iCs/>
                                            <w:color w:val="3C7C74" w:themeColor="accent3" w:themeShade="80"/>
                                            <w:sz w:val="18"/>
                                          </w:rPr>
                                          <w:t>H-S relationship</w:t>
                                        </w:r>
                                      </w:p>
                                    </w:txbxContent>
                                  </wps:txbx>
                                  <wps:bodyPr rot="0" vert="horz" wrap="square" lIns="91440" tIns="45720" rIns="91440" bIns="45720" anchor="t" anchorCtr="0">
                                    <a:noAutofit/>
                                  </wps:bodyPr>
                                </wps:wsp>
                              </wpg:grpSp>
                            </wpg:grpSp>
                          </wpg:grpSp>
                        </wpg:grpSp>
                        <wps:wsp>
                          <wps:cNvPr id="630466807" name="Straight Connector 1"/>
                          <wps:cNvCnPr/>
                          <wps:spPr>
                            <a:xfrm>
                              <a:off x="5801989" y="639271"/>
                              <a:ext cx="9526" cy="1078865"/>
                            </a:xfrm>
                            <a:prstGeom prst="line">
                              <a:avLst/>
                            </a:prstGeom>
                          </wps:spPr>
                          <wps:style>
                            <a:lnRef idx="1">
                              <a:schemeClr val="accent3"/>
                            </a:lnRef>
                            <a:fillRef idx="0">
                              <a:schemeClr val="accent3"/>
                            </a:fillRef>
                            <a:effectRef idx="0">
                              <a:schemeClr val="accent3"/>
                            </a:effectRef>
                            <a:fontRef idx="minor">
                              <a:schemeClr val="tx1"/>
                            </a:fontRef>
                          </wps:style>
                          <wps:bodyPr/>
                        </wps:wsp>
                      </wpg:grpSp>
                      <wps:wsp>
                        <wps:cNvPr id="423587116" name="Straight Connector 70"/>
                        <wps:cNvCnPr/>
                        <wps:spPr>
                          <a:xfrm>
                            <a:off x="1328057" y="1045028"/>
                            <a:ext cx="0" cy="372110"/>
                          </a:xfrm>
                          <a:prstGeom prst="line">
                            <a:avLst/>
                          </a:prstGeom>
                          <a:ln w="9525" cap="flat" cmpd="sng" algn="ctr">
                            <a:solidFill>
                              <a:schemeClr val="accent2"/>
                            </a:solidFill>
                            <a:prstDash val="solid"/>
                            <a:round/>
                            <a:headEnd type="none" w="med" len="med"/>
                            <a:tailEnd type="triangle" w="med" len="med"/>
                          </a:ln>
                        </wps:spPr>
                        <wps:style>
                          <a:lnRef idx="0">
                            <a:scrgbClr r="0" g="0" b="0"/>
                          </a:lnRef>
                          <a:fillRef idx="0">
                            <a:scrgbClr r="0" g="0" b="0"/>
                          </a:fillRef>
                          <a:effectRef idx="0">
                            <a:scrgbClr r="0" g="0" b="0"/>
                          </a:effectRef>
                          <a:fontRef idx="minor">
                            <a:schemeClr val="tx1"/>
                          </a:fontRef>
                        </wps:style>
                        <wps:bodyPr/>
                      </wps:wsp>
                    </wpg:wgp>
                  </a:graphicData>
                </a:graphic>
              </wp:inline>
            </w:drawing>
          </mc:Choice>
          <mc:Fallback>
            <w:pict>
              <v:group w14:anchorId="0EF1ED5A" id="Group 47" o:spid="_x0000_s1074" alt="Flowchart showing parallel pathways for factorial and dose-response approaches to deriving NRVs. The factorial approach follows three steps to calculate required intake, while the dose-response uses health outcomes, biomarkers and intake measurements to determined required intake. Both pathways converge at scaling for age and sex based on body size, leading to proposed EAR and RDI values, then final NRV recommendations. " style="width:480.8pt;height:367.5pt;mso-position-horizontal-relative:char;mso-position-vertical-relative:line" coordsize="67831,53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">
                <v:group id="Group 2" o:spid="_x0000_s1075" style="position:absolute;width:67831;height:53650" coordsize="67831,5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">
                  <v:group id="Group 82" o:spid="_x0000_s1076" style="position:absolute;width:67831;height:53650" coordsize="67831,5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">
                    <v:shape id="Straight Arrow Connector 66" o:spid="_x0000_s1077" type="#_x0000_t32" style="position:absolute;left:43990;top:13545;width:0;height:2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" strokecolor="#93cac3 [3046]">
                      <v:stroke endarrow="block"/>
                    </v:shape>
                    <v:group id="Group 81" o:spid="_x0000_s1078" style="position:absolute;width:67831;height:53650" coordsize="67831,5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">
                      <v:shape id="Straight Arrow Connector 68" o:spid="_x0000_s1079" type="#_x0000_t32" style="position:absolute;left:44058;top:19268;width:0;height:2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" strokecolor="#93cac3 [3046]">
                        <v:stroke endarrow="block"/>
                      </v:shape>
                      <v:group id="Group 80" o:spid="_x0000_s1080" style="position:absolute;width:67831;height:53650" coordsize="67831,5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">
                        <v:group id="Group 64" o:spid="_x0000_s1081" style="position:absolute;width:58093;height:53650" coordorigin="" coordsize="58101,5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">
                          <v:group id="Group 26" o:spid="_x0000_s1082" style="position:absolute;width:58101;height:53651" coordorigin="" coordsize="58101,5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">
                            <v:group id="Group 20" o:spid="_x0000_s1083" style="position:absolute;width:26372;height:29627" coordorigin="" coordsize="26372,29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">
                              <v:rect id="Rectangle 11" o:spid="_x0000_s1084" style="position:absolute;left:25;top:21687;width:25841;height:4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" fillcolor="#005f85 [3205]" strokecolor="#002f42 [1605]" strokeweight="2pt">
                                <v:textbox>
                                  <w:txbxContent>
                                    <w:p w14:paraId="6F1C50A2" w14:textId="77777777" w:rsidR="001C1E9A" w:rsidRPr="00853E77" w:rsidRDefault="001C1E9A" w:rsidP="001C1E9A">
                                      <w:pPr>
                                        <w:spacing w:before="0" w:after="0" w:line="240" w:lineRule="auto"/>
                                        <w:jc w:val="center"/>
                                        <w:rPr>
                                          <w:color w:val="FFFFFF" w:themeColor="background1"/>
                                          <w:sz w:val="18"/>
                                        </w:rPr>
                                      </w:pPr>
                                      <w:r w:rsidRPr="00853E77">
                                        <w:rPr>
                                          <w:color w:val="FFFFFF" w:themeColor="background1"/>
                                          <w:sz w:val="18"/>
                                        </w:rPr>
                                        <w:t>Required intake = needs / bioavailability factor</w:t>
                                      </w:r>
                                    </w:p>
                                  </w:txbxContent>
                                </v:textbox>
                              </v:rect>
                              <v:rect id="Rectangle 12" o:spid="_x0000_s1085" style="position:absolute;left:106;width:26266;height:3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" fillcolor="#005f85 [3205]" strokecolor="#002f42 [1605]" strokeweight="2pt">
                                <v:textbox>
                                  <w:txbxContent>
                                    <w:p w14:paraId="2C4E5435" w14:textId="77777777" w:rsidR="001C1E9A" w:rsidRPr="00853E77" w:rsidRDefault="001C1E9A" w:rsidP="001C1E9A">
                                      <w:pPr>
                                        <w:spacing w:before="0" w:after="0" w:line="240" w:lineRule="auto"/>
                                        <w:jc w:val="center"/>
                                        <w:rPr>
                                          <w:b/>
                                          <w:bCs/>
                                          <w:color w:val="FFFFFF" w:themeColor="background1"/>
                                          <w:sz w:val="18"/>
                                        </w:rPr>
                                      </w:pPr>
                                      <w:r>
                                        <w:rPr>
                                          <w:b/>
                                          <w:bCs/>
                                          <w:color w:val="FFFFFF" w:themeColor="background1"/>
                                          <w:sz w:val="18"/>
                                        </w:rPr>
                                        <w:t>FACTORIAL APPROACH</w:t>
                                      </w:r>
                                    </w:p>
                                  </w:txbxContent>
                                </v:textbox>
                              </v:rect>
                              <v:line id="Straight Connector 25" o:spid="_x0000_s1086" style="position:absolute;visibility:visible;mso-wrap-style:square" from="13410,17978" to="13410,2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" strokecolor="#005f85 [3205]">
                                <v:stroke endarrow="block"/>
                              </v:line>
                              <v:line id="Straight Connector 36" o:spid="_x0000_s1087" style="position:absolute;visibility:visible;mso-wrap-style:square" from="13643,26230" to="13643,29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" strokecolor="#00597e [3045]"/>
                              <v:rect id="Rectangle 7" o:spid="_x0000_s1088" style="position:absolute;top:14241;width:26157;height:4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" fillcolor="#005f85 [3205]" strokecolor="#002f42 [1605]" strokeweight="2pt">
                                <v:textbox>
                                  <w:txbxContent>
                                    <w:p w14:paraId="54014ABF" w14:textId="77777777" w:rsidR="001C1E9A" w:rsidRPr="00853E77" w:rsidRDefault="001C1E9A" w:rsidP="001C1E9A">
                                      <w:pPr>
                                        <w:spacing w:before="0" w:after="0" w:line="240" w:lineRule="auto"/>
                                        <w:jc w:val="center"/>
                                        <w:rPr>
                                          <w:color w:val="FFFFFF" w:themeColor="background1"/>
                                          <w:sz w:val="18"/>
                                        </w:rPr>
                                      </w:pPr>
                                      <w:r w:rsidRPr="00853E77">
                                        <w:rPr>
                                          <w:color w:val="FFFFFF" w:themeColor="background1"/>
                                          <w:sz w:val="18"/>
                                        </w:rPr>
                                        <w:t>Identify bioavailability factor to account for fractional absorption</w:t>
                                      </w:r>
                                    </w:p>
                                  </w:txbxContent>
                                </v:textbox>
                              </v:rect>
                              <v:rect id="Rectangle 6" o:spid="_x0000_s1089" style="position:absolute;top:5059;width:26157;height:6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" fillcolor="#005f85 [3205]" strokecolor="#002f42 [1605]" strokeweight="2pt">
                                <v:textbox>
                                  <w:txbxContent>
                                    <w:p w14:paraId="771EAE94" w14:textId="77777777" w:rsidR="001C1E9A" w:rsidRPr="00853E77" w:rsidRDefault="001C1E9A" w:rsidP="001C1E9A">
                                      <w:pPr>
                                        <w:spacing w:before="0" w:after="0" w:line="240" w:lineRule="auto"/>
                                        <w:jc w:val="center"/>
                                        <w:rPr>
                                          <w:color w:val="FFFFFF" w:themeColor="background1"/>
                                          <w:sz w:val="18"/>
                                        </w:rPr>
                                      </w:pPr>
                                      <w:r w:rsidRPr="00853E77">
                                        <w:rPr>
                                          <w:color w:val="FFFFFF" w:themeColor="background1"/>
                                          <w:sz w:val="18"/>
                                        </w:rPr>
                                        <w:t>Identify needs for maintenance of stores, compensation of losses and needs for growth and development</w:t>
                                      </w:r>
                                    </w:p>
                                  </w:txbxContent>
                                </v:textbox>
                              </v:rect>
                            </v:group>
                            <v:group id="Group 51" o:spid="_x0000_s1090" style="position:absolute;left:18375;width:39726;height:53651" coordorigin="-231,-318" coordsize="39732,53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">
                              <v:group id="Group 50" o:spid="_x0000_s1091" style="position:absolute;left:15204;top:-318;width:24296;height:19172" coordorigin="1,-318" coordsize="24295,1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">
                                <v:rect id="Rectangle 14" o:spid="_x0000_s1092" style="position:absolute;left:106;top:-318;width:22706;height:3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" fillcolor="#a0d1cb [3206]" strokecolor="#3c7b73 [1606]" strokeweight="2pt">
                                  <v:textbox>
                                    <w:txbxContent>
                                      <w:p w14:paraId="4134610F" w14:textId="77777777" w:rsidR="001C1E9A" w:rsidRPr="00853E77" w:rsidRDefault="001C1E9A" w:rsidP="001C1E9A">
                                        <w:pPr>
                                          <w:spacing w:before="0" w:after="0" w:line="240" w:lineRule="auto"/>
                                          <w:jc w:val="center"/>
                                          <w:rPr>
                                            <w:b/>
                                            <w:bCs/>
                                            <w:sz w:val="18"/>
                                          </w:rPr>
                                        </w:pPr>
                                        <w:r>
                                          <w:rPr>
                                            <w:b/>
                                            <w:bCs/>
                                            <w:sz w:val="18"/>
                                          </w:rPr>
                                          <w:t>DOSE RESPONSE APPROACH</w:t>
                                        </w:r>
                                      </w:p>
                                    </w:txbxContent>
                                  </v:textbox>
                                </v:rect>
                                <v:rect id="Rectangle 21" o:spid="_x0000_s1093" style="position:absolute;left:1;top:15958;width:21016;height:2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" fillcolor="#a0d1cb [3206]" strokecolor="#3c7b73 [1606]" strokeweight="2pt">
                                  <v:textbox>
                                    <w:txbxContent>
                                      <w:p w14:paraId="117C5B50" w14:textId="77777777" w:rsidR="001C1E9A" w:rsidRPr="00853E77" w:rsidRDefault="001C1E9A" w:rsidP="001C1E9A">
                                        <w:pPr>
                                          <w:spacing w:before="0" w:after="0" w:line="240" w:lineRule="auto"/>
                                          <w:jc w:val="center"/>
                                          <w:rPr>
                                            <w:sz w:val="18"/>
                                          </w:rPr>
                                        </w:pPr>
                                        <w:r w:rsidRPr="00853E77">
                                          <w:rPr>
                                            <w:sz w:val="18"/>
                                          </w:rPr>
                                          <w:t>Intake as measured</w:t>
                                        </w:r>
                                      </w:p>
                                    </w:txbxContent>
                                  </v:textbox>
                                </v:rect>
                                <v:rect id="Rectangle 23" o:spid="_x0000_s1094" style="position:absolute;left:1;top:10496;width:21016;height:2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" fillcolor="#a0d1cb [3206]" strokecolor="#3c7b73 [1606]" strokeweight="2pt">
                                  <v:textbox>
                                    <w:txbxContent>
                                      <w:p w14:paraId="6AC7BDE3" w14:textId="77777777" w:rsidR="001C1E9A" w:rsidRPr="00853E77" w:rsidRDefault="001C1E9A" w:rsidP="001C1E9A">
                                        <w:pPr>
                                          <w:spacing w:before="0" w:after="0" w:line="240" w:lineRule="auto"/>
                                          <w:jc w:val="center"/>
                                          <w:rPr>
                                            <w:sz w:val="18"/>
                                          </w:rPr>
                                        </w:pPr>
                                        <w:r w:rsidRPr="00853E77">
                                          <w:rPr>
                                            <w:sz w:val="18"/>
                                          </w:rPr>
                                          <w:t>Status biomarker</w:t>
                                        </w:r>
                                      </w:p>
                                    </w:txbxContent>
                                  </v:textbox>
                                </v:rect>
                                <v:shape id="Straight Arrow Connector 27" o:spid="_x0000_s1095" type="#_x0000_t32" style="position:absolute;left:10173;top:7684;width:0;height:2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" strokecolor="#93cac3 [3046]">
                                  <v:stroke endarrow="block"/>
                                </v:shape>
                                <v:group id="Group 35" o:spid="_x0000_s1096" style="position:absolute;left:20855;top:6045;width:3442;height:10818" coordorigin=",3659" coordsize="3441,10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">
                                  <v:shape id="Straight Arrow Connector 32" o:spid="_x0000_s1097" type="#_x0000_t32" style="position:absolute;left:161;top:14478;width:32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" strokecolor="#93cac3 [3046]">
                                    <v:stroke endarrow="block"/>
                                  </v:shape>
                                  <v:line id="Straight Connector 34" o:spid="_x0000_s1098" style="position:absolute;visibility:visible;mso-wrap-style:square" from="0,3659" to="338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" strokecolor="#93cac3 [3046]"/>
                                </v:group>
                                <v:rect id="Rectangle 22" o:spid="_x0000_s1099" style="position:absolute;left:1;top:4875;width:21016;height:2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" fillcolor="#a0d1cb [3206]" strokecolor="#3c7b73 [1606]" strokeweight="2pt">
                                  <v:textbox>
                                    <w:txbxContent>
                                      <w:p w14:paraId="0BCCA5A7" w14:textId="77777777" w:rsidR="001C1E9A" w:rsidRPr="00853E77" w:rsidRDefault="001C1E9A" w:rsidP="001C1E9A">
                                        <w:pPr>
                                          <w:spacing w:before="0" w:after="0" w:line="240" w:lineRule="auto"/>
                                          <w:jc w:val="center"/>
                                          <w:rPr>
                                            <w:sz w:val="18"/>
                                          </w:rPr>
                                        </w:pPr>
                                        <w:r w:rsidRPr="00853E77">
                                          <w:rPr>
                                            <w:sz w:val="18"/>
                                          </w:rPr>
                                          <w:t>Health or functional outcome</w:t>
                                        </w:r>
                                      </w:p>
                                    </w:txbxContent>
                                  </v:textbox>
                                </v:rect>
                              </v:group>
                              <v:line id="Straight Connector 37" o:spid="_x0000_s1100" style="position:absolute;visibility:visible;mso-wrap-style:square" from="25449,25792" to="25449,29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" strokecolor="#93cac3 [3046]"/>
                              <v:line id="Straight Connector 39" o:spid="_x0000_s1101" style="position:absolute;flip:x y;visibility:visible;mso-wrap-style:square" from="12449,29308" to="25462,29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" strokecolor="#93cac3 [3046]"/>
                              <v:rect id="Rectangle 40" o:spid="_x0000_s1102" style="position:absolute;left:-122;top:33216;width:26027;height:5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" fillcolor="#77bcd9 [3204]" strokecolor="#246682 [1604]" strokeweight="2pt">
                                <v:textbox>
                                  <w:txbxContent>
                                    <w:p w14:paraId="44FBB8A1" w14:textId="77777777" w:rsidR="001C1E9A" w:rsidRPr="00853E77" w:rsidRDefault="001C1E9A" w:rsidP="001C1E9A">
                                      <w:pPr>
                                        <w:spacing w:before="0" w:after="0" w:line="240" w:lineRule="auto"/>
                                        <w:jc w:val="center"/>
                                        <w:rPr>
                                          <w:sz w:val="18"/>
                                        </w:rPr>
                                      </w:pPr>
                                      <w:r w:rsidRPr="00853E77">
                                        <w:rPr>
                                          <w:sz w:val="18"/>
                                        </w:rPr>
                                        <w:t>Scaling for age and sex, based on body size (growth curves) and energy intake (physical activity)</w:t>
                                      </w:r>
                                    </w:p>
                                  </w:txbxContent>
                                </v:textbox>
                              </v:rect>
                              <v:shape id="Straight Arrow Connector 42" o:spid="_x0000_s1103" type="#_x0000_t32" style="position:absolute;left:12330;top:29308;width:0;height:37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" strokecolor="#69b5d5 [3044]">
                                <v:stroke endarrow="block"/>
                              </v:shape>
                              <v:rect id="_x0000_s1104" style="position:absolute;left:-231;top:50228;width:26136;height:3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" fillcolor="#77bcd9 [3204]" strokecolor="#246682 [1604]" strokeweight="2pt">
                                <v:textbox>
                                  <w:txbxContent>
                                    <w:p w14:paraId="07E6E4D7" w14:textId="77777777" w:rsidR="001C1E9A" w:rsidRPr="00853E77" w:rsidRDefault="001C1E9A" w:rsidP="001C1E9A">
                                      <w:pPr>
                                        <w:spacing w:before="0" w:after="0" w:line="240" w:lineRule="auto"/>
                                        <w:jc w:val="center"/>
                                        <w:rPr>
                                          <w:sz w:val="18"/>
                                        </w:rPr>
                                      </w:pPr>
                                      <w:r w:rsidRPr="00853E77">
                                        <w:rPr>
                                          <w:sz w:val="18"/>
                                        </w:rPr>
                                        <w:t>Final NRV Recommendations</w:t>
                                      </w:r>
                                    </w:p>
                                  </w:txbxContent>
                                </v:textbox>
                              </v:rect>
                              <v:shape id="Straight Arrow Connector 46" o:spid="_x0000_s1105" type="#_x0000_t32" style="position:absolute;left:12449;top:39271;width:0;height:27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" strokecolor="#69b5d5 [3044]">
                                <v:stroke endarrow="block"/>
                              </v:shape>
                              <v:shape id="Straight Arrow Connector 49" o:spid="_x0000_s1106" type="#_x0000_t32" style="position:absolute;left:12611;top:46295;width:0;height:37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" strokecolor="#69b5d5 [3044]">
                                <v:stroke endarrow="block"/>
                              </v:shape>
                              <v:rect id="_x0000_s1107" style="position:absolute;left:-124;top:42054;width:26029;height:4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" fillcolor="#77bcd9 [3204]" strokecolor="#246682 [1604]" strokeweight="2pt">
                                <v:textbox>
                                  <w:txbxContent>
                                    <w:p w14:paraId="3FE5B23F" w14:textId="77777777" w:rsidR="001C1E9A" w:rsidRPr="00853E77" w:rsidRDefault="001C1E9A" w:rsidP="001C1E9A">
                                      <w:pPr>
                                        <w:spacing w:before="0" w:after="0" w:line="240" w:lineRule="auto"/>
                                        <w:jc w:val="center"/>
                                        <w:rPr>
                                          <w:sz w:val="18"/>
                                        </w:rPr>
                                      </w:pPr>
                                      <w:r w:rsidRPr="00853E77">
                                        <w:rPr>
                                          <w:sz w:val="18"/>
                                        </w:rPr>
                                        <w:t>Derive proposed NRVs: EAR &amp; RDI, specific for age, sex, life cycle stage</w:t>
                                      </w:r>
                                    </w:p>
                                  </w:txbxContent>
                                </v:textbox>
                              </v:rect>
                              <v:shapetype id="_x0000_t202" coordsize="21600,21600" o:spt="202" path="m,l,21600r21600,l21600,xe">
                                <v:stroke joinstyle="miter"/>
                                <v:path gradientshapeok="t" o:connecttype="rect"/>
                              </v:shapetype>
                              <v:shape id="Text Box 2" o:spid="_x0000_s1108" type="#_x0000_t202" style="position:absolute;left:2105;top:45389;width:24969;height:5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" filled="f" stroked="f">
                                <v:textbox>
                                  <w:txbxContent>
                                    <w:p w14:paraId="509D64E4" w14:textId="6A60A78A" w:rsidR="001C1E9A" w:rsidRPr="00853E77" w:rsidRDefault="001C1E9A" w:rsidP="001C1E9A">
                                      <w:pPr>
                                        <w:rPr>
                                          <w:color w:val="004663" w:themeColor="accent2" w:themeShade="BF"/>
                                          <w:sz w:val="18"/>
                                        </w:rPr>
                                      </w:pPr>
                                      <w:r w:rsidRPr="00853E77">
                                        <w:rPr>
                                          <w:color w:val="004663" w:themeColor="accent2" w:themeShade="BF"/>
                                          <w:sz w:val="18"/>
                                        </w:rPr>
                                        <w:t>GRADE Evidence</w:t>
                                      </w:r>
                                      <w:r w:rsidR="005A2C61">
                                        <w:rPr>
                                          <w:color w:val="004663" w:themeColor="accent2" w:themeShade="BF"/>
                                          <w:sz w:val="18"/>
                                        </w:rPr>
                                        <w:t xml:space="preserve"> </w:t>
                                      </w:r>
                                      <w:r w:rsidRPr="00853E77">
                                        <w:rPr>
                                          <w:color w:val="004663" w:themeColor="accent2" w:themeShade="BF"/>
                                          <w:sz w:val="18"/>
                                        </w:rPr>
                                        <w:t>to Decision</w:t>
                                      </w:r>
                                    </w:p>
                                  </w:txbxContent>
                                </v:textbox>
                              </v:shape>
                            </v:group>
                          </v:group>
                          <v:line id="Straight Connector 52" o:spid="_x0000_s1109" style="position:absolute;flip:y;visibility:visible;mso-wrap-style:square" from="13642,29620" to="31029,29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" strokecolor="#00597e [3045]"/>
                        </v:group>
                        <v:rect id="Rectangle 67" o:spid="_x0000_s1110" style="position:absolute;left:33830;top:22083;width:20765;height:4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" fillcolor="#a0d1cb [3206]" strokecolor="#3c7b73 [1606]" strokeweight="2pt">
                          <v:textbox>
                            <w:txbxContent>
                              <w:p w14:paraId="69F3DFD2" w14:textId="77777777" w:rsidR="001C1E9A" w:rsidRPr="00853E77" w:rsidRDefault="001C1E9A" w:rsidP="001C1E9A">
                                <w:pPr>
                                  <w:spacing w:before="0" w:after="0" w:line="240" w:lineRule="auto"/>
                                  <w:jc w:val="center"/>
                                  <w:rPr>
                                    <w:sz w:val="18"/>
                                  </w:rPr>
                                </w:pPr>
                                <w:r w:rsidRPr="00853E77">
                                  <w:rPr>
                                    <w:sz w:val="18"/>
                                  </w:rPr>
                                  <w:t>Required intake = integrated I-S-H dose-response model</w:t>
                                </w:r>
                              </w:p>
                            </w:txbxContent>
                          </v:textbox>
                        </v:rect>
                        <v:group id="Group 79" o:spid="_x0000_s1111" style="position:absolute;left:44504;top:6358;width:23327;height:10687" coordorigin="485,-5336" coordsize="23326,10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">
                          <v:shape id="Text Box 2" o:spid="_x0000_s1112" type="#_x0000_t202" style="position:absolute;left:485;top:675;width:20942;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" filled="f" stroked="f">
                            <v:textbox>
                              <w:txbxContent>
                                <w:p w14:paraId="2C159D6B" w14:textId="77777777" w:rsidR="001C1E9A" w:rsidRPr="00853E77" w:rsidRDefault="001C1E9A" w:rsidP="001C1E9A">
                                  <w:pPr>
                                    <w:rPr>
                                      <w:i/>
                                      <w:iCs/>
                                      <w:color w:val="3C7C74" w:themeColor="accent3" w:themeShade="80"/>
                                      <w:sz w:val="18"/>
                                    </w:rPr>
                                  </w:pPr>
                                  <w:r w:rsidRPr="00853E77">
                                    <w:rPr>
                                      <w:i/>
                                      <w:iCs/>
                                      <w:color w:val="3C7C74" w:themeColor="accent3" w:themeShade="80"/>
                                      <w:sz w:val="18"/>
                                    </w:rPr>
                                    <w:t>I-S relationship</w:t>
                                  </w:r>
                                </w:p>
                              </w:txbxContent>
                            </v:textbox>
                          </v:shape>
                          <v:shape id="Text Box 2" o:spid="_x0000_s1113" type="#_x0000_t202" style="position:absolute;left:13716;top:-3938;width:10096;height: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" filled="f" stroked="f">
                            <v:textbox>
                              <w:txbxContent>
                                <w:p w14:paraId="5444EAA9" w14:textId="77777777" w:rsidR="001C1E9A" w:rsidRPr="00853E77" w:rsidRDefault="001C1E9A" w:rsidP="001C1E9A">
                                  <w:pPr>
                                    <w:rPr>
                                      <w:i/>
                                      <w:iCs/>
                                      <w:color w:val="3C7C74" w:themeColor="accent3" w:themeShade="80"/>
                                      <w:sz w:val="18"/>
                                    </w:rPr>
                                  </w:pPr>
                                  <w:r w:rsidRPr="00853E77">
                                    <w:rPr>
                                      <w:i/>
                                      <w:iCs/>
                                      <w:color w:val="3C7C74" w:themeColor="accent3" w:themeShade="80"/>
                                      <w:sz w:val="18"/>
                                    </w:rPr>
                                    <w:t>I-H relationship</w:t>
                                  </w:r>
                                </w:p>
                              </w:txbxContent>
                            </v:textbox>
                          </v:shape>
                          <v:shape id="Text Box 2" o:spid="_x0000_s1114" type="#_x0000_t202" style="position:absolute;left:485;top:-5336;width:20942;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" filled="f" stroked="f">
                            <v:textbox>
                              <w:txbxContent>
                                <w:p w14:paraId="4BDE5953" w14:textId="77777777" w:rsidR="001C1E9A" w:rsidRPr="00853E77" w:rsidRDefault="001C1E9A" w:rsidP="001C1E9A">
                                  <w:pPr>
                                    <w:rPr>
                                      <w:i/>
                                      <w:iCs/>
                                      <w:color w:val="3C7C74" w:themeColor="accent3" w:themeShade="80"/>
                                      <w:sz w:val="18"/>
                                    </w:rPr>
                                  </w:pPr>
                                  <w:r w:rsidRPr="00853E77">
                                    <w:rPr>
                                      <w:i/>
                                      <w:iCs/>
                                      <w:color w:val="3C7C74" w:themeColor="accent3" w:themeShade="80"/>
                                      <w:sz w:val="18"/>
                                    </w:rPr>
                                    <w:t>H-S relationship</w:t>
                                  </w:r>
                                </w:p>
                              </w:txbxContent>
                            </v:textbox>
                          </v:shape>
                        </v:group>
                      </v:group>
                    </v:group>
                  </v:group>
                  <v:line id="Straight Connector 1" o:spid="_x0000_s1115" style="position:absolute;visibility:visible;mso-wrap-style:square" from="58019,6392" to="58115,17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" strokecolor="#93cac3 [3046]"/>
                </v:group>
                <v:line id="Straight Connector 70" o:spid="_x0000_s1116" style="position:absolute;visibility:visible;mso-wrap-style:square" from="13280,10450" to="13280,14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" strokecolor="#005f85 [3205]">
                  <v:stroke endarrow="block"/>
                </v:line>
                <w10:anchorlock/>
              </v:group>
            </w:pict>
          </mc:Fallback>
        </mc:AlternateContent>
      </w:r>
    </w:p>
    <w:p w14:paraId="2826484A" w14:textId="77777777" w:rsidR="00366AD9" w:rsidRDefault="00366AD9">
      <w:pPr>
        <w:spacing w:line="240" w:lineRule="atLeast"/>
      </w:pPr>
    </w:p>
    <w:p w14:paraId="5FAFFDAC" w14:textId="77777777" w:rsidR="00366AD9" w:rsidRDefault="00366AD9" w:rsidP="00366AD9">
      <w:pPr>
        <w:pStyle w:val="Caption"/>
      </w:pPr>
      <w:r>
        <w:t>Figure 6.</w:t>
      </w:r>
      <w:r>
        <w:fldChar w:fldCharType="begin"/>
      </w:r>
      <w:r>
        <w:instrText xml:space="preserve"> SEQ Figure \* ARABIC \s 1 </w:instrText>
      </w:r>
      <w:r>
        <w:fldChar w:fldCharType="separate"/>
      </w:r>
      <w:r>
        <w:rPr>
          <w:noProof/>
        </w:rPr>
        <w:t>2</w:t>
      </w:r>
      <w:r>
        <w:rPr>
          <w:noProof/>
        </w:rPr>
        <w:fldChar w:fldCharType="end"/>
      </w:r>
      <w:r>
        <w:t xml:space="preserve"> </w:t>
      </w:r>
      <w:r w:rsidRPr="0097472E">
        <w:t xml:space="preserve">Diagram showing the factorial and dose response approaches to deriving NRVs, their respective inputs, and subsequent scaling and adjustments to arrive at final NRV recommendations specific for age, sex and life-cycle </w:t>
      </w:r>
      <w:r w:rsidRPr="0097472E">
        <w:rPr>
          <w:rFonts w:ascii="Gotham Book" w:hAnsi="Gotham Book"/>
        </w:rPr>
        <w:fldChar w:fldCharType="begin"/>
      </w:r>
      <w:r w:rsidRPr="007C26F3">
        <w:rPr>
          <w:rFonts w:ascii="Gotham Book" w:hAnsi="Gotham Book"/>
        </w:rPr>
        <w:instrText xml:space="preserve"> ADDIN EN.CITE &lt;EndNote&gt;&lt;Cite&gt;&lt;Author&gt;Matthys&lt;/Author&gt;&lt;Year&gt;2011&lt;/Year&gt;&lt;RecNum&gt;76&lt;/RecNum&gt;&lt;DisplayText&gt;(Matthys et al. 2011)&lt;/DisplayText&gt;&lt;record&gt;&lt;rec-number&gt;76&lt;/rec-number&gt;&lt;foreign-keys&gt;&lt;key app="EN" db-id="zxfaevvrgpsxebez5ec5vspfe2av5dtxt9xx" timestamp="1754957765"&gt;76&lt;/key&gt;&lt;/foreign-keys&gt;&lt;ref-type name="Journal Article"&gt;17&lt;/ref-type&gt;&lt;contributors&gt;&lt;authors&gt;&lt;author&gt;Matthys, Christophe&lt;/author&gt;&lt;author&gt;van&amp;apos;t Veer, Pieter&lt;/author&gt;&lt;author&gt;Groot, Lisette&lt;/author&gt;&lt;author&gt;Hooper, Lee&lt;/author&gt;&lt;author&gt;Cavelaars, Adrienne&lt;/author&gt;&lt;author&gt;Berry, Rachel&lt;/author&gt;&lt;author&gt;Donutske-Rutten, Rosalie&lt;/author&gt;&lt;author&gt;Harvey, Linda&lt;/author&gt;&lt;author&gt;Casgrain, Amelie&lt;/author&gt;&lt;author&gt;Rollin, Fanny&lt;/author&gt;&lt;author&gt;Contor, Laura&lt;/author&gt;&lt;/authors&gt;&lt;/contributors&gt;&lt;titles&gt;&lt;title&gt;EURRECA&amp;apos;s approach for estimating micronutrient requirements&lt;/title&gt;&lt;secondary-title&gt;International journal for vitamin and nutrition research.&lt;/secondary-title&gt;&lt;/titles&gt;&lt;periodical&gt;&lt;full-title&gt;International journal for vitamin and nutrition research.&lt;/full-title&gt;&lt;/periodical&gt;&lt;pages&gt;256-63&lt;/pages&gt;&lt;volume&gt;81&lt;/volume&gt;&lt;dates&gt;&lt;year&gt;2011&lt;/year&gt;&lt;pub-dates&gt;&lt;date&gt;07/01&lt;/date&gt;&lt;/pub-dates&gt;&lt;/dates&gt;&lt;urls&gt;&lt;/urls&gt;&lt;electronic-resource-num&gt;10.1024/0300-9831/a000071&lt;/electronic-resource-num&gt;&lt;/record&gt;&lt;/Cite&gt;&lt;/EndNote&gt;</w:instrText>
      </w:r>
      <w:r w:rsidRPr="0097472E">
        <w:rPr>
          <w:rFonts w:ascii="Gotham Book" w:hAnsi="Gotham Book"/>
        </w:rPr>
        <w:fldChar w:fldCharType="separate"/>
      </w:r>
      <w:r w:rsidRPr="00AB6481">
        <w:rPr>
          <w:rFonts w:ascii="Gotham Book" w:hAnsi="Gotham Book"/>
          <w:noProof/>
        </w:rPr>
        <w:t>(Matthys et al. 2011)</w:t>
      </w:r>
      <w:r w:rsidRPr="0097472E">
        <w:rPr>
          <w:rFonts w:ascii="Gotham Book" w:hAnsi="Gotham Book"/>
        </w:rPr>
        <w:fldChar w:fldCharType="end"/>
      </w:r>
      <w:r w:rsidRPr="0097472E">
        <w:t>.</w:t>
      </w:r>
      <w:r>
        <w:t xml:space="preserve"> </w:t>
      </w:r>
    </w:p>
    <w:p w14:paraId="29AEC518" w14:textId="4BF5CA8D" w:rsidR="00366AD9" w:rsidRDefault="00366AD9" w:rsidP="00366AD9">
      <w:pPr>
        <w:pStyle w:val="Caption"/>
        <w:rPr>
          <w:rFonts w:ascii="Gotham Book" w:hAnsi="Gotham Book"/>
          <w:sz w:val="18"/>
          <w:szCs w:val="16"/>
        </w:rPr>
      </w:pPr>
      <w:r>
        <w:rPr>
          <w:rFonts w:ascii="Gotham Book" w:hAnsi="Gotham Book"/>
          <w:sz w:val="18"/>
          <w:szCs w:val="16"/>
        </w:rPr>
        <w:t xml:space="preserve">Abbreviations: </w:t>
      </w:r>
      <w:r w:rsidRPr="00603204">
        <w:rPr>
          <w:rFonts w:ascii="Gotham Book" w:hAnsi="Gotham Book"/>
          <w:sz w:val="18"/>
          <w:szCs w:val="16"/>
        </w:rPr>
        <w:t>I, intake; H, health; S, status.</w:t>
      </w:r>
    </w:p>
    <w:p w14:paraId="74145B0C" w14:textId="4F9B95E1" w:rsidR="003B5EC4" w:rsidRPr="00366AD9" w:rsidRDefault="00366AD9" w:rsidP="00366AD9">
      <w:pPr>
        <w:spacing w:line="240" w:lineRule="atLeast"/>
        <w:rPr>
          <w:iCs/>
          <w:sz w:val="18"/>
          <w:szCs w:val="16"/>
        </w:rPr>
      </w:pPr>
      <w:r>
        <w:rPr>
          <w:sz w:val="18"/>
          <w:szCs w:val="16"/>
        </w:rPr>
        <w:br w:type="page"/>
      </w:r>
    </w:p>
    <w:p w14:paraId="625077AC" w14:textId="4915AE6F" w:rsidR="003D20D8" w:rsidRDefault="003D20D8" w:rsidP="003E2E95">
      <w:pPr>
        <w:pStyle w:val="Heading40"/>
      </w:pPr>
      <w:bookmarkStart w:id="174" w:name="_Toc153967137"/>
      <w:bookmarkStart w:id="175" w:name="_Toc207801083"/>
      <w:bookmarkStart w:id="176" w:name="_Toc207824560"/>
      <w:r>
        <w:lastRenderedPageBreak/>
        <w:t xml:space="preserve">Risk </w:t>
      </w:r>
      <w:r w:rsidR="00AC7FC2">
        <w:t>assessment</w:t>
      </w:r>
      <w:bookmarkEnd w:id="174"/>
      <w:r w:rsidR="00623E7A">
        <w:t xml:space="preserve"> </w:t>
      </w:r>
      <w:r w:rsidR="00951A6D">
        <w:t>approach</w:t>
      </w:r>
      <w:bookmarkEnd w:id="175"/>
      <w:bookmarkEnd w:id="176"/>
      <w:r w:rsidR="00951A6D">
        <w:t xml:space="preserve"> </w:t>
      </w:r>
    </w:p>
    <w:p w14:paraId="44511C94" w14:textId="40857C1B" w:rsidR="009902ED" w:rsidRDefault="00A45705" w:rsidP="00627DE2">
      <w:r>
        <w:t>The r</w:t>
      </w:r>
      <w:r w:rsidR="008246D0">
        <w:t xml:space="preserve">isk assessment </w:t>
      </w:r>
      <w:r>
        <w:t xml:space="preserve">approach </w:t>
      </w:r>
      <w:r w:rsidR="006338A5">
        <w:t xml:space="preserve">can be used to derive </w:t>
      </w:r>
      <w:r w:rsidR="007F3DBB">
        <w:t>a UL. Risk assessments are</w:t>
      </w:r>
      <w:r>
        <w:t xml:space="preserve"> commonly </w:t>
      </w:r>
      <w:r w:rsidR="008246D0">
        <w:t xml:space="preserve">used </w:t>
      </w:r>
      <w:r w:rsidR="00434731">
        <w:t xml:space="preserve">in toxicology to determine </w:t>
      </w:r>
      <w:r>
        <w:t xml:space="preserve">a reference value upon which to base recommendations. </w:t>
      </w:r>
      <w:r w:rsidR="00627DE2">
        <w:t xml:space="preserve">Due to inherent differences between nutrients and chemicals (the typical subject of risk assessments), </w:t>
      </w:r>
      <w:r w:rsidR="00436114">
        <w:t>t</w:t>
      </w:r>
      <w:r w:rsidR="00627DE2">
        <w:t xml:space="preserve">he traditional risk assessment paradigm requires adjustment </w:t>
      </w:r>
      <w:r>
        <w:t>when used in deriving a nutrient UL</w:t>
      </w:r>
      <w:r w:rsidR="00385934">
        <w:t xml:space="preserve">. This </w:t>
      </w:r>
      <w:r w:rsidR="005E5474">
        <w:t xml:space="preserve">requires a risk assessment process that weighs </w:t>
      </w:r>
      <w:r w:rsidR="00385934">
        <w:t>the benefi</w:t>
      </w:r>
      <w:r w:rsidR="6BA32052">
        <w:t>ts (</w:t>
      </w:r>
      <w:r w:rsidR="01F35F90">
        <w:t>i.e</w:t>
      </w:r>
      <w:r w:rsidR="6BA32052">
        <w:t xml:space="preserve">. </w:t>
      </w:r>
      <w:r w:rsidR="0C9D3F18">
        <w:t>n</w:t>
      </w:r>
      <w:r w:rsidR="6BA32052">
        <w:t xml:space="preserve">utritional </w:t>
      </w:r>
      <w:r w:rsidR="00E14D9A">
        <w:t>requirements</w:t>
      </w:r>
      <w:r w:rsidR="00382278">
        <w:t xml:space="preserve"> </w:t>
      </w:r>
      <w:r w:rsidR="6A723A89">
        <w:t>to meet physi</w:t>
      </w:r>
      <w:r w:rsidR="32C9A0F7">
        <w:t>o</w:t>
      </w:r>
      <w:r w:rsidR="6A723A89">
        <w:t xml:space="preserve">logical requirements) </w:t>
      </w:r>
      <w:r w:rsidR="005E5474">
        <w:t xml:space="preserve">against </w:t>
      </w:r>
      <w:r w:rsidR="00382278">
        <w:t>toxicological effects</w:t>
      </w:r>
      <w:r w:rsidR="16F58564">
        <w:t xml:space="preserve"> associated with higher intakes</w:t>
      </w:r>
      <w:r w:rsidR="00E14D9A">
        <w:t>.</w:t>
      </w:r>
    </w:p>
    <w:p w14:paraId="76C2358D" w14:textId="77777777" w:rsidR="009902ED" w:rsidRPr="009108B3" w:rsidRDefault="009902ED" w:rsidP="009902ED">
      <w:r>
        <w:t>R</w:t>
      </w:r>
      <w:r w:rsidRPr="009108B3">
        <w:t>isk assessment</w:t>
      </w:r>
      <w:r>
        <w:t xml:space="preserve"> comprises</w:t>
      </w:r>
      <w:r w:rsidRPr="009108B3">
        <w:t>:</w:t>
      </w:r>
    </w:p>
    <w:p w14:paraId="138D4F9F" w14:textId="77777777" w:rsidR="009902ED" w:rsidRPr="00382278" w:rsidRDefault="009902ED" w:rsidP="00211F4C">
      <w:pPr>
        <w:pStyle w:val="ListParagraph"/>
        <w:numPr>
          <w:ilvl w:val="0"/>
          <w:numId w:val="26"/>
        </w:numPr>
      </w:pPr>
      <w:r w:rsidRPr="009108B3">
        <w:t xml:space="preserve">hazard </w:t>
      </w:r>
      <w:r w:rsidRPr="00382278">
        <w:t>identification and characterisation</w:t>
      </w:r>
    </w:p>
    <w:p w14:paraId="2F3441BB" w14:textId="77777777" w:rsidR="009902ED" w:rsidRDefault="009902ED" w:rsidP="00211F4C">
      <w:pPr>
        <w:pStyle w:val="ListParagraph"/>
        <w:numPr>
          <w:ilvl w:val="0"/>
          <w:numId w:val="26"/>
        </w:numPr>
      </w:pPr>
      <w:r w:rsidRPr="00382278">
        <w:t>exposure characterisation</w:t>
      </w:r>
    </w:p>
    <w:p w14:paraId="5F62A3E2" w14:textId="00D9D057" w:rsidR="00382278" w:rsidRPr="00382278" w:rsidRDefault="00382278" w:rsidP="00211F4C">
      <w:pPr>
        <w:pStyle w:val="ListParagraph"/>
        <w:numPr>
          <w:ilvl w:val="0"/>
          <w:numId w:val="26"/>
        </w:numPr>
      </w:pPr>
      <w:r>
        <w:t>risk characterisation and establishment of reference values.</w:t>
      </w:r>
    </w:p>
    <w:p w14:paraId="0B0E327A" w14:textId="094F08E3" w:rsidR="00382278" w:rsidRDefault="003D5C38" w:rsidP="00382278">
      <w:pPr>
        <w:pStyle w:val="Boxed1Bullet"/>
        <w:numPr>
          <w:ilvl w:val="0"/>
          <w:numId w:val="0"/>
        </w:numPr>
        <w:ind w:left="360"/>
      </w:pPr>
      <w:r>
        <w:t>Further information on t</w:t>
      </w:r>
      <w:r w:rsidR="00BE3982">
        <w:t xml:space="preserve">he use of </w:t>
      </w:r>
      <w:r w:rsidR="00E527B0">
        <w:t xml:space="preserve">risk assessment </w:t>
      </w:r>
      <w:r w:rsidR="00BE3982">
        <w:t xml:space="preserve">to derive ULs </w:t>
      </w:r>
      <w:r w:rsidR="00382278">
        <w:t xml:space="preserve">is </w:t>
      </w:r>
      <w:r>
        <w:t>available</w:t>
      </w:r>
      <w:r w:rsidR="001A4E6D">
        <w:t xml:space="preserve"> from</w:t>
      </w:r>
      <w:r w:rsidR="00382278">
        <w:t>:</w:t>
      </w:r>
    </w:p>
    <w:p w14:paraId="6E86D851" w14:textId="6FB10F69" w:rsidR="00BC2DE5" w:rsidRPr="006F36DA" w:rsidRDefault="00DF24DF" w:rsidP="00211F4C">
      <w:pPr>
        <w:pStyle w:val="Boxed1Bullet"/>
        <w:numPr>
          <w:ilvl w:val="0"/>
          <w:numId w:val="26"/>
        </w:numPr>
      </w:pPr>
      <w:r>
        <w:fldChar w:fldCharType="begin"/>
      </w:r>
      <w:r w:rsidR="00FD5765">
        <w:instrText xml:space="preserve"> ADDIN EN.CITE &lt;EndNote&gt;&lt;Cite AuthorYear="1"&gt;&lt;Author&gt;EFSA Panel on Nutrition Novel Foods and Food Allergens&lt;/Author&gt;&lt;Year&gt;2024&lt;/Year&gt;&lt;RecNum&gt;84&lt;/RecNum&gt;&lt;DisplayText&gt;EFSA Panel on Nutrition Novel Foods and Food Allergens et al. (2024a)&lt;/DisplayText&gt;&lt;record&gt;&lt;rec-number&gt;84&lt;/rec-number&gt;&lt;foreign-keys&gt;&lt;key app="EN" db-id="zxfaevvrgpsxebez5ec5vspfe2av5dtxt9xx" timestamp="1754958788"&gt;84&lt;/key&gt;&lt;/foreign-keys&gt;&lt;ref-type name="Journal Article"&gt;17&lt;/ref-type&gt;&lt;contributors&gt;&lt;authors&gt;&lt;author&gt;EFSA Panel on Nutrition Novel F</w:instrText>
      </w:r>
      <w:r w:rsidR="00FD5765">
        <w:rPr>
          <w:rFonts w:hint="eastAsia"/>
        </w:rPr>
        <w:instrText>oods and Food Allergens,&lt;/author&gt;&lt;author&gt;Turck, Dominique&lt;/author&gt;&lt;author&gt;Bohn, Torsten&lt;/author&gt;&lt;author&gt;Cámara, Montaña&lt;/author&gt;&lt;author&gt;Castenmiller, Jacqueline&lt;/author&gt;&lt;author&gt;de Henauw, Stefaan&lt;/author&gt;&lt;author&gt;Hirsch</w:instrText>
      </w:r>
      <w:r w:rsidR="00FD5765">
        <w:rPr>
          <w:rFonts w:hint="eastAsia"/>
        </w:rPr>
        <w:instrText>‐</w:instrText>
      </w:r>
      <w:r w:rsidR="00FD5765">
        <w:rPr>
          <w:rFonts w:hint="eastAsia"/>
        </w:rPr>
        <w:instrText>Ernst, Karen</w:instrText>
      </w:r>
      <w:r w:rsidR="00FD5765">
        <w:rPr>
          <w:rFonts w:hint="eastAsia"/>
        </w:rPr>
        <w:instrText>‐</w:instrText>
      </w:r>
      <w:r w:rsidR="00FD5765">
        <w:rPr>
          <w:rFonts w:hint="eastAsia"/>
        </w:rPr>
        <w:instrText>Ildico&lt;/author&gt;&lt;author&gt;</w:instrText>
      </w:r>
      <w:r w:rsidR="00FD5765">
        <w:instrText>Jos, Angeles&lt;/author&gt;&lt;author&gt;Maciuk, Alexandre&lt;/author&gt;&lt;author&gt;Mangelsdorf, Inge&lt;/author&gt;&lt;/authors&gt;&lt;/contributors&gt;&lt;titles&gt;&lt;title&gt;Guidance for establishing and applying tolerable upper intake levels for vitamins and essential minerals&lt;/title&gt;&lt;secondary-title&gt;EFSA Journal&lt;/secondary-title&gt;&lt;/titles&gt;&lt;periodical&gt;&lt;full-title&gt;EFSA Journal&lt;/full-title&gt;&lt;/periodical&gt;&lt;pages&gt;e9052&lt;/pages&gt;&lt;volume&gt;22&lt;/volume&gt;&lt;number&gt;11&lt;/number&gt;&lt;dates&gt;&lt;year&gt;2024&lt;/year&gt;&lt;/dates&gt;&lt;isbn&gt;1831-4732&lt;/isbn&gt;&lt;urls&gt;&lt;/urls&gt;&lt;electronic-resource-num&gt;10.2903/j.efsa.2024.9052&lt;/electronic-resource-num&gt;&lt;/record&gt;&lt;/Cite&gt;&lt;/EndNote&gt;</w:instrText>
      </w:r>
      <w:r>
        <w:fldChar w:fldCharType="separate"/>
      </w:r>
      <w:r w:rsidR="00FD5765">
        <w:rPr>
          <w:noProof/>
        </w:rPr>
        <w:t>EFSA Panel on Nutrition Novel Foods and Food Allergens et al. (2024a)</w:t>
      </w:r>
      <w:r>
        <w:fldChar w:fldCharType="end"/>
      </w:r>
      <w:r>
        <w:t xml:space="preserve"> </w:t>
      </w:r>
      <w:r w:rsidRPr="00DF24DF">
        <w:t xml:space="preserve">Guidance for establishing and applying tolerable upper intake levels for vitamins and essential minerals. </w:t>
      </w:r>
      <w:r w:rsidRPr="00DF24DF">
        <w:rPr>
          <w:i/>
          <w:iCs/>
        </w:rPr>
        <w:t>EFSA Journal</w:t>
      </w:r>
      <w:r w:rsidRPr="00DF24DF">
        <w:t>,</w:t>
      </w:r>
      <w:r w:rsidRPr="00DF24DF">
        <w:rPr>
          <w:i/>
          <w:iCs/>
        </w:rPr>
        <w:t xml:space="preserve"> 22</w:t>
      </w:r>
      <w:r w:rsidRPr="00DF24DF">
        <w:t xml:space="preserve">(11), e9052. </w:t>
      </w:r>
      <w:hyperlink r:id="rId95" w:history="1">
        <w:r w:rsidRPr="000163C7">
          <w:rPr>
            <w:rStyle w:val="Hyperlink"/>
            <w:color w:val="006CBC"/>
          </w:rPr>
          <w:t>https://doi.org/10.2903/j.efsa.2024.9052</w:t>
        </w:r>
      </w:hyperlink>
      <w:r>
        <w:t xml:space="preserve">  </w:t>
      </w:r>
      <w:r w:rsidR="00A44C05" w:rsidRPr="00A44C05" w:rsidDel="00A44C05">
        <w:t xml:space="preserve"> </w:t>
      </w:r>
    </w:p>
    <w:p w14:paraId="37DF9756" w14:textId="2EFF2932" w:rsidR="00116E90" w:rsidRPr="006F36DA" w:rsidRDefault="00A800B9" w:rsidP="00211F4C">
      <w:pPr>
        <w:pStyle w:val="Boxed1Bullet"/>
        <w:numPr>
          <w:ilvl w:val="0"/>
          <w:numId w:val="26"/>
        </w:numPr>
      </w:pPr>
      <w:r>
        <w:fldChar w:fldCharType="begin"/>
      </w:r>
      <w:r w:rsidR="009A4E8E">
        <w:instrText xml:space="preserve"> ADDIN EN.CITE &lt;EndNote&gt;&lt;Cite AuthorYear="1"&gt;&lt;Author&gt;NASEM&lt;/Author&gt;&lt;Year&gt;2018&lt;/Year&gt;&lt;RecNum&gt;67&lt;/RecNum&gt;&lt;DisplayText&gt;NASEM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fldChar w:fldCharType="separate"/>
      </w:r>
      <w:r w:rsidR="009A4E8E">
        <w:rPr>
          <w:noProof/>
        </w:rPr>
        <w:t>NASEM (2018)</w:t>
      </w:r>
      <w:r>
        <w:fldChar w:fldCharType="end"/>
      </w:r>
      <w:r w:rsidR="00CC69F2" w:rsidRPr="00FB25EB">
        <w:t> </w:t>
      </w:r>
      <w:r w:rsidRPr="00A800B9">
        <w:rPr>
          <w:i/>
          <w:iCs/>
        </w:rPr>
        <w:t xml:space="preserve">Harmonization of Approaches to Nutrient Reference Values: Applications to Young Children and Women of Reproductive Age. National Academies Press (US) </w:t>
      </w:r>
      <w:hyperlink r:id="rId96" w:history="1">
        <w:r w:rsidRPr="000163C7">
          <w:rPr>
            <w:rStyle w:val="Hyperlink"/>
            <w:i/>
            <w:iCs/>
            <w:color w:val="006CBC"/>
          </w:rPr>
          <w:t>https://doi.org/10.17226/25148</w:t>
        </w:r>
      </w:hyperlink>
      <w:r>
        <w:rPr>
          <w:i/>
          <w:iCs/>
        </w:rPr>
        <w:t xml:space="preserve"> </w:t>
      </w:r>
      <w:r w:rsidR="006F36DA">
        <w:t>- pp.79-81</w:t>
      </w:r>
      <w:r w:rsidR="00116E90">
        <w:br w:type="page"/>
      </w:r>
    </w:p>
    <w:p w14:paraId="44408B99" w14:textId="70975954" w:rsidR="00195216" w:rsidRDefault="00195216" w:rsidP="003E2E95">
      <w:pPr>
        <w:pStyle w:val="Heading30"/>
      </w:pPr>
      <w:bookmarkStart w:id="177" w:name="_Toc153967138"/>
      <w:bookmarkStart w:id="178" w:name="_Toc207801084"/>
      <w:bookmarkStart w:id="179" w:name="_Toc207824561"/>
      <w:r>
        <w:lastRenderedPageBreak/>
        <w:t xml:space="preserve">Deriving </w:t>
      </w:r>
      <w:bookmarkEnd w:id="177"/>
      <w:r w:rsidR="00F86DE7">
        <w:t>d</w:t>
      </w:r>
      <w:r>
        <w:t xml:space="preserve">raft </w:t>
      </w:r>
      <w:r w:rsidR="00F86DE7">
        <w:t>n</w:t>
      </w:r>
      <w:r>
        <w:t xml:space="preserve">utrient </w:t>
      </w:r>
      <w:r w:rsidR="00F86DE7">
        <w:t>a</w:t>
      </w:r>
      <w:r>
        <w:t xml:space="preserve">dequacy </w:t>
      </w:r>
      <w:r w:rsidR="00F86DE7">
        <w:t>r</w:t>
      </w:r>
      <w:r>
        <w:t>ecommendations</w:t>
      </w:r>
      <w:bookmarkEnd w:id="178"/>
      <w:bookmarkEnd w:id="179"/>
    </w:p>
    <w:p w14:paraId="303F9EE4" w14:textId="202696F9" w:rsidR="00195216" w:rsidRDefault="00FA5FAB" w:rsidP="00195216">
      <w:r>
        <w:t xml:space="preserve">When the available </w:t>
      </w:r>
      <w:r w:rsidR="00195216">
        <w:t>evidence</w:t>
      </w:r>
      <w:r>
        <w:t xml:space="preserve"> allows</w:t>
      </w:r>
      <w:r w:rsidR="00195216">
        <w:t xml:space="preserve">, </w:t>
      </w:r>
      <w:r w:rsidR="00A37A71">
        <w:t xml:space="preserve">the EAR and RDI </w:t>
      </w:r>
      <w:r w:rsidR="00195216">
        <w:t>should be derived based on:</w:t>
      </w:r>
    </w:p>
    <w:p w14:paraId="13BF51B8" w14:textId="549C9876" w:rsidR="00195216" w:rsidRDefault="00195216" w:rsidP="00211F4C">
      <w:pPr>
        <w:pStyle w:val="ListParagraph"/>
        <w:numPr>
          <w:ilvl w:val="0"/>
          <w:numId w:val="21"/>
        </w:numPr>
      </w:pPr>
      <w:r>
        <w:t>Factorial estimates (physiological requirements adjusted to reflect bioavailability), and</w:t>
      </w:r>
      <w:r w:rsidR="005A1B90">
        <w:t>/or</w:t>
      </w:r>
    </w:p>
    <w:p w14:paraId="67E5768F" w14:textId="2B9C31E8" w:rsidR="00460F09" w:rsidRDefault="00195216" w:rsidP="00211F4C">
      <w:pPr>
        <w:pStyle w:val="ListParagraph"/>
        <w:numPr>
          <w:ilvl w:val="0"/>
          <w:numId w:val="21"/>
        </w:numPr>
      </w:pPr>
      <w:r>
        <w:t xml:space="preserve">Dose-response estimates for each of the associations between intake-status, status-health and intake-health (based on </w:t>
      </w:r>
      <w:r w:rsidR="00FF20F7">
        <w:t xml:space="preserve">identified </w:t>
      </w:r>
      <w:r>
        <w:t>evidence), along with an integrated intake-status-health dose-response model, where data allows.</w:t>
      </w:r>
    </w:p>
    <w:p w14:paraId="2D0F8A9B" w14:textId="0E7BCE3F" w:rsidR="00D60E42" w:rsidRDefault="00D60E42" w:rsidP="00D60E42">
      <w:r>
        <w:t xml:space="preserve">Where EAR/RDI cannot be </w:t>
      </w:r>
      <w:r w:rsidR="4776C3FA">
        <w:t>calculated</w:t>
      </w:r>
      <w:r w:rsidR="7838AC56">
        <w:t xml:space="preserve"> </w:t>
      </w:r>
      <w:r>
        <w:t xml:space="preserve">based on the available evidence, an Adequate Intake (AI) may be </w:t>
      </w:r>
      <w:r w:rsidR="4AE219A5">
        <w:t xml:space="preserve">set, based on </w:t>
      </w:r>
      <w:r w:rsidR="005C5679" w:rsidRPr="005C5679">
        <w:t>observed or experimentally</w:t>
      </w:r>
      <w:r w:rsidR="00095794" w:rsidRPr="005C5679">
        <w:t xml:space="preserve"> </w:t>
      </w:r>
      <w:r w:rsidR="005C5679" w:rsidRPr="005C5679">
        <w:t>determined nutrient</w:t>
      </w:r>
      <w:r w:rsidR="00985816">
        <w:t xml:space="preserve"> </w:t>
      </w:r>
      <w:r w:rsidR="4AE219A5">
        <w:t>intakes of apparently healthy populations</w:t>
      </w:r>
      <w:r>
        <w:t>.</w:t>
      </w:r>
    </w:p>
    <w:p w14:paraId="7813B039" w14:textId="3AF5EA01" w:rsidR="00003CCE" w:rsidRDefault="00003CCE" w:rsidP="00D60E42">
      <w:r>
        <w:t xml:space="preserve">Methods for calculating NRVs should be clearly described and documented alongside recommendations, to support transparency and facilitate international adaptation / adoption where relevant. This includes specifying the values used as inputs into any models or formulae, and from where those values have been obtained. </w:t>
      </w:r>
    </w:p>
    <w:p w14:paraId="5191F1C3" w14:textId="4D389014" w:rsidR="008D07D1" w:rsidRDefault="009263E0" w:rsidP="003E2E95">
      <w:pPr>
        <w:pStyle w:val="Heading40"/>
      </w:pPr>
      <w:bookmarkStart w:id="180" w:name="_Toc153967139"/>
      <w:bookmarkStart w:id="181" w:name="_Toc207801085"/>
      <w:bookmarkStart w:id="182" w:name="_Toc207824562"/>
      <w:r>
        <w:t>Estimated Average Requirements (EAR)</w:t>
      </w:r>
      <w:bookmarkEnd w:id="180"/>
      <w:bookmarkEnd w:id="181"/>
      <w:bookmarkEnd w:id="182"/>
    </w:p>
    <w:p w14:paraId="32AF2386" w14:textId="6610F079" w:rsidR="0094413D" w:rsidRDefault="00FB183F" w:rsidP="00FB183F">
      <w:r>
        <w:t xml:space="preserve">The EAR is the nutrient level adequate for 50% of the population (i.e. it is mean requirement). </w:t>
      </w:r>
    </w:p>
    <w:p w14:paraId="33AE9C0C" w14:textId="7AF8E222" w:rsidR="00FB183F" w:rsidRDefault="0094413D" w:rsidP="00FB183F">
      <w:r>
        <w:t>EAR is calculated from s</w:t>
      </w:r>
      <w:r w:rsidR="00FB183F">
        <w:t xml:space="preserve">tudies that </w:t>
      </w:r>
      <w:r>
        <w:t>evaluate the relationship between nutrient dose and</w:t>
      </w:r>
      <w:r w:rsidR="00F251CF">
        <w:t xml:space="preserve"> micronutrient status (i</w:t>
      </w:r>
      <w:r w:rsidR="004B63FF">
        <w:t>.</w:t>
      </w:r>
      <w:r w:rsidR="00F251CF">
        <w:t xml:space="preserve">e. deficiency). Studies that </w:t>
      </w:r>
      <w:r w:rsidR="00FB183F">
        <w:t>test a nutrient dose that lead</w:t>
      </w:r>
      <w:r w:rsidR="00F251CF">
        <w:t>s</w:t>
      </w:r>
      <w:r w:rsidR="00FB183F">
        <w:t xml:space="preserve"> to more or less than 50% of subjects having inadequate intake do not identify the EAR.  However, a scaling could be derived based on the body of evidence using appropriate statistical methods which would allow the EAR to be calculated </w:t>
      </w:r>
      <w:r w:rsidR="00704D61">
        <w:t>by</w:t>
      </w:r>
      <w:r w:rsidR="00FB183F">
        <w:t xml:space="preserve"> determin</w:t>
      </w:r>
      <w:r w:rsidR="00704D61">
        <w:t>ing</w:t>
      </w:r>
      <w:r w:rsidR="00FB183F">
        <w:t xml:space="preserve"> the point at which there is a 50% chance of nutrient adequacy and a 50% chance of nutrient deficiency.</w:t>
      </w:r>
    </w:p>
    <w:p w14:paraId="3CD84A48" w14:textId="37720864" w:rsidR="00C126D5" w:rsidRDefault="00C126D5" w:rsidP="003E2E95">
      <w:pPr>
        <w:pStyle w:val="Heading40"/>
      </w:pPr>
      <w:bookmarkStart w:id="183" w:name="_Toc153967140"/>
      <w:bookmarkStart w:id="184" w:name="_Toc207801086"/>
      <w:bookmarkStart w:id="185" w:name="_Toc207824563"/>
      <w:r>
        <w:t>Recommended Dietary Intake (RDI)</w:t>
      </w:r>
      <w:bookmarkEnd w:id="183"/>
      <w:bookmarkEnd w:id="184"/>
      <w:bookmarkEnd w:id="185"/>
    </w:p>
    <w:p w14:paraId="30FE858E" w14:textId="34D967C6" w:rsidR="00C126D5" w:rsidRDefault="003C7D30" w:rsidP="00C126D5">
      <w:r>
        <w:t xml:space="preserve">The </w:t>
      </w:r>
      <w:r w:rsidR="00C126D5">
        <w:t>RDI indicate</w:t>
      </w:r>
      <w:r>
        <w:t>s</w:t>
      </w:r>
      <w:r w:rsidR="00C126D5">
        <w:t xml:space="preserve"> the intake levels of essential nutrients considered to be adequate to meet the known nutritional needs of </w:t>
      </w:r>
      <w:r w:rsidR="00383A9D">
        <w:t xml:space="preserve">nearly </w:t>
      </w:r>
      <w:r w:rsidR="00C126D5">
        <w:t>all healthy people. That is, the nutrient level is adequate for 97.5% of the population (if the requirement is normally distributed) because it is two standard deviations (SD) above the EAR</w:t>
      </w:r>
      <w:r w:rsidR="009739DB">
        <w:t xml:space="preserve"> (</w:t>
      </w:r>
      <w:r w:rsidR="009739DB">
        <w:fldChar w:fldCharType="begin"/>
      </w:r>
      <w:r w:rsidR="009739DB">
        <w:instrText xml:space="preserve"> REF _Ref197511995 \h </w:instrText>
      </w:r>
      <w:r w:rsidR="009739DB">
        <w:fldChar w:fldCharType="separate"/>
      </w:r>
      <w:r w:rsidR="00783DC4">
        <w:t>Figure 6.</w:t>
      </w:r>
      <w:r w:rsidR="00783DC4">
        <w:rPr>
          <w:noProof/>
        </w:rPr>
        <w:t>3</w:t>
      </w:r>
      <w:r w:rsidR="009739DB">
        <w:fldChar w:fldCharType="end"/>
      </w:r>
      <w:r w:rsidR="009739DB">
        <w:t>)</w:t>
      </w:r>
      <w:r w:rsidR="00C126D5">
        <w:t xml:space="preserve">.   </w:t>
      </w:r>
    </w:p>
    <w:p w14:paraId="0CBCFA32" w14:textId="77777777" w:rsidR="00366AD9" w:rsidRDefault="00366AD9" w:rsidP="00B715B9">
      <w:pPr>
        <w:spacing w:before="0" w:after="0"/>
      </w:pPr>
    </w:p>
    <w:p w14:paraId="1F797CB7" w14:textId="6DFFE339" w:rsidR="00456581" w:rsidRDefault="00045850" w:rsidP="00B715B9">
      <w:pPr>
        <w:spacing w:before="0" w:after="0"/>
      </w:pPr>
      <w:r w:rsidRPr="00162A45">
        <w:rPr>
          <w:noProof/>
        </w:rPr>
        <w:lastRenderedPageBreak/>
        <w:drawing>
          <wp:inline distT="0" distB="0" distL="0" distR="0" wp14:anchorId="6D00CC38" wp14:editId="60926CEA">
            <wp:extent cx="3815080" cy="2962275"/>
            <wp:effectExtent l="0" t="0" r="0" b="9525"/>
            <wp:docPr id="10" name="Picture 10" descr="A normal distribution curve showing EAR positioned at the mean (50th percentile) and RDI at two standard deviations above the mean (97.5th percentile), with standard deviation markers and corresponding percentages of the population distrib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normal distribution curve showing EAR positioned at the mean (50th percentile) and RDI at two standard deviations above the mean (97.5th percentile), with standard deviation markers and corresponding percentages of the population distribution. "/>
                    <pic:cNvPicPr>
                      <a:picLocks noChangeAspect="1" noChangeArrowheads="1"/>
                    </pic:cNvPicPr>
                  </pic:nvPicPr>
                  <pic:blipFill>
                    <a:blip r:embed="rId97" cstate="print">
                      <a:extLst>
                        <a:ext uri="{BEBA8EAE-BF5A-486C-A8C5-ECC9F3942E4B}">
                          <a14:imgProps xmlns:a14="http://schemas.microsoft.com/office/drawing/2010/main">
                            <a14:imgLayer r:embed="rId98">
                              <a14:imgEffect>
                                <a14:colorTemperature colorTemp="4700"/>
                              </a14:imgEffect>
                            </a14:imgLayer>
                          </a14:imgProps>
                        </a:ext>
                        <a:ext uri="{28A0092B-C50C-407E-A947-70E740481C1C}">
                          <a14:useLocalDpi xmlns:a14="http://schemas.microsoft.com/office/drawing/2010/main" val="0"/>
                        </a:ext>
                      </a:extLst>
                    </a:blip>
                    <a:stretch>
                      <a:fillRect/>
                    </a:stretch>
                  </pic:blipFill>
                  <pic:spPr bwMode="auto">
                    <a:xfrm>
                      <a:off x="0" y="0"/>
                      <a:ext cx="3815080" cy="2962275"/>
                    </a:xfrm>
                    <a:prstGeom prst="rect">
                      <a:avLst/>
                    </a:prstGeom>
                    <a:noFill/>
                    <a:ln>
                      <a:noFill/>
                    </a:ln>
                  </pic:spPr>
                </pic:pic>
              </a:graphicData>
            </a:graphic>
          </wp:inline>
        </w:drawing>
      </w:r>
    </w:p>
    <w:p w14:paraId="49F9CA38" w14:textId="77777777" w:rsidR="00366AD9" w:rsidRDefault="00366AD9" w:rsidP="00366AD9">
      <w:pPr>
        <w:pStyle w:val="Caption"/>
      </w:pPr>
      <w:bookmarkStart w:id="186" w:name="_Ref197511995"/>
    </w:p>
    <w:p w14:paraId="6AB30844" w14:textId="7150F5FC" w:rsidR="00366AD9" w:rsidRPr="00E9422D" w:rsidRDefault="00366AD9" w:rsidP="00366AD9">
      <w:pPr>
        <w:pStyle w:val="Caption"/>
        <w:rPr>
          <w:rFonts w:ascii="Gotham Book" w:hAnsi="Gotham Book"/>
          <w:noProof/>
        </w:rPr>
      </w:pPr>
      <w:r>
        <w:t>Figure 6.</w:t>
      </w:r>
      <w:r>
        <w:fldChar w:fldCharType="begin"/>
      </w:r>
      <w:r>
        <w:instrText xml:space="preserve"> SEQ Figure \* ARABIC \s 1 </w:instrText>
      </w:r>
      <w:r>
        <w:fldChar w:fldCharType="separate"/>
      </w:r>
      <w:r>
        <w:rPr>
          <w:noProof/>
        </w:rPr>
        <w:t>3</w:t>
      </w:r>
      <w:r>
        <w:rPr>
          <w:noProof/>
        </w:rPr>
        <w:fldChar w:fldCharType="end"/>
      </w:r>
      <w:bookmarkEnd w:id="186"/>
      <w:r>
        <w:t xml:space="preserve"> </w:t>
      </w:r>
      <w:r w:rsidRPr="0097472E">
        <w:t>Calculation of Recommended Dietary Intake (RDI) as two standard deviations above the Estimated Average Requirement (EAR), covering 97.5% of the population.</w:t>
      </w:r>
    </w:p>
    <w:p w14:paraId="4E85F9A4" w14:textId="752CD1AB" w:rsidR="00366AD9" w:rsidRDefault="00383A9D" w:rsidP="00447866">
      <w:pPr>
        <w:spacing w:before="0"/>
      </w:pPr>
      <w:r>
        <w:t>The</w:t>
      </w:r>
      <w:r w:rsidR="00C126D5">
        <w:tab/>
        <w:t xml:space="preserve"> RDI </w:t>
      </w:r>
      <w:r w:rsidR="00704D61">
        <w:t xml:space="preserve">is </w:t>
      </w:r>
      <w:r w:rsidR="00DA75FA">
        <w:t xml:space="preserve">calculated from the </w:t>
      </w:r>
      <w:r w:rsidR="00C126D5">
        <w:t>EAR</w:t>
      </w:r>
      <w:r w:rsidR="00704D61">
        <w:t xml:space="preserve">, </w:t>
      </w:r>
      <w:r w:rsidR="00714AC5">
        <w:t xml:space="preserve">based on </w:t>
      </w:r>
      <w:r w:rsidR="001E1E36">
        <w:t xml:space="preserve">individual </w:t>
      </w:r>
      <w:r w:rsidR="00704D61">
        <w:t xml:space="preserve">variability </w:t>
      </w:r>
      <w:r w:rsidR="00714AC5">
        <w:t xml:space="preserve">in nutritional requirements </w:t>
      </w:r>
      <w:r w:rsidR="001E1E36">
        <w:t>within the population</w:t>
      </w:r>
      <w:r w:rsidR="00704D61">
        <w:t>. W</w:t>
      </w:r>
      <w:r w:rsidR="00DA75FA">
        <w:t xml:space="preserve">here </w:t>
      </w:r>
      <w:r w:rsidR="001E1E36">
        <w:t xml:space="preserve">there is sufficient </w:t>
      </w:r>
      <w:r w:rsidR="00DA75FA">
        <w:t>data about the variability in requirements to calculate a standard deviation</w:t>
      </w:r>
      <w:r w:rsidR="001E1E36">
        <w:t>, the RDI can be calculated as</w:t>
      </w:r>
      <w:r w:rsidR="00AF22D8">
        <w:t>:</w:t>
      </w:r>
    </w:p>
    <w:p w14:paraId="5F449962" w14:textId="25BE0A46" w:rsidR="00366AD9" w:rsidRPr="00366AD9" w:rsidRDefault="00366AD9" w:rsidP="00366AD9">
      <w:pPr>
        <w:pStyle w:val="Yellowbox"/>
      </w:pPr>
      <w:r w:rsidRPr="00366AD9">
        <w:t>RDI = EAR + 2SD of EAR</w:t>
      </w:r>
    </w:p>
    <w:p w14:paraId="4208363E" w14:textId="3B44131F" w:rsidR="00945443" w:rsidRDefault="00851AEB" w:rsidP="00851AEB">
      <w:r>
        <w:t xml:space="preserve">If data about variability in requirements are insufficient to calculate the SD, a coefficient of variation (CV) is used. </w:t>
      </w:r>
    </w:p>
    <w:p w14:paraId="32B27057" w14:textId="4DE4A99E" w:rsidR="00851AEB" w:rsidRDefault="00945443" w:rsidP="00851AEB">
      <w:r>
        <w:t>Unless there is available data to indicate that greater variation is probable for a particular nutrient, a</w:t>
      </w:r>
      <w:r w:rsidR="00851AEB">
        <w:t xml:space="preserve"> CV of 10% </w:t>
      </w:r>
      <w:r>
        <w:t>is applied</w:t>
      </w:r>
      <w:r w:rsidR="00851AEB">
        <w:t xml:space="preserve">. The 10% is based on extensive data on variation in basal metabolic rate and protein requirements. </w:t>
      </w:r>
      <w:r w:rsidR="008977DD">
        <w:fldChar w:fldCharType="begin"/>
      </w:r>
      <w:r w:rsidR="008977DD">
        <w:instrText xml:space="preserve"> REF _Ref197344235 \h </w:instrText>
      </w:r>
      <w:r w:rsidR="008977DD">
        <w:fldChar w:fldCharType="separate"/>
      </w:r>
      <w:r w:rsidR="00783DC4">
        <w:t>Table 6.</w:t>
      </w:r>
      <w:r w:rsidR="00783DC4">
        <w:rPr>
          <w:noProof/>
        </w:rPr>
        <w:t>1</w:t>
      </w:r>
      <w:r w:rsidR="008977DD">
        <w:fldChar w:fldCharType="end"/>
      </w:r>
      <w:r w:rsidR="008977DD">
        <w:t xml:space="preserve"> </w:t>
      </w:r>
      <w:r w:rsidR="00851AEB">
        <w:t xml:space="preserve">outlines the calculations required to determine RDIs using the CV. </w:t>
      </w:r>
    </w:p>
    <w:p w14:paraId="028C8357" w14:textId="75D75DE2" w:rsidR="00851AEB" w:rsidRPr="00366AD9" w:rsidRDefault="00366AD9" w:rsidP="00366AD9">
      <w:pPr>
        <w:pStyle w:val="Yellowbox"/>
      </w:pPr>
      <w:r w:rsidRPr="00366AD9">
        <w:t>Variability in requirements:</w:t>
      </w:r>
      <w:r w:rsidRPr="000A5881">
        <w:t xml:space="preserve"> </w:t>
      </w:r>
      <w:r w:rsidRPr="000A5881">
        <w:tab/>
      </w:r>
      <w:r w:rsidRPr="00D87BFC">
        <w:t>RDI = EAR + 2CV</w:t>
      </w:r>
    </w:p>
    <w:p w14:paraId="66F1A362" w14:textId="77777777" w:rsidR="00045850" w:rsidRPr="005D7120" w:rsidRDefault="00045850" w:rsidP="00851AEB">
      <w:pPr>
        <w:rPr>
          <w:b/>
          <w:color w:val="09002E" w:themeColor="text2"/>
        </w:rPr>
      </w:pPr>
    </w:p>
    <w:p w14:paraId="00F2EDE8" w14:textId="7E125854" w:rsidR="003D6BF6" w:rsidRDefault="003D6BF6" w:rsidP="00A81823">
      <w:pPr>
        <w:pStyle w:val="Caption"/>
        <w:keepNext/>
      </w:pPr>
      <w:bookmarkStart w:id="187" w:name="_Ref197344235"/>
      <w:r>
        <w:lastRenderedPageBreak/>
        <w:t xml:space="preserve">Table </w:t>
      </w:r>
      <w:r w:rsidR="00597BFE">
        <w:t>6</w:t>
      </w:r>
      <w:bookmarkEnd w:id="187"/>
      <w:r w:rsidR="00522E50">
        <w:t>.</w:t>
      </w:r>
      <w:r w:rsidR="007C794C">
        <w:t>1</w:t>
      </w:r>
      <w:r>
        <w:t xml:space="preserve"> </w:t>
      </w:r>
      <w:r w:rsidRPr="0097472E">
        <w:t>Calculating RDIs using coefficient of variation values</w:t>
      </w:r>
    </w:p>
    <w:tbl>
      <w:tblPr>
        <w:tblStyle w:val="DefaultTable1"/>
        <w:tblW w:w="5000" w:type="pct"/>
        <w:tblLook w:val="0420" w:firstRow="1" w:lastRow="0" w:firstColumn="0" w:lastColumn="0" w:noHBand="0" w:noVBand="1"/>
      </w:tblPr>
      <w:tblGrid>
        <w:gridCol w:w="3566"/>
        <w:gridCol w:w="6289"/>
      </w:tblGrid>
      <w:tr w:rsidR="00851AEB" w14:paraId="0E0924BC" w14:textId="77777777" w:rsidTr="008D6050">
        <w:trPr>
          <w:cnfStyle w:val="100000000000" w:firstRow="1" w:lastRow="0" w:firstColumn="0" w:lastColumn="0" w:oddVBand="0" w:evenVBand="0" w:oddHBand="0" w:evenHBand="0" w:firstRowFirstColumn="0" w:firstRowLastColumn="0" w:lastRowFirstColumn="0" w:lastRowLastColumn="0"/>
        </w:trPr>
        <w:tc>
          <w:tcPr>
            <w:tcW w:w="1809" w:type="pct"/>
          </w:tcPr>
          <w:p w14:paraId="3DFA8CE4" w14:textId="77777777" w:rsidR="00851AEB" w:rsidRPr="00E67CA5" w:rsidRDefault="00851AEB" w:rsidP="00C22B60">
            <w:pPr>
              <w:keepNext/>
              <w:keepLines/>
              <w:spacing w:line="240" w:lineRule="auto"/>
              <w:jc w:val="center"/>
            </w:pPr>
            <w:r w:rsidRPr="00E67CA5">
              <w:t>CV</w:t>
            </w:r>
          </w:p>
        </w:tc>
        <w:tc>
          <w:tcPr>
            <w:tcW w:w="3191" w:type="pct"/>
          </w:tcPr>
          <w:p w14:paraId="4FFBE83C" w14:textId="77777777" w:rsidR="00851AEB" w:rsidRPr="00E67CA5" w:rsidRDefault="00851AEB" w:rsidP="00C22B60">
            <w:pPr>
              <w:keepNext/>
              <w:keepLines/>
              <w:spacing w:line="240" w:lineRule="auto"/>
              <w:jc w:val="center"/>
            </w:pPr>
            <w:r w:rsidRPr="00E67CA5">
              <w:t>RDI Equation</w:t>
            </w:r>
          </w:p>
        </w:tc>
      </w:tr>
      <w:tr w:rsidR="00592D0B" w14:paraId="54B07F92" w14:textId="77777777" w:rsidTr="008D6050">
        <w:trPr>
          <w:cnfStyle w:val="000000100000" w:firstRow="0" w:lastRow="0" w:firstColumn="0" w:lastColumn="0" w:oddVBand="0" w:evenVBand="0" w:oddHBand="1" w:evenHBand="0" w:firstRowFirstColumn="0" w:firstRowLastColumn="0" w:lastRowFirstColumn="0" w:lastRowLastColumn="0"/>
        </w:trPr>
        <w:tc>
          <w:tcPr>
            <w:tcW w:w="1809" w:type="pct"/>
          </w:tcPr>
          <w:p w14:paraId="0FD2F919" w14:textId="77777777" w:rsidR="00851AEB" w:rsidRPr="00DC7675" w:rsidRDefault="00851AEB" w:rsidP="00C22B60">
            <w:pPr>
              <w:keepNext/>
              <w:keepLines/>
              <w:spacing w:line="240" w:lineRule="auto"/>
              <w:jc w:val="center"/>
              <w:rPr>
                <w:b/>
                <w:bCs/>
              </w:rPr>
            </w:pPr>
            <w:r w:rsidRPr="00DC7675">
              <w:t>10%</w:t>
            </w:r>
          </w:p>
        </w:tc>
        <w:tc>
          <w:tcPr>
            <w:tcW w:w="3191" w:type="pct"/>
          </w:tcPr>
          <w:p w14:paraId="2BAADB6C" w14:textId="1CE43EF9" w:rsidR="00851AEB" w:rsidRPr="00E67CA5" w:rsidRDefault="00364684" w:rsidP="00C22B60">
            <w:pPr>
              <w:keepNext/>
              <w:keepLines/>
              <w:spacing w:line="240" w:lineRule="auto"/>
              <w:jc w:val="center"/>
            </w:pPr>
            <w:r>
              <w:t xml:space="preserve">RDI = </w:t>
            </w:r>
            <w:r w:rsidR="00851AEB" w:rsidRPr="00E67CA5">
              <w:t>EAR x 1.2</w:t>
            </w:r>
          </w:p>
        </w:tc>
      </w:tr>
      <w:tr w:rsidR="00592D0B" w14:paraId="799D99AA" w14:textId="77777777" w:rsidTr="008D6050">
        <w:trPr>
          <w:cnfStyle w:val="000000010000" w:firstRow="0" w:lastRow="0" w:firstColumn="0" w:lastColumn="0" w:oddVBand="0" w:evenVBand="0" w:oddHBand="0" w:evenHBand="1" w:firstRowFirstColumn="0" w:firstRowLastColumn="0" w:lastRowFirstColumn="0" w:lastRowLastColumn="0"/>
        </w:trPr>
        <w:tc>
          <w:tcPr>
            <w:tcW w:w="1809" w:type="pct"/>
          </w:tcPr>
          <w:p w14:paraId="121AECDE" w14:textId="77777777" w:rsidR="00851AEB" w:rsidRPr="00DC7675" w:rsidRDefault="00851AEB" w:rsidP="00C22B60">
            <w:pPr>
              <w:keepNext/>
              <w:keepLines/>
              <w:spacing w:line="240" w:lineRule="auto"/>
              <w:jc w:val="center"/>
              <w:rPr>
                <w:b/>
                <w:bCs/>
              </w:rPr>
            </w:pPr>
            <w:r w:rsidRPr="00DC7675">
              <w:t>15%</w:t>
            </w:r>
          </w:p>
        </w:tc>
        <w:tc>
          <w:tcPr>
            <w:tcW w:w="3191" w:type="pct"/>
          </w:tcPr>
          <w:p w14:paraId="2DFDB88C" w14:textId="12312873" w:rsidR="00851AEB" w:rsidRPr="00E67CA5" w:rsidRDefault="00364684" w:rsidP="00C22B60">
            <w:pPr>
              <w:keepNext/>
              <w:keepLines/>
              <w:spacing w:line="240" w:lineRule="auto"/>
              <w:jc w:val="center"/>
            </w:pPr>
            <w:r>
              <w:t xml:space="preserve">RDI = </w:t>
            </w:r>
            <w:r w:rsidR="00851AEB" w:rsidRPr="00E67CA5">
              <w:t>EAR x 1.3</w:t>
            </w:r>
          </w:p>
        </w:tc>
      </w:tr>
      <w:tr w:rsidR="00592D0B" w14:paraId="5AFEDF98" w14:textId="77777777" w:rsidTr="008D6050">
        <w:trPr>
          <w:cnfStyle w:val="000000100000" w:firstRow="0" w:lastRow="0" w:firstColumn="0" w:lastColumn="0" w:oddVBand="0" w:evenVBand="0" w:oddHBand="1" w:evenHBand="0" w:firstRowFirstColumn="0" w:firstRowLastColumn="0" w:lastRowFirstColumn="0" w:lastRowLastColumn="0"/>
        </w:trPr>
        <w:tc>
          <w:tcPr>
            <w:tcW w:w="1809" w:type="pct"/>
          </w:tcPr>
          <w:p w14:paraId="2E1D018D" w14:textId="77777777" w:rsidR="00851AEB" w:rsidRPr="00DC7675" w:rsidRDefault="00851AEB" w:rsidP="00C22B60">
            <w:pPr>
              <w:keepNext/>
              <w:keepLines/>
              <w:spacing w:line="240" w:lineRule="auto"/>
              <w:jc w:val="center"/>
              <w:rPr>
                <w:b/>
                <w:bCs/>
              </w:rPr>
            </w:pPr>
            <w:r w:rsidRPr="00DC7675">
              <w:t>20%</w:t>
            </w:r>
          </w:p>
        </w:tc>
        <w:tc>
          <w:tcPr>
            <w:tcW w:w="3191" w:type="pct"/>
          </w:tcPr>
          <w:p w14:paraId="29D13C31" w14:textId="73EF4359" w:rsidR="00851AEB" w:rsidRDefault="00364684" w:rsidP="00C22B60">
            <w:pPr>
              <w:keepNext/>
              <w:keepLines/>
              <w:spacing w:line="240" w:lineRule="auto"/>
              <w:jc w:val="center"/>
            </w:pPr>
            <w:r>
              <w:t xml:space="preserve">RDI = </w:t>
            </w:r>
            <w:r w:rsidR="00851AEB" w:rsidRPr="00E67CA5">
              <w:t>EAR x 1.4</w:t>
            </w:r>
          </w:p>
        </w:tc>
      </w:tr>
    </w:tbl>
    <w:p w14:paraId="35A825C4" w14:textId="77777777" w:rsidR="00F32556" w:rsidRDefault="00F32556" w:rsidP="0074383F"/>
    <w:p w14:paraId="6CCA3EFE" w14:textId="488A5D02" w:rsidR="00F32556" w:rsidRDefault="0074383F" w:rsidP="0074383F">
      <w:r>
        <w:t>For example, if the EAR for B12 for adults is 2.0µg/day, RDI = 2.0µg/day x 1.2 = 2.4µg/day</w:t>
      </w:r>
    </w:p>
    <w:p w14:paraId="7491FE86" w14:textId="0D7DBDAC" w:rsidR="00792295" w:rsidRDefault="00741220" w:rsidP="003E2E95">
      <w:pPr>
        <w:pStyle w:val="Heading40"/>
      </w:pPr>
      <w:bookmarkStart w:id="188" w:name="_Toc153967141"/>
      <w:bookmarkStart w:id="189" w:name="_Toc207801087"/>
      <w:bookmarkStart w:id="190" w:name="_Toc207824564"/>
      <w:r>
        <w:t>Adequate Intake (AI</w:t>
      </w:r>
      <w:r w:rsidR="00792295">
        <w:t>)</w:t>
      </w:r>
      <w:bookmarkEnd w:id="188"/>
      <w:bookmarkEnd w:id="189"/>
      <w:bookmarkEnd w:id="190"/>
    </w:p>
    <w:p w14:paraId="57FF1BBE" w14:textId="7B44C01D" w:rsidR="008F746A" w:rsidRDefault="008F746A" w:rsidP="0074383F">
      <w:r w:rsidRPr="008F746A">
        <w:t>An AI is the average (</w:t>
      </w:r>
      <w:r w:rsidR="003B73A8">
        <w:t>mean</w:t>
      </w:r>
      <w:r w:rsidRPr="008F746A">
        <w:t>) daily level of intake based on observed or experimentally determined approximations or estimates of nutrient intake, by a group (or groups) of apparently healthy people.</w:t>
      </w:r>
    </w:p>
    <w:p w14:paraId="34B0FB44" w14:textId="5C5F885C" w:rsidR="00792295" w:rsidRDefault="00792295" w:rsidP="0074383F">
      <w:r>
        <w:t>AI can be calculated based on:</w:t>
      </w:r>
    </w:p>
    <w:p w14:paraId="48404F51" w14:textId="783D11A5" w:rsidR="0049236F" w:rsidRDefault="0068694C" w:rsidP="00211F4C">
      <w:pPr>
        <w:pStyle w:val="ListParagraph"/>
        <w:numPr>
          <w:ilvl w:val="0"/>
          <w:numId w:val="23"/>
        </w:numPr>
      </w:pPr>
      <w:r>
        <w:t>experimental evidence, or</w:t>
      </w:r>
    </w:p>
    <w:p w14:paraId="138EEC58" w14:textId="01ADB14B" w:rsidR="0068694C" w:rsidRDefault="00634E0C" w:rsidP="00211F4C">
      <w:pPr>
        <w:pStyle w:val="ListParagraph"/>
        <w:numPr>
          <w:ilvl w:val="0"/>
          <w:numId w:val="23"/>
        </w:numPr>
      </w:pPr>
      <w:r>
        <w:t xml:space="preserve">mean intake in the Australian/New Zealand population, where it can reasonably be assumed that the population is not deficient in that </w:t>
      </w:r>
      <w:r w:rsidR="00747717">
        <w:t>nutrient</w:t>
      </w:r>
    </w:p>
    <w:p w14:paraId="6405E824" w14:textId="77777777" w:rsidR="00741220" w:rsidRDefault="00741220" w:rsidP="00510C18">
      <w:r>
        <w:t xml:space="preserve">While both the RDI and AI can be used as a goal for individual intake, there is significantly less certainty about the AI value as it depends to a greater degree on the judgement of the Expert Working Group. An AI might deviate significantly from and be numerically higher than an RDI, if the RDI could be determined. </w:t>
      </w:r>
    </w:p>
    <w:p w14:paraId="51A797DA" w14:textId="1C4AB22D" w:rsidR="00741220" w:rsidRDefault="00741220" w:rsidP="00510C18">
      <w:r>
        <w:t>Where AIs are based on mean population intakes of assumed healthy populations (</w:t>
      </w:r>
      <w:r w:rsidR="0035524A">
        <w:t>e</w:t>
      </w:r>
      <w:r w:rsidR="00865B98">
        <w:t>.</w:t>
      </w:r>
      <w:r w:rsidR="0035524A">
        <w:t xml:space="preserve">g. </w:t>
      </w:r>
      <w:r>
        <w:t xml:space="preserve">derived from national nutrition survey data), the assessment of the adequacy for an individual or population is made with less confidence. The use of mean population intakes </w:t>
      </w:r>
      <w:r w:rsidR="00EA24E2">
        <w:t>is</w:t>
      </w:r>
      <w:r>
        <w:t xml:space="preserve"> not suitable for some nutrients where the current intake exceeds the Suggested Dietary Target, e.g. sodium. </w:t>
      </w:r>
    </w:p>
    <w:p w14:paraId="257959D1" w14:textId="0194243D" w:rsidR="00741220" w:rsidRDefault="00741220" w:rsidP="0035524A">
      <w:r>
        <w:t xml:space="preserve">This assumption means that any AIs should be set with great caution. Instances where AIs are relevant for assessing individual risk are infrequent due to issues with reliability. Rationale for setting AIs must be clearly </w:t>
      </w:r>
      <w:r w:rsidDel="00727A0D">
        <w:t>outlined</w:t>
      </w:r>
      <w:r w:rsidR="00727A0D">
        <w:t>,</w:t>
      </w:r>
      <w:r>
        <w:t xml:space="preserve"> and the evaluation of evidence process closely followed.</w:t>
      </w:r>
    </w:p>
    <w:p w14:paraId="4844FA60" w14:textId="77777777" w:rsidR="00C317E0" w:rsidRDefault="00C317E0" w:rsidP="00C317E0">
      <w:r w:rsidRPr="00607254">
        <w:t xml:space="preserve">The AI for infants is nearly always set according to the mean amount of nutrient in human milk consumed daily by healthy, exclusively breastfed infants less than 6 months of age. </w:t>
      </w:r>
    </w:p>
    <w:p w14:paraId="59607C43" w14:textId="7F1EF21C" w:rsidR="00C317E0" w:rsidRDefault="00C317E0" w:rsidP="00C317E0">
      <w:r w:rsidRPr="00607254">
        <w:t>The equation for the AI of young infants is:</w:t>
      </w:r>
    </w:p>
    <w:p w14:paraId="1678272F" w14:textId="77777777" w:rsidR="00366AD9" w:rsidRPr="00366AD9" w:rsidRDefault="00366AD9" w:rsidP="00366AD9">
      <w:pPr>
        <w:pStyle w:val="Yellowbox"/>
        <w:jc w:val="center"/>
        <w:rPr>
          <w:rFonts w:ascii="Cambria Math" w:hAnsi="Cambria Math"/>
        </w:rPr>
      </w:pPr>
      <w:proofErr w:type="spellStart"/>
      <w:r w:rsidRPr="00366AD9">
        <w:rPr>
          <w:rFonts w:ascii="Cambria Math" w:hAnsi="Cambria Math"/>
        </w:rPr>
        <w:t>AI</w:t>
      </w:r>
      <w:r w:rsidRPr="00366AD9">
        <w:rPr>
          <w:rFonts w:ascii="Cambria Math" w:hAnsi="Cambria Math"/>
          <w:vertAlign w:val="subscript"/>
        </w:rPr>
        <w:t>young</w:t>
      </w:r>
      <w:proofErr w:type="spellEnd"/>
      <w:r w:rsidRPr="00366AD9">
        <w:rPr>
          <w:rFonts w:ascii="Cambria Math" w:hAnsi="Cambria Math"/>
          <w:vertAlign w:val="subscript"/>
        </w:rPr>
        <w:t xml:space="preserve"> infant</w:t>
      </w:r>
      <w:r w:rsidRPr="00366AD9">
        <w:rPr>
          <w:rFonts w:ascii="Cambria Math" w:hAnsi="Cambria Math"/>
        </w:rPr>
        <w:t xml:space="preserve"> = Nutrient </w:t>
      </w:r>
      <w:proofErr w:type="spellStart"/>
      <w:r w:rsidRPr="00366AD9">
        <w:rPr>
          <w:rFonts w:ascii="Cambria Math" w:hAnsi="Cambria Math"/>
        </w:rPr>
        <w:t>concentration</w:t>
      </w:r>
      <w:r w:rsidRPr="00366AD9">
        <w:rPr>
          <w:rFonts w:ascii="Cambria Math" w:hAnsi="Cambria Math"/>
          <w:vertAlign w:val="subscript"/>
        </w:rPr>
        <w:t>mean</w:t>
      </w:r>
      <w:proofErr w:type="spellEnd"/>
      <w:r w:rsidRPr="00366AD9">
        <w:rPr>
          <w:rFonts w:ascii="Cambria Math" w:hAnsi="Cambria Math"/>
        </w:rPr>
        <w:t xml:space="preserve"> human milk x daily </w:t>
      </w:r>
      <w:proofErr w:type="spellStart"/>
      <w:r w:rsidRPr="00366AD9">
        <w:rPr>
          <w:rFonts w:ascii="Cambria Math" w:hAnsi="Cambria Math"/>
        </w:rPr>
        <w:t>volume</w:t>
      </w:r>
      <w:r w:rsidRPr="00366AD9">
        <w:rPr>
          <w:rFonts w:ascii="Cambria Math" w:hAnsi="Cambria Math"/>
          <w:vertAlign w:val="subscript"/>
        </w:rPr>
        <w:t>mean</w:t>
      </w:r>
      <w:proofErr w:type="spellEnd"/>
      <w:r w:rsidRPr="00366AD9">
        <w:rPr>
          <w:rFonts w:ascii="Cambria Math" w:hAnsi="Cambria Math"/>
        </w:rPr>
        <w:t xml:space="preserve"> human milk consumed/lost through lactation</w:t>
      </w:r>
    </w:p>
    <w:p w14:paraId="30FDDF9C" w14:textId="77777777" w:rsidR="00366AD9" w:rsidRDefault="00366AD9" w:rsidP="00C317E0"/>
    <w:p w14:paraId="3146E77F" w14:textId="2A32A217" w:rsidR="00C317E0" w:rsidRDefault="00C317E0" w:rsidP="0035524A">
      <w:r>
        <w:lastRenderedPageBreak/>
        <w:t>N</w:t>
      </w:r>
      <w:r w:rsidRPr="00607254">
        <w:t>utrient composition of human milk varies dur</w:t>
      </w:r>
      <w:r>
        <w:t>ing</w:t>
      </w:r>
      <w:r w:rsidRPr="00607254">
        <w:t xml:space="preserve"> lactation, between and within feeds and </w:t>
      </w:r>
      <w:r>
        <w:t>with</w:t>
      </w:r>
      <w:r w:rsidRPr="00607254">
        <w:t xml:space="preserve"> maternal diet, as well as the sex and size of the infant</w:t>
      </w:r>
      <w:r>
        <w:t>.</w:t>
      </w:r>
      <w:r w:rsidRPr="00607254">
        <w:t xml:space="preserve"> Nutrient composition data </w:t>
      </w:r>
      <w:r>
        <w:t>for</w:t>
      </w:r>
      <w:r w:rsidRPr="00607254">
        <w:t xml:space="preserve"> human milk should </w:t>
      </w:r>
      <w:r>
        <w:t xml:space="preserve">be based on </w:t>
      </w:r>
      <w:r w:rsidRPr="00607254">
        <w:t>a representative sample of adequately nourished lactating women</w:t>
      </w:r>
      <w:r w:rsidRPr="002B0236">
        <w:t xml:space="preserve"> EFSA (2013)</w:t>
      </w:r>
      <w:r>
        <w:t>.</w:t>
      </w:r>
    </w:p>
    <w:p w14:paraId="41A436E7" w14:textId="363C8D13" w:rsidR="00753FF2" w:rsidRPr="00753FF2" w:rsidRDefault="00753FF2" w:rsidP="00753FF2">
      <w:pPr>
        <w:pStyle w:val="Boxed1Bullet"/>
        <w:numPr>
          <w:ilvl w:val="0"/>
          <w:numId w:val="0"/>
        </w:numPr>
        <w:ind w:left="567" w:hanging="283"/>
        <w:rPr>
          <w:rFonts w:ascii="Gotham Medium" w:eastAsiaTheme="majorEastAsia" w:hAnsi="Gotham Medium" w:cstheme="majorBidi"/>
          <w:color w:val="09002E" w:themeColor="text2"/>
          <w:kern w:val="28"/>
          <w:sz w:val="32"/>
          <w:szCs w:val="36"/>
        </w:rPr>
      </w:pPr>
      <w:r>
        <w:t>Further information about deriving an AI is provided in:</w:t>
      </w:r>
    </w:p>
    <w:p w14:paraId="6BAD303A" w14:textId="77777777" w:rsidR="00ED28E4" w:rsidRPr="00B0311B" w:rsidRDefault="00656423" w:rsidP="00211F4C">
      <w:pPr>
        <w:pStyle w:val="Boxed1Bullet"/>
        <w:numPr>
          <w:ilvl w:val="0"/>
          <w:numId w:val="62"/>
        </w:numPr>
        <w:rPr>
          <w:rFonts w:ascii="Gotham Medium" w:eastAsiaTheme="majorEastAsia" w:hAnsi="Gotham Medium" w:cstheme="majorBidi"/>
          <w:color w:val="09002E" w:themeColor="text2"/>
          <w:kern w:val="28"/>
          <w:sz w:val="32"/>
          <w:szCs w:val="36"/>
        </w:rPr>
      </w:pP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 </w:instrText>
      </w:r>
      <w:r>
        <w:fldChar w:fldCharType="begin">
          <w:fldData xml:space="preserve">PEVuZE5vdGU+PENpdGUgQXV0aG9yWWVhcj0iMSI+PEF1dGhvcj5EaG9udWtzaGUtUnV0dGVuPC9B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</w:fldData>
        </w:fldChar>
      </w:r>
      <w:r>
        <w:instrText xml:space="preserve"> ADDIN EN.CITE.DATA </w:instrText>
      </w:r>
      <w:r>
        <w:fldChar w:fldCharType="end"/>
      </w:r>
      <w:r>
        <w:fldChar w:fldCharType="separate"/>
      </w:r>
      <w:r>
        <w:rPr>
          <w:noProof/>
        </w:rPr>
        <w:t>Dhonukshe-Rutten et al. (2013)</w:t>
      </w:r>
      <w:r>
        <w:fldChar w:fldCharType="end"/>
      </w:r>
      <w:r w:rsidRPr="00A566FA">
        <w:t xml:space="preserve"> </w:t>
      </w:r>
      <w:r w:rsidRPr="00675CE3">
        <w:t xml:space="preserve">EURRECA-Evidence-based methodology for deriving micronutrient recommendations. </w:t>
      </w:r>
      <w:r w:rsidRPr="00675CE3">
        <w:rPr>
          <w:i/>
          <w:iCs/>
        </w:rPr>
        <w:t xml:space="preserve">Crit Rev Food Sci </w:t>
      </w:r>
      <w:proofErr w:type="spellStart"/>
      <w:r w:rsidRPr="00675CE3">
        <w:rPr>
          <w:i/>
          <w:iCs/>
        </w:rPr>
        <w:t>Nutr</w:t>
      </w:r>
      <w:proofErr w:type="spellEnd"/>
      <w:r w:rsidRPr="00675CE3">
        <w:t>,</w:t>
      </w:r>
      <w:r w:rsidRPr="00675CE3">
        <w:rPr>
          <w:i/>
          <w:iCs/>
        </w:rPr>
        <w:t xml:space="preserve"> 53</w:t>
      </w:r>
      <w:r w:rsidRPr="00675CE3">
        <w:t xml:space="preserve">(10), 999-1040. </w:t>
      </w:r>
      <w:hyperlink r:id="rId99" w:history="1">
        <w:r w:rsidRPr="000163C7">
          <w:rPr>
            <w:rStyle w:val="Hyperlink"/>
            <w:color w:val="006CBC"/>
          </w:rPr>
          <w:t>https://doi.org/10.1080/10408398.2012.749209</w:t>
        </w:r>
      </w:hyperlink>
    </w:p>
    <w:p w14:paraId="5D7DA673" w14:textId="1BE8002A" w:rsidR="00116E90" w:rsidRDefault="00B0311B" w:rsidP="00211F4C">
      <w:pPr>
        <w:pStyle w:val="Boxed1Bullet"/>
        <w:numPr>
          <w:ilvl w:val="0"/>
          <w:numId w:val="62"/>
        </w:numPr>
        <w:rPr>
          <w:rFonts w:ascii="Gotham Medium" w:eastAsiaTheme="majorEastAsia" w:hAnsi="Gotham Medium" w:cstheme="majorBidi"/>
          <w:color w:val="09002E" w:themeColor="text2"/>
          <w:kern w:val="28"/>
          <w:sz w:val="32"/>
          <w:szCs w:val="36"/>
        </w:rPr>
      </w:pPr>
      <w:r>
        <w:fldChar w:fldCharType="begin"/>
      </w:r>
      <w:r>
        <w:instrText xml:space="preserve"> ADDIN EN.CITE &lt;EndNote&gt;&lt;Cite AuthorYear="1"&gt;&lt;Author&gt;FAO&lt;/Author&gt;&lt;Year&gt;2024&lt;/Year&gt;&lt;RecNum&gt;112&lt;/RecNum&gt;&lt;DisplayText&gt;FAO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fldChar w:fldCharType="separate"/>
      </w:r>
      <w:r>
        <w:rPr>
          <w:noProof/>
        </w:rPr>
        <w:t>FAO (2024)</w:t>
      </w:r>
      <w:r>
        <w:fldChar w:fldCharType="end"/>
      </w:r>
      <w:r w:rsidR="005E206D" w:rsidRPr="005E206D">
        <w:t xml:space="preserve"> </w:t>
      </w:r>
      <w:r w:rsidR="005E206D" w:rsidRPr="005E206D">
        <w:rPr>
          <w:i/>
          <w:iCs/>
        </w:rPr>
        <w:t>Review of derivation methods for dietary intake reference values for older infants and young children – FAO request for scientific advice to develop general principles for the establishment of Codex nutrient reference values for older infants and young children.</w:t>
      </w:r>
      <w:r w:rsidR="005E206D" w:rsidRPr="005E206D">
        <w:t xml:space="preserve"> Food and Agriculture Organization of the United Nations. </w:t>
      </w:r>
      <w:hyperlink r:id="rId100" w:history="1">
        <w:r w:rsidR="005D2C57" w:rsidRPr="000163C7">
          <w:rPr>
            <w:rStyle w:val="Hyperlink"/>
            <w:color w:val="006CBC"/>
          </w:rPr>
          <w:t>https://doi.org/10.4060/cb9380en</w:t>
        </w:r>
      </w:hyperlink>
      <w:r w:rsidR="005D2C57">
        <w:t xml:space="preserve"> </w:t>
      </w:r>
      <w:r w:rsidR="00116E90">
        <w:br w:type="page"/>
      </w:r>
    </w:p>
    <w:p w14:paraId="4C85E4B0" w14:textId="69A99B11" w:rsidR="00A825C6" w:rsidRDefault="00FA12A5" w:rsidP="00366AD9">
      <w:pPr>
        <w:pStyle w:val="Heading30"/>
        <w:spacing w:before="240" w:after="240"/>
      </w:pPr>
      <w:bookmarkStart w:id="191" w:name="_Toc153967142"/>
      <w:bookmarkStart w:id="192" w:name="_Toc207801088"/>
      <w:bookmarkStart w:id="193" w:name="_Toc207824565"/>
      <w:r>
        <w:lastRenderedPageBreak/>
        <w:t xml:space="preserve">Deriving </w:t>
      </w:r>
      <w:r w:rsidR="00877527">
        <w:t xml:space="preserve">Upper Levels </w:t>
      </w:r>
      <w:r w:rsidR="001D19B0">
        <w:t xml:space="preserve">(UL) </w:t>
      </w:r>
      <w:r w:rsidR="00877527">
        <w:t xml:space="preserve">of </w:t>
      </w:r>
      <w:bookmarkEnd w:id="191"/>
      <w:r w:rsidR="00F86DE7">
        <w:t>i</w:t>
      </w:r>
      <w:r w:rsidR="00877527">
        <w:t xml:space="preserve">ntake </w:t>
      </w:r>
      <w:r w:rsidR="00F86DE7">
        <w:t>r</w:t>
      </w:r>
      <w:r w:rsidR="00877527">
        <w:t>ecommendations</w:t>
      </w:r>
      <w:bookmarkEnd w:id="192"/>
      <w:bookmarkEnd w:id="193"/>
    </w:p>
    <w:p w14:paraId="258649D9" w14:textId="1E5F69C5" w:rsidR="002F5A56" w:rsidRDefault="002F5A56" w:rsidP="00366AD9">
      <w:pPr>
        <w:spacing w:before="60"/>
        <w:rPr>
          <w:lang w:eastAsia="en-US"/>
        </w:rPr>
      </w:pPr>
      <w:r w:rsidRPr="00304203">
        <w:rPr>
          <w:lang w:eastAsia="en-US"/>
        </w:rPr>
        <w:t xml:space="preserve">Essential nutrients are vital for the normal functioning of the human body, but </w:t>
      </w:r>
      <w:r>
        <w:rPr>
          <w:lang w:eastAsia="en-US"/>
        </w:rPr>
        <w:t xml:space="preserve">excess </w:t>
      </w:r>
      <w:r w:rsidRPr="00304203">
        <w:rPr>
          <w:lang w:eastAsia="en-US"/>
        </w:rPr>
        <w:t>consum</w:t>
      </w:r>
      <w:r>
        <w:rPr>
          <w:lang w:eastAsia="en-US"/>
        </w:rPr>
        <w:t xml:space="preserve">ption </w:t>
      </w:r>
      <w:r w:rsidRPr="00304203">
        <w:rPr>
          <w:lang w:eastAsia="en-US"/>
        </w:rPr>
        <w:t>can lead to adverse health effects</w:t>
      </w:r>
      <w:r>
        <w:rPr>
          <w:lang w:eastAsia="en-US"/>
        </w:rPr>
        <w:t xml:space="preserve">. For this reason, an Upper Level (UL) value is set to provide guidance for health professionals, policy makers, regulators and consumers to manage the risk of excess intake (see </w:t>
      </w:r>
      <w:r w:rsidR="00AD05E2">
        <w:rPr>
          <w:lang w:eastAsia="en-US"/>
        </w:rPr>
        <w:t xml:space="preserve">Section </w:t>
      </w:r>
      <w:r w:rsidR="009C372F">
        <w:rPr>
          <w:lang w:eastAsia="en-US"/>
        </w:rPr>
        <w:fldChar w:fldCharType="begin"/>
      </w:r>
      <w:r w:rsidR="009C372F">
        <w:rPr>
          <w:lang w:eastAsia="en-US"/>
        </w:rPr>
        <w:instrText xml:space="preserve"> REF _Ref201311217 \r \h </w:instrText>
      </w:r>
      <w:r w:rsidR="009C372F">
        <w:rPr>
          <w:lang w:eastAsia="en-US"/>
        </w:rPr>
      </w:r>
      <w:r w:rsidR="009C372F">
        <w:rPr>
          <w:lang w:eastAsia="en-US"/>
        </w:rPr>
        <w:fldChar w:fldCharType="separate"/>
      </w:r>
      <w:r w:rsidR="009C372F">
        <w:rPr>
          <w:lang w:eastAsia="en-US"/>
        </w:rPr>
        <w:t xml:space="preserve">2.2.3  </w:t>
      </w:r>
      <w:r w:rsidR="009C372F">
        <w:rPr>
          <w:lang w:eastAsia="en-US"/>
        </w:rPr>
        <w:fldChar w:fldCharType="end"/>
      </w:r>
      <w:r>
        <w:rPr>
          <w:lang w:eastAsia="en-US"/>
        </w:rPr>
        <w:t>and</w:t>
      </w:r>
      <w:r w:rsidR="006006F9">
        <w:rPr>
          <w:lang w:eastAsia="en-US"/>
        </w:rPr>
        <w:t xml:space="preserve"> </w:t>
      </w:r>
      <w:r w:rsidR="001A6DEF">
        <w:rPr>
          <w:lang w:eastAsia="en-US"/>
        </w:rPr>
        <w:fldChar w:fldCharType="begin"/>
      </w:r>
      <w:r w:rsidR="001A6DEF">
        <w:rPr>
          <w:lang w:eastAsia="en-US"/>
        </w:rPr>
        <w:instrText xml:space="preserve"> REF _Ref197442423 \h </w:instrText>
      </w:r>
      <w:r w:rsidR="001A6DEF">
        <w:rPr>
          <w:lang w:eastAsia="en-US"/>
        </w:rPr>
      </w:r>
      <w:r w:rsidR="001A6DEF">
        <w:rPr>
          <w:lang w:eastAsia="en-US"/>
        </w:rPr>
        <w:fldChar w:fldCharType="separate"/>
      </w:r>
      <w:r w:rsidR="001A6DEF" w:rsidRPr="00442557">
        <w:t xml:space="preserve">Figure </w:t>
      </w:r>
      <w:r w:rsidR="001A6DEF">
        <w:rPr>
          <w:noProof/>
        </w:rPr>
        <w:t>2</w:t>
      </w:r>
      <w:r w:rsidR="001A6DEF" w:rsidRPr="00442557">
        <w:t>.</w:t>
      </w:r>
      <w:r w:rsidR="001A6DEF">
        <w:rPr>
          <w:noProof/>
        </w:rPr>
        <w:t>1</w:t>
      </w:r>
      <w:r w:rsidR="001A6DEF">
        <w:rPr>
          <w:lang w:eastAsia="en-US"/>
        </w:rPr>
        <w:fldChar w:fldCharType="end"/>
      </w:r>
      <w:r w:rsidR="000A0AEE">
        <w:rPr>
          <w:lang w:eastAsia="en-US"/>
        </w:rPr>
        <w:t>).</w:t>
      </w:r>
      <w:r>
        <w:t>The European Food Safety Authority (EFSA) defines the tolerable upper intake level (UL) as “</w:t>
      </w:r>
      <w:r w:rsidRPr="00C0142F">
        <w:t>the maximum level of total chronic daily intake of a nutrient (from all dietary sources) which is not expected to pose a risk of adverse health effects to humans</w:t>
      </w:r>
      <w:r>
        <w:t>”</w:t>
      </w:r>
      <w:r w:rsidR="005B718D">
        <w:fldChar w:fldCharType="begin"/>
      </w:r>
      <w:r w:rsidR="00FD5765">
        <w:instrText xml:space="preserve"> ADDIN EN.CITE &lt;EndNote&gt;&lt;Cite&gt;&lt;Author&gt;EFSA Panel on Nutrition Novel Foods and Food Allergens&lt;/Author&gt;&lt;Year&gt;2024&lt;/Year&gt;&lt;RecNum&gt;84&lt;/RecNum&gt;&lt;DisplayText&gt;(EFSA Panel on Nutrition Novel Foods and Food Allergens et al. 2024a)&lt;/DisplayText&gt;&lt;record&gt;&lt;rec-number&gt;84&lt;/rec-number&gt;&lt;foreign-keys&gt;&lt;key app="EN" db-id="zxfaevvrgpsxebez5ec5vspfe2av5dtxt9xx" timestamp="1754958788"&gt;84&lt;/key&gt;&lt;/foreign-keys&gt;&lt;ref-type name="Journal Article"&gt;17&lt;/ref-type&gt;&lt;contributors&gt;&lt;authors&gt;&lt;author&gt;EFSA Panel on Nutrition Novel Foods and Food A</w:instrText>
      </w:r>
      <w:r w:rsidR="00FD5765">
        <w:rPr>
          <w:rFonts w:hint="eastAsia"/>
        </w:rPr>
        <w:instrText>llergens,&lt;/author&gt;&lt;author&gt;Turck, Dominique&lt;/author&gt;&lt;author&gt;Bohn, Torsten&lt;/author&gt;&lt;author&gt;Cámara, Montaña&lt;/author&gt;&lt;author&gt;Castenmiller, Jacqueline&lt;/author&gt;&lt;author&gt;de Henauw, Stefaan&lt;/author&gt;&lt;author&gt;Hirsch</w:instrText>
      </w:r>
      <w:r w:rsidR="00FD5765">
        <w:rPr>
          <w:rFonts w:hint="eastAsia"/>
        </w:rPr>
        <w:instrText>‐</w:instrText>
      </w:r>
      <w:r w:rsidR="00FD5765">
        <w:rPr>
          <w:rFonts w:hint="eastAsia"/>
        </w:rPr>
        <w:instrText>Ernst, Karen</w:instrText>
      </w:r>
      <w:r w:rsidR="00FD5765">
        <w:rPr>
          <w:rFonts w:hint="eastAsia"/>
        </w:rPr>
        <w:instrText>‐</w:instrText>
      </w:r>
      <w:r w:rsidR="00FD5765">
        <w:rPr>
          <w:rFonts w:hint="eastAsia"/>
        </w:rPr>
        <w:instrText>Ildico&lt;/author&gt;&lt;author&gt;Jos, Angeles&lt;/a</w:instrText>
      </w:r>
      <w:r w:rsidR="00FD5765">
        <w:instrText>uthor&gt;&lt;author&gt;Maciuk, Alexandre&lt;/author&gt;&lt;author&gt;Mangelsdorf, Inge&lt;/author&gt;&lt;/authors&gt;&lt;/contributors&gt;&lt;titles&gt;&lt;title&gt;Guidance for establishing and applying tolerable upper intake levels for vitamins and essential minerals&lt;/title&gt;&lt;secondary-title&gt;EFSA Journal&lt;/secondary-title&gt;&lt;/titles&gt;&lt;periodical&gt;&lt;full-title&gt;EFSA Journal&lt;/full-title&gt;&lt;/periodical&gt;&lt;pages&gt;e9052&lt;/pages&gt;&lt;volume&gt;22&lt;/volume&gt;&lt;number&gt;11&lt;/number&gt;&lt;dates&gt;&lt;year&gt;2024&lt;/year&gt;&lt;/dates&gt;&lt;isbn&gt;1831-4732&lt;/isbn&gt;&lt;urls&gt;&lt;/urls&gt;&lt;electronic-resource-num&gt;10.2903/j.efsa.2024.9052&lt;/electronic-resource-num&gt;&lt;/record&gt;&lt;/Cite&gt;&lt;/EndNote&gt;</w:instrText>
      </w:r>
      <w:r w:rsidR="005B718D">
        <w:fldChar w:fldCharType="separate"/>
      </w:r>
      <w:r w:rsidR="00FD5765">
        <w:rPr>
          <w:noProof/>
        </w:rPr>
        <w:t>(EFSA Panel on Nutrition Novel Foods and Food Allergens et al. 2024a)</w:t>
      </w:r>
      <w:r w:rsidR="005B718D">
        <w:fldChar w:fldCharType="end"/>
      </w:r>
      <w:r w:rsidR="004A4F34">
        <w:t>.</w:t>
      </w:r>
      <w:r>
        <w:rPr>
          <w:lang w:eastAsia="en-US"/>
        </w:rPr>
        <w:t xml:space="preserve"> </w:t>
      </w:r>
    </w:p>
    <w:p w14:paraId="2BCBC720" w14:textId="535E7C5A" w:rsidR="002F5A56" w:rsidRDefault="00B45FD9" w:rsidP="00366AD9">
      <w:pPr>
        <w:spacing w:before="60"/>
        <w:rPr>
          <w:lang w:eastAsia="en-US"/>
        </w:rPr>
      </w:pPr>
      <w:r>
        <w:rPr>
          <w:lang w:eastAsia="en-US"/>
        </w:rPr>
        <w:t xml:space="preserve">EFSA published </w:t>
      </w:r>
      <w:r w:rsidR="00F71726">
        <w:rPr>
          <w:lang w:eastAsia="en-US"/>
        </w:rPr>
        <w:t>draft</w:t>
      </w:r>
      <w:r w:rsidR="00B345B4">
        <w:rPr>
          <w:lang w:eastAsia="en-US"/>
        </w:rPr>
        <w:t xml:space="preserve"> </w:t>
      </w:r>
      <w:r w:rsidR="002F5A56">
        <w:rPr>
          <w:lang w:eastAsia="en-US"/>
        </w:rPr>
        <w:t xml:space="preserve">international guidance on establishing ULs in </w:t>
      </w:r>
      <w:r w:rsidR="00B345B4">
        <w:rPr>
          <w:lang w:eastAsia="en-US"/>
        </w:rPr>
        <w:t>2022</w:t>
      </w:r>
      <w:r w:rsidR="002F5A56">
        <w:rPr>
          <w:lang w:eastAsia="en-US"/>
        </w:rPr>
        <w:t xml:space="preserve">. The principles </w:t>
      </w:r>
      <w:r w:rsidR="00B345B4">
        <w:rPr>
          <w:lang w:eastAsia="en-US"/>
        </w:rPr>
        <w:t>were</w:t>
      </w:r>
      <w:r w:rsidR="002F5A56">
        <w:rPr>
          <w:lang w:eastAsia="en-US"/>
        </w:rPr>
        <w:t xml:space="preserve"> piloted for 2-years and published in 2024. </w:t>
      </w:r>
    </w:p>
    <w:p w14:paraId="43A2E06E" w14:textId="04F5FFDC" w:rsidR="002F5A56" w:rsidRDefault="002F5A56" w:rsidP="00366AD9">
      <w:pPr>
        <w:spacing w:before="60"/>
        <w:rPr>
          <w:lang w:eastAsia="en-US"/>
        </w:rPr>
      </w:pPr>
      <w:r>
        <w:rPr>
          <w:lang w:eastAsia="en-US"/>
        </w:rPr>
        <w:t xml:space="preserve">EFSA’s guidance outlines </w:t>
      </w:r>
      <w:r w:rsidRPr="009D4913">
        <w:rPr>
          <w:lang w:eastAsia="en-US"/>
        </w:rPr>
        <w:t xml:space="preserve">aspects related to the planning of the risk assessment (problem formulation and definition of methods) and its implementation (evidence retrieval, appraisal, synthesis, integration, </w:t>
      </w:r>
      <w:r w:rsidR="00A866EC">
        <w:rPr>
          <w:lang w:eastAsia="en-US"/>
        </w:rPr>
        <w:t>development and application of uncertainty factors</w:t>
      </w:r>
      <w:r w:rsidR="008738FC">
        <w:rPr>
          <w:lang w:eastAsia="en-US"/>
        </w:rPr>
        <w:t xml:space="preserve"> (UF)</w:t>
      </w:r>
      <w:r w:rsidRPr="009D4913">
        <w:rPr>
          <w:lang w:eastAsia="en-US"/>
        </w:rPr>
        <w:t>)</w:t>
      </w:r>
      <w:r>
        <w:rPr>
          <w:lang w:eastAsia="en-US"/>
        </w:rPr>
        <w:t>.</w:t>
      </w:r>
    </w:p>
    <w:p w14:paraId="5A88B294" w14:textId="68548891" w:rsidR="002F5A56" w:rsidRDefault="002F5A56" w:rsidP="00366AD9">
      <w:pPr>
        <w:spacing w:before="60"/>
        <w:rPr>
          <w:lang w:eastAsia="en-US"/>
        </w:rPr>
      </w:pPr>
      <w:r>
        <w:t xml:space="preserve">When deriving ULs, unless otherwise stated, intake from all sources including foods, food fortification, supplements, medicines and water should be considered. </w:t>
      </w:r>
      <w:r>
        <w:rPr>
          <w:lang w:eastAsia="en-US"/>
        </w:rPr>
        <w:t>Where possible a UL should be based on strong scientific evidence and, in the interests of international harmonisation, developed following EFSA’s guidance for establishing ULs</w:t>
      </w:r>
      <w:r w:rsidRPr="001B2F23">
        <w:rPr>
          <w:lang w:eastAsia="en-US"/>
        </w:rPr>
        <w:t>.</w:t>
      </w:r>
      <w:r>
        <w:rPr>
          <w:lang w:eastAsia="en-US"/>
        </w:rPr>
        <w:t xml:space="preserve"> Where the evidence is less certain, interpretation and judgement from an expert working group or advisory committee may play a greater role</w:t>
      </w:r>
      <w:r w:rsidR="00871551">
        <w:rPr>
          <w:lang w:eastAsia="en-US"/>
        </w:rPr>
        <w:t xml:space="preserve"> in determining the final value</w:t>
      </w:r>
      <w:r>
        <w:rPr>
          <w:lang w:eastAsia="en-US"/>
        </w:rPr>
        <w:t xml:space="preserve">. </w:t>
      </w:r>
    </w:p>
    <w:p w14:paraId="4937B0B5" w14:textId="0D7488C7" w:rsidR="002F5A56" w:rsidRDefault="00411C0E" w:rsidP="00366AD9">
      <w:pPr>
        <w:spacing w:before="60"/>
        <w:rPr>
          <w:lang w:eastAsia="en-US"/>
        </w:rPr>
      </w:pPr>
      <w:r w:rsidRPr="00411C0E">
        <w:rPr>
          <w:lang w:eastAsia="en-US"/>
        </w:rPr>
        <w:t xml:space="preserve">Once a proposed UL value has been derived, contextual, practical, and other relevant factors should be considered through an </w:t>
      </w:r>
      <w:r w:rsidR="005705E7">
        <w:rPr>
          <w:lang w:eastAsia="en-US"/>
        </w:rPr>
        <w:t>e</w:t>
      </w:r>
      <w:r w:rsidRPr="00411C0E">
        <w:rPr>
          <w:lang w:eastAsia="en-US"/>
        </w:rPr>
        <w:t>vidence-to-</w:t>
      </w:r>
      <w:r w:rsidR="005705E7">
        <w:rPr>
          <w:lang w:eastAsia="en-US"/>
        </w:rPr>
        <w:t>d</w:t>
      </w:r>
      <w:r w:rsidRPr="00411C0E">
        <w:rPr>
          <w:lang w:eastAsia="en-US"/>
        </w:rPr>
        <w:t>ecision process before finalising the value</w:t>
      </w:r>
      <w:r>
        <w:rPr>
          <w:lang w:eastAsia="en-US"/>
        </w:rPr>
        <w:t xml:space="preserve"> </w:t>
      </w:r>
      <w:r w:rsidR="002F5A56">
        <w:rPr>
          <w:lang w:eastAsia="en-US"/>
        </w:rPr>
        <w:t>(</w:t>
      </w:r>
      <w:r w:rsidR="002F5A56" w:rsidRPr="00DF0589">
        <w:rPr>
          <w:lang w:eastAsia="en-US"/>
        </w:rPr>
        <w:t xml:space="preserve">see section </w:t>
      </w:r>
      <w:r w:rsidR="006069C0" w:rsidRPr="00DF0589">
        <w:rPr>
          <w:lang w:eastAsia="en-US"/>
        </w:rPr>
        <w:fldChar w:fldCharType="begin"/>
      </w:r>
      <w:r w:rsidR="006069C0" w:rsidRPr="00DF0589">
        <w:rPr>
          <w:lang w:eastAsia="en-US"/>
        </w:rPr>
        <w:instrText xml:space="preserve"> REF _Ref193279383 \n \h </w:instrText>
      </w:r>
      <w:r w:rsidR="006069C0">
        <w:rPr>
          <w:lang w:eastAsia="en-US"/>
        </w:rPr>
        <w:instrText xml:space="preserve"> \* MERGEFORMAT </w:instrText>
      </w:r>
      <w:r w:rsidR="006069C0" w:rsidRPr="00DF0589">
        <w:rPr>
          <w:lang w:eastAsia="en-US"/>
        </w:rPr>
      </w:r>
      <w:r w:rsidR="006069C0" w:rsidRPr="00DF0589">
        <w:rPr>
          <w:lang w:eastAsia="en-US"/>
        </w:rPr>
        <w:fldChar w:fldCharType="separate"/>
      </w:r>
      <w:r w:rsidR="00783DC4">
        <w:rPr>
          <w:lang w:eastAsia="en-US"/>
        </w:rPr>
        <w:t>7.3</w:t>
      </w:r>
      <w:r w:rsidR="006069C0" w:rsidRPr="00DF0589">
        <w:rPr>
          <w:lang w:eastAsia="en-US"/>
        </w:rPr>
        <w:fldChar w:fldCharType="end"/>
      </w:r>
      <w:r w:rsidR="002F5A56" w:rsidRPr="006069C0">
        <w:rPr>
          <w:lang w:eastAsia="en-US"/>
        </w:rPr>
        <w:t>).</w:t>
      </w:r>
      <w:r w:rsidR="002F5A56">
        <w:rPr>
          <w:lang w:eastAsia="en-US"/>
        </w:rPr>
        <w:t xml:space="preserve"> During this process an </w:t>
      </w:r>
      <w:r w:rsidR="005705E7">
        <w:t>e</w:t>
      </w:r>
      <w:r w:rsidR="002F5A56">
        <w:t>vidence-to-</w:t>
      </w:r>
      <w:r w:rsidR="005705E7">
        <w:t>d</w:t>
      </w:r>
      <w:r w:rsidR="002F5A56">
        <w:t xml:space="preserve">ecision template is used to capture discussion, the rationale and any judgements or assumptions about the nutrient by the expert committee and is published alongside the value to ensure </w:t>
      </w:r>
      <w:r w:rsidR="002F5A56">
        <w:rPr>
          <w:lang w:eastAsia="en-US"/>
        </w:rPr>
        <w:t>greater clarity and transparency</w:t>
      </w:r>
      <w:r w:rsidR="002F5A56">
        <w:t xml:space="preserve">. </w:t>
      </w:r>
      <w:r w:rsidR="00610E3F">
        <w:t xml:space="preserve">To ensure all relevant considerations are made for each population group, </w:t>
      </w:r>
      <w:r w:rsidR="002F0283">
        <w:t>s</w:t>
      </w:r>
      <w:r w:rsidR="002F5A56">
        <w:t>eparate</w:t>
      </w:r>
      <w:r w:rsidR="00F953B0">
        <w:t xml:space="preserve"> </w:t>
      </w:r>
      <w:r w:rsidR="005705E7">
        <w:t>e</w:t>
      </w:r>
      <w:r w:rsidR="002F5A56">
        <w:t>vidence-to-</w:t>
      </w:r>
      <w:r w:rsidR="005705E7">
        <w:t>d</w:t>
      </w:r>
      <w:r w:rsidR="002F5A56">
        <w:t>ecision</w:t>
      </w:r>
      <w:r w:rsidR="002F5A56" w:rsidDel="00BD5609">
        <w:t xml:space="preserve"> </w:t>
      </w:r>
      <w:r w:rsidR="00BD5609">
        <w:t>table</w:t>
      </w:r>
      <w:r w:rsidR="00A41990">
        <w:t>s</w:t>
      </w:r>
      <w:r w:rsidR="00BD5609">
        <w:t xml:space="preserve"> </w:t>
      </w:r>
      <w:r w:rsidR="00A610DF">
        <w:t>can be used</w:t>
      </w:r>
      <w:r w:rsidR="00A41990">
        <w:t xml:space="preserve"> </w:t>
      </w:r>
      <w:r w:rsidR="00A610DF">
        <w:t>where needed</w:t>
      </w:r>
      <w:r w:rsidR="00A41990">
        <w:t xml:space="preserve">, </w:t>
      </w:r>
      <w:r w:rsidR="00677BD5">
        <w:t xml:space="preserve">or specific </w:t>
      </w:r>
      <w:r w:rsidR="00A41990">
        <w:t xml:space="preserve">sections or </w:t>
      </w:r>
      <w:r w:rsidR="00677BD5">
        <w:t xml:space="preserve">questions </w:t>
      </w:r>
      <w:r w:rsidR="00EE13CF">
        <w:t xml:space="preserve">can be </w:t>
      </w:r>
      <w:r w:rsidR="00F46B2B">
        <w:t xml:space="preserve">added </w:t>
      </w:r>
      <w:r w:rsidR="00ED2E54">
        <w:t xml:space="preserve">for populations </w:t>
      </w:r>
      <w:r w:rsidR="00AC5571">
        <w:t>with unique</w:t>
      </w:r>
      <w:r w:rsidR="00F46B2B">
        <w:t xml:space="preserve"> considerations</w:t>
      </w:r>
      <w:r w:rsidR="002F5A56">
        <w:t>.</w:t>
      </w:r>
    </w:p>
    <w:p w14:paraId="3DC2AEE3" w14:textId="4698AFA1" w:rsidR="002F5A56" w:rsidRDefault="00016E56" w:rsidP="00366AD9">
      <w:pPr>
        <w:spacing w:before="60"/>
        <w:rPr>
          <w:lang w:eastAsia="en-US"/>
        </w:rPr>
      </w:pPr>
      <w:r w:rsidRPr="00016E56">
        <w:rPr>
          <w:lang w:eastAsia="en-US"/>
        </w:rPr>
        <w:t xml:space="preserve">Where a UL has recently been developed by another international jurisdiction, consideration should be given to adopting or adapting that value to the Australian and New Zealand context before initiating a de novo derivation process </w:t>
      </w:r>
      <w:r w:rsidR="002F5A56" w:rsidRPr="001E4B56">
        <w:rPr>
          <w:lang w:eastAsia="en-US"/>
        </w:rPr>
        <w:t>(see</w:t>
      </w:r>
      <w:r w:rsidR="005B76D8" w:rsidRPr="001E4B56">
        <w:rPr>
          <w:lang w:eastAsia="en-US"/>
        </w:rPr>
        <w:t xml:space="preserve"> Section</w:t>
      </w:r>
      <w:r w:rsidR="002F5A56" w:rsidRPr="001E4B56">
        <w:rPr>
          <w:lang w:eastAsia="en-US"/>
        </w:rPr>
        <w:t xml:space="preserve"> </w:t>
      </w:r>
      <w:r w:rsidR="008D6004">
        <w:rPr>
          <w:lang w:eastAsia="en-US"/>
        </w:rPr>
        <w:fldChar w:fldCharType="begin"/>
      </w:r>
      <w:r w:rsidR="008D6004">
        <w:rPr>
          <w:lang w:eastAsia="en-US"/>
        </w:rPr>
        <w:instrText xml:space="preserve"> REF _Ref197344618 \n \h </w:instrText>
      </w:r>
      <w:r w:rsidR="008D6004">
        <w:rPr>
          <w:lang w:eastAsia="en-US"/>
        </w:rPr>
      </w:r>
      <w:r w:rsidR="008D6004">
        <w:rPr>
          <w:lang w:eastAsia="en-US"/>
        </w:rPr>
        <w:fldChar w:fldCharType="separate"/>
      </w:r>
      <w:r w:rsidR="008D6004">
        <w:rPr>
          <w:lang w:eastAsia="en-US"/>
        </w:rPr>
        <w:t>5.1.1</w:t>
      </w:r>
      <w:r w:rsidR="008D6004">
        <w:rPr>
          <w:lang w:eastAsia="en-US"/>
        </w:rPr>
        <w:fldChar w:fldCharType="end"/>
      </w:r>
      <w:r w:rsidR="005B76D8" w:rsidRPr="001E4B56">
        <w:rPr>
          <w:lang w:eastAsia="en-US"/>
        </w:rPr>
        <w:fldChar w:fldCharType="begin"/>
      </w:r>
      <w:r w:rsidR="005B76D8" w:rsidRPr="001E4B56">
        <w:rPr>
          <w:lang w:eastAsia="en-US"/>
        </w:rPr>
        <w:instrText xml:space="preserve"> REF _Ref197344618 \r \h </w:instrText>
      </w:r>
      <w:r w:rsidR="001E4B56">
        <w:rPr>
          <w:lang w:eastAsia="en-US"/>
        </w:rPr>
        <w:instrText xml:space="preserve"> \* MERGEFORMAT </w:instrText>
      </w:r>
      <w:r w:rsidR="005B76D8" w:rsidRPr="001E4B56">
        <w:rPr>
          <w:lang w:eastAsia="en-US"/>
        </w:rPr>
      </w:r>
      <w:r w:rsidR="005B76D8" w:rsidRPr="001E4B56">
        <w:rPr>
          <w:lang w:eastAsia="en-US"/>
        </w:rPr>
        <w:fldChar w:fldCharType="separate"/>
      </w:r>
      <w:r w:rsidR="005B76D8" w:rsidRPr="001E4B56">
        <w:rPr>
          <w:lang w:eastAsia="en-US"/>
        </w:rPr>
        <w:fldChar w:fldCharType="end"/>
      </w:r>
      <w:r w:rsidR="002F5A56" w:rsidRPr="001E4B56">
        <w:rPr>
          <w:lang w:eastAsia="en-US"/>
        </w:rPr>
        <w:t>).</w:t>
      </w:r>
    </w:p>
    <w:p w14:paraId="65D6DC22" w14:textId="63303D11" w:rsidR="0012112C" w:rsidRDefault="0012112C" w:rsidP="00366AD9">
      <w:pPr>
        <w:spacing w:before="60"/>
      </w:pPr>
      <w:r>
        <w:t xml:space="preserve">Members of the general population should be advised not to routinely exceed the UL. The absence of a UL for a nutrient likely reflects a lack of evidence rather than a lack of adverse effects and does not necessarily </w:t>
      </w:r>
      <w:r w:rsidR="00016E56">
        <w:t>indicate</w:t>
      </w:r>
      <w:r>
        <w:t xml:space="preserve"> that excessive intakes pose no risks. </w:t>
      </w:r>
    </w:p>
    <w:p w14:paraId="12DF02FF" w14:textId="11E5A0EA" w:rsidR="00DA14C5" w:rsidRDefault="00DA14C5" w:rsidP="007F6341">
      <w:pPr>
        <w:pStyle w:val="Boxed1Bullet"/>
        <w:numPr>
          <w:ilvl w:val="0"/>
          <w:numId w:val="0"/>
        </w:numPr>
        <w:ind w:left="284"/>
      </w:pPr>
      <w:bookmarkStart w:id="194" w:name="_Hlk157687970"/>
      <w:r>
        <w:t>Further information about deriving an UL is provided in:</w:t>
      </w:r>
    </w:p>
    <w:p w14:paraId="02337C38" w14:textId="1A4E6A09" w:rsidR="00F179FB" w:rsidRPr="006F36DA" w:rsidRDefault="002743C0" w:rsidP="00211F4C">
      <w:pPr>
        <w:pStyle w:val="Boxed1Bullet"/>
        <w:numPr>
          <w:ilvl w:val="0"/>
          <w:numId w:val="62"/>
        </w:numPr>
      </w:pPr>
      <w:r>
        <w:fldChar w:fldCharType="begin"/>
      </w:r>
      <w:r w:rsidR="00FD5765">
        <w:instrText xml:space="preserve"> ADDIN EN.CITE &lt;EndNote&gt;&lt;Cite AuthorYear="1"&gt;&lt;Author&gt;EFSA Panel on Nutrition Novel Foods and Food Allergens&lt;/Author&gt;&lt;Year&gt;2024&lt;/Year&gt;&lt;RecNum&gt;84&lt;/RecNum&gt;&lt;DisplayText&gt;EFSA Panel on Nutrition Novel Foods and Food Allergens et al. (2024a)&lt;/DisplayText&gt;&lt;record&gt;&lt;rec-number&gt;84&lt;/rec-number&gt;&lt;foreign-keys&gt;&lt;key app="EN" db-id="zxfaevvrgpsxebez5ec5vspfe2av5dtxt9xx" timestamp="1754958788"&gt;84&lt;/key&gt;&lt;/foreign-keys&gt;&lt;ref-type name="Journal Article"&gt;17&lt;/ref-type&gt;&lt;contributors&gt;&lt;authors&gt;&lt;author&gt;EFSA Panel on Nutrition Novel F</w:instrText>
      </w:r>
      <w:r w:rsidR="00FD5765">
        <w:rPr>
          <w:rFonts w:hint="eastAsia"/>
        </w:rPr>
        <w:instrText>oods and Food Allergens,&lt;/author&gt;&lt;author&gt;Turck, Dominique&lt;/author&gt;&lt;author&gt;Bohn, Torsten&lt;/author&gt;&lt;author&gt;Cámara, Montaña&lt;/author&gt;&lt;author&gt;Castenmiller, Jacqueline&lt;/author&gt;&lt;author&gt;de Henauw, Stefaan&lt;/author&gt;&lt;author&gt;Hirsch</w:instrText>
      </w:r>
      <w:r w:rsidR="00FD5765">
        <w:rPr>
          <w:rFonts w:hint="eastAsia"/>
        </w:rPr>
        <w:instrText>‐</w:instrText>
      </w:r>
      <w:r w:rsidR="00FD5765">
        <w:rPr>
          <w:rFonts w:hint="eastAsia"/>
        </w:rPr>
        <w:instrText>Ernst, Karen</w:instrText>
      </w:r>
      <w:r w:rsidR="00FD5765">
        <w:rPr>
          <w:rFonts w:hint="eastAsia"/>
        </w:rPr>
        <w:instrText>‐</w:instrText>
      </w:r>
      <w:r w:rsidR="00FD5765">
        <w:rPr>
          <w:rFonts w:hint="eastAsia"/>
        </w:rPr>
        <w:instrText>Ildico&lt;/author&gt;&lt;author&gt;</w:instrText>
      </w:r>
      <w:r w:rsidR="00FD5765">
        <w:instrText>Jos, Angeles&lt;/author&gt;&lt;author&gt;Maciuk, Alexandre&lt;/author&gt;&lt;author&gt;Mangelsdorf, Inge&lt;/author&gt;&lt;/authors&gt;&lt;/contributors&gt;&lt;titles&gt;&lt;title&gt;Guidance for establishing and applying tolerable upper intake levels for vitamins and essential minerals&lt;/title&gt;&lt;secondary-title&gt;EFSA Journal&lt;/secondary-title&gt;&lt;/titles&gt;&lt;periodical&gt;&lt;full-title&gt;EFSA Journal&lt;/full-title&gt;&lt;/periodical&gt;&lt;pages&gt;e9052&lt;/pages&gt;&lt;volume&gt;22&lt;/volume&gt;&lt;number&gt;11&lt;/number&gt;&lt;dates&gt;&lt;year&gt;2024&lt;/year&gt;&lt;/dates&gt;&lt;isbn&gt;1831-4732&lt;/isbn&gt;&lt;urls&gt;&lt;/urls&gt;&lt;electronic-resource-num&gt;10.2903/j.efsa.2024.9052&lt;/electronic-resource-num&gt;&lt;/record&gt;&lt;/Cite&gt;&lt;/EndNote&gt;</w:instrText>
      </w:r>
      <w:r>
        <w:fldChar w:fldCharType="separate"/>
      </w:r>
      <w:r w:rsidR="00FD5765">
        <w:rPr>
          <w:noProof/>
        </w:rPr>
        <w:t>EFSA Panel on Nutrition Novel Foods and Food Allergens et al. (2024a)</w:t>
      </w:r>
      <w:r>
        <w:fldChar w:fldCharType="end"/>
      </w:r>
      <w:r>
        <w:t xml:space="preserve"> </w:t>
      </w:r>
      <w:r w:rsidRPr="00DF24DF">
        <w:t xml:space="preserve">Guidance for establishing and applying tolerable upper intake levels for vitamins and essential minerals. </w:t>
      </w:r>
      <w:r w:rsidRPr="00DF24DF">
        <w:rPr>
          <w:i/>
          <w:iCs/>
        </w:rPr>
        <w:t>EFSA Journal</w:t>
      </w:r>
      <w:r w:rsidRPr="00DF24DF">
        <w:t>,</w:t>
      </w:r>
      <w:r w:rsidRPr="00DF24DF">
        <w:rPr>
          <w:i/>
          <w:iCs/>
        </w:rPr>
        <w:t xml:space="preserve"> 22</w:t>
      </w:r>
      <w:r w:rsidRPr="00DF24DF">
        <w:t xml:space="preserve">(11), e9052. </w:t>
      </w:r>
      <w:hyperlink r:id="rId101" w:history="1">
        <w:r w:rsidRPr="000163C7">
          <w:rPr>
            <w:rStyle w:val="Hyperlink"/>
            <w:color w:val="006CBC"/>
          </w:rPr>
          <w:t>https://doi.org/10.2903/j.efsa.2024.9052</w:t>
        </w:r>
      </w:hyperlink>
      <w:r w:rsidR="00F179FB" w:rsidRPr="00A44C05" w:rsidDel="00A44C05">
        <w:t xml:space="preserve"> </w:t>
      </w:r>
    </w:p>
    <w:p w14:paraId="2AB96777" w14:textId="543131E8" w:rsidR="005F47E6" w:rsidRPr="00366AD9" w:rsidRDefault="00E35AC3" w:rsidP="00211F4C">
      <w:pPr>
        <w:pStyle w:val="Boxed1Bullet"/>
        <w:numPr>
          <w:ilvl w:val="0"/>
          <w:numId w:val="62"/>
        </w:numPr>
        <w:rPr>
          <w:szCs w:val="20"/>
        </w:rPr>
      </w:pPr>
      <w:r>
        <w:rPr>
          <w:szCs w:val="20"/>
        </w:rPr>
        <w:fldChar w:fldCharType="begin"/>
      </w:r>
      <w:r>
        <w:rPr>
          <w:szCs w:val="20"/>
        </w:rPr>
        <w:instrText xml:space="preserve"> ADDIN EN.CITE &lt;EndNote&gt;&lt;Cite AuthorYear="1"&gt;&lt;Author&gt;NASEM&lt;/Author&gt;&lt;Year&gt;2017&lt;/Year&gt;&lt;RecNum&gt;43&lt;/RecNum&gt;&lt;DisplayText&gt;NASEM (2017)&lt;/DisplayText&gt;&lt;record&gt;&lt;rec-number&gt;43&lt;/rec-number&gt;&lt;foreign-keys&gt;&lt;key app="EN" db-id="zxfaevvrgpsxebez5ec5vspfe2av5dtxt9xx" timestamp="1754957726"&gt;43&lt;/key&gt;&lt;/foreign-keys&gt;&lt;ref-type name="Book"&gt;6&lt;/ref-type&gt;&lt;contributors&gt;&lt;authors&gt;&lt;author&gt;NASEM,&lt;/author&gt;&lt;/authors&gt;&lt;secondary-authors&gt;&lt;author&gt;Kumanyika, Shiriki&lt;/author&gt;&lt;author&gt;Oria, Maria P.&lt;/author&gt;&lt;/secondary-authors&gt;&lt;/contributors&gt;&lt;titles&gt;&lt;title&gt;Guiding Principles for Developing Dietary Reference Intakes Based on Chronic Disease&lt;/title&gt;&lt;/titles&gt;&lt;pages&gt;334&lt;/pages&gt;&lt;keywords&gt;&lt;keyword&gt;Food and Nutrition&lt;/keyword&gt;&lt;keyword&gt;Health and Medicine&lt;/keyword&gt;&lt;/keywords&gt;&lt;dates&gt;&lt;year&gt;2017&lt;/year&gt;&lt;/dates&gt;&lt;pub-location&gt;Washington, DC&lt;/pub-location&gt;&lt;publisher&gt;The National Academies Press&lt;/publisher&gt;&lt;isbn&gt;978-0-309-46256-3&lt;/isbn&gt;&lt;urls&gt;&lt;related-urls&gt;&lt;url&gt;https://nap.nationalacademies.org/catalog/24828/guiding-principles-for-developing-dietary-reference-intakes-based-on-chronic-disease&lt;/url&gt;&lt;/related-urls&gt;&lt;/urls&gt;&lt;electronic-resource-num&gt;doi:10.17226/24828&lt;/electronic-resource-num&gt;&lt;language&gt;English&lt;/language&gt;&lt;/record&gt;&lt;/Cite&gt;&lt;/EndNote&gt;</w:instrText>
      </w:r>
      <w:r>
        <w:rPr>
          <w:szCs w:val="20"/>
        </w:rPr>
        <w:fldChar w:fldCharType="separate"/>
      </w:r>
      <w:r>
        <w:rPr>
          <w:noProof/>
          <w:szCs w:val="20"/>
        </w:rPr>
        <w:t>NASEM (2017)</w:t>
      </w:r>
      <w:r>
        <w:rPr>
          <w:szCs w:val="20"/>
        </w:rPr>
        <w:fldChar w:fldCharType="end"/>
      </w:r>
      <w:r w:rsidR="61A6E32B" w:rsidRPr="1CC9F5FB">
        <w:rPr>
          <w:szCs w:val="20"/>
        </w:rPr>
        <w:t xml:space="preserve"> </w:t>
      </w:r>
      <w:r w:rsidRPr="00E35AC3">
        <w:rPr>
          <w:i/>
          <w:iCs/>
          <w:szCs w:val="20"/>
        </w:rPr>
        <w:t xml:space="preserve">Guiding Principles for Developing Dietary Reference Intakes Based on Chronic Disease. The National Academies Press. </w:t>
      </w:r>
      <w:hyperlink r:id="rId102" w:history="1">
        <w:r w:rsidRPr="000163C7">
          <w:rPr>
            <w:rStyle w:val="Hyperlink"/>
            <w:i/>
            <w:iCs/>
            <w:color w:val="006CBC"/>
            <w:szCs w:val="20"/>
          </w:rPr>
          <w:t>https://doi.org/doi:10.17226/24828</w:t>
        </w:r>
      </w:hyperlink>
      <w:r>
        <w:rPr>
          <w:i/>
          <w:iCs/>
          <w:szCs w:val="20"/>
        </w:rPr>
        <w:t xml:space="preserve"> - </w:t>
      </w:r>
      <w:r w:rsidR="61A6E32B">
        <w:t>pp. 223-225, 239-242</w:t>
      </w:r>
      <w:bookmarkEnd w:id="194"/>
    </w:p>
    <w:p w14:paraId="7F3122D3" w14:textId="241033F4" w:rsidR="00E509CE" w:rsidRPr="00960EB2" w:rsidRDefault="000B57D1" w:rsidP="003E2E95">
      <w:pPr>
        <w:pStyle w:val="Heading40"/>
      </w:pPr>
      <w:bookmarkStart w:id="195" w:name="_Toc207801089"/>
      <w:bookmarkStart w:id="196" w:name="_Toc207824566"/>
      <w:r w:rsidRPr="00EE3BA8">
        <w:lastRenderedPageBreak/>
        <w:t>Developing and applying u</w:t>
      </w:r>
      <w:r w:rsidR="005F47E6" w:rsidRPr="00EE3BA8">
        <w:t>ncertainty factors</w:t>
      </w:r>
      <w:r w:rsidR="001D19B0">
        <w:t xml:space="preserve"> (UF)</w:t>
      </w:r>
      <w:bookmarkEnd w:id="195"/>
      <w:bookmarkEnd w:id="196"/>
    </w:p>
    <w:p w14:paraId="09A4AEEC" w14:textId="4D64D321" w:rsidR="0005760A" w:rsidRDefault="0005760A" w:rsidP="0005760A">
      <w:r>
        <w:t>To derive an upper level (UL) that will be protective for the general population, an uncertainty factor (UF) is applied to the reference point (RP) as follows:</w:t>
      </w:r>
    </w:p>
    <w:p w14:paraId="1727108B" w14:textId="40AA29C3" w:rsidR="0005760A" w:rsidRPr="00366AD9" w:rsidRDefault="00366AD9" w:rsidP="00366AD9">
      <w:pPr>
        <w:pStyle w:val="Yellowbox"/>
      </w:pPr>
      <m:oMathPara>
        <m:oMath>
          <m:r>
            <w:rPr>
              <w:rFonts w:ascii="Cambria Math" w:hAnsi="Cambria Math"/>
            </w:rPr>
            <m:t>UL=</m:t>
          </m:r>
          <m:f>
            <m:fPr>
              <m:ctrlPr>
                <w:rPr>
                  <w:rFonts w:ascii="Cambria Math" w:hAnsi="Cambria Math"/>
                </w:rPr>
              </m:ctrlPr>
            </m:fPr>
            <m:num>
              <m:r>
                <w:rPr>
                  <w:rFonts w:ascii="Cambria Math" w:hAnsi="Cambria Math"/>
                </w:rPr>
                <m:t>RP</m:t>
              </m:r>
            </m:num>
            <m:den>
              <m:r>
                <w:rPr>
                  <w:rFonts w:ascii="Cambria Math" w:hAnsi="Cambria Math"/>
                </w:rPr>
                <m:t>UF</m:t>
              </m:r>
            </m:den>
          </m:f>
        </m:oMath>
      </m:oMathPara>
    </w:p>
    <w:p w14:paraId="642AE588" w14:textId="3BD8055E" w:rsidR="0005760A" w:rsidRDefault="0005760A" w:rsidP="0005760A">
      <w:r>
        <w:t xml:space="preserve">The application of an uncertainty factor (UF) aims to establish a UL that will be protective for the general population, while </w:t>
      </w:r>
      <w:r w:rsidR="00F52AAB">
        <w:t>considering</w:t>
      </w:r>
      <w:r>
        <w:t xml:space="preserve"> varying nutrient sensitivity within the population and the uncertainty associated with the body of evidence. The greater the level of uncertainty, the larger the uncertainty factor and the lower the UL.</w:t>
      </w:r>
    </w:p>
    <w:p w14:paraId="5CB4917C" w14:textId="11C21FDC" w:rsidR="0005760A" w:rsidRDefault="0005760A" w:rsidP="0005760A">
      <w:r>
        <w:t xml:space="preserve">In chemical risk assessment, when a RP comes from studies in humans, a default UF of 10 is used to account for inter-individual variability when further chemical-specific information on kinetics and/or dynamics is not available </w:t>
      </w:r>
      <w:r w:rsidR="009F6F31">
        <w:fldChar w:fldCharType="begin"/>
      </w:r>
      <w:r w:rsidR="00D843BA">
        <w:instrText xml:space="preserve"> ADDIN EN.CITE &lt;EndNote&gt;&lt;Cite&gt;&lt;Author&gt;EFSA Scientific Committee&lt;/Author&gt;&lt;Year&gt;2012&lt;/Year&gt;&lt;RecNum&gt;24&lt;/RecNum&gt;&lt;DisplayText&gt;(EFSA Scientific Committee 2012)&lt;/DisplayText&gt;&lt;record&gt;&lt;rec-number&gt;24&lt;/rec-number&gt;&lt;foreign-keys&gt;&lt;key app="EN" db-id="zxfaevvrgpsxebez5ec5vspfe2av5dtxt9xx" timestamp="1754957726"&gt;24&lt;/key&gt;&lt;/foreign-keys&gt;&lt;ref-type name="Journal Article"&gt;17&lt;/ref-type&gt;&lt;contributors&gt;&lt;authors&gt;&lt;author&gt;EFSA Scientific Committee,&lt;/author&gt;&lt;/authors&gt;&lt;/contributors&gt;&lt;titles&gt;&lt;title&gt;Guidance on selected default values to be used by the EFSA Scientific Committee, Scientific Panels and Units in the absence of actual measured data&lt;/title&gt;&lt;secondary-title&gt;EFSA journal&lt;/secondary-title&gt;&lt;/titles&gt;&lt;periodical&gt;&lt;full-title&gt;EFSA Journal&lt;/full-title&gt;&lt;/periodical&gt;&lt;pages&gt;2579&lt;/pages&gt;&lt;volume&gt;10&lt;/volume&gt;&lt;number&gt;3&lt;/number&gt;&lt;dates&gt;&lt;year&gt;2012&lt;/year&gt;&lt;/dates&gt;&lt;isbn&gt;1831-4732&lt;/isbn&gt;&lt;urls&gt;&lt;/urls&gt;&lt;electronic-resource-num&gt;10.2903/j.efsa.2012.2579&lt;/electronic-resource-num&gt;&lt;/record&gt;&lt;/Cite&gt;&lt;/EndNote&gt;</w:instrText>
      </w:r>
      <w:r w:rsidR="009F6F31">
        <w:fldChar w:fldCharType="separate"/>
      </w:r>
      <w:r w:rsidR="00705079">
        <w:rPr>
          <w:noProof/>
        </w:rPr>
        <w:t>(EFSA Scientific Committee 2012)</w:t>
      </w:r>
      <w:r w:rsidR="009F6F31">
        <w:fldChar w:fldCharType="end"/>
      </w:r>
      <w:r w:rsidR="009F6F31">
        <w:t xml:space="preserve">. </w:t>
      </w:r>
      <w:r w:rsidRPr="005831DA">
        <w:t>For nutrients, th</w:t>
      </w:r>
      <w:r w:rsidR="005B7035">
        <w:t>is</w:t>
      </w:r>
      <w:r w:rsidRPr="005831DA">
        <w:t xml:space="preserve"> default UF of 10 may be reduced based on one or more of the following:</w:t>
      </w:r>
    </w:p>
    <w:p w14:paraId="6F96E3BB" w14:textId="1C1A898F" w:rsidR="003674F4" w:rsidRDefault="0005760A" w:rsidP="00211F4C">
      <w:pPr>
        <w:pStyle w:val="ListParagraph"/>
        <w:numPr>
          <w:ilvl w:val="0"/>
          <w:numId w:val="56"/>
        </w:numPr>
        <w:contextualSpacing/>
      </w:pPr>
      <w:r w:rsidRPr="00490031">
        <w:t xml:space="preserve">the size, quality and diversity of human studies </w:t>
      </w:r>
      <w:r>
        <w:t xml:space="preserve">available </w:t>
      </w:r>
    </w:p>
    <w:p w14:paraId="163E1E49" w14:textId="262E9BAF" w:rsidR="0005760A" w:rsidRPr="00490031" w:rsidRDefault="0005760A" w:rsidP="00211F4C">
      <w:pPr>
        <w:pStyle w:val="ListParagraph"/>
        <w:numPr>
          <w:ilvl w:val="1"/>
          <w:numId w:val="56"/>
        </w:numPr>
        <w:contextualSpacing/>
      </w:pPr>
      <w:r>
        <w:t xml:space="preserve">is </w:t>
      </w:r>
      <w:r w:rsidR="003674F4" w:rsidRPr="00490031">
        <w:t xml:space="preserve">some </w:t>
      </w:r>
      <w:r w:rsidR="003674F4">
        <w:t xml:space="preserve">of the </w:t>
      </w:r>
      <w:r w:rsidR="003674F4" w:rsidRPr="00490031">
        <w:t>inter-individual variability</w:t>
      </w:r>
      <w:r w:rsidR="003674F4">
        <w:t xml:space="preserve"> likely to be accounted for in </w:t>
      </w:r>
      <w:r>
        <w:t>the evidence-base?</w:t>
      </w:r>
    </w:p>
    <w:p w14:paraId="46CC7D85" w14:textId="77777777" w:rsidR="003674F4" w:rsidRDefault="0005760A" w:rsidP="00211F4C">
      <w:pPr>
        <w:pStyle w:val="ListParagraph"/>
        <w:numPr>
          <w:ilvl w:val="0"/>
          <w:numId w:val="56"/>
        </w:numPr>
        <w:contextualSpacing/>
      </w:pPr>
      <w:r w:rsidRPr="00F41E29">
        <w:t>the severity and reversibility of the adverse health effects</w:t>
      </w:r>
      <w:r>
        <w:t xml:space="preserve"> </w:t>
      </w:r>
    </w:p>
    <w:p w14:paraId="681CA0FF" w14:textId="06DC32C6" w:rsidR="0005760A" w:rsidRPr="00F41E29" w:rsidRDefault="0005760A" w:rsidP="00211F4C">
      <w:pPr>
        <w:pStyle w:val="ListParagraph"/>
        <w:numPr>
          <w:ilvl w:val="1"/>
          <w:numId w:val="56"/>
        </w:numPr>
        <w:contextualSpacing/>
      </w:pPr>
      <w:r>
        <w:t>are the effects</w:t>
      </w:r>
      <w:r w:rsidRPr="00F41E29">
        <w:t xml:space="preserve"> mild and reversible</w:t>
      </w:r>
      <w:r w:rsidR="001E469F">
        <w:t>,</w:t>
      </w:r>
      <w:r w:rsidRPr="00F41E29">
        <w:t xml:space="preserve"> or biomarkers of a potential future effect</w:t>
      </w:r>
      <w:r>
        <w:t>?</w:t>
      </w:r>
    </w:p>
    <w:p w14:paraId="2D59459B" w14:textId="2CBFACE4" w:rsidR="0005760A" w:rsidRPr="005831DA" w:rsidRDefault="0005760A" w:rsidP="00211F4C">
      <w:pPr>
        <w:pStyle w:val="ListParagraph"/>
        <w:numPr>
          <w:ilvl w:val="0"/>
          <w:numId w:val="56"/>
        </w:numPr>
        <w:contextualSpacing/>
      </w:pPr>
      <w:r w:rsidRPr="005831DA">
        <w:t xml:space="preserve">the availability of evidence </w:t>
      </w:r>
      <w:r w:rsidR="001E469F">
        <w:t>on</w:t>
      </w:r>
      <w:r w:rsidRPr="005831DA">
        <w:t xml:space="preserve"> the </w:t>
      </w:r>
      <w:proofErr w:type="spellStart"/>
      <w:r w:rsidRPr="005831DA">
        <w:t>toxicokinetics</w:t>
      </w:r>
      <w:proofErr w:type="spellEnd"/>
      <w:r w:rsidRPr="005831DA">
        <w:t xml:space="preserve"> and </w:t>
      </w:r>
      <w:proofErr w:type="spellStart"/>
      <w:r w:rsidRPr="005831DA">
        <w:t>toxicodynamics</w:t>
      </w:r>
      <w:proofErr w:type="spellEnd"/>
      <w:r w:rsidRPr="005831DA">
        <w:t xml:space="preserve"> of the nutrient in humans</w:t>
      </w:r>
      <w:r w:rsidR="003674F4">
        <w:t>.</w:t>
      </w:r>
    </w:p>
    <w:p w14:paraId="54D02585" w14:textId="45EF01F7" w:rsidR="0005760A" w:rsidRPr="00D520AA" w:rsidRDefault="00795876" w:rsidP="0005760A">
      <w:r>
        <w:t>Different jurisdictions have different conventions for setting UF</w:t>
      </w:r>
      <w:r w:rsidR="00740484">
        <w:t>s.</w:t>
      </w:r>
      <w:r>
        <w:t xml:space="preserve"> </w:t>
      </w:r>
      <w:r w:rsidR="0005760A" w:rsidRPr="00D520AA">
        <w:t>If there is confidence that intake of the nutrient up to the RP identified in the evidence is not expected to pose a risk of adverse health effects for the general population, a UF of 1.0 is used, meaning the RP can be used as the UL.</w:t>
      </w:r>
      <w:r w:rsidR="000E6876">
        <w:t xml:space="preserve"> </w:t>
      </w:r>
      <w:r w:rsidR="00FC5246" w:rsidRPr="00FC5246">
        <w:t xml:space="preserve">A default UF of 2 for extrapolation from sub-chronic to chronic exposure is applicable to toxicity studies in rodents. There is no default value for the extrapolation of exposure duration in human studies (EFSA 2024). </w:t>
      </w:r>
    </w:p>
    <w:p w14:paraId="503C53D4" w14:textId="75D80795" w:rsidR="0005760A" w:rsidRDefault="0005760A" w:rsidP="0005760A">
      <w:r>
        <w:t xml:space="preserve">EFSA provides further guidance on default UFs </w:t>
      </w:r>
      <w:r w:rsidR="00716C8C">
        <w:t>for s</w:t>
      </w:r>
      <w:r w:rsidR="00DC0C0F">
        <w:t xml:space="preserve">ources of </w:t>
      </w:r>
      <w:r w:rsidR="00505DC9">
        <w:t xml:space="preserve">variability or uncertainty </w:t>
      </w:r>
      <w:r w:rsidR="00716C8C">
        <w:t xml:space="preserve">in relation to exposure to chemicals </w:t>
      </w:r>
      <w:r w:rsidR="00343214">
        <w:t xml:space="preserve">that </w:t>
      </w:r>
      <w:r>
        <w:t>may be relevant to nutrients</w:t>
      </w:r>
      <w:r w:rsidR="00716C8C">
        <w:t>. These include</w:t>
      </w:r>
      <w:r>
        <w:t xml:space="preserve"> the use of a </w:t>
      </w:r>
      <w:r w:rsidR="00BA7D59" w:rsidRPr="00A91E0E">
        <w:t>Lowest</w:t>
      </w:r>
      <w:r w:rsidR="00BA7D59">
        <w:t xml:space="preserve"> Observed Adverse Effect level</w:t>
      </w:r>
      <w:r>
        <w:t xml:space="preserve"> </w:t>
      </w:r>
      <w:r w:rsidR="00BA7D59">
        <w:t>(</w:t>
      </w:r>
      <w:r>
        <w:t>LOAEL</w:t>
      </w:r>
      <w:r w:rsidR="00BA7D59">
        <w:t>)</w:t>
      </w:r>
      <w:r>
        <w:t xml:space="preserve"> in the absence of a </w:t>
      </w:r>
      <w:r w:rsidR="007945FA" w:rsidRPr="00A91E0E">
        <w:t>No</w:t>
      </w:r>
      <w:r w:rsidR="007945FA">
        <w:t xml:space="preserve"> Observed Adverse Effect Level (</w:t>
      </w:r>
      <w:r>
        <w:t>NOAEL</w:t>
      </w:r>
      <w:r w:rsidR="007945FA">
        <w:t>)</w:t>
      </w:r>
      <w:r>
        <w:t xml:space="preserve">, extrapolation </w:t>
      </w:r>
      <w:r w:rsidR="001E469F">
        <w:t xml:space="preserve">from animal studies to humans, or </w:t>
      </w:r>
      <w:r>
        <w:t xml:space="preserve">extrapolation </w:t>
      </w:r>
      <w:r w:rsidR="001E469F">
        <w:t>from</w:t>
      </w:r>
      <w:r>
        <w:t xml:space="preserve"> studies of short</w:t>
      </w:r>
      <w:r w:rsidR="001E469F">
        <w:t>-</w:t>
      </w:r>
      <w:r>
        <w:t>term exposure when critical effects are expected from lower dose but longer</w:t>
      </w:r>
      <w:r w:rsidR="00C92132">
        <w:t>-</w:t>
      </w:r>
      <w:r>
        <w:t xml:space="preserve">term exposure </w:t>
      </w:r>
      <w:r w:rsidR="00140478">
        <w:fldChar w:fldCharType="begin"/>
      </w:r>
      <w:r w:rsidR="00D843BA">
        <w:instrText xml:space="preserve"> ADDIN EN.CITE &lt;EndNote&gt;&lt;Cite&gt;&lt;Author&gt;EFSA Scientific Committee&lt;/Author&gt;&lt;Year&gt;2012&lt;/Year&gt;&lt;RecNum&gt;24&lt;/RecNum&gt;&lt;DisplayText&gt;(EFSA Scientific Committee 2012)&lt;/DisplayText&gt;&lt;record&gt;&lt;rec-number&gt;24&lt;/rec-number&gt;&lt;foreign-keys&gt;&lt;key app="EN" db-id="zxfaevvrgpsxebez5ec5vspfe2av5dtxt9xx" timestamp="1754957726"&gt;24&lt;/key&gt;&lt;/foreign-keys&gt;&lt;ref-type name="Journal Article"&gt;17&lt;/ref-type&gt;&lt;contributors&gt;&lt;authors&gt;&lt;author&gt;EFSA Scientific Committee,&lt;/author&gt;&lt;/authors&gt;&lt;/contributors&gt;&lt;titles&gt;&lt;title&gt;Guidance on selected default values to be used by the EFSA Scientific Committee, Scientific Panels and Units in the absence of actual measured data&lt;/title&gt;&lt;secondary-title&gt;EFSA journal&lt;/secondary-title&gt;&lt;/titles&gt;&lt;periodical&gt;&lt;full-title&gt;EFSA Journal&lt;/full-title&gt;&lt;/periodical&gt;&lt;pages&gt;2579&lt;/pages&gt;&lt;volume&gt;10&lt;/volume&gt;&lt;number&gt;3&lt;/number&gt;&lt;dates&gt;&lt;year&gt;2012&lt;/year&gt;&lt;/dates&gt;&lt;isbn&gt;1831-4732&lt;/isbn&gt;&lt;urls&gt;&lt;/urls&gt;&lt;electronic-resource-num&gt;10.2903/j.efsa.2012.2579&lt;/electronic-resource-num&gt;&lt;/record&gt;&lt;/Cite&gt;&lt;/EndNote&gt;</w:instrText>
      </w:r>
      <w:r w:rsidR="00140478">
        <w:fldChar w:fldCharType="separate"/>
      </w:r>
      <w:r w:rsidR="00705079">
        <w:rPr>
          <w:noProof/>
        </w:rPr>
        <w:t>(EFSA Scientific Committee 2012)</w:t>
      </w:r>
      <w:r w:rsidR="00140478">
        <w:fldChar w:fldCharType="end"/>
      </w:r>
      <w:r w:rsidR="00140478">
        <w:t>.</w:t>
      </w:r>
      <w:r>
        <w:t xml:space="preserve"> </w:t>
      </w:r>
    </w:p>
    <w:p w14:paraId="3A108D43" w14:textId="3F2A6FDC" w:rsidR="00C71AFB" w:rsidRDefault="00C71AFB" w:rsidP="00F1549E">
      <w:r>
        <w:t xml:space="preserve">Food Standards Australia New </w:t>
      </w:r>
      <w:r w:rsidR="005002FA">
        <w:t>Zealand</w:t>
      </w:r>
      <w:r>
        <w:t xml:space="preserve"> </w:t>
      </w:r>
      <w:r w:rsidRPr="00C71AFB">
        <w:t>progression of Uncertainty Factors is</w:t>
      </w:r>
      <w:r w:rsidR="00240EF0">
        <w:t xml:space="preserve"> usually</w:t>
      </w:r>
      <w:r w:rsidRPr="00C71AFB">
        <w:t xml:space="preserve"> done using </w:t>
      </w:r>
      <w:r w:rsidRPr="00C71AFB">
        <w:rPr>
          <w:i/>
          <w:iCs/>
        </w:rPr>
        <w:t>e</w:t>
      </w:r>
      <w:r w:rsidRPr="00C71AFB">
        <w:t>, the base of the natural logarithm, rounded off to a whole number</w:t>
      </w:r>
      <w:r w:rsidR="00C85402">
        <w:t xml:space="preserve"> based on</w:t>
      </w:r>
      <w:r w:rsidRPr="00C71AFB">
        <w:t xml:space="preserve"> a dose-response curve typically plotted on a </w:t>
      </w:r>
      <w:proofErr w:type="spellStart"/>
      <w:r w:rsidRPr="00C71AFB">
        <w:t>semilog</w:t>
      </w:r>
      <w:proofErr w:type="spellEnd"/>
      <w:r w:rsidRPr="00C71AFB">
        <w:t xml:space="preserve"> graph. </w:t>
      </w:r>
      <w:r w:rsidR="00D139D1">
        <w:t>I</w:t>
      </w:r>
      <w:r w:rsidRPr="00C71AFB">
        <w:t xml:space="preserve">f the default value of 10 is not justified for a particular Uncertainty Factor, the next lowest option is 3.0, a rounding-off of 2.718. If </w:t>
      </w:r>
      <w:r w:rsidR="007F58CB">
        <w:t xml:space="preserve">it is considered that </w:t>
      </w:r>
      <w:r w:rsidR="00C6702B">
        <w:t xml:space="preserve">the </w:t>
      </w:r>
      <w:r w:rsidRPr="00C71AFB">
        <w:t>value is still not justifiable, the next step down is to a UF of 1</w:t>
      </w:r>
      <w:r w:rsidR="00C6702B">
        <w:t>.</w:t>
      </w:r>
    </w:p>
    <w:p w14:paraId="66C449CC" w14:textId="72EAF045" w:rsidR="00DB41D7" w:rsidRDefault="00947093" w:rsidP="00F1549E">
      <w:r>
        <w:t xml:space="preserve">When deriving a UL, determining what to use as the UF can be the most </w:t>
      </w:r>
      <w:r w:rsidRPr="00275CC3">
        <w:t xml:space="preserve">challenging, arbitrary, contentious, and </w:t>
      </w:r>
      <w:r>
        <w:t xml:space="preserve">sometimes </w:t>
      </w:r>
      <w:r w:rsidRPr="00275CC3">
        <w:t>least scientific aspect of the process</w:t>
      </w:r>
      <w:r w:rsidR="00BB3CCA">
        <w:t xml:space="preserve"> </w:t>
      </w:r>
      <w:r w:rsidR="00A01F94">
        <w:fldChar w:fldCharType="begin"/>
      </w:r>
      <w:r w:rsidR="002E2DF0">
        <w:instrText xml:space="preserve"> ADDIN EN.CITE &lt;EndNote&gt;&lt;Cite&gt;&lt;Author&gt;Australian Government Department of Health&lt;/Author&gt;&lt;Year&gt;2017&lt;/Year&gt;&lt;RecNum&gt;103&lt;/RecNum&gt;&lt;DisplayText&gt;(Australian Government Department of Health &amp;amp; New Zealand Ministry of Health 2017)&lt;/DisplayText&gt;&lt;record&gt;&lt;rec-number&gt;103&lt;/rec-number&gt;&lt;foreign-keys&gt;&lt;key app="EN" db-id="zxfaevvrgpsxebez5ec5vspfe2av5dtxt9xx" timestamp="1754970104"&gt;103&lt;/key&gt;&lt;/foreign-keys&gt;&lt;ref-type name="Electronic Book"&gt;44&lt;/ref-type&gt;&lt;contributors&gt;&lt;authors&gt;&lt;author&gt;Australian Government Department of Health,&lt;/author&gt;&lt;author&gt;New Zealand Ministry of Health,&lt;/author&gt;&lt;/authors&gt;&lt;/contributors&gt;&lt;titles&gt;&lt;title&gt;General principles for establishing safe upper levels of intake for micronutrients – Issues for consideration. A supporting reference document to the methodological framework for the review of Nutrient Reference Values.&lt;/title&gt;&lt;/titles&gt;&lt;dates&gt;&lt;year&gt;2017&lt;/year&gt;&lt;/dates&gt;&lt;urls&gt;&lt;related-urls&gt;&lt;url&gt;date accessed 13 August 2025, https://www.eatforhealth.gov.au/nutrient-reference-values/resources&lt;/url&gt;&lt;/related-urls&gt;&lt;/urls&gt;&lt;/record&gt;&lt;/Cite&gt;&lt;/EndNote&gt;</w:instrText>
      </w:r>
      <w:r w:rsidR="00A01F94">
        <w:fldChar w:fldCharType="separate"/>
      </w:r>
      <w:r w:rsidR="00705079">
        <w:rPr>
          <w:noProof/>
        </w:rPr>
        <w:t xml:space="preserve">(Australian Government </w:t>
      </w:r>
      <w:r w:rsidR="00705079">
        <w:rPr>
          <w:noProof/>
        </w:rPr>
        <w:lastRenderedPageBreak/>
        <w:t>Department of Health &amp; New Zealand Ministry of Health 2017)</w:t>
      </w:r>
      <w:r w:rsidR="00A01F94">
        <w:fldChar w:fldCharType="end"/>
      </w:r>
      <w:r w:rsidR="00FE5ECD">
        <w:t xml:space="preserve">. </w:t>
      </w:r>
      <w:r w:rsidR="0005760A">
        <w:t xml:space="preserve">Expert judgement is needed to ensure that applying default UFs does not result in a UL that </w:t>
      </w:r>
      <w:r w:rsidR="0092700B">
        <w:t>could</w:t>
      </w:r>
      <w:r w:rsidR="0005760A">
        <w:t xml:space="preserve"> caus</w:t>
      </w:r>
      <w:r w:rsidR="0092700B">
        <w:t>e</w:t>
      </w:r>
      <w:r w:rsidR="0005760A">
        <w:t xml:space="preserve"> nutrient deficiency or is impractical to implement in the real world (i.e. a UL that is too close to or overlapping recommended nutritional adequacy levels for the nutrient).  A case-by-case approach is needed for each nutrient that also considers nutrient intake requirements</w:t>
      </w:r>
      <w:r w:rsidR="00777E9C">
        <w:t>,</w:t>
      </w:r>
      <w:r w:rsidR="0005760A">
        <w:t xml:space="preserve"> homeostatic mechanisms</w:t>
      </w:r>
      <w:r w:rsidR="00F62FE0">
        <w:t>, balance of benefits and harms</w:t>
      </w:r>
      <w:r w:rsidR="00B925AC">
        <w:t>, values and preferences, cost-effectiveness and required resources, and other factors</w:t>
      </w:r>
      <w:r w:rsidR="0092266E">
        <w:t xml:space="preserve"> such as equity, feasibility and </w:t>
      </w:r>
      <w:r w:rsidR="00894587">
        <w:t>sustainability</w:t>
      </w:r>
      <w:r w:rsidR="0005760A">
        <w:t xml:space="preserve">. The rationale for the chosen UF should be described alongside the NRV, and the considerations, discussion and decisions underpinning the chosen UF should be recorded during the </w:t>
      </w:r>
      <w:r w:rsidR="005705E7">
        <w:t>e</w:t>
      </w:r>
      <w:r w:rsidR="0005760A">
        <w:t>vidence-to-</w:t>
      </w:r>
      <w:r w:rsidR="005705E7">
        <w:t>d</w:t>
      </w:r>
      <w:r w:rsidR="0005760A">
        <w:t>ecision process (</w:t>
      </w:r>
      <w:r w:rsidR="00B34ED4" w:rsidRPr="00040290">
        <w:t xml:space="preserve">Section </w:t>
      </w:r>
      <w:r w:rsidR="00040290" w:rsidRPr="00040290">
        <w:fldChar w:fldCharType="begin"/>
      </w:r>
      <w:r w:rsidR="00040290" w:rsidRPr="00040290">
        <w:instrText xml:space="preserve"> REF _Ref193279383 \r \h </w:instrText>
      </w:r>
      <w:r w:rsidR="00040290">
        <w:instrText xml:space="preserve"> \* MERGEFORMAT </w:instrText>
      </w:r>
      <w:r w:rsidR="00040290" w:rsidRPr="00040290">
        <w:fldChar w:fldCharType="separate"/>
      </w:r>
      <w:r w:rsidR="00783DC4">
        <w:t>7.3</w:t>
      </w:r>
      <w:r w:rsidR="00040290" w:rsidRPr="00040290">
        <w:fldChar w:fldCharType="end"/>
      </w:r>
      <w:r w:rsidR="0005760A" w:rsidRPr="00040290">
        <w:t>)</w:t>
      </w:r>
      <w:r w:rsidR="00040290">
        <w:t>.</w:t>
      </w:r>
    </w:p>
    <w:p w14:paraId="76C88C47" w14:textId="00093D2F" w:rsidR="00DB41D7" w:rsidRPr="00E509CE" w:rsidRDefault="00DB41D7" w:rsidP="00CD5F87">
      <w:pPr>
        <w:pStyle w:val="Bodytext-ULdoc"/>
      </w:pPr>
    </w:p>
    <w:p w14:paraId="2BB5D030" w14:textId="54B3B7D3" w:rsidR="00C83282" w:rsidRDefault="00C83282" w:rsidP="00802885">
      <w:pPr>
        <w:pStyle w:val="Boxed1Bullet"/>
        <w:numPr>
          <w:ilvl w:val="0"/>
          <w:numId w:val="0"/>
        </w:numPr>
        <w:ind w:left="644"/>
      </w:pPr>
      <w:r>
        <w:t>Further information about uncertainty can be found in:</w:t>
      </w:r>
    </w:p>
    <w:p w14:paraId="05C2CB8C" w14:textId="7529FED1" w:rsidR="002B5F9A" w:rsidRDefault="00E35AC3" w:rsidP="00211F4C">
      <w:pPr>
        <w:pStyle w:val="Boxed1Bullet"/>
        <w:numPr>
          <w:ilvl w:val="0"/>
          <w:numId w:val="58"/>
        </w:numPr>
      </w:pPr>
      <w:r>
        <w:fldChar w:fldCharType="begin"/>
      </w:r>
      <w:r w:rsidR="00FD5765">
        <w:instrText xml:space="preserve"> ADDIN EN.CITE &lt;EndNote&gt;&lt;Cite AuthorYear="1"&gt;&lt;Author&gt;EFSA Panel on Nutrition Novel Foods and Food Allergens&lt;/Author&gt;&lt;Year&gt;2024&lt;/Year&gt;&lt;RecNum&gt;84&lt;/RecNum&gt;&lt;DisplayText&gt;EFSA Panel on Nutrition Novel Foods and Food Allergens et al. (2024a)&lt;/DisplayText&gt;&lt;record&gt;&lt;rec-number&gt;84&lt;/rec-number&gt;&lt;foreign-keys&gt;&lt;key app="EN" db-id="zxfaevvrgpsxebez5ec5vspfe2av5dtxt9xx" timestamp="1754958788"&gt;84&lt;/key&gt;&lt;/foreign-keys&gt;&lt;ref-type name="Journal Article"&gt;17&lt;/ref-type&gt;&lt;contributors&gt;&lt;authors&gt;&lt;author&gt;EFSA Panel on Nutrition Novel F</w:instrText>
      </w:r>
      <w:r w:rsidR="00FD5765">
        <w:rPr>
          <w:rFonts w:hint="eastAsia"/>
        </w:rPr>
        <w:instrText>oods and Food Allergens,&lt;/author&gt;&lt;author&gt;Turck, Dominique&lt;/author&gt;&lt;author&gt;Bohn, Torsten&lt;/author&gt;&lt;author&gt;Cámara, Montaña&lt;/author&gt;&lt;author&gt;Castenmiller, Jacqueline&lt;/author&gt;&lt;author&gt;de Henauw, Stefaan&lt;/author&gt;&lt;author&gt;Hirsch</w:instrText>
      </w:r>
      <w:r w:rsidR="00FD5765">
        <w:rPr>
          <w:rFonts w:hint="eastAsia"/>
        </w:rPr>
        <w:instrText>‐</w:instrText>
      </w:r>
      <w:r w:rsidR="00FD5765">
        <w:rPr>
          <w:rFonts w:hint="eastAsia"/>
        </w:rPr>
        <w:instrText>Ernst, Karen</w:instrText>
      </w:r>
      <w:r w:rsidR="00FD5765">
        <w:rPr>
          <w:rFonts w:hint="eastAsia"/>
        </w:rPr>
        <w:instrText>‐</w:instrText>
      </w:r>
      <w:r w:rsidR="00FD5765">
        <w:rPr>
          <w:rFonts w:hint="eastAsia"/>
        </w:rPr>
        <w:instrText>Ildico&lt;/author&gt;&lt;author&gt;</w:instrText>
      </w:r>
      <w:r w:rsidR="00FD5765">
        <w:instrText>Jos, Angeles&lt;/author&gt;&lt;author&gt;Maciuk, Alexandre&lt;/author&gt;&lt;author&gt;Mangelsdorf, Inge&lt;/author&gt;&lt;/authors&gt;&lt;/contributors&gt;&lt;titles&gt;&lt;title&gt;Guidance for establishing and applying tolerable upper intake levels for vitamins and essential minerals&lt;/title&gt;&lt;secondary-title&gt;EFSA Journal&lt;/secondary-title&gt;&lt;/titles&gt;&lt;periodical&gt;&lt;full-title&gt;EFSA Journal&lt;/full-title&gt;&lt;/periodical&gt;&lt;pages&gt;e9052&lt;/pages&gt;&lt;volume&gt;22&lt;/volume&gt;&lt;number&gt;11&lt;/number&gt;&lt;dates&gt;&lt;year&gt;2024&lt;/year&gt;&lt;/dates&gt;&lt;isbn&gt;1831-4732&lt;/isbn&gt;&lt;urls&gt;&lt;/urls&gt;&lt;electronic-resource-num&gt;10.2903/j.efsa.2024.9052&lt;/electronic-resource-num&gt;&lt;/record&gt;&lt;/Cite&gt;&lt;/EndNote&gt;</w:instrText>
      </w:r>
      <w:r>
        <w:fldChar w:fldCharType="separate"/>
      </w:r>
      <w:r w:rsidR="00FD5765">
        <w:rPr>
          <w:noProof/>
        </w:rPr>
        <w:t>EFSA Panel on Nutrition Novel Foods and Food Allergens et al. (2024a)</w:t>
      </w:r>
      <w:r>
        <w:fldChar w:fldCharType="end"/>
      </w:r>
      <w:r>
        <w:t xml:space="preserve"> </w:t>
      </w:r>
      <w:r w:rsidRPr="00DF24DF">
        <w:t xml:space="preserve">Guidance for establishing and applying tolerable upper intake levels for vitamins and essential minerals. </w:t>
      </w:r>
      <w:r w:rsidRPr="00DF24DF">
        <w:rPr>
          <w:i/>
          <w:iCs/>
        </w:rPr>
        <w:t>EFSA Journal</w:t>
      </w:r>
      <w:r w:rsidRPr="00DF24DF">
        <w:t>,</w:t>
      </w:r>
      <w:r w:rsidRPr="00DF24DF">
        <w:rPr>
          <w:i/>
          <w:iCs/>
        </w:rPr>
        <w:t xml:space="preserve"> 22</w:t>
      </w:r>
      <w:r w:rsidRPr="00DF24DF">
        <w:t xml:space="preserve">(11), e9052. </w:t>
      </w:r>
      <w:hyperlink r:id="rId103" w:history="1">
        <w:r w:rsidRPr="000163C7">
          <w:rPr>
            <w:rStyle w:val="Hyperlink"/>
            <w:color w:val="006CBC"/>
          </w:rPr>
          <w:t>https://doi.org/10.2903/j.efsa.2024.9052</w:t>
        </w:r>
      </w:hyperlink>
      <w:r w:rsidR="002B5F9A" w:rsidRPr="00A44C05" w:rsidDel="00A44C05">
        <w:t xml:space="preserve"> </w:t>
      </w:r>
    </w:p>
    <w:p w14:paraId="50663FC4" w14:textId="7E8F2F52" w:rsidR="004B5F1E" w:rsidRPr="00C90B1C" w:rsidRDefault="001E2325" w:rsidP="00211F4C">
      <w:pPr>
        <w:pStyle w:val="Boxed1Bullet"/>
        <w:numPr>
          <w:ilvl w:val="0"/>
          <w:numId w:val="58"/>
        </w:numPr>
        <w:rPr>
          <w:szCs w:val="20"/>
        </w:rPr>
      </w:pPr>
      <w:r>
        <w:rPr>
          <w:szCs w:val="20"/>
        </w:rPr>
        <w:fldChar w:fldCharType="begin"/>
      </w:r>
      <w:r w:rsidR="00446735">
        <w:rPr>
          <w:szCs w:val="20"/>
        </w:rPr>
        <w:instrText xml:space="preserve"> ADDIN EN.CITE &lt;EndNote&gt;&lt;Cite AuthorYear="1"&gt;&lt;Author&gt;EFSA Scientific Committee&lt;/Author&gt;&lt;Year&gt;2018&lt;/Year&gt;&lt;RecNum&gt;115&lt;/RecNum&gt;&lt;DisplayText&gt;EFSA Scientific Committee et al. (2018)&lt;/DisplayText&gt;&lt;record&gt;&lt;rec-number&gt;115&lt;/rec-number&gt;&lt;foreign-keys&gt;&lt;key app="EN" db-id="zxfaevvrgpsxebez5ec5vspfe2av5dtxt9xx" timestamp="1755156231"&gt;115&lt;/key&gt;&lt;/foreign-keys&gt;&lt;ref-type name="Journal Article"&gt;17&lt;/ref-type&gt;&lt;contributors&gt;&lt;authors&gt;&lt;author&gt;EFSA Scientific Committee,&lt;/author&gt;&lt;author&gt;Benford, Diane&lt;/author&gt;&lt;author&gt;Halldorsson, Thorhallur&lt;/author&gt;&lt;author&gt;Jeger, Michael John&lt;/author&gt;&lt;author&gt;Knutsen, Helle Katrine&lt;/author&gt;&lt;author&gt;More, Simon&lt;/author&gt;&lt;author&gt;Naegeli, Hanspeter&lt;/author&gt;&lt;author&gt;Noteborn, Hubert&lt;/author&gt;&lt;author&gt;Ockleford, Colin&lt;/author&gt;&lt;author&gt;Ricci, Antonia&lt;/author&gt;&lt;/authors&gt;&lt;/contributors&gt;&lt;titles&gt;&lt;title&gt;Guidance on uncertainty analysis in scientific assessments&lt;/title&gt;&lt;secondary-title&gt;Efsa Journal&lt;/secondary-title&gt;&lt;/titles&gt;&lt;periodical&gt;&lt;full-title&gt;EFSA Journal&lt;/full-title&gt;&lt;/periodical&gt;&lt;pages&gt;e05123&lt;/pages&gt;&lt;volume&gt;16&lt;/volume&gt;&lt;number&gt;1&lt;/number&gt;&lt;dates&gt;&lt;year&gt;2018&lt;/year&gt;&lt;/dates&gt;&lt;isbn&gt;1831-4732&lt;/isbn&gt;&lt;urls&gt;&lt;/urls&gt;&lt;electronic-resource-num&gt;10.2903/j.efsa.2018.5123&lt;/electronic-resource-num&gt;&lt;/record&gt;&lt;/Cite&gt;&lt;/EndNote&gt;</w:instrText>
      </w:r>
      <w:r>
        <w:rPr>
          <w:szCs w:val="20"/>
        </w:rPr>
        <w:fldChar w:fldCharType="separate"/>
      </w:r>
      <w:r w:rsidR="00446735">
        <w:rPr>
          <w:noProof/>
          <w:szCs w:val="20"/>
        </w:rPr>
        <w:t>EFSA Scientific Committee et al. (2018)</w:t>
      </w:r>
      <w:r>
        <w:rPr>
          <w:szCs w:val="20"/>
        </w:rPr>
        <w:fldChar w:fldCharType="end"/>
      </w:r>
      <w:r w:rsidR="004B5F1E" w:rsidRPr="585C5CCB">
        <w:rPr>
          <w:szCs w:val="20"/>
        </w:rPr>
        <w:t xml:space="preserve"> </w:t>
      </w:r>
      <w:r w:rsidR="006F694B" w:rsidRPr="006F694B">
        <w:rPr>
          <w:szCs w:val="20"/>
        </w:rPr>
        <w:t xml:space="preserve">Guidance on uncertainty analysis in scientific assessments. </w:t>
      </w:r>
      <w:r w:rsidR="006F694B" w:rsidRPr="006F694B">
        <w:rPr>
          <w:i/>
          <w:iCs/>
          <w:szCs w:val="20"/>
        </w:rPr>
        <w:t>EFSA Journal</w:t>
      </w:r>
      <w:r w:rsidR="006F694B" w:rsidRPr="006F694B">
        <w:rPr>
          <w:szCs w:val="20"/>
        </w:rPr>
        <w:t>,</w:t>
      </w:r>
      <w:r w:rsidR="006F694B" w:rsidRPr="006F694B">
        <w:rPr>
          <w:i/>
          <w:iCs/>
          <w:szCs w:val="20"/>
        </w:rPr>
        <w:t xml:space="preserve"> 16</w:t>
      </w:r>
      <w:r w:rsidR="006F694B" w:rsidRPr="006F694B">
        <w:rPr>
          <w:szCs w:val="20"/>
        </w:rPr>
        <w:t xml:space="preserve">(1), e05123. </w:t>
      </w:r>
      <w:hyperlink r:id="rId104" w:history="1">
        <w:r w:rsidR="006F694B" w:rsidRPr="000163C7">
          <w:rPr>
            <w:rStyle w:val="Hyperlink"/>
            <w:color w:val="006CBC"/>
            <w:szCs w:val="20"/>
          </w:rPr>
          <w:t>https://doi.org/10.2903/j.efsa.2018.5123</w:t>
        </w:r>
      </w:hyperlink>
      <w:r w:rsidR="006F694B">
        <w:rPr>
          <w:szCs w:val="20"/>
        </w:rPr>
        <w:t xml:space="preserve"> </w:t>
      </w:r>
    </w:p>
    <w:p w14:paraId="7F895E2A" w14:textId="0EE5E525" w:rsidR="00F13BFE" w:rsidRPr="004E462E" w:rsidRDefault="00446735" w:rsidP="00211F4C">
      <w:pPr>
        <w:pStyle w:val="Boxed1Bullet"/>
        <w:numPr>
          <w:ilvl w:val="0"/>
          <w:numId w:val="58"/>
        </w:numPr>
        <w:rPr>
          <w:szCs w:val="20"/>
        </w:rPr>
      </w:pPr>
      <w:r>
        <w:rPr>
          <w:szCs w:val="20"/>
        </w:rPr>
        <w:fldChar w:fldCharType="begin"/>
      </w:r>
      <w:r>
        <w:rPr>
          <w:szCs w:val="20"/>
        </w:rPr>
        <w:instrText xml:space="preserve"> ADDIN EN.CITE &lt;EndNote&gt;&lt;Cite AuthorYear="1"&gt;&lt;Author&gt;EFSA&lt;/Author&gt;&lt;Year&gt;2019&lt;/Year&gt;&lt;RecNum&gt;116&lt;/RecNum&gt;&lt;DisplayText&gt;EFSA et al. (2019)&lt;/DisplayText&gt;&lt;record&gt;&lt;rec-number&gt;116&lt;/rec-number&gt;&lt;foreign-keys&gt;&lt;key app="EN" db-id="zxfaevvrgpsxebez5ec5vspfe2av5dtxt9xx" timestamp="1755156407"&gt;116&lt;/key&gt;&lt;/foreign-keys&gt;&lt;ref-type name="Journal Article"&gt;17&lt;/ref-type&gt;&lt;contributors&gt;&lt;authors&gt;&lt;author&gt;EFSA,&lt;/author&gt;&lt;author&gt;Hart, Andrew&lt;/author&gt;&lt;author&gt;Maxim, Laura&lt;/author&gt;&lt;author&gt;Siegrist, Michael&lt;/author&gt;&lt;author&gt;Von Goetz, Nata</w:instrText>
      </w:r>
      <w:r>
        <w:rPr>
          <w:rFonts w:hint="eastAsia"/>
          <w:szCs w:val="20"/>
        </w:rPr>
        <w:instrText>lie&lt;/author&gt;&lt;author&gt;da Cruz, Cristina&lt;/author&gt;&lt;author&gt;Merten, Caroline&lt;/author&gt;&lt;author&gt;Mosbach</w:instrText>
      </w:r>
      <w:r>
        <w:rPr>
          <w:rFonts w:hint="eastAsia"/>
          <w:szCs w:val="20"/>
        </w:rPr>
        <w:instrText>‐</w:instrText>
      </w:r>
      <w:r>
        <w:rPr>
          <w:rFonts w:hint="eastAsia"/>
          <w:szCs w:val="20"/>
        </w:rPr>
        <w:instrText>Schulz, Olaf&lt;/author&gt;&lt;author&gt;Lahaniatis, Majlinda&lt;/author&gt;&lt;author&gt;Smith, Anthony&lt;/author&gt;&lt;/authors&gt;&lt;/contributors&gt;&lt;titles&gt;&lt;title&gt;Guidance on communication of un</w:instrText>
      </w:r>
      <w:r>
        <w:rPr>
          <w:szCs w:val="20"/>
        </w:rPr>
        <w:instrText>certainty in scientific assessments&lt;/title&gt;&lt;secondary-title&gt;EFSA Journal&lt;/secondary-title&gt;&lt;/titles&gt;&lt;periodical&gt;&lt;full-title&gt;EFSA Journal&lt;/full-title&gt;&lt;/periodical&gt;&lt;pages&gt;e05520&lt;/pages&gt;&lt;volume&gt;17&lt;/volume&gt;&lt;number&gt;1&lt;/number&gt;&lt;dates&gt;&lt;year&gt;2019&lt;/year&gt;&lt;/dates&gt;&lt;isbn&gt;1831-4732&lt;/isbn&gt;&lt;urls&gt;&lt;/urls&gt;&lt;electronic-resource-num&gt;10.2903/j.efsa.2019.5520&lt;/electronic-resource-num&gt;&lt;/record&gt;&lt;/Cite&gt;&lt;/EndNote&gt;</w:instrText>
      </w:r>
      <w:r>
        <w:rPr>
          <w:szCs w:val="20"/>
        </w:rPr>
        <w:fldChar w:fldCharType="separate"/>
      </w:r>
      <w:r>
        <w:rPr>
          <w:noProof/>
          <w:szCs w:val="20"/>
        </w:rPr>
        <w:t>EFSA et al. (2019)</w:t>
      </w:r>
      <w:r>
        <w:rPr>
          <w:szCs w:val="20"/>
        </w:rPr>
        <w:fldChar w:fldCharType="end"/>
      </w:r>
      <w:r w:rsidR="00F13BFE" w:rsidRPr="585C5CCB">
        <w:rPr>
          <w:szCs w:val="20"/>
        </w:rPr>
        <w:t xml:space="preserve"> </w:t>
      </w:r>
      <w:r w:rsidRPr="00446735">
        <w:rPr>
          <w:szCs w:val="20"/>
        </w:rPr>
        <w:t xml:space="preserve">Guidance on communication of uncertainty in scientific assessments. </w:t>
      </w:r>
      <w:r w:rsidRPr="00446735">
        <w:rPr>
          <w:i/>
          <w:iCs/>
          <w:szCs w:val="20"/>
        </w:rPr>
        <w:t>EFSA Journal</w:t>
      </w:r>
      <w:r w:rsidRPr="00446735">
        <w:rPr>
          <w:szCs w:val="20"/>
        </w:rPr>
        <w:t>,</w:t>
      </w:r>
      <w:r w:rsidRPr="00446735">
        <w:rPr>
          <w:i/>
          <w:iCs/>
          <w:szCs w:val="20"/>
        </w:rPr>
        <w:t xml:space="preserve"> 17</w:t>
      </w:r>
      <w:r w:rsidRPr="00446735">
        <w:rPr>
          <w:szCs w:val="20"/>
        </w:rPr>
        <w:t xml:space="preserve">(1), e05520. </w:t>
      </w:r>
      <w:hyperlink r:id="rId105" w:history="1">
        <w:r w:rsidRPr="000163C7">
          <w:rPr>
            <w:rStyle w:val="Hyperlink"/>
            <w:color w:val="006CBC"/>
            <w:szCs w:val="20"/>
          </w:rPr>
          <w:t>https://doi.org/10.2903/j.efsa.2019.5520</w:t>
        </w:r>
      </w:hyperlink>
      <w:r>
        <w:rPr>
          <w:szCs w:val="20"/>
        </w:rPr>
        <w:t xml:space="preserve"> </w:t>
      </w:r>
    </w:p>
    <w:p w14:paraId="59E2E710" w14:textId="27BC91B0" w:rsidR="0069302F" w:rsidRPr="000438FB" w:rsidRDefault="00D843BA" w:rsidP="00211F4C">
      <w:pPr>
        <w:pStyle w:val="Boxed1Bullet"/>
        <w:numPr>
          <w:ilvl w:val="0"/>
          <w:numId w:val="58"/>
        </w:numPr>
        <w:rPr>
          <w:szCs w:val="20"/>
        </w:rPr>
      </w:pPr>
      <w:r>
        <w:rPr>
          <w:szCs w:val="20"/>
        </w:rPr>
        <w:fldChar w:fldCharType="begin"/>
      </w:r>
      <w:r>
        <w:rPr>
          <w:szCs w:val="20"/>
        </w:rPr>
        <w:instrText xml:space="preserve"> ADDIN EN.CITE &lt;EndNote&gt;&lt;Cite AuthorYear="1"&gt;&lt;Author&gt;EFSA Scientific Committee&lt;/Author&gt;&lt;Year&gt;2012&lt;/Year&gt;&lt;RecNum&gt;24&lt;/RecNum&gt;&lt;DisplayText&gt;EFSA Scientific Committee (2012)&lt;/DisplayText&gt;&lt;record&gt;&lt;rec-number&gt;24&lt;/rec-number&gt;&lt;foreign-keys&gt;&lt;key app="EN" db-id="zxfaevvrgpsxebez5ec5vspfe2av5dtxt9xx" timestamp="1754957726"&gt;24&lt;/key&gt;&lt;/foreign-keys&gt;&lt;ref-type name="Journal Article"&gt;17&lt;/ref-type&gt;&lt;contributors&gt;&lt;authors&gt;&lt;author&gt;EFSA Scientific Committee,&lt;/author&gt;&lt;/authors&gt;&lt;/contributors&gt;&lt;titles&gt;&lt;title&gt;Guidance on selected default values to be used by the EFSA Scientific Committee, Scientific Panels and Units in the absence of actual measured data&lt;/title&gt;&lt;secondary-title&gt;EFSA journal&lt;/secondary-title&gt;&lt;/titles&gt;&lt;periodical&gt;&lt;full-title&gt;EFSA Journal&lt;/full-title&gt;&lt;/periodical&gt;&lt;pages&gt;2579&lt;/pages&gt;&lt;volume&gt;10&lt;/volume&gt;&lt;number&gt;3&lt;/number&gt;&lt;dates&gt;&lt;year&gt;2012&lt;/year&gt;&lt;/dates&gt;&lt;isbn&gt;1831-4732&lt;/isbn&gt;&lt;urls&gt;&lt;/urls&gt;&lt;electronic-resource-num&gt;10.2903/j.efsa.2012.2579&lt;/electronic-resource-num&gt;&lt;/record&gt;&lt;/Cite&gt;&lt;/EndNote&gt;</w:instrText>
      </w:r>
      <w:r>
        <w:rPr>
          <w:szCs w:val="20"/>
        </w:rPr>
        <w:fldChar w:fldCharType="separate"/>
      </w:r>
      <w:r>
        <w:rPr>
          <w:noProof/>
          <w:szCs w:val="20"/>
        </w:rPr>
        <w:t>EFSA Scientific Committee (2012)</w:t>
      </w:r>
      <w:r>
        <w:rPr>
          <w:szCs w:val="20"/>
        </w:rPr>
        <w:fldChar w:fldCharType="end"/>
      </w:r>
      <w:r w:rsidR="0069302F" w:rsidRPr="0069302F">
        <w:rPr>
          <w:szCs w:val="20"/>
        </w:rPr>
        <w:t xml:space="preserve"> </w:t>
      </w:r>
      <w:r w:rsidRPr="00D843BA">
        <w:rPr>
          <w:szCs w:val="20"/>
        </w:rPr>
        <w:t xml:space="preserve">Guidance on selected default values to be used by the EFSA Scientific Committee, Scientific Panels and Units in the absence of actual measured data. </w:t>
      </w:r>
      <w:r w:rsidRPr="00D843BA">
        <w:rPr>
          <w:i/>
          <w:iCs/>
          <w:szCs w:val="20"/>
        </w:rPr>
        <w:t>EFSA Journal</w:t>
      </w:r>
      <w:r w:rsidRPr="00D843BA">
        <w:rPr>
          <w:szCs w:val="20"/>
        </w:rPr>
        <w:t>,</w:t>
      </w:r>
      <w:r w:rsidRPr="00D843BA">
        <w:rPr>
          <w:i/>
          <w:iCs/>
          <w:szCs w:val="20"/>
        </w:rPr>
        <w:t xml:space="preserve"> 10</w:t>
      </w:r>
      <w:r w:rsidRPr="00D843BA">
        <w:rPr>
          <w:szCs w:val="20"/>
        </w:rPr>
        <w:t xml:space="preserve">(3), 2579. </w:t>
      </w:r>
      <w:hyperlink r:id="rId106" w:history="1">
        <w:r w:rsidRPr="000163C7">
          <w:rPr>
            <w:rStyle w:val="Hyperlink"/>
            <w:color w:val="006CBC"/>
            <w:szCs w:val="20"/>
          </w:rPr>
          <w:t>https://doi.org/10.2903/j.efsa.2012.2579</w:t>
        </w:r>
      </w:hyperlink>
      <w:r>
        <w:rPr>
          <w:szCs w:val="20"/>
        </w:rPr>
        <w:t xml:space="preserve"> </w:t>
      </w:r>
    </w:p>
    <w:p w14:paraId="61BFD344" w14:textId="54EEC444" w:rsidR="20A4EFD1" w:rsidRDefault="006E65C0" w:rsidP="00211F4C">
      <w:pPr>
        <w:pStyle w:val="Boxed1Bullet"/>
        <w:numPr>
          <w:ilvl w:val="0"/>
          <w:numId w:val="58"/>
        </w:numPr>
      </w:pPr>
      <w:r>
        <w:fldChar w:fldCharType="begin"/>
      </w:r>
      <w:r>
        <w:instrText xml:space="preserve"> ADDIN EN.CITE &lt;EndNote&gt;&lt;Cite AuthorYear="1"&gt;&lt;Author&gt;Dankovic&lt;/Author&gt;&lt;Year&gt;2015&lt;/Year&gt;&lt;RecNum&gt;104&lt;/RecNum&gt;&lt;DisplayText&gt;Dankovic et al. (2015)&lt;/DisplayText&gt;&lt;record&gt;&lt;rec-number&gt;104&lt;/rec-number&gt;&lt;foreign-keys&gt;&lt;key app="EN" db-id="zxfaevvrgpsxebez5ec5vspfe2av5dtxt9xx" timestamp="1754970424"&gt;104&lt;/key&gt;&lt;/foreign-keys&gt;&lt;ref-type name="Journal Article"&gt;17&lt;/ref-type&gt;&lt;contributors&gt;&lt;authors&gt;&lt;author&gt;Dankovic, DA&lt;/author&gt;&lt;author&gt;Naumann, BD&lt;/author&gt;&lt;author&gt;Maier, A&lt;/author&gt;&lt;author&gt;Dourson, ML&lt;/author&gt;&lt;author&gt;Levy, LS&lt;/author&gt;&lt;/authors&gt;&lt;/contributors&gt;&lt;titles&gt;&lt;title&gt;The scientific basis of uncertainty factors used in setting occupational exposure limits&lt;/title&gt;&lt;secondary-title&gt;Journal of occupational and environmental hygiene&lt;/secondary-title&gt;&lt;/titles&gt;&lt;periodical&gt;&lt;full-title&gt;Journal of occupational and environmental hygiene&lt;/full-title&gt;&lt;/periodical&gt;&lt;pages&gt;S55-S68&lt;/pages&gt;&lt;volume&gt;12&lt;/volume&gt;&lt;number&gt;sup1&lt;/number&gt;&lt;dates&gt;&lt;year&gt;2015&lt;/year&gt;&lt;/dates&gt;&lt;isbn&gt;1545-9624&lt;/isbn&gt;&lt;urls&gt;&lt;/urls&gt;&lt;electronic-resource-num&gt;10.1080/15459624.2015.1060325&lt;/electronic-resource-num&gt;&lt;/record&gt;&lt;/Cite&gt;&lt;/EndNote&gt;</w:instrText>
      </w:r>
      <w:r>
        <w:fldChar w:fldCharType="separate"/>
      </w:r>
      <w:r>
        <w:rPr>
          <w:noProof/>
        </w:rPr>
        <w:t>Dankovic et al. (2015)</w:t>
      </w:r>
      <w:r>
        <w:fldChar w:fldCharType="end"/>
      </w:r>
      <w:r w:rsidR="00EC455C" w:rsidRPr="00057069">
        <w:t xml:space="preserve"> </w:t>
      </w:r>
      <w:r w:rsidRPr="006E65C0">
        <w:t xml:space="preserve">The scientific basis of uncertainty factors used in setting occupational exposure limits. </w:t>
      </w:r>
      <w:r w:rsidRPr="006E65C0">
        <w:rPr>
          <w:i/>
          <w:iCs/>
        </w:rPr>
        <w:t>Journal of occupational and environmental hygiene</w:t>
      </w:r>
      <w:r w:rsidRPr="006E65C0">
        <w:t>,</w:t>
      </w:r>
      <w:r w:rsidRPr="006E65C0">
        <w:rPr>
          <w:i/>
          <w:iCs/>
        </w:rPr>
        <w:t xml:space="preserve"> 12</w:t>
      </w:r>
      <w:r w:rsidRPr="006E65C0">
        <w:t xml:space="preserve">(sup1), S55-S68. </w:t>
      </w:r>
      <w:hyperlink r:id="rId107" w:history="1">
        <w:r w:rsidRPr="000163C7">
          <w:rPr>
            <w:rStyle w:val="Hyperlink"/>
            <w:color w:val="006CBC"/>
          </w:rPr>
          <w:t>https://doi.org/10.1080/15459624.2015.1060325</w:t>
        </w:r>
      </w:hyperlink>
      <w:r>
        <w:t xml:space="preserve"> </w:t>
      </w:r>
    </w:p>
    <w:p w14:paraId="3F1C140D" w14:textId="3E7EE23E" w:rsidR="0049236F" w:rsidRDefault="0049236F" w:rsidP="003E2E95">
      <w:pPr>
        <w:pStyle w:val="Heading30"/>
      </w:pPr>
      <w:bookmarkStart w:id="197" w:name="_Toc153967146"/>
      <w:bookmarkStart w:id="198" w:name="_Toc207801090"/>
      <w:bookmarkStart w:id="199" w:name="_Toc207824567"/>
      <w:r>
        <w:t>Suggested Dietary Target</w:t>
      </w:r>
      <w:bookmarkEnd w:id="197"/>
      <w:r w:rsidR="00EE0382">
        <w:t xml:space="preserve"> and </w:t>
      </w:r>
      <w:r w:rsidR="00AE6477">
        <w:t xml:space="preserve">Chronic Disease </w:t>
      </w:r>
      <w:r w:rsidR="0083545D">
        <w:t>Risk Reduction</w:t>
      </w:r>
      <w:bookmarkEnd w:id="198"/>
      <w:bookmarkEnd w:id="199"/>
      <w:r w:rsidR="0083545D">
        <w:t xml:space="preserve"> </w:t>
      </w:r>
    </w:p>
    <w:p w14:paraId="13B5F294" w14:textId="7876679D" w:rsidR="00BC6DE6" w:rsidRDefault="00A716EF" w:rsidP="00BC6DE6">
      <w:r>
        <w:t>Diet-related c</w:t>
      </w:r>
      <w:r w:rsidR="00BC6DE6">
        <w:t>hronic disease</w:t>
      </w:r>
      <w:r>
        <w:t>s</w:t>
      </w:r>
      <w:r w:rsidR="00BC6DE6">
        <w:t xml:space="preserve"> develop over a </w:t>
      </w:r>
      <w:r>
        <w:t xml:space="preserve">long </w:t>
      </w:r>
      <w:r w:rsidR="00BC6DE6">
        <w:t xml:space="preserve">period of time and in a context where nutrients are consumed from a variety of foods within a dietary pattern. Thus, the extent to which scientific research can expose the relationship between chronic disease risk and a specific nutrient </w:t>
      </w:r>
      <w:r>
        <w:t xml:space="preserve">is often </w:t>
      </w:r>
      <w:r w:rsidR="00010B00">
        <w:t>limited and</w:t>
      </w:r>
      <w:r>
        <w:t xml:space="preserve"> </w:t>
      </w:r>
      <w:r w:rsidR="00BC6DE6">
        <w:t xml:space="preserve">will depend on </w:t>
      </w:r>
      <w:r w:rsidR="00A72E3E">
        <w:t>several</w:t>
      </w:r>
      <w:r w:rsidR="00BC6DE6">
        <w:t xml:space="preserve"> factors, including the </w:t>
      </w:r>
      <w:r>
        <w:t>reliability of the diet assessment.</w:t>
      </w:r>
    </w:p>
    <w:p w14:paraId="365630A6" w14:textId="50882B8A" w:rsidR="00177907" w:rsidRDefault="002A69CC" w:rsidP="00BC6DE6">
      <w:r>
        <w:t>Suggested Dietary Targets (</w:t>
      </w:r>
      <w:r w:rsidR="00BC6DE6">
        <w:t>SDTs</w:t>
      </w:r>
      <w:r w:rsidR="003B584A">
        <w:t xml:space="preserve">) and </w:t>
      </w:r>
      <w:r w:rsidR="00A412E5" w:rsidRPr="00A412E5">
        <w:tab/>
        <w:t xml:space="preserve">Chronic Disease Risk Reduction </w:t>
      </w:r>
      <w:r w:rsidR="00A412E5">
        <w:t>levels (</w:t>
      </w:r>
      <w:r w:rsidR="00D107E3">
        <w:t>CDRR</w:t>
      </w:r>
      <w:r w:rsidR="00A412E5">
        <w:t>)</w:t>
      </w:r>
      <w:r w:rsidR="00BC6DE6">
        <w:t xml:space="preserve"> aim to support the prevention of chronic disease. They relate only to nutrients for which there is a body of evidence </w:t>
      </w:r>
      <w:r w:rsidR="00B114E6">
        <w:t xml:space="preserve">which indicates </w:t>
      </w:r>
      <w:r w:rsidR="00A233AD">
        <w:t xml:space="preserve">a level of intake </w:t>
      </w:r>
      <w:r w:rsidR="00C229D8">
        <w:t xml:space="preserve">to </w:t>
      </w:r>
      <w:r w:rsidR="00C229D8" w:rsidRPr="00C229D8">
        <w:t>reduce chronic disease risk within the apparently healthy population</w:t>
      </w:r>
      <w:r w:rsidR="003F5A91">
        <w:t>.</w:t>
      </w:r>
      <w:r w:rsidR="00BC6DE6">
        <w:t xml:space="preserve"> </w:t>
      </w:r>
    </w:p>
    <w:p w14:paraId="58DF1971" w14:textId="2485B605" w:rsidR="007B268B" w:rsidRDefault="00E66DFC" w:rsidP="00BC6DE6">
      <w:r>
        <w:t xml:space="preserve">In Australia and New Zealand </w:t>
      </w:r>
      <w:r w:rsidR="00E81962">
        <w:t>S</w:t>
      </w:r>
      <w:r w:rsidR="00C93237">
        <w:t>D</w:t>
      </w:r>
      <w:r w:rsidR="00E81962">
        <w:t>T</w:t>
      </w:r>
      <w:r w:rsidR="00F547DC">
        <w:t>s</w:t>
      </w:r>
      <w:r w:rsidR="00E81962">
        <w:t xml:space="preserve"> </w:t>
      </w:r>
      <w:r w:rsidR="00F547DC">
        <w:t>are</w:t>
      </w:r>
      <w:r w:rsidR="007B268B">
        <w:t xml:space="preserve"> set based on a</w:t>
      </w:r>
      <w:r w:rsidR="007B268B" w:rsidRPr="007B268B">
        <w:t xml:space="preserve"> daily average intake from food and beverages for certain nutrients that that may help in prevention of chronic disease</w:t>
      </w:r>
      <w:r w:rsidR="00C50EE0">
        <w:t xml:space="preserve"> using </w:t>
      </w:r>
      <w:r w:rsidR="00592E87">
        <w:t xml:space="preserve">the </w:t>
      </w:r>
      <w:r w:rsidR="00C50EE0">
        <w:t>90</w:t>
      </w:r>
      <w:r w:rsidR="00010862" w:rsidRPr="00592E87">
        <w:rPr>
          <w:vertAlign w:val="superscript"/>
        </w:rPr>
        <w:t>th</w:t>
      </w:r>
      <w:r w:rsidR="00010862">
        <w:t xml:space="preserve"> </w:t>
      </w:r>
      <w:r w:rsidR="00010862">
        <w:lastRenderedPageBreak/>
        <w:t>percentile</w:t>
      </w:r>
      <w:r w:rsidR="007B268B" w:rsidRPr="007B268B">
        <w:t>. Average intake may be based on the mean or median depending on the nutrient and available data.</w:t>
      </w:r>
      <w:r w:rsidR="00E81962">
        <w:t xml:space="preserve"> </w:t>
      </w:r>
    </w:p>
    <w:p w14:paraId="4627DB6D" w14:textId="03193127" w:rsidR="00BC6DE6" w:rsidRDefault="00921DFC" w:rsidP="00BC6DE6">
      <w:r>
        <w:t xml:space="preserve">Moving </w:t>
      </w:r>
      <w:r w:rsidR="002E3983">
        <w:t>f</w:t>
      </w:r>
      <w:r>
        <w:t xml:space="preserve">orward </w:t>
      </w:r>
      <w:r w:rsidR="002E3983">
        <w:t xml:space="preserve">Australia and New Zealand will adopt the Chronic Disease Risk Reduction (CDRR) approach </w:t>
      </w:r>
      <w:r w:rsidR="00BC6DE6">
        <w:t>for specific nutrient</w:t>
      </w:r>
      <w:r w:rsidR="002E3983">
        <w:t>s</w:t>
      </w:r>
      <w:r w:rsidR="00350D72">
        <w:t xml:space="preserve"> where the </w:t>
      </w:r>
      <w:r w:rsidR="00536FFF">
        <w:t xml:space="preserve">evidence indicates </w:t>
      </w:r>
      <w:r w:rsidR="008010B7">
        <w:t>moderate certainty of chronic disease risk reduction.</w:t>
      </w:r>
    </w:p>
    <w:p w14:paraId="0219BF44" w14:textId="15A46DB3" w:rsidR="00BC6DE6" w:rsidRDefault="000F4502" w:rsidP="00BC6DE6">
      <w:r>
        <w:t>CDRR</w:t>
      </w:r>
      <w:r w:rsidR="008969DF">
        <w:t xml:space="preserve">s </w:t>
      </w:r>
      <w:r w:rsidR="00BC6DE6">
        <w:t xml:space="preserve">should use chronic disease outcome/s as the desired endpoint when reviewing the evidence. Where a single nutrient is associated with several disease endpoints, a value should be determined for each. In the case of negative effects, such as sodium and hypertension, the </w:t>
      </w:r>
      <w:r w:rsidR="008969DF">
        <w:t xml:space="preserve">CDRR </w:t>
      </w:r>
      <w:r w:rsidR="00BC6DE6">
        <w:t xml:space="preserve">should reflect the lowest level of intake for which there is significant strength of evidence to characterise chronic disease risk reduction. An overall </w:t>
      </w:r>
      <w:r w:rsidR="008969DF">
        <w:t xml:space="preserve">CDRR </w:t>
      </w:r>
      <w:r w:rsidR="00BC6DE6">
        <w:t>should reflect the lowest intake value range for disease prevention for a particular population group. This value may represent an increase or decrease to known current consumption levels</w:t>
      </w:r>
      <w:r w:rsidR="008E55CF">
        <w:t>.</w:t>
      </w:r>
    </w:p>
    <w:p w14:paraId="6A0E4691" w14:textId="61E9A3D7" w:rsidR="0049236F" w:rsidRDefault="00BC5735" w:rsidP="00F741B8">
      <w:r>
        <w:t>As t</w:t>
      </w:r>
      <w:r w:rsidR="00BC6DE6">
        <w:t xml:space="preserve">he evidence base for chronic disease prevention is mainly developed from studies and health outcomes in adults, </w:t>
      </w:r>
      <w:r w:rsidR="008969DF">
        <w:t xml:space="preserve">CDRR will </w:t>
      </w:r>
      <w:r w:rsidR="00BC6DE6">
        <w:t xml:space="preserve">generally apply only to adults. A </w:t>
      </w:r>
      <w:r w:rsidR="008969DF">
        <w:t xml:space="preserve">CDRR </w:t>
      </w:r>
      <w:r w:rsidR="00BC6DE6">
        <w:t xml:space="preserve">for children and/or adolescents may be considered if the evidence is sufficient and the </w:t>
      </w:r>
      <w:r w:rsidR="00381092">
        <w:t>m</w:t>
      </w:r>
      <w:r w:rsidR="00BC6DE6">
        <w:t>embers of the nutrient-specific Expert Working Groups deem it reasonable and appropriate.</w:t>
      </w:r>
    </w:p>
    <w:p w14:paraId="28924CB5" w14:textId="1C754C46" w:rsidR="00C15E28" w:rsidRDefault="001A4E6D" w:rsidP="00C15E28">
      <w:pPr>
        <w:pStyle w:val="Boxed1Bullet"/>
        <w:numPr>
          <w:ilvl w:val="0"/>
          <w:numId w:val="0"/>
        </w:numPr>
        <w:ind w:left="360"/>
      </w:pPr>
      <w:r>
        <w:t xml:space="preserve">Further information on deriving </w:t>
      </w:r>
      <w:r w:rsidR="008969DF">
        <w:t xml:space="preserve">CDRR </w:t>
      </w:r>
      <w:r>
        <w:t xml:space="preserve">can be found </w:t>
      </w:r>
      <w:proofErr w:type="gramStart"/>
      <w:r>
        <w:t xml:space="preserve">in </w:t>
      </w:r>
      <w:r w:rsidR="00C15E28">
        <w:t>:</w:t>
      </w:r>
      <w:proofErr w:type="gramEnd"/>
    </w:p>
    <w:p w14:paraId="131654CE" w14:textId="36909AFA" w:rsidR="00F904C3" w:rsidRDefault="00214433" w:rsidP="00211F4C">
      <w:pPr>
        <w:pStyle w:val="Boxed1Bullet"/>
        <w:numPr>
          <w:ilvl w:val="0"/>
          <w:numId w:val="26"/>
        </w:numPr>
        <w:rPr>
          <w:i/>
          <w:iCs/>
        </w:rPr>
      </w:pPr>
      <w:r>
        <w:fldChar w:fldCharType="begin"/>
      </w:r>
      <w:r>
        <w:instrText xml:space="preserve"> ADDIN EN.CITE &lt;EndNote&gt;&lt;Cite AuthorYear="1"&gt;&lt;Author&gt;NASEM&lt;/Author&gt;&lt;Year&gt;2017&lt;/Year&gt;&lt;RecNum&gt;43&lt;/RecNum&gt;&lt;DisplayText&gt;NASEM (2017)&lt;/DisplayText&gt;&lt;record&gt;&lt;rec-number&gt;43&lt;/rec-number&gt;&lt;foreign-keys&gt;&lt;key app="EN" db-id="zxfaevvrgpsxebez5ec5vspfe2av5dtxt9xx" timestamp="1754957726"&gt;43&lt;/key&gt;&lt;/foreign-keys&gt;&lt;ref-type name="Book"&gt;6&lt;/ref-type&gt;&lt;contributors&gt;&lt;authors&gt;&lt;author&gt;NASEM,&lt;/author&gt;&lt;/authors&gt;&lt;secondary-authors&gt;&lt;author&gt;Kumanyika, Shiriki&lt;/author&gt;&lt;author&gt;Oria, Maria P.&lt;/author&gt;&lt;/secondary-authors&gt;&lt;/contributors&gt;&lt;titles&gt;&lt;title&gt;Guiding Principles for Developing Dietary Reference Intakes Based on Chronic Disease&lt;/title&gt;&lt;/titles&gt;&lt;pages&gt;334&lt;/pages&gt;&lt;keywords&gt;&lt;keyword&gt;Food and Nutrition&lt;/keyword&gt;&lt;keyword&gt;Health and Medicine&lt;/keyword&gt;&lt;/keywords&gt;&lt;dates&gt;&lt;year&gt;2017&lt;/year&gt;&lt;/dates&gt;&lt;pub-location&gt;Washington, DC&lt;/pub-location&gt;&lt;publisher&gt;The National Academies Press&lt;/publisher&gt;&lt;isbn&gt;978-0-309-46256-3&lt;/isbn&gt;&lt;urls&gt;&lt;related-urls&gt;&lt;url&gt;https://nap.nationalacademies.org/catalog/24828/guiding-principles-for-developing-dietary-reference-intakes-based-on-chronic-disease&lt;/url&gt;&lt;/related-urls&gt;&lt;/urls&gt;&lt;electronic-resource-num&gt;doi:10.17226/24828&lt;/electronic-resource-num&gt;&lt;language&gt;English&lt;/language&gt;&lt;/record&gt;&lt;/Cite&gt;&lt;/EndNote&gt;</w:instrText>
      </w:r>
      <w:r>
        <w:fldChar w:fldCharType="separate"/>
      </w:r>
      <w:r>
        <w:rPr>
          <w:noProof/>
        </w:rPr>
        <w:t>NASEM (2017)</w:t>
      </w:r>
      <w:r>
        <w:fldChar w:fldCharType="end"/>
      </w:r>
      <w:r w:rsidR="00463BC1" w:rsidRPr="00463BC1">
        <w:t> </w:t>
      </w:r>
      <w:r w:rsidR="007B3455" w:rsidRPr="007B3455">
        <w:rPr>
          <w:i/>
          <w:iCs/>
        </w:rPr>
        <w:t xml:space="preserve">Guiding Principles for Developing Dietary Reference Intakes Based on Chronic Disease. The National Academies Press. </w:t>
      </w:r>
      <w:hyperlink r:id="rId108" w:history="1">
        <w:r w:rsidR="007B3455" w:rsidRPr="000163C7">
          <w:rPr>
            <w:rStyle w:val="Hyperlink"/>
            <w:i/>
            <w:iCs/>
            <w:color w:val="006CBC"/>
          </w:rPr>
          <w:t>https://doi.org/doi:10.17226/24828</w:t>
        </w:r>
      </w:hyperlink>
      <w:r w:rsidR="007B3455">
        <w:rPr>
          <w:i/>
          <w:iCs/>
        </w:rPr>
        <w:t xml:space="preserve"> </w:t>
      </w:r>
      <w:r w:rsidR="00463BC1">
        <w:t xml:space="preserve"> </w:t>
      </w:r>
      <w:r w:rsidR="003F5012" w:rsidRPr="003F5012">
        <w:t>-</w:t>
      </w:r>
      <w:r w:rsidR="0063792E" w:rsidRPr="003F5012">
        <w:t xml:space="preserve"> pp. 279-</w:t>
      </w:r>
      <w:r w:rsidR="00767643" w:rsidRPr="003F5012">
        <w:t>290</w:t>
      </w:r>
    </w:p>
    <w:p w14:paraId="07EB3A36" w14:textId="1D15C620" w:rsidR="007F6EC0" w:rsidRPr="007F6EC0" w:rsidRDefault="0069264D" w:rsidP="00211F4C">
      <w:pPr>
        <w:pStyle w:val="Boxed1Bullet"/>
        <w:numPr>
          <w:ilvl w:val="0"/>
          <w:numId w:val="26"/>
        </w:numPr>
      </w:pPr>
      <w:r>
        <w:fldChar w:fldCharType="begin"/>
      </w:r>
      <w:r>
        <w:instrText xml:space="preserve"> ADDIN EN.CITE &lt;EndNote&gt;&lt;Cite AuthorYear="1"&gt;&lt;Author&gt;Yetley&lt;/Author&gt;&lt;Year&gt;2017&lt;/Year&gt;&lt;RecNum&gt;105&lt;/RecNum&gt;&lt;DisplayText&gt;Yetley et al. (2017)&lt;/DisplayText&gt;&lt;record&gt;&lt;rec-number&gt;105&lt;/rec-number&gt;&lt;foreign-keys&gt;&lt;key app="EN" db-id="zxfaevvrgpsxebez5ec5vspfe2av5dtxt9xx" timestamp="1754970499"&gt;105&lt;/key&gt;&lt;/foreign-keys&gt;&lt;ref-type name="Journal Article"&gt;17&lt;/ref-type&gt;&lt;contributors&gt;&lt;authors&gt;&lt;author&gt;Yetley, Elizabeth A&lt;/author&gt;&lt;author&gt;MacFarlane, Amanda J&lt;/author&gt;&lt;author&gt;Greene-Finestone, Linda S&lt;/author&gt;&lt;author&gt;Garza, Cutberto&lt;/author&gt;&lt;author&gt;Ard, Jamy D&lt;/author&gt;&lt;author&gt;Atkinson, Stephanie A&lt;/author&gt;&lt;author&gt;Bier, Dennis M&lt;/author&gt;&lt;author&gt;Carriquiry, Alicia L&lt;/author&gt;&lt;author&gt;Harlan, William R&lt;/author&gt;&lt;author&gt;Hattis, Dale&lt;/author&gt;&lt;/authors&gt;&lt;/contributors&gt;&lt;titles&gt;&lt;title&gt;Options for basing Dietary Reference Intakes (DRIs) on chronic disease endpoints: report from a joint US-/Canadian-sponsored working group&lt;/title&gt;&lt;secondary-title&gt;The American journal of clinical nutrition&lt;/secondary-title&gt;&lt;/titles&gt;&lt;periodical&gt;&lt;full-title&gt;The American journal of clinical nutrition&lt;/full-title&gt;&lt;/periodical&gt;&lt;pages&gt;249S-285S&lt;/pages&gt;&lt;volume&gt;105&lt;/volume&gt;&lt;number&gt;1&lt;/number&gt;&lt;dates&gt;&lt;year&gt;2017&lt;/year&gt;&lt;/dates&gt;&lt;isbn&gt;0002-9165&lt;/isbn&gt;&lt;urls&gt;&lt;/urls&gt;&lt;electronic-resource-num&gt;10.3945/ajcn.116.139097&lt;/electronic-resource-num&gt;&lt;/record&gt;&lt;/Cite&gt;&lt;/EndNote&gt;</w:instrText>
      </w:r>
      <w:r>
        <w:fldChar w:fldCharType="separate"/>
      </w:r>
      <w:r>
        <w:rPr>
          <w:noProof/>
        </w:rPr>
        <w:t>Yetley et al. (2017)</w:t>
      </w:r>
      <w:r>
        <w:fldChar w:fldCharType="end"/>
      </w:r>
      <w:r w:rsidR="007F6EC0" w:rsidRPr="007F6EC0">
        <w:t xml:space="preserve"> </w:t>
      </w:r>
      <w:r w:rsidR="0092473E" w:rsidRPr="00037DE1">
        <w:t>Options for basing Dietary Reference Intakes (DRIs) on chronic disease endpoints: report from a joint US-/Canadian-sponsored working group.</w:t>
      </w:r>
      <w:r w:rsidR="0092473E" w:rsidRPr="0092473E">
        <w:rPr>
          <w:i/>
          <w:iCs/>
        </w:rPr>
        <w:t xml:space="preserve"> The American journal of clinical nutrition, 105(1), 249S-285S. </w:t>
      </w:r>
      <w:hyperlink r:id="rId109" w:history="1">
        <w:r w:rsidR="0092473E" w:rsidRPr="000163C7">
          <w:rPr>
            <w:rStyle w:val="Hyperlink"/>
            <w:i/>
            <w:iCs/>
            <w:color w:val="006CBC"/>
          </w:rPr>
          <w:t>https://doi.org/10.3945/ajcn.116.139097</w:t>
        </w:r>
      </w:hyperlink>
      <w:r w:rsidR="0092473E">
        <w:rPr>
          <w:i/>
          <w:iCs/>
        </w:rPr>
        <w:t xml:space="preserve"> </w:t>
      </w:r>
    </w:p>
    <w:p w14:paraId="08ACC449" w14:textId="570B10E1" w:rsidR="00AB108E" w:rsidRPr="007F6EC0" w:rsidRDefault="002A219D" w:rsidP="00211F4C">
      <w:pPr>
        <w:pStyle w:val="Boxed1Bullet"/>
        <w:numPr>
          <w:ilvl w:val="0"/>
          <w:numId w:val="26"/>
        </w:numPr>
      </w:pPr>
      <w:r>
        <w:fldChar w:fldCharType="begin"/>
      </w:r>
      <w:r w:rsidR="00052A6B">
        <w:instrText xml:space="preserve"> ADDIN EN.CITE &lt;EndNote&gt;&lt;Cite AuthorYear="1"&gt;&lt;Author&gt;Yaktine&lt;/Author&gt;&lt;Year&gt;2019&lt;/Year&gt;&lt;RecNum&gt;106&lt;/RecNum&gt;&lt;DisplayText&gt;Yaktine and Ross (2019)&lt;/DisplayText&gt;&lt;record&gt;&lt;rec-number&gt;106&lt;/rec-number&gt;&lt;foreign-keys&gt;&lt;key app="EN" db-id="zxfaevvrgpsxebez5ec5vspfe2av5dtxt9xx" timestamp="1754970567"&gt;106&lt;/key&gt;&lt;/foreign-keys&gt;&lt;ref-type name="Journal Article"&gt;17&lt;/ref-type&gt;&lt;contributors&gt;&lt;authors&gt;&lt;author&gt;Yaktine, Ann L&lt;/author&gt;&lt;author&gt;Ross, A Catharine&lt;/author&gt;&lt;/authors&gt;&lt;/contributors&gt;&lt;titles&gt;&lt;title&gt;Milestones in DRI development: what does the future hold?&lt;/title&gt;&lt;secondary-title&gt;Advances in Nutrition&lt;/secondary-title&gt;&lt;/titles&gt;&lt;periodical&gt;&lt;full-title&gt;Advances in Nutrition&lt;/full-title&gt;&lt;/periodical&gt;&lt;pages&gt;537-545&lt;/pages&gt;&lt;volume&gt;10&lt;/volume&gt;&lt;number&gt;3&lt;/number&gt;&lt;dates&gt;&lt;year&gt;2019&lt;/year&gt;&lt;/dates&gt;&lt;isbn&gt;2161-8313&lt;/isbn&gt;&lt;urls&gt;&lt;/urls&gt;&lt;electronic-resource-num&gt;10.1093/advances/nmy121&lt;/electronic-resource-num&gt;&lt;/record&gt;&lt;/Cite&gt;&lt;/EndNote&gt;</w:instrText>
      </w:r>
      <w:r>
        <w:fldChar w:fldCharType="separate"/>
      </w:r>
      <w:r w:rsidR="00052A6B">
        <w:rPr>
          <w:noProof/>
        </w:rPr>
        <w:t>Yaktine and Ross (2019)</w:t>
      </w:r>
      <w:r>
        <w:fldChar w:fldCharType="end"/>
      </w:r>
      <w:r>
        <w:t xml:space="preserve"> </w:t>
      </w:r>
      <w:r w:rsidR="004D5D19" w:rsidRPr="004D5D19">
        <w:t xml:space="preserve">Milestones in DRI development: what does the future hold? </w:t>
      </w:r>
      <w:r w:rsidR="004D5D19" w:rsidRPr="004D5D19">
        <w:rPr>
          <w:i/>
          <w:iCs/>
        </w:rPr>
        <w:t>Advances in Nutrition</w:t>
      </w:r>
      <w:r w:rsidR="004D5D19" w:rsidRPr="004D5D19">
        <w:t>,</w:t>
      </w:r>
      <w:r w:rsidR="004D5D19" w:rsidRPr="004D5D19">
        <w:rPr>
          <w:i/>
          <w:iCs/>
        </w:rPr>
        <w:t xml:space="preserve"> 10</w:t>
      </w:r>
      <w:r w:rsidR="004D5D19" w:rsidRPr="004D5D19">
        <w:t xml:space="preserve">(3), 537-545. </w:t>
      </w:r>
      <w:hyperlink r:id="rId110" w:history="1">
        <w:r w:rsidR="004D5D19" w:rsidRPr="000163C7">
          <w:rPr>
            <w:rStyle w:val="Hyperlink"/>
            <w:color w:val="006CBC"/>
          </w:rPr>
          <w:t>https://doi.org/10.1093/advances/nmy121</w:t>
        </w:r>
      </w:hyperlink>
      <w:r w:rsidR="008F7D97">
        <w:t>.</w:t>
      </w:r>
    </w:p>
    <w:p w14:paraId="60F59AB4" w14:textId="77777777" w:rsidR="00272910" w:rsidRDefault="00272910">
      <w:pPr>
        <w:spacing w:line="240" w:lineRule="atLeast"/>
        <w:rPr>
          <w:rFonts w:ascii="Gotham Medium" w:eastAsiaTheme="majorEastAsia" w:hAnsi="Gotham Medium" w:cstheme="majorBidi"/>
          <w:color w:val="09002E" w:themeColor="text2"/>
          <w:kern w:val="28"/>
          <w:sz w:val="32"/>
          <w:szCs w:val="36"/>
        </w:rPr>
      </w:pPr>
      <w:r>
        <w:br w:type="page"/>
      </w:r>
    </w:p>
    <w:p w14:paraId="45CD62FD" w14:textId="07C94B10" w:rsidR="0049236F" w:rsidRDefault="0049236F" w:rsidP="003E2E95">
      <w:pPr>
        <w:pStyle w:val="Heading30"/>
      </w:pPr>
      <w:bookmarkStart w:id="200" w:name="_Toc153967147"/>
      <w:bookmarkStart w:id="201" w:name="_Toc207801091"/>
      <w:bookmarkStart w:id="202" w:name="_Toc207824568"/>
      <w:r>
        <w:lastRenderedPageBreak/>
        <w:t>Acceptable Macronutrient Distribution Range</w:t>
      </w:r>
      <w:bookmarkEnd w:id="200"/>
      <w:r w:rsidR="00491D07">
        <w:t xml:space="preserve"> (AMDR)</w:t>
      </w:r>
      <w:bookmarkEnd w:id="201"/>
      <w:bookmarkEnd w:id="202"/>
    </w:p>
    <w:p w14:paraId="757ADC55" w14:textId="77777777" w:rsidR="007C2C4D" w:rsidRDefault="007C2C4D" w:rsidP="006260D7">
      <w:r w:rsidRPr="007C2C4D">
        <w:t>The AMDR is an estimate of the range of intake for each macronutrient for individuals (expressed as per cent contribution to energy), which would allow for an adequate intake of all the other nutrients whilst maximising general health outcome</w:t>
      </w:r>
      <w:r>
        <w:t xml:space="preserve">. </w:t>
      </w:r>
    </w:p>
    <w:p w14:paraId="5D595525" w14:textId="28249868" w:rsidR="006260D7" w:rsidRDefault="006260D7" w:rsidP="006260D7">
      <w:r>
        <w:t>There is evidence that a major imbalance in the relative proportions of macronutrients can increase risk of chronic disease</w:t>
      </w:r>
      <w:r w:rsidR="00F46567">
        <w:t xml:space="preserve"> </w:t>
      </w:r>
      <w:r w:rsidR="001468BE">
        <w:fldChar w:fldCharType="begin"/>
      </w:r>
      <w:r w:rsidR="00E96552">
        <w:instrText xml:space="preserve"> ADDIN EN.CITE &lt;EndNote&gt;&lt;Cite&gt;&lt;Author&gt;WHO&lt;/Author&gt;&lt;Year&gt;2023&lt;/Year&gt;&lt;RecNum&gt;61&lt;/RecNum&gt;&lt;DisplayText&gt;(WHO 2023d)&lt;/DisplayText&gt;&lt;record&gt;&lt;rec-number&gt;61&lt;/rec-number&gt;&lt;foreign-keys&gt;&lt;key app="EN" db-id="zxfaevvrgpsxebez5ec5vspfe2av5dtxt9xx" timestamp="1754957726"&gt;61&lt;/key&gt;&lt;/foreign-keys&gt;&lt;ref-type name="Electronic Book"&gt;44&lt;/ref-type&gt;&lt;contributors&gt;&lt;authors&gt;&lt;author&gt;WHO,&lt;/author&gt;&lt;/authors&gt;&lt;/contributors&gt;&lt;titles&gt;&lt;title&gt;Total fat intake for the prevention of unhealthy weight gain in adults and children: WHO guideline&lt;/title&gt;&lt;/titles&gt;&lt;dates&gt;&lt;year&gt;2023&lt;/year&gt;&lt;/dates&gt;&lt;publisher&gt;World Health Organization&lt;/publisher&gt;&lt;isbn&gt;9240073655&lt;/isbn&gt;&lt;urls&gt;&lt;related-urls&gt;&lt;url&gt;date accessed 18 August 2025, https://www.who.int/publications/i/item/9789240073654&lt;/url&gt;&lt;/related-urls&gt;&lt;/urls&gt;&lt;/record&gt;&lt;/Cite&gt;&lt;/EndNote&gt;</w:instrText>
      </w:r>
      <w:r w:rsidR="001468BE">
        <w:fldChar w:fldCharType="separate"/>
      </w:r>
      <w:r w:rsidR="007607BA">
        <w:rPr>
          <w:noProof/>
        </w:rPr>
        <w:t>(WHO 2023d)</w:t>
      </w:r>
      <w:r w:rsidR="001468BE">
        <w:fldChar w:fldCharType="end"/>
      </w:r>
      <w:r>
        <w:t xml:space="preserve">. </w:t>
      </w:r>
      <w:r w:rsidR="003F74F8">
        <w:t>AMDR</w:t>
      </w:r>
      <w:r w:rsidR="00786080">
        <w:t xml:space="preserve"> </w:t>
      </w:r>
      <w:r w:rsidR="009A5713">
        <w:t>i</w:t>
      </w:r>
      <w:r w:rsidR="003F74F8">
        <w:t>s not</w:t>
      </w:r>
      <w:r w:rsidR="007C2C4D">
        <w:t xml:space="preserve"> however</w:t>
      </w:r>
      <w:r w:rsidR="003F74F8">
        <w:t xml:space="preserve"> linked to macronutrient quality</w:t>
      </w:r>
      <w:r w:rsidR="00786080">
        <w:t xml:space="preserve"> </w:t>
      </w:r>
      <w:r w:rsidR="007819C2">
        <w:fldChar w:fldCharType="begin"/>
      </w:r>
      <w:r w:rsidR="007607BA">
        <w:instrText xml:space="preserve"> ADDIN EN.CITE &lt;EndNote&gt;&lt;Cite&gt;&lt;Author&gt;NASEM&lt;/Author&gt;&lt;Year&gt;2024&lt;/Year&gt;&lt;RecNum&gt;107&lt;/RecNum&gt;&lt;DisplayText&gt;(NASEM 2024)&lt;/DisplayText&gt;&lt;record&gt;&lt;rec-number&gt;107&lt;/rec-number&gt;&lt;foreign-keys&gt;&lt;key app="EN" db-id="zxfaevvrgpsxebez5ec5vspfe2av5dtxt9xx" timestamp="1754978916"&gt;107&lt;/key&gt;&lt;/foreign-keys&gt;&lt;ref-type name="Journal Article"&gt;17&lt;/ref-type&gt;&lt;contributors&gt;&lt;authors&gt;&lt;author&gt;NASEM,&lt;/author&gt;&lt;/authors&gt;&lt;/contributors&gt;&lt;titles&gt;&lt;title&gt;Rethinking the Acceptable Macronutrient Distribution Range for the 21st Century: A Letter Report&lt;/title&gt;&lt;/titles&gt;&lt;dates&gt;&lt;year&gt;2024&lt;/year&gt;&lt;/dates&gt;&lt;isbn&gt;0309726336&lt;/isbn&gt;&lt;urls&gt;&lt;related-urls&gt;&lt;url&gt;https://doi.org/10.17226/27957&lt;/url&gt;&lt;/related-urls&gt;&lt;/urls&gt;&lt;/record&gt;&lt;/Cite&gt;&lt;/EndNote&gt;</w:instrText>
      </w:r>
      <w:r w:rsidR="007819C2">
        <w:fldChar w:fldCharType="separate"/>
      </w:r>
      <w:r w:rsidR="007607BA">
        <w:rPr>
          <w:noProof/>
        </w:rPr>
        <w:t>(NASEM 2024)</w:t>
      </w:r>
      <w:r w:rsidR="007819C2">
        <w:fldChar w:fldCharType="end"/>
      </w:r>
      <w:r>
        <w:t>.</w:t>
      </w:r>
    </w:p>
    <w:p w14:paraId="17E32876" w14:textId="5640637E" w:rsidR="009A5713" w:rsidRDefault="009A5713" w:rsidP="009A5713">
      <w:r w:rsidRPr="006260D7">
        <w:t xml:space="preserve">AMDRs have not been identified for inclusion in recent reviews of the NRVs. </w:t>
      </w:r>
      <w:r>
        <w:t xml:space="preserve">NASEM </w:t>
      </w:r>
      <w:r w:rsidR="002B11D3">
        <w:fldChar w:fldCharType="begin"/>
      </w:r>
      <w:r w:rsidR="007607BA">
        <w:instrText xml:space="preserve"> ADDIN EN.CITE &lt;EndNote&gt;&lt;Cite ExcludeAuth="1"&gt;&lt;Author&gt;NASEM&lt;/Author&gt;&lt;Year&gt;2024&lt;/Year&gt;&lt;RecNum&gt;107&lt;/RecNum&gt;&lt;DisplayText&gt;(2024)&lt;/DisplayText&gt;&lt;record&gt;&lt;rec-number&gt;107&lt;/rec-number&gt;&lt;foreign-keys&gt;&lt;key app="EN" db-id="zxfaevvrgpsxebez5ec5vspfe2av5dtxt9xx" timestamp="1754978916"&gt;107&lt;/key&gt;&lt;/foreign-keys&gt;&lt;ref-type name="Journal Article"&gt;17&lt;/ref-type&gt;&lt;contributors&gt;&lt;authors&gt;&lt;author&gt;NASEM,&lt;/author&gt;&lt;/authors&gt;&lt;/contributors&gt;&lt;titles&gt;&lt;title&gt;Rethinking the Acceptable Macronutrient Distribution Range for the 21st Century: A Letter Report&lt;/title&gt;&lt;/titles&gt;&lt;dates&gt;&lt;year&gt;2024&lt;/year&gt;&lt;/dates&gt;&lt;isbn&gt;0309726336&lt;/isbn&gt;&lt;urls&gt;&lt;related-urls&gt;&lt;url&gt;https://doi.org/10.17226/27957&lt;/url&gt;&lt;/related-urls&gt;&lt;/urls&gt;&lt;/record&gt;&lt;/Cite&gt;&lt;/EndNote&gt;</w:instrText>
      </w:r>
      <w:r w:rsidR="002B11D3">
        <w:fldChar w:fldCharType="separate"/>
      </w:r>
      <w:r w:rsidR="002B11D3">
        <w:rPr>
          <w:noProof/>
        </w:rPr>
        <w:t>(2024)</w:t>
      </w:r>
      <w:r w:rsidR="002B11D3">
        <w:fldChar w:fldCharType="end"/>
      </w:r>
      <w:r>
        <w:t xml:space="preserve"> noted that the approach to derive AMDRs is not consistent with current evidence-based standards. If macronutrients are prioritised, the review should consider the quality and strength of the evidence associated with chronic disease risk.</w:t>
      </w:r>
    </w:p>
    <w:p w14:paraId="4724503F" w14:textId="76E4DC0D" w:rsidR="006260D7" w:rsidRPr="006260D7" w:rsidRDefault="006260D7" w:rsidP="006260D7">
      <w:r w:rsidRPr="006260D7">
        <w:t xml:space="preserve">Consideration of the body of evidence, combined with dietary modelling to assess the effects of changes in macronutrients on micronutrients, should be </w:t>
      </w:r>
      <w:r w:rsidR="00321539">
        <w:t>considered for</w:t>
      </w:r>
      <w:r w:rsidRPr="006260D7">
        <w:t xml:space="preserve"> adults in Australia and New Zealand. </w:t>
      </w:r>
      <w:r w:rsidR="00B93D73">
        <w:t>R</w:t>
      </w:r>
      <w:r w:rsidRPr="006260D7">
        <w:t xml:space="preserve">ecommendations are for healthy </w:t>
      </w:r>
      <w:r w:rsidR="00CE72FE" w:rsidRPr="006260D7">
        <w:t>people,</w:t>
      </w:r>
      <w:r w:rsidRPr="006260D7">
        <w:t xml:space="preserve"> and it is assumed that usual dietary intake will be at a level to maintain current healthy body weight.</w:t>
      </w:r>
    </w:p>
    <w:p w14:paraId="1B7FE6DE" w14:textId="5B10EA0A" w:rsidR="006260D7" w:rsidRDefault="006260D7" w:rsidP="006260D7">
      <w:r w:rsidRPr="006260D7">
        <w:t>As the evidence base for chronic disease prevention is mainly developed from studies and health outcomes in adults, AMDR</w:t>
      </w:r>
      <w:r w:rsidR="00810FE6">
        <w:t>s</w:t>
      </w:r>
      <w:r w:rsidRPr="006260D7">
        <w:t xml:space="preserve"> appl</w:t>
      </w:r>
      <w:r w:rsidR="00810FE6">
        <w:t>y</w:t>
      </w:r>
      <w:r w:rsidRPr="006260D7">
        <w:t xml:space="preserve"> only to adults. </w:t>
      </w:r>
    </w:p>
    <w:p w14:paraId="0CFE2904" w14:textId="3EEF77C6" w:rsidR="00C510B6" w:rsidRDefault="001A4E6D" w:rsidP="00C510B6">
      <w:pPr>
        <w:pStyle w:val="Boxed1Bullet"/>
        <w:numPr>
          <w:ilvl w:val="0"/>
          <w:numId w:val="0"/>
        </w:numPr>
        <w:ind w:left="360"/>
      </w:pPr>
      <w:r>
        <w:t>F</w:t>
      </w:r>
      <w:r w:rsidR="00FD322B">
        <w:t xml:space="preserve">urther information </w:t>
      </w:r>
      <w:r w:rsidR="00703E6B">
        <w:t xml:space="preserve">on </w:t>
      </w:r>
      <w:r w:rsidR="005B24D0">
        <w:t xml:space="preserve">AMDR </w:t>
      </w:r>
      <w:r>
        <w:t>can be found in</w:t>
      </w:r>
      <w:r w:rsidR="00C510B6">
        <w:t>:</w:t>
      </w:r>
    </w:p>
    <w:p w14:paraId="2AD9F0A9" w14:textId="3A13F022" w:rsidR="00663E49" w:rsidRPr="00663E49" w:rsidRDefault="0001196A" w:rsidP="00211F4C">
      <w:pPr>
        <w:pStyle w:val="Boxed1Bullet"/>
        <w:numPr>
          <w:ilvl w:val="0"/>
          <w:numId w:val="26"/>
        </w:numPr>
      </w:pPr>
      <w:r>
        <w:fldChar w:fldCharType="begin"/>
      </w:r>
      <w:r w:rsidR="00E96552">
        <w:instrText xml:space="preserve"> ADDIN EN.CITE &lt;EndNote&gt;&lt;Cite AuthorYear="1"&gt;&lt;Author&gt;WHO&lt;/Author&gt;&lt;Year&gt;2023&lt;/Year&gt;&lt;RecNum&gt;108&lt;/RecNum&gt;&lt;DisplayText&gt;WHO (2023a)&lt;/DisplayText&gt;&lt;record&gt;&lt;rec-number&gt;108&lt;/rec-number&gt;&lt;foreign-keys&gt;&lt;key app="EN" db-id="zxfaevvrgpsxebez5ec5vspfe2av5dtxt9xx" timestamp="1754979141"&gt;108&lt;/key&gt;&lt;/foreign-keys&gt;&lt;ref-type name="Electronic Book"&gt;44&lt;/ref-type&gt;&lt;contributors&gt;&lt;authors&gt;&lt;author&gt;WHO,&lt;/author&gt;&lt;/authors&gt;&lt;/contributors&gt;&lt;titles&gt;&lt;title&gt;Carbohydrate intake for adults and children: WHO guideline&lt;/title&gt;&lt;/titles&gt;&lt;dates&gt;&lt;year&gt;2023&lt;/year&gt;&lt;/dates&gt;&lt;publisher&gt;World Health Organization&lt;/publisher&gt;&lt;isbn&gt;9240073590&lt;/isbn&gt;&lt;urls&gt;&lt;related-urls&gt;&lt;url&gt;date accessed 18 August 2025, https://www.who.int/publications/i/item/9789240073593&lt;/url&gt;&lt;/related-urls&gt;&lt;/urls&gt;&lt;/record&gt;&lt;/Cite&gt;&lt;/EndNote&gt;</w:instrText>
      </w:r>
      <w:r>
        <w:fldChar w:fldCharType="separate"/>
      </w:r>
      <w:r w:rsidR="00E0386F">
        <w:rPr>
          <w:noProof/>
        </w:rPr>
        <w:t>WHO (2023a)</w:t>
      </w:r>
      <w:r>
        <w:fldChar w:fldCharType="end"/>
      </w:r>
      <w:r w:rsidR="00663E49" w:rsidRPr="00663E49">
        <w:t xml:space="preserve"> Carbohydrate intake for adults and children: WHO guideline, World Health Organization.</w:t>
      </w:r>
    </w:p>
    <w:p w14:paraId="05717F2F" w14:textId="592D8111" w:rsidR="00296D4C" w:rsidRPr="00296D4C" w:rsidRDefault="0001196A" w:rsidP="00211F4C">
      <w:pPr>
        <w:pStyle w:val="Boxed1Bullet"/>
        <w:numPr>
          <w:ilvl w:val="0"/>
          <w:numId w:val="26"/>
        </w:numPr>
      </w:pPr>
      <w:r>
        <w:fldChar w:fldCharType="begin"/>
      </w:r>
      <w:r w:rsidR="00E96552">
        <w:instrText xml:space="preserve"> ADDIN EN.CITE &lt;EndNote&gt;&lt;Cite AuthorYear="1"&gt;&lt;Author&gt;WHO&lt;/Author&gt;&lt;Year&gt;2023&lt;/Year&gt;&lt;RecNum&gt;109&lt;/RecNum&gt;&lt;DisplayText&gt;WHO (2023d)&lt;/DisplayText&gt;&lt;record&gt;&lt;rec-number&gt;109&lt;/rec-number&gt;&lt;foreign-keys&gt;&lt;key app="EN" db-id="zxfaevvrgpsxebez5ec5vspfe2av5dtxt9xx" timestamp="1754979218"&gt;109&lt;/key&gt;&lt;/foreign-keys&gt;&lt;ref-type name="Electronic Book"&gt;44&lt;/ref-type&gt;&lt;contributors&gt;&lt;authors&gt;&lt;author&gt;WHO,&lt;/author&gt;&lt;/authors&gt;&lt;/contributors&gt;&lt;titles&gt;&lt;title&gt;Total fat intake for the prevention of unhealthy weight gain in adults and children: WHO guideline&lt;/title&gt;&lt;/titles&gt;&lt;dates&gt;&lt;year&gt;2023&lt;/year&gt;&lt;/dates&gt;&lt;publisher&gt;World Health Organization&lt;/publisher&gt;&lt;isbn&gt;9240073655&lt;/isbn&gt;&lt;urls&gt;&lt;related-urls&gt;&lt;url&gt;date accessed 18 August 2025, https://www.who.int/publications/i/item/9789240073654&lt;/url&gt;&lt;/related-urls&gt;&lt;/urls&gt;&lt;/record&gt;&lt;/Cite&gt;&lt;/EndNote&gt;</w:instrText>
      </w:r>
      <w:r>
        <w:fldChar w:fldCharType="separate"/>
      </w:r>
      <w:r w:rsidR="00E0386F">
        <w:rPr>
          <w:noProof/>
        </w:rPr>
        <w:t>WHO (2023d)</w:t>
      </w:r>
      <w:r>
        <w:fldChar w:fldCharType="end"/>
      </w:r>
      <w:r w:rsidR="00296D4C" w:rsidRPr="00296D4C">
        <w:t xml:space="preserve"> Total fat intake for the prevention of unhealthy weight gain in adults and children: WHO guideline, World Health Organization.</w:t>
      </w:r>
    </w:p>
    <w:p w14:paraId="25BB18CD" w14:textId="39503FBF" w:rsidR="00F72982" w:rsidRDefault="00296D4C" w:rsidP="00211F4C">
      <w:pPr>
        <w:pStyle w:val="Boxed1Bullet"/>
        <w:numPr>
          <w:ilvl w:val="0"/>
          <w:numId w:val="26"/>
        </w:numPr>
      </w:pPr>
      <w:r w:rsidRPr="00296D4C">
        <w:tab/>
      </w:r>
      <w:r w:rsidR="00E0386F">
        <w:fldChar w:fldCharType="begin"/>
      </w:r>
      <w:r w:rsidR="00E96552">
        <w:instrText xml:space="preserve"> ADDIN EN.CITE &lt;EndNote&gt;&lt;Cite AuthorYear="1"&gt;&lt;Author&gt;WHO&lt;/Author&gt;&lt;Year&gt;2023&lt;/Year&gt;&lt;RecNum&gt;110&lt;/RecNum&gt;&lt;DisplayText&gt;WHO (2023b)&lt;/DisplayText&gt;&lt;record&gt;&lt;rec-number&gt;110&lt;/rec-number&gt;&lt;foreign-keys&gt;&lt;key app="EN" db-id="zxfaevvrgpsxebez5ec5vspfe2av5dtxt9xx" timestamp="1754979284"&gt;110&lt;/key&gt;&lt;/foreign-keys&gt;&lt;ref-type name="Electronic Book"&gt;44&lt;/ref-type&gt;&lt;contributors&gt;&lt;authors&gt;&lt;author&gt;WHO,&lt;/author&gt;&lt;/authors&gt;&lt;/contributors&gt;&lt;titles&gt;&lt;title&gt;Saturated fatty acid and trans-fatty acid intake for adults and children: WHO guideline&lt;/title&gt;&lt;/titles&gt;&lt;dates&gt;&lt;year&gt;2023&lt;/year&gt;&lt;/dates&gt;&lt;publisher&gt;World Health Organization&lt;/publisher&gt;&lt;isbn&gt;9240073639&lt;/isbn&gt;&lt;urls&gt;&lt;related-urls&gt;&lt;url&gt;date accessed 18 August 2025, https://www.who.int/publications/i/item/9789240073630&lt;/url&gt;&lt;/related-urls&gt;&lt;/urls&gt;&lt;/record&gt;&lt;/Cite&gt;&lt;/EndNote&gt;</w:instrText>
      </w:r>
      <w:r w:rsidR="00E0386F">
        <w:fldChar w:fldCharType="separate"/>
      </w:r>
      <w:r w:rsidR="00E0386F">
        <w:rPr>
          <w:noProof/>
        </w:rPr>
        <w:t>WHO (2023b)</w:t>
      </w:r>
      <w:r w:rsidR="00E0386F">
        <w:fldChar w:fldCharType="end"/>
      </w:r>
      <w:r w:rsidR="00E97F42">
        <w:t xml:space="preserve"> </w:t>
      </w:r>
      <w:r w:rsidR="00F72982" w:rsidRPr="00F72982">
        <w:t>Saturated fatty acid and trans-fatty acid intake for adults and children: WHO guideline</w:t>
      </w:r>
      <w:r w:rsidR="00527549" w:rsidRPr="00527549">
        <w:t>, World Health Organization.</w:t>
      </w:r>
    </w:p>
    <w:p w14:paraId="261BE50F" w14:textId="76E05368" w:rsidR="00B2326F" w:rsidRDefault="00E0386F" w:rsidP="00211F4C">
      <w:pPr>
        <w:pStyle w:val="Boxed1Bullet"/>
        <w:numPr>
          <w:ilvl w:val="0"/>
          <w:numId w:val="26"/>
        </w:numPr>
      </w:pPr>
      <w:r>
        <w:fldChar w:fldCharType="begin"/>
      </w:r>
      <w:r>
        <w:instrText xml:space="preserve"> ADDIN EN.CITE &lt;EndNote&gt;&lt;Cite AuthorYear="1"&gt;&lt;Author&gt;NASEM&lt;/Author&gt;&lt;Year&gt;2024&lt;/Year&gt;&lt;RecNum&gt;107&lt;/RecNum&gt;&lt;DisplayText&gt;NASEM (2024)&lt;/DisplayText&gt;&lt;record&gt;&lt;rec-number&gt;107&lt;/rec-number&gt;&lt;foreign-keys&gt;&lt;key app="EN" db-id="zxfaevvrgpsxebez5ec5vspfe2av5dtxt9xx" timestamp="1754978916"&gt;107&lt;/key&gt;&lt;/foreign-keys&gt;&lt;ref-type name="Journal Article"&gt;17&lt;/ref-type&gt;&lt;contributors&gt;&lt;authors&gt;&lt;author&gt;NASEM,&lt;/author&gt;&lt;/authors&gt;&lt;/contributors&gt;&lt;titles&gt;&lt;title&gt;Rethinking the Acceptable Macronutrient Distribution Range for the 21st Century: A Letter Report&lt;/title&gt;&lt;/titles&gt;&lt;dates&gt;&lt;year&gt;2024&lt;/year&gt;&lt;/dates&gt;&lt;isbn&gt;0309726336&lt;/isbn&gt;&lt;urls&gt;&lt;related-urls&gt;&lt;url&gt;https://doi.org/10.17226/27957&lt;/url&gt;&lt;/related-urls&gt;&lt;/urls&gt;&lt;/record&gt;&lt;/Cite&gt;&lt;/EndNote&gt;</w:instrText>
      </w:r>
      <w:r>
        <w:fldChar w:fldCharType="separate"/>
      </w:r>
      <w:r>
        <w:rPr>
          <w:noProof/>
        </w:rPr>
        <w:t>NASEM (2024)</w:t>
      </w:r>
      <w:r>
        <w:fldChar w:fldCharType="end"/>
      </w:r>
      <w:r w:rsidR="00B2326F" w:rsidRPr="00B2326F">
        <w:t xml:space="preserve"> Rethinking the Acceptable Macronutrient Distribution Range for the 21st Century: A Letter Report. Washington, DC: The National Academies Press. </w:t>
      </w:r>
      <w:hyperlink r:id="rId111" w:history="1">
        <w:r w:rsidR="00536843" w:rsidRPr="000163C7">
          <w:rPr>
            <w:rStyle w:val="Hyperlink"/>
            <w:color w:val="006CBC"/>
          </w:rPr>
          <w:t>https://doi.org/10.17226/27957</w:t>
        </w:r>
      </w:hyperlink>
    </w:p>
    <w:p w14:paraId="5DB28CB1" w14:textId="1793D3ED" w:rsidR="006E0EF2" w:rsidRDefault="00AE1004" w:rsidP="003E2E95">
      <w:pPr>
        <w:pStyle w:val="Heading30"/>
      </w:pPr>
      <w:bookmarkStart w:id="203" w:name="_Toc207801092"/>
      <w:bookmarkStart w:id="204" w:name="_Toc153967148"/>
      <w:bookmarkStart w:id="205" w:name="_Toc207824569"/>
      <w:r>
        <w:t>Extrapolation</w:t>
      </w:r>
      <w:r w:rsidR="00392098">
        <w:t xml:space="preserve"> and </w:t>
      </w:r>
      <w:bookmarkEnd w:id="203"/>
      <w:bookmarkEnd w:id="204"/>
      <w:r>
        <w:t>interpolation</w:t>
      </w:r>
      <w:bookmarkEnd w:id="205"/>
    </w:p>
    <w:p w14:paraId="280997A9" w14:textId="442B7C27" w:rsidR="000125D3" w:rsidRDefault="006E0EF2" w:rsidP="006E0EF2">
      <w:r>
        <w:t xml:space="preserve">NRVs will need to be set for population groups for which there is currently no experimental research data. </w:t>
      </w:r>
      <w:r w:rsidR="000F3653">
        <w:t>V</w:t>
      </w:r>
      <w:r>
        <w:t>alues may be set for these groups by extrapolat</w:t>
      </w:r>
      <w:r w:rsidR="002D19B1">
        <w:t xml:space="preserve">ion </w:t>
      </w:r>
      <w:r w:rsidR="00896A2C">
        <w:t>or inter</w:t>
      </w:r>
      <w:r w:rsidR="00D21F6D">
        <w:t>polation</w:t>
      </w:r>
      <w:r w:rsidDel="00C846B8">
        <w:t xml:space="preserve"> </w:t>
      </w:r>
      <w:r w:rsidR="006A1D98">
        <w:t xml:space="preserve">of </w:t>
      </w:r>
      <w:r>
        <w:t>data from other populations</w:t>
      </w:r>
      <w:r w:rsidR="00F97FAA">
        <w:t>.</w:t>
      </w:r>
      <w:r w:rsidR="002401DE">
        <w:t xml:space="preserve"> </w:t>
      </w:r>
      <w:r w:rsidR="00D95DE6">
        <w:t>E</w:t>
      </w:r>
      <w:r w:rsidR="00D95DE6" w:rsidRPr="00D95DE6">
        <w:t xml:space="preserve">xtrapolation estimates values outside the range of known data </w:t>
      </w:r>
      <w:r w:rsidR="00021886">
        <w:t>while i</w:t>
      </w:r>
      <w:r w:rsidR="00D95DE6" w:rsidRPr="00D95DE6">
        <w:t>nterpolation estimates values within the range of known data</w:t>
      </w:r>
      <w:r w:rsidR="001F125E">
        <w:t xml:space="preserve"> (i.e. </w:t>
      </w:r>
      <w:r w:rsidR="00907513">
        <w:t>to estimate values for a group in-</w:t>
      </w:r>
      <w:r w:rsidR="001F125E">
        <w:t xml:space="preserve">between two groups for which </w:t>
      </w:r>
      <w:r w:rsidR="00907513">
        <w:t>data exists)</w:t>
      </w:r>
      <w:r w:rsidR="00021886">
        <w:t>.</w:t>
      </w:r>
      <w:r w:rsidR="00D95DE6" w:rsidRPr="00D95DE6">
        <w:t xml:space="preserve"> </w:t>
      </w:r>
      <w:r w:rsidR="00D806A4">
        <w:t xml:space="preserve">Interpolation typically assumes a </w:t>
      </w:r>
      <w:r w:rsidR="002A2C72">
        <w:t xml:space="preserve">consistent </w:t>
      </w:r>
      <w:r w:rsidR="00D806A4">
        <w:t>change in nutrient requirements between groups for which data is available</w:t>
      </w:r>
      <w:r w:rsidR="009777BD">
        <w:t xml:space="preserve">, with values derived using linear </w:t>
      </w:r>
      <w:r w:rsidR="009B0E1C">
        <w:t>interpolation</w:t>
      </w:r>
      <w:r w:rsidR="00D806A4">
        <w:t xml:space="preserve">. In contrast with interpolation, extrapolation assumes that observations in one </w:t>
      </w:r>
      <w:r w:rsidR="00D806A4">
        <w:lastRenderedPageBreak/>
        <w:t>group continue outside the observed range, increasing uncertainty in the estimate</w:t>
      </w:r>
      <w:r w:rsidR="00614DD2">
        <w:t xml:space="preserve"> – particularly where linear extrapolation methods are used</w:t>
      </w:r>
      <w:r w:rsidR="00D806A4">
        <w:t xml:space="preserve">. </w:t>
      </w:r>
      <w:r w:rsidR="00CA11AF">
        <w:t>For deriving infant and older infant NRVs i</w:t>
      </w:r>
      <w:r w:rsidR="00CA11AF" w:rsidRPr="007A15CC">
        <w:t xml:space="preserve">nterpolation </w:t>
      </w:r>
      <w:r w:rsidR="00CA11AF">
        <w:t>is</w:t>
      </w:r>
      <w:r w:rsidR="00CA11AF" w:rsidRPr="007A15CC">
        <w:t xml:space="preserve"> regarded as having greater uncertainty than extrapolation</w:t>
      </w:r>
      <w:r w:rsidR="00CA11AF">
        <w:t xml:space="preserve"> </w:t>
      </w:r>
      <w:r w:rsidR="00CA11AF" w:rsidRPr="007A15CC">
        <w:fldChar w:fldCharType="begin"/>
      </w:r>
      <w:r w:rsidR="00CA11AF" w:rsidRPr="007A15CC">
        <w:instrText xml:space="preserve"> ADDIN EN.CITE &lt;EndNote&gt;&lt;Cite&gt;&lt;Author&gt;FAO&lt;/Author&gt;&lt;Year&gt;2024&lt;/Year&gt;&lt;RecNum&gt;112&lt;/RecNum&gt;&lt;DisplayText&gt;(FAO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rsidR="00CA11AF" w:rsidRPr="007A15CC">
        <w:fldChar w:fldCharType="separate"/>
      </w:r>
      <w:r w:rsidR="00CA11AF" w:rsidRPr="007A15CC">
        <w:t>(FAO 2024)</w:t>
      </w:r>
      <w:r w:rsidR="00CA11AF" w:rsidRPr="007A15CC">
        <w:fldChar w:fldCharType="end"/>
      </w:r>
      <w:r w:rsidR="00CA11AF" w:rsidRPr="007A15CC">
        <w:t>.</w:t>
      </w:r>
      <w:r w:rsidR="00614DD2">
        <w:t xml:space="preserve">Interpolating or extrapolating data involves </w:t>
      </w:r>
      <w:r w:rsidR="00D806A4">
        <w:t xml:space="preserve">assumptions about how nutrient requirements change with age, size, body weight and other physiological factors such as life stage, body composition and metabolic rate. The accuracy of </w:t>
      </w:r>
      <w:r w:rsidR="00B139C9">
        <w:t xml:space="preserve">interpolated or extrapolated </w:t>
      </w:r>
      <w:r w:rsidR="00D806A4">
        <w:t>values is therefore dependant on the accuracy of these underlying assumptions.</w:t>
      </w:r>
    </w:p>
    <w:p w14:paraId="5A466909" w14:textId="166FA38C" w:rsidR="00A345D9" w:rsidRDefault="00A345D9" w:rsidP="006E0EF2">
      <w:r>
        <w:t>E</w:t>
      </w:r>
      <w:r w:rsidRPr="00D82E58">
        <w:t xml:space="preserve">xtrapolated </w:t>
      </w:r>
      <w:r>
        <w:t>NR</w:t>
      </w:r>
      <w:r w:rsidRPr="00D82E58">
        <w:t>V</w:t>
      </w:r>
      <w:r>
        <w:t>s</w:t>
      </w:r>
      <w:r w:rsidRPr="00D82E58">
        <w:t xml:space="preserve"> should be biologically plausible</w:t>
      </w:r>
      <w:r>
        <w:t xml:space="preserve"> and consistent with nutrient surveys of </w:t>
      </w:r>
      <w:r w:rsidRPr="00D82E58">
        <w:t>apparently healthy population</w:t>
      </w:r>
      <w:r>
        <w:t xml:space="preserve">s </w:t>
      </w:r>
      <w:r>
        <w:fldChar w:fldCharType="begin"/>
      </w:r>
      <w:r>
        <w:instrText xml:space="preserve"> ADDIN EN.CITE &lt;EndNote&gt;&lt;Cite&gt;&lt;Author&gt;FAO&lt;/Author&gt;&lt;Year&gt;2024&lt;/Year&gt;&lt;RecNum&gt;112&lt;/RecNum&gt;&lt;DisplayText&gt;(FAO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fldChar w:fldCharType="separate"/>
      </w:r>
      <w:r>
        <w:rPr>
          <w:noProof/>
        </w:rPr>
        <w:t>(FAO 2024)</w:t>
      </w:r>
      <w:r>
        <w:fldChar w:fldCharType="end"/>
      </w:r>
      <w:r>
        <w:t>.</w:t>
      </w:r>
    </w:p>
    <w:p w14:paraId="747B7A0E" w14:textId="0197AB58" w:rsidR="00392098" w:rsidRDefault="00392098" w:rsidP="003E2E95">
      <w:pPr>
        <w:pStyle w:val="Heading40"/>
      </w:pPr>
      <w:bookmarkStart w:id="206" w:name="_Toc207801093"/>
      <w:bookmarkStart w:id="207" w:name="_Toc207824570"/>
      <w:r>
        <w:t>Scaling</w:t>
      </w:r>
      <w:bookmarkEnd w:id="206"/>
      <w:bookmarkEnd w:id="207"/>
    </w:p>
    <w:p w14:paraId="65BBC2CA" w14:textId="3171E3B2" w:rsidR="000755D7" w:rsidRDefault="008302DA" w:rsidP="000755D7">
      <w:r>
        <w:t>Scaling</w:t>
      </w:r>
      <w:r w:rsidR="00DE4777">
        <w:t xml:space="preserve"> is </w:t>
      </w:r>
      <w:r w:rsidR="00C846B8">
        <w:t xml:space="preserve">a </w:t>
      </w:r>
      <w:r w:rsidR="00DE4777">
        <w:t xml:space="preserve">commonly used </w:t>
      </w:r>
      <w:r w:rsidR="00C846B8">
        <w:t xml:space="preserve">approach for </w:t>
      </w:r>
      <w:r w:rsidR="005C5CCC">
        <w:t xml:space="preserve">extrapolating or interpolating </w:t>
      </w:r>
      <w:r w:rsidR="00DE4777">
        <w:t xml:space="preserve">NRVs for </w:t>
      </w:r>
      <w:r w:rsidR="002401DE">
        <w:t xml:space="preserve">children and adolescents. </w:t>
      </w:r>
      <w:r w:rsidR="00725A6E">
        <w:t xml:space="preserve">NRVs can be scaled </w:t>
      </w:r>
      <w:r w:rsidR="00926E94">
        <w:t xml:space="preserve">up </w:t>
      </w:r>
      <w:r w:rsidR="00721595">
        <w:t>for children and adolescents from infant values</w:t>
      </w:r>
      <w:r w:rsidR="00DE6BA4">
        <w:t xml:space="preserve">; or </w:t>
      </w:r>
      <w:r w:rsidR="0079775D">
        <w:t>sca</w:t>
      </w:r>
      <w:r w:rsidR="00426007">
        <w:t>l</w:t>
      </w:r>
      <w:r w:rsidR="0079775D">
        <w:t xml:space="preserve">ed </w:t>
      </w:r>
      <w:r w:rsidR="00DE6BA4">
        <w:t>down</w:t>
      </w:r>
      <w:r w:rsidR="00721595">
        <w:t xml:space="preserve"> </w:t>
      </w:r>
      <w:r w:rsidR="00DE6BA4">
        <w:t xml:space="preserve">from adult </w:t>
      </w:r>
      <w:r w:rsidR="00721595">
        <w:t>values</w:t>
      </w:r>
      <w:r w:rsidR="007D10FF">
        <w:t xml:space="preserve"> or older children</w:t>
      </w:r>
      <w:r w:rsidR="00DE6BA4">
        <w:t xml:space="preserve">. </w:t>
      </w:r>
    </w:p>
    <w:p w14:paraId="75D9C58A" w14:textId="51AFF0F5" w:rsidR="000755D7" w:rsidRDefault="000755D7" w:rsidP="000755D7">
      <w:r>
        <w:t>Different methods of scaling can be applied, depending on the characteristics of the nutrient in question:</w:t>
      </w:r>
    </w:p>
    <w:p w14:paraId="3E7C3C90" w14:textId="0365C58B" w:rsidR="000755D7" w:rsidRDefault="000755D7" w:rsidP="00211F4C">
      <w:pPr>
        <w:pStyle w:val="ListParagraph"/>
        <w:numPr>
          <w:ilvl w:val="0"/>
          <w:numId w:val="30"/>
        </w:numPr>
        <w:spacing w:before="0" w:after="160" w:line="259" w:lineRule="auto"/>
        <w:contextualSpacing/>
      </w:pPr>
      <w:r>
        <w:t>isometric scaling assumes that linear / proportional relationships – relative to body weight - are preserved as size changes during growth or over time</w:t>
      </w:r>
    </w:p>
    <w:p w14:paraId="5CD5ED7D" w14:textId="152DCE59" w:rsidR="004E2E50" w:rsidRDefault="000755D7" w:rsidP="00211F4C">
      <w:pPr>
        <w:pStyle w:val="ListParagraph"/>
        <w:numPr>
          <w:ilvl w:val="0"/>
          <w:numId w:val="30"/>
        </w:numPr>
        <w:spacing w:before="0" w:after="160" w:line="259" w:lineRule="auto"/>
        <w:contextualSpacing/>
      </w:pPr>
      <w:r>
        <w:t>allometric scaling assumes that the metabolic rate of an organism is an exponential function of body weight.</w:t>
      </w:r>
    </w:p>
    <w:p w14:paraId="756124F5" w14:textId="6041AE9E" w:rsidR="00E12D4E" w:rsidRDefault="000D4CC4" w:rsidP="00380925">
      <w:pPr>
        <w:pStyle w:val="ListParagraph"/>
      </w:pPr>
      <w:r w:rsidRPr="000D4CC4">
        <w:t>The most appropriate scaling method should be determined based</w:t>
      </w:r>
      <w:r w:rsidR="004E2E50">
        <w:t xml:space="preserve"> on</w:t>
      </w:r>
      <w:r w:rsidR="00E12D4E">
        <w:t>:</w:t>
      </w:r>
    </w:p>
    <w:p w14:paraId="2AD3CEF4" w14:textId="77777777" w:rsidR="00E12D4E" w:rsidRDefault="00E12D4E" w:rsidP="00211F4C">
      <w:pPr>
        <w:pStyle w:val="ListParagraph"/>
        <w:numPr>
          <w:ilvl w:val="0"/>
          <w:numId w:val="30"/>
        </w:numPr>
        <w:spacing w:before="0" w:after="160" w:line="259" w:lineRule="auto"/>
        <w:contextualSpacing/>
      </w:pPr>
      <w:r>
        <w:t>the available evidence for the population under consideration</w:t>
      </w:r>
    </w:p>
    <w:p w14:paraId="1AB73B89" w14:textId="77777777" w:rsidR="00E12D4E" w:rsidRDefault="00E12D4E" w:rsidP="00211F4C">
      <w:pPr>
        <w:pStyle w:val="ListParagraph"/>
        <w:numPr>
          <w:ilvl w:val="0"/>
          <w:numId w:val="30"/>
        </w:numPr>
        <w:spacing w:before="0" w:after="160" w:line="259" w:lineRule="auto"/>
        <w:contextualSpacing/>
      </w:pPr>
      <w:r>
        <w:t>nutrient-specific context, including:</w:t>
      </w:r>
    </w:p>
    <w:p w14:paraId="0273C8E5" w14:textId="77777777" w:rsidR="00E12D4E" w:rsidRDefault="00E12D4E" w:rsidP="00211F4C">
      <w:pPr>
        <w:pStyle w:val="ListParagraph"/>
        <w:numPr>
          <w:ilvl w:val="1"/>
          <w:numId w:val="30"/>
        </w:numPr>
        <w:spacing w:before="0" w:after="160" w:line="259" w:lineRule="auto"/>
        <w:contextualSpacing/>
      </w:pPr>
      <w:r>
        <w:t>variation in requirements for pregnant or lactating women</w:t>
      </w:r>
    </w:p>
    <w:p w14:paraId="2EEEAFAA" w14:textId="77777777" w:rsidR="00E12D4E" w:rsidRDefault="00E12D4E" w:rsidP="00211F4C">
      <w:pPr>
        <w:pStyle w:val="ListParagraph"/>
        <w:numPr>
          <w:ilvl w:val="1"/>
          <w:numId w:val="30"/>
        </w:numPr>
        <w:spacing w:before="0" w:after="160" w:line="259" w:lineRule="auto"/>
        <w:contextualSpacing/>
      </w:pPr>
      <w:r>
        <w:t xml:space="preserve">differences in metabolism, </w:t>
      </w:r>
      <w:proofErr w:type="spellStart"/>
      <w:r>
        <w:t>toxicokinetics</w:t>
      </w:r>
      <w:proofErr w:type="spellEnd"/>
      <w:r>
        <w:t xml:space="preserve"> adaptive and homeostatic mechanisms between adults and children</w:t>
      </w:r>
    </w:p>
    <w:p w14:paraId="2D0B1525" w14:textId="77777777" w:rsidR="00432A15" w:rsidRDefault="00552D32" w:rsidP="00432A15">
      <w:pPr>
        <w:spacing w:line="276" w:lineRule="auto"/>
      </w:pPr>
      <w:r w:rsidRPr="008F4E3D">
        <w:t xml:space="preserve">If there is no </w:t>
      </w:r>
      <w:r>
        <w:t xml:space="preserve">clear </w:t>
      </w:r>
      <w:r w:rsidRPr="008F4E3D">
        <w:t>r</w:t>
      </w:r>
      <w:r>
        <w:t xml:space="preserve">ationale </w:t>
      </w:r>
      <w:r w:rsidRPr="008F4E3D">
        <w:t xml:space="preserve">to select one </w:t>
      </w:r>
      <w:r>
        <w:t>method</w:t>
      </w:r>
      <w:r w:rsidRPr="008F4E3D">
        <w:t xml:space="preserve"> over another, the</w:t>
      </w:r>
      <w:r>
        <w:t xml:space="preserve"> average of the </w:t>
      </w:r>
      <w:r w:rsidRPr="008F4E3D">
        <w:t xml:space="preserve">methods </w:t>
      </w:r>
      <w:r>
        <w:t xml:space="preserve">can be used </w:t>
      </w:r>
      <w:r>
        <w:fldChar w:fldCharType="begin"/>
      </w:r>
      <w:r>
        <w:instrText xml:space="preserve"> ADDIN EN.CITE &lt;EndNote&gt;&lt;Cite&gt;&lt;Author&gt;FAO&lt;/Author&gt;&lt;Year&gt;2024&lt;/Year&gt;&lt;RecNum&gt;112&lt;/RecNum&gt;&lt;DisplayText&gt;(FAO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fldChar w:fldCharType="separate"/>
      </w:r>
      <w:r>
        <w:rPr>
          <w:noProof/>
        </w:rPr>
        <w:t>(FAO 2024)</w:t>
      </w:r>
      <w:r>
        <w:fldChar w:fldCharType="end"/>
      </w:r>
      <w:r>
        <w:t xml:space="preserve"> </w:t>
      </w:r>
      <w:r w:rsidRPr="008F4E3D">
        <w:t>.</w:t>
      </w:r>
      <w:r w:rsidR="00432A15" w:rsidRPr="00432A15">
        <w:t xml:space="preserve"> </w:t>
      </w:r>
    </w:p>
    <w:p w14:paraId="00DF4F89" w14:textId="77FC81C3" w:rsidR="00432A15" w:rsidRPr="00BC0CA4" w:rsidRDefault="00432A15" w:rsidP="00432A15">
      <w:pPr>
        <w:spacing w:line="276" w:lineRule="auto"/>
      </w:pPr>
      <w:r>
        <w:t xml:space="preserve">Expert Working Groups are responsible for ensuring that selected scaling methods are appropriate for each nutrient. </w:t>
      </w:r>
      <w:r w:rsidRPr="00BC0CA4">
        <w:t>All methods, assumptions and underlying scientific evidence should be clearly documented</w:t>
      </w:r>
      <w:r>
        <w:t>, along with a rationale for the selected method used for scaling</w:t>
      </w:r>
      <w:r w:rsidRPr="00BC0CA4">
        <w:t>.</w:t>
      </w:r>
    </w:p>
    <w:p w14:paraId="2202103B" w14:textId="3C0DB5AE" w:rsidR="00867F57" w:rsidRDefault="006E0EF2" w:rsidP="00DE2FA1">
      <w:r>
        <w:t xml:space="preserve">When scaling, a mathematical formula is applied to </w:t>
      </w:r>
      <w:r w:rsidR="00533557">
        <w:t xml:space="preserve">calculate an NRV </w:t>
      </w:r>
      <w:r w:rsidR="004014DE">
        <w:t xml:space="preserve">from a reference NRV based on various scaling </w:t>
      </w:r>
      <w:r w:rsidR="0078155E">
        <w:t xml:space="preserve">parameters </w:t>
      </w:r>
      <w:r w:rsidR="0088131F">
        <w:t>-</w:t>
      </w:r>
      <w:r w:rsidR="004014DE">
        <w:t xml:space="preserve">typically, </w:t>
      </w:r>
      <w:r w:rsidR="00FE2D3C" w:rsidRPr="00FE2D3C">
        <w:t>body weight</w:t>
      </w:r>
      <w:r w:rsidR="00276D43">
        <w:t>. O</w:t>
      </w:r>
      <w:r w:rsidR="00FE2D3C" w:rsidRPr="00FE2D3C">
        <w:t>ther</w:t>
      </w:r>
      <w:r w:rsidR="00276D43">
        <w:t xml:space="preserve"> parameters</w:t>
      </w:r>
      <w:r w:rsidR="00FE2D3C" w:rsidRPr="00FE2D3C">
        <w:t xml:space="preserve"> such as </w:t>
      </w:r>
      <w:r w:rsidR="00A374C4">
        <w:t xml:space="preserve">body surface-area (BSA), </w:t>
      </w:r>
      <w:r w:rsidR="00FE2D3C" w:rsidRPr="00FE2D3C">
        <w:t xml:space="preserve">energy </w:t>
      </w:r>
      <w:r w:rsidR="00A374C4">
        <w:t xml:space="preserve">or </w:t>
      </w:r>
      <w:r w:rsidR="00FE2D3C" w:rsidRPr="00FE2D3C">
        <w:t>protein</w:t>
      </w:r>
      <w:r w:rsidR="00FE2D3C" w:rsidRPr="00FE2D3C" w:rsidDel="00163820">
        <w:t xml:space="preserve"> </w:t>
      </w:r>
      <w:r w:rsidR="00163820">
        <w:t xml:space="preserve">requirements </w:t>
      </w:r>
      <w:r w:rsidR="00FE2D3C" w:rsidRPr="00FE2D3C">
        <w:t xml:space="preserve">(or intakes) </w:t>
      </w:r>
      <w:r w:rsidR="00E145FE">
        <w:t xml:space="preserve">can be </w:t>
      </w:r>
      <w:r w:rsidR="00FE2D3C" w:rsidRPr="00FE2D3C">
        <w:t xml:space="preserve">used </w:t>
      </w:r>
      <w:r w:rsidR="00E145FE">
        <w:t xml:space="preserve">if </w:t>
      </w:r>
      <w:r w:rsidR="00FE2D3C" w:rsidRPr="00FE2D3C">
        <w:t>they are more relevant to the function of the nutrient</w:t>
      </w:r>
      <w:r w:rsidR="00C13EFE">
        <w:t xml:space="preserve">  </w:t>
      </w:r>
      <w:r w:rsidR="00C13EFE">
        <w:fldChar w:fldCharType="begin"/>
      </w:r>
      <w:r w:rsidR="00C13EFE">
        <w:instrText xml:space="preserve"> ADDIN EN.CITE &lt;EndNote&gt;&lt;Cite&gt;&lt;Author&gt;FAO&lt;/Author&gt;&lt;Year&gt;2024&lt;/Year&gt;&lt;RecNum&gt;112&lt;/RecNum&gt;&lt;DisplayText&gt;(FAO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rsidR="00C13EFE">
        <w:fldChar w:fldCharType="separate"/>
      </w:r>
      <w:r w:rsidR="00C13EFE">
        <w:rPr>
          <w:noProof/>
        </w:rPr>
        <w:t>(FAO 2024)</w:t>
      </w:r>
      <w:r w:rsidR="00C13EFE">
        <w:fldChar w:fldCharType="end"/>
      </w:r>
      <w:r w:rsidR="00E145FE">
        <w:t>.</w:t>
      </w:r>
      <w:r w:rsidR="00D019F3" w:rsidRPr="00D019F3">
        <w:t xml:space="preserve"> </w:t>
      </w:r>
      <w:r w:rsidR="00D019F3">
        <w:t>The s</w:t>
      </w:r>
      <w:r w:rsidR="00D019F3" w:rsidRPr="004B7C59">
        <w:t xml:space="preserve">caling methods </w:t>
      </w:r>
      <w:r w:rsidR="00D019F3">
        <w:t xml:space="preserve">previously used </w:t>
      </w:r>
      <w:r w:rsidR="00D019F3" w:rsidRPr="004B7C59">
        <w:t xml:space="preserve">to extrapolate reference values </w:t>
      </w:r>
      <w:r w:rsidR="00D019F3">
        <w:t xml:space="preserve">for a range of nutrients are listed in </w:t>
      </w:r>
      <w:r w:rsidR="00336F6F">
        <w:fldChar w:fldCharType="begin"/>
      </w:r>
      <w:r w:rsidR="00336F6F">
        <w:instrText xml:space="preserve"> REF _Ref207824601 \r \h </w:instrText>
      </w:r>
      <w:r w:rsidR="00336F6F">
        <w:fldChar w:fldCharType="separate"/>
      </w:r>
      <w:r w:rsidR="00336F6F">
        <w:t xml:space="preserve">Appendix F.  </w:t>
      </w:r>
      <w:r w:rsidR="00336F6F">
        <w:fldChar w:fldCharType="end"/>
      </w:r>
      <w:r w:rsidR="00336F6F">
        <w:fldChar w:fldCharType="begin"/>
      </w:r>
      <w:r w:rsidR="00336F6F">
        <w:instrText xml:space="preserve"> REF _Ref207824602 \h </w:instrText>
      </w:r>
      <w:r w:rsidR="00336F6F">
        <w:fldChar w:fldCharType="separate"/>
      </w:r>
      <w:r w:rsidR="00336F6F">
        <w:t>S</w:t>
      </w:r>
      <w:r w:rsidR="00336F6F" w:rsidRPr="004B7C59">
        <w:t xml:space="preserve">caling methods </w:t>
      </w:r>
      <w:r w:rsidR="00336F6F">
        <w:t>used internationally for NRVs</w:t>
      </w:r>
      <w:r w:rsidR="00336F6F">
        <w:fldChar w:fldCharType="end"/>
      </w:r>
      <w:r w:rsidR="00502062">
        <w:t xml:space="preserve"> for information</w:t>
      </w:r>
      <w:r w:rsidR="00D019F3">
        <w:t>.</w:t>
      </w:r>
    </w:p>
    <w:p w14:paraId="69D622DD" w14:textId="23311EB1" w:rsidR="00C819A6" w:rsidRDefault="000405D1" w:rsidP="00DE2FA1">
      <w:r w:rsidRPr="000405D1">
        <w:t xml:space="preserve">When </w:t>
      </w:r>
      <w:r w:rsidR="001A7715">
        <w:t xml:space="preserve">scaling, </w:t>
      </w:r>
      <w:r w:rsidRPr="000405D1">
        <w:t>the general formula is:</w:t>
      </w:r>
    </w:p>
    <w:p w14:paraId="7C3E0560" w14:textId="099ADAC6" w:rsidR="00793085" w:rsidRPr="00793085" w:rsidRDefault="00793085" w:rsidP="00793085">
      <w:pPr>
        <w:pStyle w:val="Yellowbox"/>
        <w:pBdr>
          <w:top w:val="single" w:sz="4" w:space="6" w:color="F9A54F"/>
          <w:left w:val="single" w:sz="4" w:space="6" w:color="F9A54F"/>
          <w:bottom w:val="single" w:sz="4" w:space="6" w:color="F9A54F"/>
          <w:right w:val="single" w:sz="4" w:space="6" w:color="F9A54F"/>
        </w:pBdr>
        <w:spacing w:before="120" w:after="120"/>
        <w:jc w:val="center"/>
        <w:rPr>
          <w:rFonts w:ascii="Cambria Math" w:hAnsi="Cambria Math"/>
        </w:rPr>
      </w:pPr>
      <w:r w:rsidRPr="00793085">
        <w:rPr>
          <w:rFonts w:ascii="Cambria Math" w:hAnsi="Cambria Math"/>
        </w:rPr>
        <w:t xml:space="preserve">Average value </w:t>
      </w:r>
      <w:r w:rsidRPr="00793085">
        <w:rPr>
          <w:rFonts w:ascii="Cambria Math" w:hAnsi="Cambria Math"/>
          <w:vertAlign w:val="subscript"/>
        </w:rPr>
        <w:t>target group</w:t>
      </w:r>
      <w:r w:rsidRPr="00793085">
        <w:rPr>
          <w:rFonts w:ascii="Cambria Math" w:hAnsi="Cambria Math"/>
        </w:rPr>
        <w:t xml:space="preserve"> = Average Value </w:t>
      </w:r>
      <w:r w:rsidRPr="00793085">
        <w:rPr>
          <w:rFonts w:ascii="Cambria Math" w:hAnsi="Cambria Math"/>
          <w:vertAlign w:val="subscript"/>
        </w:rPr>
        <w:t>reference group</w:t>
      </w:r>
      <w:r w:rsidRPr="00793085">
        <w:rPr>
          <w:rFonts w:ascii="Cambria Math" w:hAnsi="Cambria Math"/>
        </w:rPr>
        <w:t xml:space="preserve"> x (scaling factor)</w:t>
      </w:r>
    </w:p>
    <w:p w14:paraId="67627FFD" w14:textId="5C276038" w:rsidR="00D600A0" w:rsidRDefault="008705A3" w:rsidP="00CC7082">
      <w:pPr>
        <w:spacing w:before="0" w:after="160" w:line="259" w:lineRule="auto"/>
        <w:contextualSpacing/>
      </w:pPr>
      <w:r>
        <w:t>In the context of NRVs, the average value is the AI</w:t>
      </w:r>
      <w:r w:rsidR="007A0FD8">
        <w:t xml:space="preserve">, </w:t>
      </w:r>
      <w:r>
        <w:t>EAR</w:t>
      </w:r>
      <w:r w:rsidR="007A0FD8">
        <w:t>, or UL depending on the NRVs being derived.</w:t>
      </w:r>
      <w:bookmarkStart w:id="208" w:name="_Toc207801517"/>
      <w:bookmarkEnd w:id="208"/>
    </w:p>
    <w:p w14:paraId="2B7507B0" w14:textId="54789B95" w:rsidR="003A77C0" w:rsidRDefault="003A77C0" w:rsidP="003E2E95">
      <w:pPr>
        <w:pStyle w:val="Heading50"/>
      </w:pPr>
      <w:bookmarkStart w:id="209" w:name="_Toc207801094"/>
      <w:bookmarkStart w:id="210" w:name="_Toc207824571"/>
      <w:r>
        <w:lastRenderedPageBreak/>
        <w:t xml:space="preserve">Scaling </w:t>
      </w:r>
      <w:r w:rsidR="00AC4CDF">
        <w:t xml:space="preserve">to derive </w:t>
      </w:r>
      <w:proofErr w:type="gramStart"/>
      <w:r>
        <w:t>Upper Level</w:t>
      </w:r>
      <w:proofErr w:type="gramEnd"/>
      <w:r w:rsidR="00AC4CDF">
        <w:t xml:space="preserve"> recommendations</w:t>
      </w:r>
      <w:bookmarkEnd w:id="209"/>
      <w:bookmarkEnd w:id="210"/>
    </w:p>
    <w:p w14:paraId="67D9B2D3" w14:textId="22853F35" w:rsidR="00A61179" w:rsidRDefault="00A61179" w:rsidP="00A61179">
      <w:r>
        <w:t>In a 2023 EFSA workshop on human-to-human scaling approaches for the derivation of UL’s, a decision tree was developed, outlining the considerations that need to be made when deciding on a scaling approach for setting an UL (</w:t>
      </w:r>
      <w:r>
        <w:fldChar w:fldCharType="begin"/>
      </w:r>
      <w:r>
        <w:instrText xml:space="preserve"> REF _Ref206408890 \h </w:instrText>
      </w:r>
      <w:r>
        <w:fldChar w:fldCharType="separate"/>
      </w:r>
      <w:r>
        <w:t>Figure 6.</w:t>
      </w:r>
      <w:r>
        <w:rPr>
          <w:noProof/>
        </w:rPr>
        <w:t>4</w:t>
      </w:r>
      <w:r>
        <w:fldChar w:fldCharType="end"/>
      </w:r>
      <w:r>
        <w:t xml:space="preserve">). It should be noted that this decision tree represents the views of the workshop participants on the day and does not necessarily reflect the views of the NDA panel </w:t>
      </w:r>
      <w:r>
        <w:fldChar w:fldCharType="begin"/>
      </w:r>
      <w:r w:rsidR="00FD5765">
        <w:instrText xml:space="preserve"> ADDIN EN.CITE &lt;EndNote&gt;&lt;Cite&gt;&lt;Author&gt;Foods&lt;/Author&gt;&lt;Year&gt;2024&lt;/Year&gt;&lt;RecNum&gt;111&lt;/RecNum&gt;&lt;DisplayText&gt;(Foods et al. 2024)&lt;/DisplayText&gt;&lt;record&gt;&lt;rec-number&gt;111&lt;/rec-number&gt;&lt;foreign-keys&gt;&lt;key app="EN" db-id="zxfaevvrgpsxebez5ec5vspfe2av5dtxt9xx" timestamp="1755047863"&gt;111&lt;/key&gt;&lt;/foreign-keys&gt;&lt;ref-type name="Journal Article"&gt;17&lt;/ref-type&gt;&lt;contributors&gt;&lt;authors&gt;&lt;author&gt;EFSA Panel on Nutrition Novel Foods&lt;/author&gt;&lt;author&gt;and Food Allergens,&lt;/author&gt;&lt;author&gt;Turck, Dominique&lt;/author&gt;&lt;author&gt;Bohn, Torsten&lt;/author</w:instrText>
      </w:r>
      <w:r w:rsidR="00FD5765">
        <w:rPr>
          <w:rFonts w:hint="eastAsia"/>
        </w:rPr>
        <w:instrText>&gt;&lt;author&gt;Cámara, Montaña&lt;/author&gt;&lt;author&gt;Castenmiller, Jacqueline&lt;/author&gt;&lt;author&gt;de Henauw, Stefaan&lt;/author&gt;&lt;author&gt;Hirsch</w:instrText>
      </w:r>
      <w:r w:rsidR="00FD5765">
        <w:rPr>
          <w:rFonts w:hint="eastAsia"/>
        </w:rPr>
        <w:instrText>‐</w:instrText>
      </w:r>
      <w:r w:rsidR="00FD5765">
        <w:rPr>
          <w:rFonts w:hint="eastAsia"/>
        </w:rPr>
        <w:instrText>Ernst, Karen</w:instrText>
      </w:r>
      <w:r w:rsidR="00FD5765">
        <w:rPr>
          <w:rFonts w:hint="eastAsia"/>
        </w:rPr>
        <w:instrText>‐</w:instrText>
      </w:r>
      <w:r w:rsidR="00FD5765">
        <w:rPr>
          <w:rFonts w:hint="eastAsia"/>
        </w:rPr>
        <w:instrText>Ildico&lt;/author&gt;&lt;author&gt;Jos, Angeles&lt;/author&gt;&lt;author&gt;Maciuk, Alexandre&lt;/author&gt;&lt;author&gt;Mangelsdorf, Inge&lt;/author&gt;&lt;/auth</w:instrText>
      </w:r>
      <w:r w:rsidR="00FD5765">
        <w:instrText>ors&gt;&lt;/contributors&gt;&lt;titles&gt;&lt;title&gt;Workshop report on human-to-human scaling approaches for the derivation of tolerable upper intake levels, European Food Safety Authority. Annex to: Guidance for establishing and applying tolerable upper intake levels for vitamins and essential minerals.&lt;/title&gt;&lt;secondary-title&gt;EFSA Journal&lt;/secondary-title&gt;&lt;/titles&gt;&lt;periodical&gt;&lt;full-title&gt;EFSA Journal&lt;/full-title&gt;&lt;/periodical&gt;&lt;pages&gt;e9052&lt;/pages&gt;&lt;volume&gt;22&lt;/volume&gt;&lt;number&gt;11&lt;/number&gt;&lt;dates&gt;&lt;year&gt;2024&lt;/year&gt;&lt;/dates&gt;&lt;isbn&gt;1831-4732&lt;/isbn&gt;&lt;urls&gt;&lt;/urls&gt;&lt;electronic-resource-num&gt;10.2903/j.efsa.2024.NNNN &lt;/electronic-resource-num&gt;&lt;/record&gt;&lt;/Cite&gt;&lt;/EndNote&gt;</w:instrText>
      </w:r>
      <w:r>
        <w:fldChar w:fldCharType="separate"/>
      </w:r>
      <w:r w:rsidR="00FD5765">
        <w:rPr>
          <w:noProof/>
        </w:rPr>
        <w:t>(Foods et al. 2024)</w:t>
      </w:r>
      <w:r>
        <w:fldChar w:fldCharType="end"/>
      </w:r>
      <w:r>
        <w:t>.</w:t>
      </w:r>
    </w:p>
    <w:p w14:paraId="29E8CE56" w14:textId="14FDCC72" w:rsidR="00A61179" w:rsidRDefault="00A61179" w:rsidP="00A61179">
      <w:pPr>
        <w:keepNext/>
      </w:pPr>
      <w:r>
        <w:rPr>
          <w:noProof/>
        </w:rPr>
        <w:drawing>
          <wp:inline distT="0" distB="0" distL="0" distR="0" wp14:anchorId="30C545F5" wp14:editId="77C0970C">
            <wp:extent cx="6439012" cy="4048125"/>
            <wp:effectExtent l="0" t="0" r="0" b="0"/>
            <wp:docPr id="49498352" name="Picture 1" descr="Decision tree for choosing a scaling approach for setting Upper Levels (ULs). First decision: if substance is not a nutrient, use isometric scaling for risk assessment. If it is a nutrient, check whether it falls under other regulatory sectors (contaminants, food additives); if yes, use a case-by-case approach, which considers biochemical properties, life stage, database type and existing NRVs. If no, assess whether nutrient is lipid soluble or could accumulate in the body through other mechanisms; if yes, use case-by-case approach. If no, use allometric scaling assuming human database and considering toxicokinetic life-stage fa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8352" name="Picture 1" descr="Decision tree for choosing a scaling approach for setting Upper Levels (ULs). First decision: if substance is not a nutrient, use isometric scaling for risk assessment. If it is a nutrient, check whether it falls under other regulatory sectors (contaminants, food additives); if yes, use a case-by-case approach, which considers biochemical properties, life stage, database type and existing NRVs. If no, assess whether nutrient is lipid soluble or could accumulate in the body through other mechanisms; if yes, use case-by-case approach. If no, use allometric scaling assuming human database and considering toxicokinetic life-stage factors. "/>
                    <pic:cNvPicPr/>
                  </pic:nvPicPr>
                  <pic:blipFill>
                    <a:blip r:embed="rId112"/>
                    <a:stretch>
                      <a:fillRect/>
                    </a:stretch>
                  </pic:blipFill>
                  <pic:spPr>
                    <a:xfrm>
                      <a:off x="0" y="0"/>
                      <a:ext cx="6443437" cy="4050907"/>
                    </a:xfrm>
                    <a:prstGeom prst="rect">
                      <a:avLst/>
                    </a:prstGeom>
                  </pic:spPr>
                </pic:pic>
              </a:graphicData>
            </a:graphic>
          </wp:inline>
        </w:drawing>
      </w:r>
    </w:p>
    <w:p w14:paraId="63408272" w14:textId="77777777" w:rsidR="004E51AC" w:rsidRPr="004E51AC" w:rsidRDefault="00727A0D" w:rsidP="004E51AC">
      <w:pPr>
        <w:pStyle w:val="Caption"/>
        <w:spacing w:after="0"/>
        <w:rPr>
          <w:rFonts w:ascii="Gotham Book" w:hAnsi="Gotham Book"/>
        </w:rPr>
      </w:pPr>
      <w:r>
        <w:t xml:space="preserve">Figure </w:t>
      </w:r>
      <w:r w:rsidR="005A7385">
        <w:t>6</w:t>
      </w:r>
      <w:r w:rsidR="000949BF">
        <w:t>.</w:t>
      </w:r>
      <w:r w:rsidR="00783DC4">
        <w:fldChar w:fldCharType="begin"/>
      </w:r>
      <w:r w:rsidR="00783DC4">
        <w:instrText xml:space="preserve"> SEQ Figure \* ARABIC \s 1 </w:instrText>
      </w:r>
      <w:r w:rsidR="00783DC4">
        <w:fldChar w:fldCharType="separate"/>
      </w:r>
      <w:r w:rsidR="00783DC4">
        <w:rPr>
          <w:noProof/>
        </w:rPr>
        <w:t>4</w:t>
      </w:r>
      <w:r w:rsidR="00783DC4">
        <w:rPr>
          <w:noProof/>
        </w:rPr>
        <w:fldChar w:fldCharType="end"/>
      </w:r>
      <w:r>
        <w:t xml:space="preserve"> </w:t>
      </w:r>
      <w:r w:rsidRPr="0097472E">
        <w:t>Decision tree for choosing a scaling approach for setting an UL</w:t>
      </w:r>
      <w:r w:rsidR="00E81544" w:rsidRPr="0097472E">
        <w:t>.</w:t>
      </w:r>
      <w:r w:rsidR="00E102A9" w:rsidRPr="004E51AC">
        <w:rPr>
          <w:rFonts w:ascii="Gotham Book" w:hAnsi="Gotham Book"/>
        </w:rPr>
        <w:t xml:space="preserve"> </w:t>
      </w:r>
    </w:p>
    <w:p w14:paraId="3CD93B03" w14:textId="6CE79039" w:rsidR="00400FDF" w:rsidRPr="000D4CC4" w:rsidRDefault="00A61179" w:rsidP="000D4CC4">
      <w:pPr>
        <w:pStyle w:val="Caption"/>
        <w:spacing w:after="0" w:line="240" w:lineRule="auto"/>
        <w:rPr>
          <w:rFonts w:ascii="Gotham Book" w:hAnsi="Gotham Book"/>
          <w:i/>
          <w:sz w:val="18"/>
          <w:lang w:val="en-US"/>
        </w:rPr>
      </w:pPr>
      <w:r w:rsidRPr="000D4CC4">
        <w:rPr>
          <w:rFonts w:ascii="Gotham Book" w:hAnsi="Gotham Book"/>
          <w:i/>
          <w:sz w:val="18"/>
          <w:lang w:val="en-GB"/>
        </w:rPr>
        <w:t xml:space="preserve">Adapted with permission from </w:t>
      </w:r>
      <w:r w:rsidRPr="000D4CC4">
        <w:rPr>
          <w:rFonts w:ascii="Gotham Book" w:hAnsi="Gotham Book"/>
          <w:i/>
          <w:sz w:val="18"/>
          <w:lang w:val="en-GB"/>
        </w:rPr>
        <w:fldChar w:fldCharType="begin"/>
      </w:r>
      <w:r w:rsidR="00FD5765">
        <w:rPr>
          <w:rFonts w:ascii="Gotham Book" w:hAnsi="Gotham Book"/>
          <w:i/>
          <w:sz w:val="18"/>
          <w:lang w:val="en-GB"/>
        </w:rPr>
        <w:instrText xml:space="preserve"> ADDIN EN.CITE &lt;EndNote&gt;&lt;Cite&gt;&lt;Author&gt;Foods&lt;/Author&gt;&lt;Year&gt;2024&lt;/Year&gt;&lt;RecNum&gt;111&lt;/RecNum&gt;&lt;DisplayText&gt;(Foods et al. 2024)&lt;/DisplayText&gt;&lt;record&gt;&lt;rec-number&gt;111&lt;/rec-number&gt;&lt;foreign-keys&gt;&lt;key app="EN" db-id="zxfaevvrgpsxebez5ec5vspfe2av5dtxt9xx" timestamp="1755047863"&gt;111&lt;/key&gt;&lt;/foreign-keys&gt;&lt;ref-type name="Journal Article"&gt;17&lt;/ref-type&gt;&lt;contributors&gt;&lt;authors&gt;&lt;author&gt;EFSA Panel on Nutrition Novel Foods&lt;/author&gt;&lt;author&gt;and Food Allergens,&lt;/author&gt;&lt;author&gt;Turck, Dominique&lt;/author&gt;&lt;author&gt;Bohn, Torsten&lt;/author</w:instrText>
      </w:r>
      <w:r w:rsidR="00FD5765">
        <w:rPr>
          <w:rFonts w:ascii="Gotham Book" w:hAnsi="Gotham Book" w:hint="eastAsia"/>
          <w:i/>
          <w:sz w:val="18"/>
          <w:lang w:val="en-GB"/>
        </w:rPr>
        <w:instrText>&gt;&lt;author&gt;Cámara, Montaña&lt;/author&gt;&lt;author&gt;Castenmiller, Jacqueline&lt;/author&gt;&lt;author&gt;de Henauw, Stefaan&lt;/author&gt;&lt;author&gt;Hirsch</w:instrText>
      </w:r>
      <w:r w:rsidR="00FD5765">
        <w:rPr>
          <w:rFonts w:ascii="Gotham Book" w:hAnsi="Gotham Book" w:hint="eastAsia"/>
          <w:i/>
          <w:sz w:val="18"/>
          <w:lang w:val="en-GB"/>
        </w:rPr>
        <w:instrText>‐</w:instrText>
      </w:r>
      <w:r w:rsidR="00FD5765">
        <w:rPr>
          <w:rFonts w:ascii="Gotham Book" w:hAnsi="Gotham Book" w:hint="eastAsia"/>
          <w:i/>
          <w:sz w:val="18"/>
          <w:lang w:val="en-GB"/>
        </w:rPr>
        <w:instrText>Ernst, Karen</w:instrText>
      </w:r>
      <w:r w:rsidR="00FD5765">
        <w:rPr>
          <w:rFonts w:ascii="Gotham Book" w:hAnsi="Gotham Book" w:hint="eastAsia"/>
          <w:i/>
          <w:sz w:val="18"/>
          <w:lang w:val="en-GB"/>
        </w:rPr>
        <w:instrText>‐</w:instrText>
      </w:r>
      <w:r w:rsidR="00FD5765">
        <w:rPr>
          <w:rFonts w:ascii="Gotham Book" w:hAnsi="Gotham Book" w:hint="eastAsia"/>
          <w:i/>
          <w:sz w:val="18"/>
          <w:lang w:val="en-GB"/>
        </w:rPr>
        <w:instrText>Ildico&lt;/author&gt;&lt;author&gt;Jos, Angeles&lt;/author&gt;&lt;author&gt;Maciuk, Alexandre&lt;/author&gt;&lt;author&gt;Mangelsdorf, Inge&lt;/author&gt;&lt;/auth</w:instrText>
      </w:r>
      <w:r w:rsidR="00FD5765">
        <w:rPr>
          <w:rFonts w:ascii="Gotham Book" w:hAnsi="Gotham Book"/>
          <w:i/>
          <w:sz w:val="18"/>
          <w:lang w:val="en-GB"/>
        </w:rPr>
        <w:instrText>ors&gt;&lt;/contributors&gt;&lt;titles&gt;&lt;title&gt;Workshop report on human-to-human scaling approaches for the derivation of tolerable upper intake levels, European Food Safety Authority. Annex to: Guidance for establishing and applying tolerable upper intake levels for vitamins and essential minerals.&lt;/title&gt;&lt;secondary-title&gt;EFSA Journal&lt;/secondary-title&gt;&lt;/titles&gt;&lt;periodical&gt;&lt;full-title&gt;EFSA Journal&lt;/full-title&gt;&lt;/periodical&gt;&lt;pages&gt;e9052&lt;/pages&gt;&lt;volume&gt;22&lt;/volume&gt;&lt;number&gt;11&lt;/number&gt;&lt;dates&gt;&lt;year&gt;2024&lt;/year&gt;&lt;/dates&gt;&lt;isbn&gt;1831-4732&lt;/isbn&gt;&lt;urls&gt;&lt;/urls&gt;&lt;electronic-resource-num&gt;10.2903/j.efsa.2024.NNNN &lt;/electronic-resource-num&gt;&lt;/record&gt;&lt;/Cite&gt;&lt;/EndNote&gt;</w:instrText>
      </w:r>
      <w:r w:rsidRPr="000D4CC4">
        <w:rPr>
          <w:rFonts w:ascii="Gotham Book" w:hAnsi="Gotham Book"/>
          <w:i/>
          <w:sz w:val="18"/>
          <w:lang w:val="en-GB"/>
        </w:rPr>
        <w:fldChar w:fldCharType="separate"/>
      </w:r>
      <w:r w:rsidR="00FD5765">
        <w:rPr>
          <w:rFonts w:ascii="Gotham Book" w:hAnsi="Gotham Book"/>
          <w:i/>
          <w:noProof/>
          <w:sz w:val="18"/>
          <w:lang w:val="en-GB"/>
        </w:rPr>
        <w:t>(Foods et al. 2024)</w:t>
      </w:r>
      <w:r w:rsidRPr="000D4CC4">
        <w:rPr>
          <w:rFonts w:ascii="Gotham Book" w:hAnsi="Gotham Book"/>
          <w:i/>
          <w:sz w:val="18"/>
          <w:lang w:val="en-GB"/>
        </w:rPr>
        <w:fldChar w:fldCharType="end"/>
      </w:r>
      <w:r w:rsidRPr="000D4CC4">
        <w:rPr>
          <w:rFonts w:ascii="Gotham Book" w:hAnsi="Gotham Book"/>
          <w:i/>
          <w:sz w:val="18"/>
          <w:lang w:val="en-GB"/>
        </w:rPr>
        <w:t xml:space="preserve">  </w:t>
      </w:r>
    </w:p>
    <w:p w14:paraId="74B9B5A2" w14:textId="77777777" w:rsidR="00A61179" w:rsidRDefault="00A61179" w:rsidP="000D4CC4">
      <w:pPr>
        <w:pStyle w:val="Caption"/>
        <w:spacing w:after="0" w:line="240" w:lineRule="auto"/>
        <w:rPr>
          <w:rFonts w:ascii="Gotham Book" w:hAnsi="Gotham Book"/>
          <w:sz w:val="18"/>
        </w:rPr>
      </w:pPr>
      <w:r w:rsidRPr="000D4CC4">
        <w:rPr>
          <w:rFonts w:ascii="Gotham Book" w:hAnsi="Gotham Book"/>
          <w:sz w:val="18"/>
        </w:rPr>
        <w:t xml:space="preserve">TK, </w:t>
      </w:r>
      <w:proofErr w:type="spellStart"/>
      <w:r w:rsidRPr="000D4CC4">
        <w:rPr>
          <w:rFonts w:ascii="Gotham Book" w:hAnsi="Gotham Book"/>
          <w:sz w:val="18"/>
        </w:rPr>
        <w:t>toxicokinetics</w:t>
      </w:r>
      <w:proofErr w:type="spellEnd"/>
      <w:r w:rsidRPr="000D4CC4">
        <w:rPr>
          <w:rFonts w:ascii="Gotham Book" w:hAnsi="Gotham Book"/>
          <w:sz w:val="18"/>
        </w:rPr>
        <w:t xml:space="preserve">. </w:t>
      </w:r>
    </w:p>
    <w:p w14:paraId="6002CD2E" w14:textId="30AFFF2B" w:rsidR="00AC4CDF" w:rsidRPr="00A35DD3" w:rsidRDefault="00AC4CDF" w:rsidP="00A35DD3">
      <w:r w:rsidRPr="00B10060">
        <w:t xml:space="preserve">Because scaling relies on assumptions, the resulting reference values for infants and children often carry greater uncertainty than those for adults. </w:t>
      </w:r>
      <w:r w:rsidRPr="00B27DAB">
        <w:t xml:space="preserve">As a result, </w:t>
      </w:r>
      <w:r>
        <w:t xml:space="preserve">when scaling is used to estimate upper levels, the derived UL </w:t>
      </w:r>
      <w:r w:rsidRPr="00B27DAB">
        <w:t>may be lower than the observed intakes in younger age groups, even when no adverse effects are evident.</w:t>
      </w:r>
    </w:p>
    <w:p w14:paraId="48FF2DE8" w14:textId="6ED610E3" w:rsidR="00147C62" w:rsidRDefault="002E331B" w:rsidP="003E2E95">
      <w:pPr>
        <w:pStyle w:val="Heading50"/>
      </w:pPr>
      <w:bookmarkStart w:id="211" w:name="_Toc207824572"/>
      <w:r>
        <w:t>Isometric scaling</w:t>
      </w:r>
      <w:bookmarkEnd w:id="211"/>
      <w:r w:rsidR="003944C9">
        <w:t xml:space="preserve"> </w:t>
      </w:r>
    </w:p>
    <w:p w14:paraId="0090FDF1" w14:textId="116FD725" w:rsidR="00147C62" w:rsidRDefault="00147C62" w:rsidP="00147C62">
      <w:pPr>
        <w:rPr>
          <w:color w:val="000000"/>
          <w:shd w:val="clear" w:color="auto" w:fill="FFFFFF"/>
        </w:rPr>
      </w:pPr>
      <w:r>
        <w:rPr>
          <w:color w:val="000000"/>
          <w:shd w:val="clear" w:color="auto" w:fill="FFFFFF"/>
        </w:rPr>
        <w:t>Isometric scaling (i.e. proportional</w:t>
      </w:r>
      <w:r w:rsidR="00336330">
        <w:rPr>
          <w:color w:val="000000"/>
          <w:shd w:val="clear" w:color="auto" w:fill="FFFFFF"/>
        </w:rPr>
        <w:t xml:space="preserve"> scali</w:t>
      </w:r>
      <w:r w:rsidR="00902BEE">
        <w:rPr>
          <w:color w:val="000000"/>
          <w:shd w:val="clear" w:color="auto" w:fill="FFFFFF"/>
        </w:rPr>
        <w:t>ng</w:t>
      </w:r>
      <w:r>
        <w:rPr>
          <w:color w:val="000000"/>
          <w:shd w:val="clear" w:color="auto" w:fill="FFFFFF"/>
        </w:rPr>
        <w:t xml:space="preserve">) </w:t>
      </w:r>
      <w:r w:rsidR="00EA7CC4">
        <w:rPr>
          <w:color w:val="000000"/>
          <w:shd w:val="clear" w:color="auto" w:fill="FFFFFF"/>
        </w:rPr>
        <w:t xml:space="preserve">is used for data relating to less metabolically active body tissues, such as </w:t>
      </w:r>
      <w:r w:rsidR="00A82D28">
        <w:rPr>
          <w:color w:val="000000"/>
          <w:shd w:val="clear" w:color="auto" w:fill="FFFFFF"/>
        </w:rPr>
        <w:t xml:space="preserve">minerals in bone and electrolytes (FAO 2024). It </w:t>
      </w:r>
      <w:r>
        <w:rPr>
          <w:color w:val="000000"/>
          <w:shd w:val="clear" w:color="auto" w:fill="FFFFFF"/>
        </w:rPr>
        <w:t>should be applied for nutrients that are:</w:t>
      </w:r>
    </w:p>
    <w:p w14:paraId="556AC62A" w14:textId="77777777" w:rsidR="00147C62" w:rsidRDefault="00147C62" w:rsidP="00211F4C">
      <w:pPr>
        <w:pStyle w:val="ListParagraph"/>
        <w:numPr>
          <w:ilvl w:val="0"/>
          <w:numId w:val="30"/>
        </w:numPr>
        <w:spacing w:before="0" w:after="160" w:line="259" w:lineRule="auto"/>
        <w:contextualSpacing/>
      </w:pPr>
      <w:r w:rsidRPr="00CD680E">
        <w:t xml:space="preserve">homogenously distributed within the body, or </w:t>
      </w:r>
    </w:p>
    <w:p w14:paraId="7C411B43" w14:textId="77777777" w:rsidR="00147C62" w:rsidRPr="00A35DD3" w:rsidRDefault="00147C62" w:rsidP="00211F4C">
      <w:pPr>
        <w:pStyle w:val="ListParagraph"/>
        <w:numPr>
          <w:ilvl w:val="0"/>
          <w:numId w:val="30"/>
        </w:numPr>
        <w:spacing w:before="0" w:after="160" w:line="259" w:lineRule="auto"/>
        <w:contextualSpacing/>
      </w:pPr>
      <w:r w:rsidRPr="00CD680E">
        <w:t>distributed in specific sites (e</w:t>
      </w:r>
      <w:r>
        <w:t>.</w:t>
      </w:r>
      <w:r w:rsidRPr="00CD680E">
        <w:t>g</w:t>
      </w:r>
      <w:r>
        <w:t>.</w:t>
      </w:r>
      <w:r w:rsidRPr="00CD680E">
        <w:t xml:space="preserve"> tissues or organs) </w:t>
      </w:r>
      <w:r>
        <w:t xml:space="preserve">where </w:t>
      </w:r>
      <w:r>
        <w:rPr>
          <w:shd w:val="clear" w:color="auto" w:fill="FFFFFF"/>
        </w:rPr>
        <w:t xml:space="preserve">the proportional relationship to body mass is maintained as body size changes </w:t>
      </w:r>
      <w:r>
        <w:rPr>
          <w:shd w:val="clear" w:color="auto" w:fill="FFFFFF"/>
        </w:rPr>
        <w:fldChar w:fldCharType="begin"/>
      </w:r>
      <w:r>
        <w:rPr>
          <w:shd w:val="clear" w:color="auto" w:fill="FFFFFF"/>
        </w:rPr>
        <w:instrText xml:space="preserve"> ADDIN EN.CITE &lt;EndNote&gt;&lt;Cite&gt;&lt;Author&gt;NASEM&lt;/Author&gt;&lt;Year&gt;2018&lt;/Year&gt;&lt;RecNum&gt;67&lt;/RecNum&gt;&lt;DisplayText&gt;(NASEM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Pr>
          <w:shd w:val="clear" w:color="auto" w:fill="FFFFFF"/>
        </w:rPr>
        <w:fldChar w:fldCharType="separate"/>
      </w:r>
      <w:r>
        <w:rPr>
          <w:noProof/>
          <w:shd w:val="clear" w:color="auto" w:fill="FFFFFF"/>
        </w:rPr>
        <w:t>(NASEM 2018)</w:t>
      </w:r>
      <w:r>
        <w:rPr>
          <w:shd w:val="clear" w:color="auto" w:fill="FFFFFF"/>
        </w:rPr>
        <w:fldChar w:fldCharType="end"/>
      </w:r>
      <w:r>
        <w:rPr>
          <w:shd w:val="clear" w:color="auto" w:fill="FFFFFF"/>
        </w:rPr>
        <w:t>.</w:t>
      </w:r>
    </w:p>
    <w:p w14:paraId="55C46A94" w14:textId="77777777" w:rsidR="00BE4ACA" w:rsidRPr="00BE4ACA" w:rsidRDefault="009C4022" w:rsidP="00BE4ACA">
      <w:r w:rsidRPr="00BE4ACA">
        <w:lastRenderedPageBreak/>
        <w:t xml:space="preserve">Depending on the method for scaling, corrections </w:t>
      </w:r>
      <w:r w:rsidR="009E400A" w:rsidRPr="00BE4ACA">
        <w:t xml:space="preserve">may be required to account </w:t>
      </w:r>
      <w:r w:rsidRPr="00BE4ACA">
        <w:t xml:space="preserve">for </w:t>
      </w:r>
      <w:r w:rsidR="006809D8" w:rsidRPr="00BE4ACA">
        <w:t xml:space="preserve">additional nutrient requirements to support </w:t>
      </w:r>
      <w:r w:rsidRPr="00BE4ACA">
        <w:t xml:space="preserve">growth </w:t>
      </w:r>
      <w:r w:rsidRPr="00BE4ACA">
        <w:fldChar w:fldCharType="begin"/>
      </w:r>
      <w:r w:rsidRPr="00BE4ACA">
        <w:instrText xml:space="preserve"> ADDIN EN.CITE &lt;EndNote&gt;&lt;Cite&gt;&lt;Author&gt;NASEM&lt;/Author&gt;&lt;Year&gt;2018&lt;/Year&gt;&lt;RecNum&gt;67&lt;/RecNum&gt;&lt;DisplayText&gt;(NASEM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sidRPr="00BE4ACA">
        <w:fldChar w:fldCharType="separate"/>
      </w:r>
      <w:r w:rsidRPr="00BE4ACA">
        <w:t>(NASEM 2018)</w:t>
      </w:r>
      <w:r w:rsidRPr="00BE4ACA">
        <w:fldChar w:fldCharType="end"/>
      </w:r>
      <w:r w:rsidRPr="00BE4ACA">
        <w:t xml:space="preserve"> – see </w:t>
      </w:r>
      <w:r w:rsidR="00100742" w:rsidRPr="00BE4ACA">
        <w:fldChar w:fldCharType="begin"/>
      </w:r>
      <w:r w:rsidR="00100742" w:rsidRPr="00BE4ACA">
        <w:instrText xml:space="preserve"> REF _Ref207789714 \r \h </w:instrText>
      </w:r>
      <w:r w:rsidR="00100742" w:rsidRPr="00BE4ACA">
        <w:fldChar w:fldCharType="separate"/>
      </w:r>
      <w:r w:rsidR="00100742" w:rsidRPr="00BE4ACA">
        <w:t xml:space="preserve">6.6.2  </w:t>
      </w:r>
      <w:r w:rsidR="00100742" w:rsidRPr="00BE4ACA">
        <w:fldChar w:fldCharType="end"/>
      </w:r>
      <w:r w:rsidR="00100742" w:rsidRPr="00BE4ACA">
        <w:fldChar w:fldCharType="begin"/>
      </w:r>
      <w:r w:rsidR="00100742" w:rsidRPr="00BE4ACA">
        <w:instrText xml:space="preserve"> REF _Ref207789714 \h </w:instrText>
      </w:r>
      <w:r w:rsidR="00100742" w:rsidRPr="00BE4ACA">
        <w:fldChar w:fldCharType="separate"/>
      </w:r>
      <w:r w:rsidR="00100742" w:rsidRPr="00BE4ACA">
        <w:t>Growth factors</w:t>
      </w:r>
      <w:r w:rsidR="00100742" w:rsidRPr="00BE4ACA">
        <w:fldChar w:fldCharType="end"/>
      </w:r>
      <w:r w:rsidR="00A42A24" w:rsidRPr="00BE4ACA">
        <w:t>.</w:t>
      </w:r>
    </w:p>
    <w:p w14:paraId="3CA11370" w14:textId="3FF5DA4C" w:rsidR="002B0236" w:rsidRDefault="0052791C" w:rsidP="00BE4ACA">
      <w:r w:rsidRPr="00BE4ACA">
        <w:t xml:space="preserve">Typically, isometric scaling is undertaken based on </w:t>
      </w:r>
      <w:r w:rsidR="00076597" w:rsidRPr="00BE4ACA">
        <w:t>body weight</w:t>
      </w:r>
      <w:r w:rsidRPr="00BE4ACA">
        <w:t xml:space="preserve"> </w:t>
      </w:r>
      <w:r w:rsidR="00156D6C" w:rsidRPr="00BE4ACA">
        <w:fldChar w:fldCharType="begin">
          <w:fldData xml:space="preserve">PEVuZE5vdGU+PENpdGU+PEF1dGhvcj5FRlNBIFBhbmVsIG9uIERpZXRldGljIFByb2R1Y3RzIE51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</w:fldData>
        </w:fldChar>
      </w:r>
      <w:r w:rsidR="00FD5765" w:rsidRPr="00BE4ACA">
        <w:instrText xml:space="preserve"> ADDIN EN.CITE </w:instrText>
      </w:r>
      <w:r w:rsidR="00FD5765" w:rsidRPr="00BE4ACA">
        <w:fldChar w:fldCharType="begin">
          <w:fldData xml:space="preserve">PEVuZE5vdGU+PENpdGU+PEF1dGhvcj5FRlNBIFBhbmVsIG9uIERpZXRldGljIFByb2R1Y3RzIE51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</w:fldData>
        </w:fldChar>
      </w:r>
      <w:r w:rsidR="00FD5765" w:rsidRPr="00BE4ACA">
        <w:instrText xml:space="preserve"> ADDIN EN.CITE.DATA </w:instrText>
      </w:r>
      <w:r w:rsidR="00FD5765" w:rsidRPr="00BE4ACA">
        <w:fldChar w:fldCharType="end"/>
      </w:r>
      <w:r w:rsidR="00156D6C" w:rsidRPr="00BE4ACA">
        <w:fldChar w:fldCharType="separate"/>
      </w:r>
      <w:r w:rsidR="00FD5765" w:rsidRPr="00BE4ACA">
        <w:t>(EFSA Panel on Dietetic Products Nutrition and Allergies 2010; FAO 2024; NASEM 2018)</w:t>
      </w:r>
      <w:r w:rsidR="00156D6C" w:rsidRPr="00BE4ACA">
        <w:fldChar w:fldCharType="end"/>
      </w:r>
      <w:r w:rsidR="00076597" w:rsidRPr="00BE4ACA">
        <w:t>,</w:t>
      </w:r>
      <w:r w:rsidR="00544176" w:rsidRPr="00BE4ACA">
        <w:t xml:space="preserve"> using the following equation</w:t>
      </w:r>
      <w:r w:rsidR="008C1D7C" w:rsidRPr="00BE4ACA">
        <w:t>:</w:t>
      </w:r>
    </w:p>
    <w:p w14:paraId="7814244E" w14:textId="6CC0FF24" w:rsidR="00BE4ACA" w:rsidRPr="00BE4ACA" w:rsidRDefault="00BE4ACA" w:rsidP="00BE4ACA">
      <w:pPr>
        <w:pStyle w:val="Yellowbox"/>
        <w:pBdr>
          <w:top w:val="single" w:sz="4" w:space="6" w:color="F9A54F"/>
          <w:left w:val="single" w:sz="4" w:space="6" w:color="F9A54F"/>
          <w:bottom w:val="single" w:sz="4" w:space="6" w:color="F9A54F"/>
          <w:right w:val="single" w:sz="4" w:space="6" w:color="F9A54F"/>
        </w:pBdr>
        <w:spacing w:before="120" w:after="120"/>
        <w:jc w:val="center"/>
        <w:rPr>
          <w:rFonts w:ascii="Cambria Math" w:hAnsi="Cambria Math"/>
        </w:rPr>
      </w:pPr>
      <w:r w:rsidRPr="00BE4ACA">
        <w:rPr>
          <w:rFonts w:ascii="Cambria Math" w:hAnsi="Cambria Math"/>
        </w:rPr>
        <w:t xml:space="preserve">[EAR or </w:t>
      </w:r>
      <w:proofErr w:type="gramStart"/>
      <w:r w:rsidRPr="00BE4ACA">
        <w:rPr>
          <w:rFonts w:ascii="Cambria Math" w:hAnsi="Cambria Math"/>
        </w:rPr>
        <w:t>AI]</w:t>
      </w:r>
      <w:r w:rsidRPr="00BE4ACA">
        <w:rPr>
          <w:rFonts w:ascii="Cambria Math" w:hAnsi="Cambria Math"/>
          <w:vertAlign w:val="subscript"/>
        </w:rPr>
        <w:t>target</w:t>
      </w:r>
      <w:proofErr w:type="gramEnd"/>
      <w:r w:rsidRPr="00BE4ACA">
        <w:rPr>
          <w:rFonts w:ascii="Cambria Math" w:hAnsi="Cambria Math"/>
          <w:vertAlign w:val="subscript"/>
        </w:rPr>
        <w:t xml:space="preserve"> group</w:t>
      </w:r>
      <w:r w:rsidRPr="00BE4ACA">
        <w:rPr>
          <w:rFonts w:ascii="Cambria Math" w:hAnsi="Cambria Math"/>
        </w:rPr>
        <w:t xml:space="preserve">= [EAR or </w:t>
      </w:r>
      <w:proofErr w:type="gramStart"/>
      <w:r w:rsidRPr="00BE4ACA">
        <w:rPr>
          <w:rFonts w:ascii="Cambria Math" w:hAnsi="Cambria Math"/>
        </w:rPr>
        <w:t>AI]</w:t>
      </w:r>
      <w:r w:rsidRPr="00BE4ACA">
        <w:rPr>
          <w:rFonts w:ascii="Cambria Math" w:hAnsi="Cambria Math"/>
          <w:vertAlign w:val="subscript"/>
        </w:rPr>
        <w:t>reference</w:t>
      </w:r>
      <w:proofErr w:type="gramEnd"/>
      <w:r w:rsidRPr="00BE4ACA">
        <w:rPr>
          <w:rFonts w:ascii="Cambria Math" w:hAnsi="Cambria Math"/>
          <w:vertAlign w:val="subscript"/>
        </w:rPr>
        <w:t xml:space="preserve"> group</w:t>
      </w:r>
      <w:r w:rsidRPr="00BE4ACA">
        <w:rPr>
          <w:rFonts w:ascii="Cambria Math" w:hAnsi="Cambria Math"/>
        </w:rPr>
        <w:t xml:space="preserve"> x (weight </w:t>
      </w:r>
      <w:r w:rsidRPr="00BE4ACA">
        <w:rPr>
          <w:rFonts w:ascii="Cambria Math" w:hAnsi="Cambria Math"/>
          <w:vertAlign w:val="subscript"/>
        </w:rPr>
        <w:t>target group</w:t>
      </w:r>
      <w:r w:rsidRPr="00BE4ACA">
        <w:rPr>
          <w:rFonts w:ascii="Cambria Math" w:hAnsi="Cambria Math"/>
        </w:rPr>
        <w:t xml:space="preserve">/weight </w:t>
      </w:r>
      <w:r w:rsidRPr="00BE4ACA">
        <w:rPr>
          <w:rFonts w:ascii="Cambria Math" w:hAnsi="Cambria Math"/>
          <w:vertAlign w:val="subscript"/>
        </w:rPr>
        <w:t>reference group</w:t>
      </w:r>
      <w:r w:rsidRPr="00BE4ACA">
        <w:rPr>
          <w:rFonts w:ascii="Cambria Math" w:hAnsi="Cambria Math"/>
        </w:rPr>
        <w:t>)</w:t>
      </w:r>
    </w:p>
    <w:p w14:paraId="5D132F63" w14:textId="1DE6065F" w:rsidR="00275929" w:rsidRDefault="00275929" w:rsidP="001F41C6">
      <w:r>
        <w:t xml:space="preserve">For example, if scaling </w:t>
      </w:r>
      <w:r w:rsidR="006631CE">
        <w:t xml:space="preserve">down </w:t>
      </w:r>
      <w:r>
        <w:t xml:space="preserve">from adults to younger children, the reference group would be ‘adults’ and the target group would be ‘younger children’. Similarly, if scaling </w:t>
      </w:r>
      <w:r w:rsidR="006631CE">
        <w:t xml:space="preserve">up </w:t>
      </w:r>
      <w:r>
        <w:t xml:space="preserve">from </w:t>
      </w:r>
      <w:r w:rsidR="006631CE">
        <w:t>younger infants to older infants, the reference group would be ‘you</w:t>
      </w:r>
      <w:r w:rsidR="00FA5DF5">
        <w:t xml:space="preserve">nger infants’ and the </w:t>
      </w:r>
      <w:r w:rsidR="006631CE">
        <w:t xml:space="preserve">target group would be </w:t>
      </w:r>
      <w:r w:rsidR="00FA5DF5">
        <w:t>‘</w:t>
      </w:r>
      <w:r w:rsidR="006631CE">
        <w:t xml:space="preserve">older </w:t>
      </w:r>
      <w:proofErr w:type="gramStart"/>
      <w:r w:rsidR="006631CE">
        <w:t>infants</w:t>
      </w:r>
      <w:r w:rsidR="00FA5DF5">
        <w:t>’</w:t>
      </w:r>
      <w:proofErr w:type="gramEnd"/>
      <w:r w:rsidR="00FA5DF5">
        <w:t>.</w:t>
      </w:r>
    </w:p>
    <w:p w14:paraId="748727F2" w14:textId="77777777" w:rsidR="0084190D" w:rsidRDefault="0084190D" w:rsidP="0084190D">
      <w:r>
        <w:t>Reference body weights specific to the Australian and New Zealand populations have been developed from ‘ideal’ body weight data from the 2022-2024 Australian Health Surveys and the equivalent in New Zealand (</w:t>
      </w:r>
      <w:r>
        <w:fldChar w:fldCharType="begin"/>
      </w:r>
      <w:r>
        <w:instrText xml:space="preserve"> REF _Ref194584777 \r \h </w:instrText>
      </w:r>
      <w:r>
        <w:fldChar w:fldCharType="separate"/>
      </w:r>
      <w:r>
        <w:t>Appendix C</w:t>
      </w:r>
      <w:r>
        <w:fldChar w:fldCharType="end"/>
      </w:r>
      <w:r>
        <w:t xml:space="preserve">). </w:t>
      </w:r>
    </w:p>
    <w:p w14:paraId="36FB36A8" w14:textId="4073B6C4" w:rsidR="006370A4" w:rsidRDefault="00F4035D" w:rsidP="00400B34">
      <w:r>
        <w:t xml:space="preserve">Note that this formula </w:t>
      </w:r>
      <w:r w:rsidR="005324D9">
        <w:t>assum</w:t>
      </w:r>
      <w:r w:rsidR="00FA5DF5">
        <w:t>es</w:t>
      </w:r>
      <w:r w:rsidR="005324D9">
        <w:t xml:space="preserve"> a linear relationship between the requirements for </w:t>
      </w:r>
      <w:r w:rsidR="00FA5DF5">
        <w:t xml:space="preserve">the reference and target populations, </w:t>
      </w:r>
      <w:r w:rsidR="005324D9">
        <w:t xml:space="preserve">proportionate to body weight. </w:t>
      </w:r>
      <w:r>
        <w:t xml:space="preserve">For </w:t>
      </w:r>
      <w:r w:rsidR="00713570">
        <w:t xml:space="preserve">some </w:t>
      </w:r>
      <w:r>
        <w:t>nutrients</w:t>
      </w:r>
      <w:r w:rsidR="00713570">
        <w:t xml:space="preserve"> involved in growth and development, </w:t>
      </w:r>
      <w:r w:rsidR="00300AAE">
        <w:t>th</w:t>
      </w:r>
      <w:r w:rsidR="00C60320">
        <w:t>is</w:t>
      </w:r>
      <w:r w:rsidR="00300AAE">
        <w:t xml:space="preserve"> formula may require </w:t>
      </w:r>
      <w:r w:rsidR="00C60320">
        <w:t xml:space="preserve">adjustment to </w:t>
      </w:r>
      <w:r w:rsidR="00DA191D">
        <w:t xml:space="preserve">account for growth - </w:t>
      </w:r>
      <w:r w:rsidR="00A91206">
        <w:t xml:space="preserve">see </w:t>
      </w:r>
      <w:r w:rsidR="00100742">
        <w:fldChar w:fldCharType="begin"/>
      </w:r>
      <w:r w:rsidR="00100742">
        <w:instrText xml:space="preserve"> REF _Ref207789714 \r \h </w:instrText>
      </w:r>
      <w:r w:rsidR="00100742">
        <w:fldChar w:fldCharType="separate"/>
      </w:r>
      <w:r w:rsidR="00100742">
        <w:t xml:space="preserve">6.6.2  </w:t>
      </w:r>
      <w:r w:rsidR="00100742">
        <w:fldChar w:fldCharType="end"/>
      </w:r>
      <w:r w:rsidR="00100742">
        <w:fldChar w:fldCharType="begin"/>
      </w:r>
      <w:r w:rsidR="00100742">
        <w:instrText xml:space="preserve"> REF _Ref207789714 \h </w:instrText>
      </w:r>
      <w:r w:rsidR="00100742">
        <w:fldChar w:fldCharType="separate"/>
      </w:r>
      <w:r w:rsidR="00100742">
        <w:t>Growth factors</w:t>
      </w:r>
      <w:r w:rsidR="00100742">
        <w:fldChar w:fldCharType="end"/>
      </w:r>
      <w:r w:rsidR="00C261D0">
        <w:t>.</w:t>
      </w:r>
    </w:p>
    <w:p w14:paraId="538C9276" w14:textId="4B2D67D3" w:rsidR="00147C62" w:rsidRDefault="00CF4682" w:rsidP="00400B34">
      <w:r>
        <w:t>In contrast to the body</w:t>
      </w:r>
      <w:r w:rsidR="00582966">
        <w:t xml:space="preserve"> </w:t>
      </w:r>
      <w:r>
        <w:t xml:space="preserve">weight approach adopted by other international bodies </w:t>
      </w:r>
      <w:r w:rsidR="00156D6C">
        <w:fldChar w:fldCharType="begin"/>
      </w:r>
      <w:r w:rsidR="00FD5765">
        <w:instrText xml:space="preserve"> ADDIN EN.CITE &lt;EndNote&gt;&lt;Cite&gt;&lt;Author&gt;EFSA Panel on Dietetic Products Nutrition and Allergies&lt;/Author&gt;&lt;Year&gt;2010&lt;/Year&gt;&lt;RecNum&gt;80&lt;/RecNum&gt;&lt;DisplayText&gt;(EFSA Panel on Dietetic Products Nutrition and Allergies 2010; NASEM 2018)&lt;/DisplayText&gt;&lt;record&gt;&lt;rec-number&gt;80&lt;/rec-number&gt;&lt;foreign-keys&gt;&lt;key app="EN" db-id="zxfaevvrgpsxebez5ec5vspfe2av5dtxt9xx" timestamp="1754957765"&gt;80&lt;/key&gt;&lt;/foreign-keys&gt;&lt;ref-type name="Journal Article"&gt;17&lt;/ref-type&gt;&lt;contributors&gt;&lt;authors&gt;&lt;author&gt;EFSA Panel on Dietetic Products Nutrition and Allergies,&lt;/author&gt;&lt;/authors&gt;&lt;/contributors&gt;&lt;titles&gt;&lt;title&gt;Scientific Opinion on principles for deriving and applying Dietary Reference Values&lt;/title&gt;&lt;secondary-title&gt;EFSA Journal&lt;/secondary-title&gt;&lt;/titles&gt;&lt;periodical&gt;&lt;full-title&gt;EFSA Journal&lt;/full-title&gt;&lt;/periodical&gt;&lt;pages&gt;1458&lt;/pages&gt;&lt;volume&gt;8&lt;/volume&gt;&lt;number&gt;3&lt;/number&gt;&lt;dates&gt;&lt;year&gt;2010&lt;/year&gt;&lt;/dates&gt;&lt;isbn&gt;1831-4732&lt;/isbn&gt;&lt;urls&gt;&lt;related-urls&gt;&lt;url&gt;https://efsa.onlinelibrary.wiley.com/doi/abs/10.2903/j.efsa.2010.1458&lt;/url&gt;&lt;/related-urls&gt;&lt;/urls&gt;&lt;electronic-resource-num&gt;10.2903/j.efsa.2010.1458&lt;/electronic-resource-num&gt;&lt;/record&gt;&lt;/Cite&gt;&lt;Cite&gt;&lt;Author&gt;NASEM&lt;/Author&gt;&lt;Year&gt;2018&lt;/Year&gt;&lt;RecNum&gt;67&lt;/RecNum&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sidR="00156D6C">
        <w:fldChar w:fldCharType="separate"/>
      </w:r>
      <w:r w:rsidR="00FD5765">
        <w:rPr>
          <w:noProof/>
        </w:rPr>
        <w:t>(EFSA Panel on Dietetic Products Nutrition and Allergies 2010; NASEM 2018)</w:t>
      </w:r>
      <w:r w:rsidR="00156D6C">
        <w:fldChar w:fldCharType="end"/>
      </w:r>
      <w:r>
        <w:t xml:space="preserve">, the EURECCA framework adopted </w:t>
      </w:r>
      <w:r w:rsidR="0013406B">
        <w:t xml:space="preserve">an isometric scaling </w:t>
      </w:r>
      <w:r w:rsidR="00147C62" w:rsidRPr="00BC0CA4">
        <w:t>method based on BSA</w:t>
      </w:r>
      <w:r w:rsidR="00147C62">
        <w:t xml:space="preserve"> (body surface area</w:t>
      </w:r>
      <w:r w:rsidR="00147C62" w:rsidRPr="00802888">
        <w:t>)</w:t>
      </w:r>
      <w:r w:rsidR="008B551D">
        <w:t xml:space="preserve"> using the formula:</w:t>
      </w:r>
    </w:p>
    <w:p w14:paraId="0729E6C6" w14:textId="77EDB9EB" w:rsidR="00167782" w:rsidRPr="00BC0CA4" w:rsidRDefault="00BF677F" w:rsidP="00BE4ACA">
      <w:pPr>
        <w:pStyle w:val="Yellowbox"/>
        <w:pBdr>
          <w:top w:val="single" w:sz="4" w:space="6" w:color="F9A54F"/>
          <w:left w:val="single" w:sz="4" w:space="6" w:color="F9A54F"/>
          <w:bottom w:val="single" w:sz="4" w:space="6" w:color="F9A54F"/>
          <w:right w:val="single" w:sz="4" w:space="6" w:color="F9A54F"/>
        </w:pBdr>
        <w:spacing w:before="120" w:after="120"/>
      </w:pPr>
      <m:oMathPara>
        <m:oMath>
          <m:sSub>
            <m:sSubPr>
              <m:ctrlPr>
                <w:rPr>
                  <w:rFonts w:ascii="Cambria Math" w:hAnsi="Cambria Math"/>
                </w:rPr>
              </m:ctrlPr>
            </m:sSubPr>
            <m:e>
              <m:r>
                <w:rPr>
                  <w:rFonts w:ascii="Cambria Math" w:hAnsi="Cambria Math"/>
                </w:rPr>
                <m:t>EAR</m:t>
              </m:r>
            </m:e>
            <m:sub>
              <m:r>
                <w:rPr>
                  <w:rFonts w:ascii="Cambria Math" w:hAnsi="Cambria Math"/>
                </w:rPr>
                <m:t>c</m:t>
              </m:r>
              <m:r>
                <w:rPr>
                  <w:rFonts w:ascii="Cambria Math" w:hAnsi="Cambria Math"/>
                </w:rPr>
                <m:t>h</m:t>
              </m:r>
              <m:r>
                <w:rPr>
                  <w:rFonts w:ascii="Cambria Math" w:hAnsi="Cambria Math"/>
                </w:rPr>
                <m:t>ild</m:t>
              </m:r>
            </m:sub>
          </m:sSub>
          <m:r>
            <w:rPr>
              <w:rFonts w:ascii="Cambria Math" w:hAnsi="Cambria Math"/>
            </w:rPr>
            <m:t>=</m:t>
          </m:r>
          <m:sSub>
            <m:sSubPr>
              <m:ctrlPr>
                <w:rPr>
                  <w:rFonts w:ascii="Cambria Math" w:hAnsi="Cambria Math"/>
                </w:rPr>
              </m:ctrlPr>
            </m:sSubPr>
            <m:e>
              <m:r>
                <w:rPr>
                  <w:rFonts w:ascii="Cambria Math" w:hAnsi="Cambria Math"/>
                </w:rPr>
                <m:t>EAR</m:t>
              </m:r>
            </m:e>
            <m:sub>
              <m:r>
                <w:rPr>
                  <w:rFonts w:ascii="Cambria Math" w:hAnsi="Cambria Math"/>
                </w:rPr>
                <m:t>adult</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BSA</m:t>
                  </m:r>
                </m:e>
                <m:sub>
                  <m:r>
                    <w:rPr>
                      <w:rFonts w:ascii="Cambria Math" w:hAnsi="Cambria Math"/>
                    </w:rPr>
                    <m:t>c</m:t>
                  </m:r>
                  <m:r>
                    <w:rPr>
                      <w:rFonts w:ascii="Cambria Math" w:hAnsi="Cambria Math"/>
                    </w:rPr>
                    <m:t>h</m:t>
                  </m:r>
                  <m:r>
                    <w:rPr>
                      <w:rFonts w:ascii="Cambria Math" w:hAnsi="Cambria Math"/>
                    </w:rPr>
                    <m:t>ild</m:t>
                  </m:r>
                </m:sub>
              </m:sSub>
            </m:num>
            <m:den>
              <m:sSub>
                <m:sSubPr>
                  <m:ctrlPr>
                    <w:rPr>
                      <w:rFonts w:ascii="Cambria Math" w:hAnsi="Cambria Math"/>
                    </w:rPr>
                  </m:ctrlPr>
                </m:sSubPr>
                <m:e>
                  <m:r>
                    <w:rPr>
                      <w:rFonts w:ascii="Cambria Math" w:hAnsi="Cambria Math"/>
                    </w:rPr>
                    <m:t>BSA</m:t>
                  </m:r>
                </m:e>
                <m:sub>
                  <m:r>
                    <w:rPr>
                      <w:rFonts w:ascii="Cambria Math" w:hAnsi="Cambria Math"/>
                    </w:rPr>
                    <m:t>adult</m:t>
                  </m:r>
                </m:sub>
              </m:sSub>
            </m:den>
          </m:f>
          <m:r>
            <w:rPr>
              <w:rFonts w:ascii="Cambria Math" w:hAnsi="Cambria Math"/>
            </w:rPr>
            <m:t>=</m:t>
          </m:r>
          <m:sSub>
            <m:sSubPr>
              <m:ctrlPr>
                <w:rPr>
                  <w:rFonts w:ascii="Cambria Math" w:hAnsi="Cambria Math"/>
                </w:rPr>
              </m:ctrlPr>
            </m:sSubPr>
            <m:e>
              <m:r>
                <w:rPr>
                  <w:rFonts w:ascii="Cambria Math" w:hAnsi="Cambria Math"/>
                </w:rPr>
                <m:t>EAR</m:t>
              </m:r>
            </m:e>
            <m:sub>
              <m:r>
                <w:rPr>
                  <w:rFonts w:ascii="Cambria Math" w:hAnsi="Cambria Math"/>
                </w:rPr>
                <m:t>Adult</m:t>
              </m:r>
            </m:sub>
          </m:sSub>
          <m:r>
            <w:rPr>
              <w:rFonts w:ascii="Cambria Math" w:hAnsi="Cambria Math"/>
            </w:rPr>
            <m:t>*</m:t>
          </m:r>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w:rPr>
                          <w:rFonts w:ascii="Cambria Math" w:hAnsi="Cambria Math"/>
                        </w:rPr>
                        <m:t>Weig</m:t>
                      </m:r>
                      <m:r>
                        <w:rPr>
                          <w:rFonts w:ascii="Cambria Math" w:hAnsi="Cambria Math"/>
                        </w:rPr>
                        <m:t>h</m:t>
                      </m:r>
                      <m:r>
                        <w:rPr>
                          <w:rFonts w:ascii="Cambria Math" w:hAnsi="Cambria Math"/>
                        </w:rPr>
                        <m:t>t</m:t>
                      </m:r>
                    </m:e>
                    <m:sub>
                      <m:r>
                        <w:rPr>
                          <w:rFonts w:ascii="Cambria Math" w:hAnsi="Cambria Math"/>
                        </w:rPr>
                        <m:t>c</m:t>
                      </m:r>
                      <m:r>
                        <w:rPr>
                          <w:rFonts w:ascii="Cambria Math" w:hAnsi="Cambria Math"/>
                        </w:rPr>
                        <m:t>h</m:t>
                      </m:r>
                      <m:r>
                        <w:rPr>
                          <w:rFonts w:ascii="Cambria Math" w:hAnsi="Cambria Math"/>
                        </w:rPr>
                        <m:t>ild</m:t>
                      </m:r>
                    </m:sub>
                  </m:sSub>
                  <m:r>
                    <w:rPr>
                      <w:rFonts w:ascii="Cambria Math" w:hAnsi="Cambria Math"/>
                    </w:rPr>
                    <m:t>*</m:t>
                  </m:r>
                  <m:sSub>
                    <m:sSubPr>
                      <m:ctrlPr>
                        <w:rPr>
                          <w:rFonts w:ascii="Cambria Math" w:hAnsi="Cambria Math"/>
                        </w:rPr>
                      </m:ctrlPr>
                    </m:sSubPr>
                    <m:e>
                      <m:r>
                        <w:rPr>
                          <w:rFonts w:ascii="Cambria Math" w:hAnsi="Cambria Math"/>
                        </w:rPr>
                        <m:t>Heig</m:t>
                      </m:r>
                      <m:r>
                        <w:rPr>
                          <w:rFonts w:ascii="Cambria Math" w:hAnsi="Cambria Math"/>
                        </w:rPr>
                        <m:t>h</m:t>
                      </m:r>
                      <m:r>
                        <w:rPr>
                          <w:rFonts w:ascii="Cambria Math" w:hAnsi="Cambria Math"/>
                        </w:rPr>
                        <m:t>t</m:t>
                      </m:r>
                    </m:e>
                    <m:sub>
                      <m:r>
                        <w:rPr>
                          <w:rFonts w:ascii="Cambria Math" w:hAnsi="Cambria Math"/>
                        </w:rPr>
                        <m:t>c</m:t>
                      </m:r>
                      <m:r>
                        <w:rPr>
                          <w:rFonts w:ascii="Cambria Math" w:hAnsi="Cambria Math"/>
                        </w:rPr>
                        <m:t>h</m:t>
                      </m:r>
                      <m:r>
                        <w:rPr>
                          <w:rFonts w:ascii="Cambria Math" w:hAnsi="Cambria Math"/>
                        </w:rPr>
                        <m:t>ild</m:t>
                      </m:r>
                    </m:sub>
                  </m:sSub>
                </m:num>
                <m:den>
                  <m:sSub>
                    <m:sSubPr>
                      <m:ctrlPr>
                        <w:rPr>
                          <w:rFonts w:ascii="Cambria Math" w:hAnsi="Cambria Math"/>
                        </w:rPr>
                      </m:ctrlPr>
                    </m:sSubPr>
                    <m:e>
                      <m:r>
                        <w:rPr>
                          <w:rFonts w:ascii="Cambria Math" w:hAnsi="Cambria Math"/>
                        </w:rPr>
                        <m:t>Weig</m:t>
                      </m:r>
                      <m:r>
                        <w:rPr>
                          <w:rFonts w:ascii="Cambria Math" w:hAnsi="Cambria Math"/>
                        </w:rPr>
                        <m:t>h</m:t>
                      </m:r>
                      <m:r>
                        <w:rPr>
                          <w:rFonts w:ascii="Cambria Math" w:hAnsi="Cambria Math"/>
                        </w:rPr>
                        <m:t>t</m:t>
                      </m:r>
                    </m:e>
                    <m:sub>
                      <m:r>
                        <w:rPr>
                          <w:rFonts w:ascii="Cambria Math" w:hAnsi="Cambria Math"/>
                        </w:rPr>
                        <m:t>adult</m:t>
                      </m:r>
                    </m:sub>
                  </m:sSub>
                  <m:r>
                    <w:rPr>
                      <w:rFonts w:ascii="Cambria Math" w:hAnsi="Cambria Math"/>
                    </w:rPr>
                    <m:t>*</m:t>
                  </m:r>
                  <m:sSub>
                    <m:sSubPr>
                      <m:ctrlPr>
                        <w:rPr>
                          <w:rFonts w:ascii="Cambria Math" w:hAnsi="Cambria Math"/>
                        </w:rPr>
                      </m:ctrlPr>
                    </m:sSubPr>
                    <m:e>
                      <m:r>
                        <w:rPr>
                          <w:rFonts w:ascii="Cambria Math" w:hAnsi="Cambria Math"/>
                        </w:rPr>
                        <m:t>Heig</m:t>
                      </m:r>
                      <m:r>
                        <w:rPr>
                          <w:rFonts w:ascii="Cambria Math" w:hAnsi="Cambria Math"/>
                        </w:rPr>
                        <m:t>h</m:t>
                      </m:r>
                      <m:r>
                        <w:rPr>
                          <w:rFonts w:ascii="Cambria Math" w:hAnsi="Cambria Math"/>
                        </w:rPr>
                        <m:t>t</m:t>
                      </m:r>
                    </m:e>
                    <m:sub>
                      <m:r>
                        <w:rPr>
                          <w:rFonts w:ascii="Cambria Math" w:hAnsi="Cambria Math"/>
                        </w:rPr>
                        <m:t>adult</m:t>
                      </m:r>
                    </m:sub>
                  </m:sSub>
                </m:den>
              </m:f>
            </m:e>
          </m:rad>
        </m:oMath>
      </m:oMathPara>
    </w:p>
    <w:p w14:paraId="07506B2F" w14:textId="5D04888B" w:rsidR="004A3999" w:rsidRDefault="004A3999" w:rsidP="004878F9">
      <w:pPr>
        <w:spacing w:line="240" w:lineRule="auto"/>
      </w:pPr>
      <w:r>
        <w:t>In practice this method is used infrequently</w:t>
      </w:r>
      <w:r w:rsidR="0085683F">
        <w:t xml:space="preserve"> in nutrition</w:t>
      </w:r>
      <w:r>
        <w:t xml:space="preserve">, as there are also concerns about the reliability of BSA estimates particularly for children </w:t>
      </w:r>
      <w:r>
        <w:fldChar w:fldCharType="begin"/>
      </w:r>
      <w:r>
        <w:instrText xml:space="preserve"> ADDIN EN.CITE &lt;EndNote&gt;&lt;Cite&gt;&lt;Author&gt;Redlarski&lt;/Author&gt;&lt;Year&gt;2016&lt;/Year&gt;&lt;RecNum&gt;122&lt;/RecNum&gt;&lt;DisplayText&gt;(Redlarski et al. 2016)&lt;/DisplayText&gt;&lt;record&gt;&lt;rec-number&gt;122&lt;/rec-number&gt;&lt;foreign-keys&gt;&lt;key app="EN" db-id="zxfaevvrgpsxebez5ec5vspfe2av5dtxt9xx" timestamp="1756704583"&gt;122&lt;/key&gt;&lt;/foreign-keys&gt;&lt;ref-type name="Journal Article"&gt;17&lt;/ref-type&gt;&lt;contributors&gt;&lt;authors&gt;&lt;author&gt;Redlarski, Grzegorz&lt;/author&gt;&lt;author&gt;Palkowski, Aleksander&lt;/author&gt;&lt;author&gt;Krawczuk, Marek&lt;/author&gt;&lt;/authors&gt;&lt;/contributors&gt;&lt;titles&gt;&lt;title&gt;Body surface area formulae: an alarming ambiguity&lt;/title&gt;&lt;secondary-title&gt;Scientific reports&lt;/secondary-title&gt;&lt;/titles&gt;&lt;periodical&gt;&lt;full-title&gt;Scientific reports&lt;/full-title&gt;&lt;/periodical&gt;&lt;pages&gt;27966&lt;/pages&gt;&lt;volume&gt;6&lt;/volume&gt;&lt;number&gt;1&lt;/number&gt;&lt;dates&gt;&lt;year&gt;2016&lt;/year&gt;&lt;/dates&gt;&lt;isbn&gt;2045-2322&lt;/isbn&gt;&lt;urls&gt;&lt;/urls&gt;&lt;electronic-resource-num&gt;10.1038/srep27966&lt;/electronic-resource-num&gt;&lt;/record&gt;&lt;/Cite&gt;&lt;/EndNote&gt;</w:instrText>
      </w:r>
      <w:r>
        <w:fldChar w:fldCharType="separate"/>
      </w:r>
      <w:r>
        <w:t>(Redlarski et al. 2016)</w:t>
      </w:r>
      <w:r>
        <w:fldChar w:fldCharType="end"/>
      </w:r>
      <w:r w:rsidR="003D55F1">
        <w:t>.</w:t>
      </w:r>
      <w:r w:rsidR="00DA608D">
        <w:t xml:space="preserve"> </w:t>
      </w:r>
    </w:p>
    <w:p w14:paraId="6D86F57F" w14:textId="331A1D0D" w:rsidR="00167782" w:rsidRDefault="00904544" w:rsidP="00167782">
      <w:r>
        <w:t xml:space="preserve">Occasionally, </w:t>
      </w:r>
      <w:r w:rsidR="00AA1EAC">
        <w:t xml:space="preserve">isometric scaling </w:t>
      </w:r>
      <w:r w:rsidR="002475DC">
        <w:t xml:space="preserve">based on </w:t>
      </w:r>
      <w:r w:rsidR="00A76F60">
        <w:t xml:space="preserve">energy </w:t>
      </w:r>
      <w:r w:rsidR="002475DC">
        <w:t xml:space="preserve">requirements may be used </w:t>
      </w:r>
      <w:r w:rsidR="00597D27">
        <w:t>(e</w:t>
      </w:r>
      <w:r w:rsidR="001423E8">
        <w:t>.</w:t>
      </w:r>
      <w:r w:rsidR="00597D27">
        <w:t>g. sodium)</w:t>
      </w:r>
      <w:r w:rsidR="002475DC">
        <w:t>. However,</w:t>
      </w:r>
      <w:r w:rsidR="00A76F60">
        <w:t xml:space="preserve"> the difference bet</w:t>
      </w:r>
      <w:r w:rsidR="00597D27">
        <w:t>we</w:t>
      </w:r>
      <w:r w:rsidR="00A76F60">
        <w:t xml:space="preserve">en BSA and energy intake-based equations </w:t>
      </w:r>
      <w:r w:rsidR="00057FCA">
        <w:t xml:space="preserve">are expected to be </w:t>
      </w:r>
      <w:r w:rsidR="00167782">
        <w:t>marginal as there are no reliable estimates of activity factors in each age group.</w:t>
      </w:r>
      <w:r w:rsidR="005135D6">
        <w:t xml:space="preserve"> </w:t>
      </w:r>
    </w:p>
    <w:p w14:paraId="63387EE4" w14:textId="382D2CFE" w:rsidR="00904544" w:rsidRDefault="00420093" w:rsidP="00167782">
      <w:r>
        <w:t xml:space="preserve">Isometric scaling has also been used to </w:t>
      </w:r>
      <w:r w:rsidR="00123163">
        <w:t xml:space="preserve">estimate requirements for </w:t>
      </w:r>
      <w:r w:rsidR="004A11EE">
        <w:t xml:space="preserve">nutrients in parallel, where nutrients have a shared function and robust data for </w:t>
      </w:r>
      <w:r w:rsidR="00123163">
        <w:t xml:space="preserve">one nutrient </w:t>
      </w:r>
      <w:r w:rsidR="004A11EE">
        <w:t>may be lacking</w:t>
      </w:r>
      <w:r w:rsidR="00E767D1">
        <w:t xml:space="preserve">. For example, </w:t>
      </w:r>
      <w:r w:rsidR="004A11EE">
        <w:t xml:space="preserve">EFSA </w:t>
      </w:r>
      <w:r w:rsidR="00A12FEB">
        <w:t xml:space="preserve">used </w:t>
      </w:r>
      <w:r w:rsidR="004A11EE">
        <w:t>the calcium-to-phosphorus ratio to estimate phosphorus requirements based on calcium NRVs</w:t>
      </w:r>
      <w:r w:rsidR="007A45A9">
        <w:t xml:space="preserve"> </w:t>
      </w:r>
      <w:r w:rsidR="007A45A9">
        <w:fldChar w:fldCharType="begin"/>
      </w:r>
      <w:r w:rsidR="00FD5765">
        <w:instrText xml:space="preserve"> ADDIN EN.CITE &lt;EndNote&gt;&lt;Cite&gt;&lt;Author&gt;EFSA Panel on Dietetic Products Nutrition and Allergies&lt;/Author&gt;&lt;Year&gt;2015&lt;/Year&gt;&lt;RecNum&gt;126&lt;/RecNum&gt;&lt;DisplayText&gt;(EFSA Panel on Dietetic Products Nutrition and Allergies 2015)&lt;/DisplayText&gt;&lt;record&gt;&lt;rec-number&gt;126&lt;/rec-number&gt;&lt;foreign-keys&gt;&lt;key app="EN" db-id="zxfaevvrgpsxebez5ec5vspfe2av5dtxt9xx" timestamp="1756961594"&gt;126&lt;/key&gt;&lt;/foreign-keys&gt;&lt;ref-type name="Journal Article"&gt;17&lt;/ref-type&gt;&lt;contributors&gt;&lt;authors&gt;&lt;author&gt;EFSA Panel on Dietetic Products Nutrition and Allergies,&lt;/author&gt;&lt;/authors&gt;&lt;/contributors&gt;&lt;titles&gt;&lt;title&gt;Scientific opinion on dietary reference values for phosphorus&lt;/title&gt;&lt;secondary-title&gt;EFSA Journal&lt;/secondary-title&gt;&lt;/titles&gt;&lt;periodical&gt;&lt;full-title&gt;EFSA Journal&lt;/full-title&gt;&lt;/periodical&gt;&lt;pages&gt;4185&lt;/pages&gt;&lt;volume&gt;13&lt;/volume&gt;&lt;number&gt;7&lt;/number&gt;&lt;dates&gt;&lt;year&gt;2015&lt;/year&gt;&lt;/dates&gt;&lt;isbn&gt;1831-4732&lt;/isbn&gt;&lt;urls&gt;&lt;/urls&gt;&lt;electronic-resource-num&gt;10.2903/j.efsa.2015.4185&lt;/electronic-resource-num&gt;&lt;/record&gt;&lt;/Cite&gt;&lt;/EndNote&gt;</w:instrText>
      </w:r>
      <w:r w:rsidR="007A45A9">
        <w:fldChar w:fldCharType="separate"/>
      </w:r>
      <w:r w:rsidR="00FD5765">
        <w:rPr>
          <w:noProof/>
        </w:rPr>
        <w:t>(EFSA Panel on Dietetic Products Nutrition and Allergies 2015)</w:t>
      </w:r>
      <w:r w:rsidR="007A45A9">
        <w:fldChar w:fldCharType="end"/>
      </w:r>
      <w:r w:rsidR="004A11EE">
        <w:t xml:space="preserve">. However, this approach is uncommon. </w:t>
      </w:r>
    </w:p>
    <w:p w14:paraId="60FE7BE7" w14:textId="48D4A0C2" w:rsidR="003944C9" w:rsidRDefault="003944C9" w:rsidP="003E2E95">
      <w:pPr>
        <w:pStyle w:val="Heading50"/>
      </w:pPr>
      <w:bookmarkStart w:id="212" w:name="_Toc207801100"/>
      <w:bookmarkEnd w:id="212"/>
      <w:r>
        <w:tab/>
      </w:r>
      <w:r>
        <w:tab/>
      </w:r>
      <w:r>
        <w:tab/>
      </w:r>
      <w:bookmarkStart w:id="213" w:name="_Toc207801101"/>
      <w:r w:rsidR="002E6EF5">
        <w:tab/>
      </w:r>
      <w:r w:rsidR="002E6EF5">
        <w:tab/>
      </w:r>
      <w:bookmarkStart w:id="214" w:name="_Toc207824573"/>
      <w:r>
        <w:t xml:space="preserve">Allometric </w:t>
      </w:r>
      <w:r w:rsidR="00E2373B">
        <w:t>s</w:t>
      </w:r>
      <w:r>
        <w:t>caling</w:t>
      </w:r>
      <w:bookmarkEnd w:id="213"/>
      <w:bookmarkEnd w:id="214"/>
    </w:p>
    <w:p w14:paraId="1DE429C2" w14:textId="5B6A0B6D" w:rsidR="003944C9" w:rsidRPr="00685714" w:rsidRDefault="003944C9" w:rsidP="003944C9">
      <w:pPr>
        <w:rPr>
          <w:color w:val="000000"/>
          <w:shd w:val="clear" w:color="auto" w:fill="FFFFFF"/>
        </w:rPr>
      </w:pPr>
      <w:r w:rsidRPr="00685714">
        <w:rPr>
          <w:color w:val="000000"/>
          <w:shd w:val="clear" w:color="auto" w:fill="FFFFFF"/>
        </w:rPr>
        <w:t xml:space="preserve">Allometric scaling should be undertaken when the relationship to body mass is not maintained as body size changes. In this case, body weight should be adjusted to derive a metabolic body weight that accounts for metabolic </w:t>
      </w:r>
      <w:r w:rsidR="002B75BA">
        <w:rPr>
          <w:color w:val="000000"/>
          <w:shd w:val="clear" w:color="auto" w:fill="FFFFFF"/>
        </w:rPr>
        <w:t xml:space="preserve">or surface area </w:t>
      </w:r>
      <w:r w:rsidRPr="00685714">
        <w:rPr>
          <w:color w:val="000000"/>
          <w:shd w:val="clear" w:color="auto" w:fill="FFFFFF"/>
        </w:rPr>
        <w:t xml:space="preserve">differences between age groups. </w:t>
      </w:r>
    </w:p>
    <w:p w14:paraId="5522ACF9" w14:textId="2AD860B2" w:rsidR="003944C9" w:rsidRDefault="003944C9" w:rsidP="003944C9">
      <w:r>
        <w:t>Metabolic weight has been defined as 0.75 power of body mass (weight) to adjust for metabolic differences between age groups.</w:t>
      </w:r>
      <w:r w:rsidRPr="00933E21">
        <w:t xml:space="preserve"> The 0.75 </w:t>
      </w:r>
      <w:r>
        <w:t>power</w:t>
      </w:r>
      <w:r w:rsidRPr="00933E21">
        <w:t xml:space="preserve"> is </w:t>
      </w:r>
      <w:r>
        <w:t xml:space="preserve">used to account </w:t>
      </w:r>
      <w:r w:rsidRPr="00933E21">
        <w:t xml:space="preserve">for metabolically active tissue, </w:t>
      </w:r>
      <w:r>
        <w:t xml:space="preserve">which is proportionally </w:t>
      </w:r>
      <w:r w:rsidRPr="00933E21">
        <w:t>higher in infants (and</w:t>
      </w:r>
      <w:r>
        <w:t xml:space="preserve"> possibly</w:t>
      </w:r>
      <w:r w:rsidRPr="00933E21">
        <w:t xml:space="preserve"> </w:t>
      </w:r>
      <w:r>
        <w:t xml:space="preserve">during high growth periods </w:t>
      </w:r>
      <w:r w:rsidRPr="00933E21">
        <w:t xml:space="preserve">around puberty) </w:t>
      </w:r>
      <w:r w:rsidRPr="00933E21">
        <w:lastRenderedPageBreak/>
        <w:t>than in adults</w:t>
      </w:r>
      <w:r>
        <w:t xml:space="preserve"> </w:t>
      </w:r>
      <w:r w:rsidRPr="002F49B1">
        <w:fldChar w:fldCharType="begin"/>
      </w:r>
      <w:r>
        <w:instrText xml:space="preserve"> ADDIN EN.CITE &lt;EndNote&gt;&lt;Cite&gt;&lt;Author&gt;NASEM&lt;/Author&gt;&lt;Year&gt;2018&lt;/Year&gt;&lt;RecNum&gt;67&lt;/RecNum&gt;&lt;DisplayText&gt;(NASEM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sidRPr="002F49B1">
        <w:fldChar w:fldCharType="separate"/>
      </w:r>
      <w:r>
        <w:rPr>
          <w:noProof/>
        </w:rPr>
        <w:t>(NASEM 2018)</w:t>
      </w:r>
      <w:r w:rsidRPr="002F49B1">
        <w:fldChar w:fldCharType="end"/>
      </w:r>
      <w:r w:rsidRPr="002F49B1">
        <w:t>.</w:t>
      </w:r>
      <w:r w:rsidRPr="00531DF6">
        <w:t xml:space="preserve"> </w:t>
      </w:r>
      <w:r w:rsidR="001A5F77">
        <w:t>R</w:t>
      </w:r>
      <w:r>
        <w:t xml:space="preserve">eference body weights </w:t>
      </w:r>
      <w:r w:rsidR="001A5F77">
        <w:t xml:space="preserve">specific to the Australian and New Zealand populations </w:t>
      </w:r>
      <w:r>
        <w:t>have been developed from ‘ideal’ body weight</w:t>
      </w:r>
      <w:r w:rsidR="001A5F77">
        <w:t xml:space="preserve"> data</w:t>
      </w:r>
      <w:r>
        <w:t xml:space="preserve"> from the 2022-2024 Australian Health Surveys and the equivalent in New Zealand (</w:t>
      </w:r>
      <w:r>
        <w:fldChar w:fldCharType="begin"/>
      </w:r>
      <w:r>
        <w:instrText xml:space="preserve"> REF _Ref194584777 \r \h </w:instrText>
      </w:r>
      <w:r>
        <w:fldChar w:fldCharType="separate"/>
      </w:r>
      <w:r>
        <w:t>Appendix C</w:t>
      </w:r>
      <w:r>
        <w:fldChar w:fldCharType="end"/>
      </w:r>
      <w:r>
        <w:t xml:space="preserve">). </w:t>
      </w:r>
    </w:p>
    <w:p w14:paraId="2E52C0D2" w14:textId="77777777" w:rsidR="003944C9" w:rsidRDefault="003944C9" w:rsidP="003944C9">
      <w:r>
        <w:t>Metabolic weight 0.75 power of body mass (weight) should not be used for pregnancy.</w:t>
      </w:r>
    </w:p>
    <w:p w14:paraId="37BC1580" w14:textId="77777777" w:rsidR="003944C9" w:rsidRDefault="003944C9" w:rsidP="003944C9">
      <w:r>
        <w:t>Metabolic weight adjustment does not account for differences in adaptive and homeostatic mechanisms for nutrient absorption and elimination or differences in metabolism or</w:t>
      </w:r>
      <w:r w:rsidRPr="00FF1481">
        <w:t xml:space="preserve"> </w:t>
      </w:r>
      <w:r>
        <w:t>synthesis of body tissue during growth.</w:t>
      </w:r>
    </w:p>
    <w:p w14:paraId="4591A7D7" w14:textId="77777777" w:rsidR="003944C9" w:rsidRPr="00C87F23" w:rsidRDefault="003944C9" w:rsidP="003944C9">
      <w:r>
        <w:t>Older people may have a lower lean body mass and metabolic activity than younger adults, compared with children who may have higher metabolic activity.</w:t>
      </w:r>
      <w:r w:rsidRPr="00E3522B">
        <w:t xml:space="preserve"> </w:t>
      </w:r>
    </w:p>
    <w:p w14:paraId="1C337D51" w14:textId="1BE3B99A" w:rsidR="00D34974" w:rsidRDefault="001A612A" w:rsidP="0013623B">
      <w:r>
        <w:t xml:space="preserve">Allometric scaling </w:t>
      </w:r>
      <w:r w:rsidR="00D34974">
        <w:t>expresses maintenance needs relative to metabolic body weight</w:t>
      </w:r>
      <w:r w:rsidR="0013623B">
        <w:t>, and uses the formula:</w:t>
      </w:r>
    </w:p>
    <w:p w14:paraId="4592F6BC" w14:textId="3D40CE44" w:rsidR="000E4A50" w:rsidRDefault="00BF677F" w:rsidP="00BE4ACA">
      <w:pPr>
        <w:pStyle w:val="Yellowbox"/>
        <w:pBdr>
          <w:top w:val="single" w:sz="4" w:space="6" w:color="F9A54F"/>
          <w:left w:val="single" w:sz="4" w:space="6" w:color="F9A54F"/>
          <w:bottom w:val="single" w:sz="4" w:space="6" w:color="F9A54F"/>
          <w:right w:val="single" w:sz="4" w:space="6" w:color="F9A54F"/>
        </w:pBdr>
        <w:spacing w:before="120" w:after="120"/>
      </w:pPr>
      <m:oMathPara>
        <m:oMath>
          <m:sSub>
            <m:sSubPr>
              <m:ctrlPr>
                <w:rPr>
                  <w:rFonts w:ascii="Cambria Math" w:hAnsi="Cambria Math"/>
                </w:rPr>
              </m:ctrlPr>
            </m:sSubPr>
            <m:e>
              <m:r>
                <w:rPr>
                  <w:rFonts w:ascii="Cambria Math" w:hAnsi="Cambria Math"/>
                </w:rPr>
                <m:t>EAR</m:t>
              </m:r>
              <m:r>
                <w:rPr>
                  <w:rFonts w:ascii="Cambria Math" w:hAnsi="Cambria Math"/>
                </w:rPr>
                <m:t xml:space="preserve"> </m:t>
              </m:r>
              <m:r>
                <w:rPr>
                  <w:rFonts w:ascii="Cambria Math" w:hAnsi="Cambria Math"/>
                </w:rPr>
                <m:t>or</m:t>
              </m:r>
              <m:r>
                <w:rPr>
                  <w:rFonts w:ascii="Cambria Math" w:hAnsi="Cambria Math"/>
                </w:rPr>
                <m:t xml:space="preserve"> </m:t>
              </m:r>
              <m:r>
                <w:rPr>
                  <w:rFonts w:ascii="Cambria Math" w:hAnsi="Cambria Math"/>
                </w:rPr>
                <m:t>AI</m:t>
              </m:r>
              <m:r>
                <w:rPr>
                  <w:rFonts w:ascii="Cambria Math" w:hAnsi="Cambria Math"/>
                </w:rPr>
                <m:t xml:space="preserve"> </m:t>
              </m:r>
            </m:e>
            <m:sub>
              <m:r>
                <w:rPr>
                  <w:rFonts w:ascii="Cambria Math" w:hAnsi="Cambria Math"/>
                </w:rPr>
                <m:t>target</m:t>
              </m:r>
              <m:r>
                <w:rPr>
                  <w:rFonts w:ascii="Cambria Math" w:hAnsi="Cambria Math"/>
                </w:rPr>
                <m:t xml:space="preserve"> </m:t>
              </m:r>
              <m:r>
                <w:rPr>
                  <w:rFonts w:ascii="Cambria Math" w:hAnsi="Cambria Math"/>
                </w:rPr>
                <m:t>group</m:t>
              </m:r>
            </m:sub>
          </m:sSub>
          <m:r>
            <w:rPr>
              <w:rFonts w:ascii="Cambria Math" w:hAnsi="Cambria Math"/>
            </w:rPr>
            <m:t>=</m:t>
          </m:r>
          <m:sSub>
            <m:sSubPr>
              <m:ctrlPr>
                <w:rPr>
                  <w:rFonts w:ascii="Cambria Math" w:hAnsi="Cambria Math"/>
                </w:rPr>
              </m:ctrlPr>
            </m:sSubPr>
            <m:e>
              <m:r>
                <w:rPr>
                  <w:rFonts w:ascii="Cambria Math" w:hAnsi="Cambria Math"/>
                </w:rPr>
                <m:t>EAR</m:t>
              </m:r>
              <m:r>
                <w:rPr>
                  <w:rFonts w:ascii="Cambria Math" w:hAnsi="Cambria Math"/>
                </w:rPr>
                <m:t xml:space="preserve"> </m:t>
              </m:r>
              <m:r>
                <w:rPr>
                  <w:rFonts w:ascii="Cambria Math" w:hAnsi="Cambria Math"/>
                </w:rPr>
                <m:t>or</m:t>
              </m:r>
              <m:r>
                <w:rPr>
                  <w:rFonts w:ascii="Cambria Math" w:hAnsi="Cambria Math"/>
                </w:rPr>
                <m:t xml:space="preserve"> </m:t>
              </m:r>
              <m:r>
                <w:rPr>
                  <w:rFonts w:ascii="Cambria Math" w:hAnsi="Cambria Math"/>
                </w:rPr>
                <m:t>AI</m:t>
              </m:r>
            </m:e>
            <m:sub>
              <m:r>
                <w:rPr>
                  <w:rFonts w:ascii="Cambria Math" w:hAnsi="Cambria Math"/>
                </w:rPr>
                <m:t>reference</m:t>
              </m:r>
              <m:r>
                <w:rPr>
                  <w:rFonts w:ascii="Cambria Math" w:hAnsi="Cambria Math"/>
                </w:rPr>
                <m:t xml:space="preserve"> </m:t>
              </m:r>
              <m:r>
                <w:rPr>
                  <w:rFonts w:ascii="Cambria Math" w:hAnsi="Cambria Math"/>
                </w:rPr>
                <m:t>group</m:t>
              </m:r>
            </m:sub>
          </m:sSub>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Weig</m:t>
                          </m:r>
                          <m:r>
                            <w:rPr>
                              <w:rFonts w:ascii="Cambria Math" w:hAnsi="Cambria Math"/>
                            </w:rPr>
                            <m:t>h</m:t>
                          </m:r>
                          <m:r>
                            <w:rPr>
                              <w:rFonts w:ascii="Cambria Math" w:hAnsi="Cambria Math"/>
                            </w:rPr>
                            <m:t>t</m:t>
                          </m:r>
                        </m:e>
                        <m:sub>
                          <m:r>
                            <w:rPr>
                              <w:rFonts w:ascii="Cambria Math" w:hAnsi="Cambria Math"/>
                            </w:rPr>
                            <m:t>target</m:t>
                          </m:r>
                          <m:r>
                            <w:rPr>
                              <w:rFonts w:ascii="Cambria Math" w:hAnsi="Cambria Math"/>
                            </w:rPr>
                            <m:t xml:space="preserve"> </m:t>
                          </m:r>
                          <m:r>
                            <w:rPr>
                              <w:rFonts w:ascii="Cambria Math" w:hAnsi="Cambria Math"/>
                            </w:rPr>
                            <m:t>group</m:t>
                          </m:r>
                        </m:sub>
                      </m:sSub>
                    </m:num>
                    <m:den>
                      <m:sSub>
                        <m:sSubPr>
                          <m:ctrlPr>
                            <w:rPr>
                              <w:rFonts w:ascii="Cambria Math" w:hAnsi="Cambria Math"/>
                            </w:rPr>
                          </m:ctrlPr>
                        </m:sSubPr>
                        <m:e>
                          <m:r>
                            <w:rPr>
                              <w:rFonts w:ascii="Cambria Math" w:hAnsi="Cambria Math"/>
                            </w:rPr>
                            <m:t>Weig</m:t>
                          </m:r>
                          <m:r>
                            <w:rPr>
                              <w:rFonts w:ascii="Cambria Math" w:hAnsi="Cambria Math"/>
                            </w:rPr>
                            <m:t>h</m:t>
                          </m:r>
                          <m:r>
                            <w:rPr>
                              <w:rFonts w:ascii="Cambria Math" w:hAnsi="Cambria Math"/>
                            </w:rPr>
                            <m:t>t</m:t>
                          </m:r>
                        </m:e>
                        <m:sub>
                          <m:r>
                            <w:rPr>
                              <w:rFonts w:ascii="Cambria Math" w:hAnsi="Cambria Math"/>
                            </w:rPr>
                            <m:t>reference</m:t>
                          </m:r>
                          <m:r>
                            <w:rPr>
                              <w:rFonts w:ascii="Cambria Math" w:hAnsi="Cambria Math"/>
                            </w:rPr>
                            <m:t xml:space="preserve"> </m:t>
                          </m:r>
                          <m:r>
                            <w:rPr>
                              <w:rFonts w:ascii="Cambria Math" w:hAnsi="Cambria Math"/>
                            </w:rPr>
                            <m:t>group</m:t>
                          </m:r>
                        </m:sub>
                      </m:sSub>
                    </m:den>
                  </m:f>
                </m:e>
              </m:d>
            </m:e>
            <m:sup>
              <m:r>
                <w:rPr>
                  <w:rFonts w:ascii="Cambria Math" w:hAnsi="Cambria Math"/>
                </w:rPr>
                <m:t>0.75</m:t>
              </m:r>
            </m:sup>
          </m:sSup>
        </m:oMath>
      </m:oMathPara>
    </w:p>
    <w:p w14:paraId="036D73CD" w14:textId="714FD9A6" w:rsidR="009D6055" w:rsidRDefault="009D6055" w:rsidP="00BD3CF8">
      <w:r>
        <w:t xml:space="preserve">Further adjustment to account for growth requirements </w:t>
      </w:r>
      <w:r w:rsidR="0013623B">
        <w:t xml:space="preserve">is typically </w:t>
      </w:r>
      <w:r>
        <w:t xml:space="preserve">required, </w:t>
      </w:r>
      <w:r w:rsidR="0013623B">
        <w:t>particular</w:t>
      </w:r>
      <w:r w:rsidR="004B216B">
        <w:t xml:space="preserve">ly for </w:t>
      </w:r>
      <w:r>
        <w:t>scaling from adult values</w:t>
      </w:r>
      <w:r w:rsidR="004B216B">
        <w:t xml:space="preserve">, as </w:t>
      </w:r>
      <w:r>
        <w:t>adult NRVs reflect maintenance needs only. See</w:t>
      </w:r>
      <w:r w:rsidR="00100742">
        <w:t xml:space="preserve"> </w:t>
      </w:r>
      <w:r w:rsidR="00100742">
        <w:fldChar w:fldCharType="begin"/>
      </w:r>
      <w:r w:rsidR="00100742">
        <w:instrText xml:space="preserve"> REF _Ref207789714 \r \h </w:instrText>
      </w:r>
      <w:r w:rsidR="00100742">
        <w:fldChar w:fldCharType="separate"/>
      </w:r>
      <w:r w:rsidR="00100742">
        <w:t xml:space="preserve">6.6.2  </w:t>
      </w:r>
      <w:r w:rsidR="00100742">
        <w:fldChar w:fldCharType="end"/>
      </w:r>
      <w:r w:rsidR="00100742">
        <w:fldChar w:fldCharType="begin"/>
      </w:r>
      <w:r w:rsidR="00100742">
        <w:instrText xml:space="preserve"> REF _Ref207789714 \h </w:instrText>
      </w:r>
      <w:r w:rsidR="00100742">
        <w:fldChar w:fldCharType="separate"/>
      </w:r>
      <w:r w:rsidR="00100742">
        <w:t>Growth factors</w:t>
      </w:r>
      <w:r w:rsidR="00100742">
        <w:fldChar w:fldCharType="end"/>
      </w:r>
      <w:r w:rsidR="00C261D0">
        <w:t>.</w:t>
      </w:r>
    </w:p>
    <w:p w14:paraId="0B8B8AF0" w14:textId="78F5A951" w:rsidR="006C187C" w:rsidRDefault="001A4E6D" w:rsidP="006C187C">
      <w:pPr>
        <w:pStyle w:val="Boxed1Bullet"/>
        <w:numPr>
          <w:ilvl w:val="0"/>
          <w:numId w:val="0"/>
        </w:numPr>
        <w:ind w:left="644"/>
      </w:pPr>
      <w:r>
        <w:t>F</w:t>
      </w:r>
      <w:r w:rsidR="006C187C">
        <w:t xml:space="preserve">urther information about scaling approaches, </w:t>
      </w:r>
      <w:r>
        <w:t>can be found in</w:t>
      </w:r>
      <w:r w:rsidR="006C187C">
        <w:t xml:space="preserve">: </w:t>
      </w:r>
    </w:p>
    <w:p w14:paraId="75FD750C" w14:textId="3B387EA7" w:rsidR="00332211" w:rsidRPr="0053062E" w:rsidRDefault="00332211" w:rsidP="00211F4C">
      <w:pPr>
        <w:pStyle w:val="Boxed1Bullet"/>
        <w:numPr>
          <w:ilvl w:val="0"/>
          <w:numId w:val="57"/>
        </w:numPr>
      </w:pPr>
      <w:r>
        <w:t xml:space="preserve">EFSA </w:t>
      </w:r>
      <w:r w:rsidR="0005127B">
        <w:t xml:space="preserve">Panel on Dietetic Products, Nutrition, and Allergies </w:t>
      </w:r>
      <w:r w:rsidR="00727156">
        <w:fldChar w:fldCharType="begin"/>
      </w:r>
      <w:r w:rsidR="00FD5765">
        <w:instrText xml:space="preserve"> ADDIN EN.CITE &lt;EndNote&gt;&lt;Cite ExcludeAuth="1"&gt;&lt;Author&gt;EFSA Panel on Dietetic Products Nutrition and Allergies&lt;/Author&gt;&lt;Year&gt;2010&lt;/Year&gt;&lt;RecNum&gt;80&lt;/RecNum&gt;&lt;DisplayText&gt;(2010)&lt;/DisplayText&gt;&lt;record&gt;&lt;rec-number&gt;80&lt;/rec-number&gt;&lt;foreign-keys&gt;&lt;key app="EN" db-id="zxfaevvrgpsxebez5ec5vspfe2av5dtxt9xx" timestamp="1754957765"&gt;80&lt;/key&gt;&lt;/foreign-keys&gt;&lt;ref-type name="Journal Article"&gt;17&lt;/ref-type&gt;&lt;contributors&gt;&lt;authors&gt;&lt;author&gt;EFSA Panel on Dietetic Products Nutrition and Allergies,&lt;/author&gt;&lt;/authors&gt;&lt;/contributors&gt;&lt;titles&gt;&lt;title&gt;Scientific Opinion on principles for deriving and applying Dietary Reference Values&lt;/title&gt;&lt;secondary-title&gt;EFSA Journal&lt;/secondary-title&gt;&lt;/titles&gt;&lt;periodical&gt;&lt;full-title&gt;EFSA Journal&lt;/full-title&gt;&lt;/periodical&gt;&lt;pages&gt;1458&lt;/pages&gt;&lt;volume&gt;8&lt;/volume&gt;&lt;number&gt;3&lt;/number&gt;&lt;dates&gt;&lt;year&gt;2010&lt;/year&gt;&lt;/dates&gt;&lt;isbn&gt;1831-4732&lt;/isbn&gt;&lt;urls&gt;&lt;related-urls&gt;&lt;url&gt;https://efsa.onlinelibrary.wiley.com/doi/abs/10.2903/j.efsa.2010.1458&lt;/url&gt;&lt;/related-urls&gt;&lt;/urls&gt;&lt;electronic-resource-num&gt;10.2903/j.efsa.2010.1458&lt;/electronic-resource-num&gt;&lt;/record&gt;&lt;/Cite&gt;&lt;/EndNote&gt;</w:instrText>
      </w:r>
      <w:r w:rsidR="00727156">
        <w:fldChar w:fldCharType="separate"/>
      </w:r>
      <w:r w:rsidR="00727156">
        <w:rPr>
          <w:noProof/>
        </w:rPr>
        <w:t>(2010)</w:t>
      </w:r>
      <w:r w:rsidR="00727156">
        <w:fldChar w:fldCharType="end"/>
      </w:r>
      <w:r w:rsidR="00337066">
        <w:t xml:space="preserve"> Scientific Opinion on principles for deriving and applying Dietary Reference Values. </w:t>
      </w:r>
      <w:r w:rsidR="00337066">
        <w:rPr>
          <w:i/>
          <w:iCs/>
        </w:rPr>
        <w:t xml:space="preserve">EFSA Journal, </w:t>
      </w:r>
      <w:r w:rsidR="00E34867">
        <w:rPr>
          <w:i/>
          <w:iCs/>
        </w:rPr>
        <w:t>8(3)</w:t>
      </w:r>
      <w:r w:rsidR="0067432D">
        <w:rPr>
          <w:i/>
          <w:iCs/>
        </w:rPr>
        <w:t xml:space="preserve">: 1458. </w:t>
      </w:r>
      <w:r w:rsidR="00581023">
        <w:rPr>
          <w:i/>
          <w:iCs/>
        </w:rPr>
        <w:t xml:space="preserve"> </w:t>
      </w:r>
      <w:hyperlink r:id="rId113" w:history="1">
        <w:r w:rsidR="00934D93" w:rsidRPr="000163C7">
          <w:rPr>
            <w:rStyle w:val="Hyperlink"/>
            <w:color w:val="006CBC"/>
          </w:rPr>
          <w:t>https://doi.org/10.2903/j.efsa.2010.1458</w:t>
        </w:r>
      </w:hyperlink>
      <w:r w:rsidR="00934D93">
        <w:t xml:space="preserve"> - Appendix 1</w:t>
      </w:r>
      <w:r w:rsidR="00BA384E">
        <w:t xml:space="preserve"> (pp 28-29)</w:t>
      </w:r>
    </w:p>
    <w:p w14:paraId="035DBE95" w14:textId="4A7CF206" w:rsidR="006C187C" w:rsidRDefault="006C187C" w:rsidP="00211F4C">
      <w:pPr>
        <w:pStyle w:val="Boxed1Bullet"/>
        <w:numPr>
          <w:ilvl w:val="0"/>
          <w:numId w:val="57"/>
        </w:numPr>
      </w:pPr>
      <w:r>
        <w:fldChar w:fldCharType="begin"/>
      </w:r>
      <w:r w:rsidR="00FD5765">
        <w:instrText xml:space="preserve"> ADDIN EN.CITE &lt;EndNote&gt;&lt;Cite AuthorYear="1"&gt;&lt;Author&gt;EFSA Panel on Nutrition Novel Foods and Food Allergens&lt;/Author&gt;&lt;Year&gt;2024&lt;/Year&gt;&lt;RecNum&gt;84&lt;/RecNum&gt;&lt;DisplayText&gt;EFSA Panel on Nutrition Novel Foods and Food Allergens et al. (2024a)&lt;/DisplayText&gt;&lt;record&gt;&lt;rec-number&gt;84&lt;/rec-number&gt;&lt;foreign-keys&gt;&lt;key app="EN" db-id="zxfaevvrgpsxebez5ec5vspfe2av5dtxt9xx" timestamp="1754958788"&gt;84&lt;/key&gt;&lt;/foreign-keys&gt;&lt;ref-type name="Journal Article"&gt;17&lt;/ref-type&gt;&lt;contributors&gt;&lt;authors&gt;&lt;author&gt;EFSA Panel on Nutrition Novel F</w:instrText>
      </w:r>
      <w:r w:rsidR="00FD5765">
        <w:rPr>
          <w:rFonts w:hint="eastAsia"/>
        </w:rPr>
        <w:instrText>oods and Food Allergens,&lt;/author&gt;&lt;author&gt;Turck, Dominique&lt;/author&gt;&lt;author&gt;Bohn, Torsten&lt;/author&gt;&lt;author&gt;Cámara, Montaña&lt;/author&gt;&lt;author&gt;Castenmiller, Jacqueline&lt;/author&gt;&lt;author&gt;de Henauw, Stefaan&lt;/author&gt;&lt;author&gt;Hirsch</w:instrText>
      </w:r>
      <w:r w:rsidR="00FD5765">
        <w:rPr>
          <w:rFonts w:hint="eastAsia"/>
        </w:rPr>
        <w:instrText>‐</w:instrText>
      </w:r>
      <w:r w:rsidR="00FD5765">
        <w:rPr>
          <w:rFonts w:hint="eastAsia"/>
        </w:rPr>
        <w:instrText>Ernst, Karen</w:instrText>
      </w:r>
      <w:r w:rsidR="00FD5765">
        <w:rPr>
          <w:rFonts w:hint="eastAsia"/>
        </w:rPr>
        <w:instrText>‐</w:instrText>
      </w:r>
      <w:r w:rsidR="00FD5765">
        <w:rPr>
          <w:rFonts w:hint="eastAsia"/>
        </w:rPr>
        <w:instrText>Ildico&lt;/author&gt;&lt;author&gt;</w:instrText>
      </w:r>
      <w:r w:rsidR="00FD5765">
        <w:instrText>Jos, Angeles&lt;/author&gt;&lt;author&gt;Maciuk, Alexandre&lt;/author&gt;&lt;author&gt;Mangelsdorf, Inge&lt;/author&gt;&lt;/authors&gt;&lt;/contributors&gt;&lt;titles&gt;&lt;title&gt;Guidance for establishing and applying tolerable upper intake levels for vitamins and essential minerals&lt;/title&gt;&lt;secondary-title&gt;EFSA Journal&lt;/secondary-title&gt;&lt;/titles&gt;&lt;periodical&gt;&lt;full-title&gt;EFSA Journal&lt;/full-title&gt;&lt;/periodical&gt;&lt;pages&gt;e9052&lt;/pages&gt;&lt;volume&gt;22&lt;/volume&gt;&lt;number&gt;11&lt;/number&gt;&lt;dates&gt;&lt;year&gt;2024&lt;/year&gt;&lt;/dates&gt;&lt;isbn&gt;1831-4732&lt;/isbn&gt;&lt;urls&gt;&lt;/urls&gt;&lt;electronic-resource-num&gt;10.2903/j.efsa.2024.9052&lt;/electronic-resource-num&gt;&lt;/record&gt;&lt;/Cite&gt;&lt;/EndNote&gt;</w:instrText>
      </w:r>
      <w:r>
        <w:fldChar w:fldCharType="separate"/>
      </w:r>
      <w:r w:rsidR="00FD5765">
        <w:rPr>
          <w:noProof/>
        </w:rPr>
        <w:t>EFSA Panel on Nutrition Novel Foods and Food Allergens et al. (2024a)</w:t>
      </w:r>
      <w:r>
        <w:fldChar w:fldCharType="end"/>
      </w:r>
      <w:r>
        <w:t xml:space="preserve"> </w:t>
      </w:r>
      <w:r w:rsidRPr="00DF24DF">
        <w:t xml:space="preserve">Guidance for establishing and applying tolerable upper intake levels for vitamins and essential minerals. </w:t>
      </w:r>
      <w:r w:rsidRPr="000F7745">
        <w:rPr>
          <w:i/>
          <w:iCs/>
        </w:rPr>
        <w:t>EFSA Journal</w:t>
      </w:r>
      <w:r w:rsidRPr="00DF24DF">
        <w:t>,</w:t>
      </w:r>
      <w:r w:rsidRPr="000F7745">
        <w:rPr>
          <w:i/>
          <w:iCs/>
        </w:rPr>
        <w:t xml:space="preserve"> 22</w:t>
      </w:r>
      <w:r w:rsidRPr="00DF24DF">
        <w:t xml:space="preserve">(11), e9052. </w:t>
      </w:r>
      <w:hyperlink r:id="rId114" w:history="1">
        <w:r w:rsidRPr="000163C7">
          <w:rPr>
            <w:rStyle w:val="Hyperlink"/>
            <w:color w:val="006CBC"/>
          </w:rPr>
          <w:t>https://doi.org/10.2903/j.efsa.2024.9052</w:t>
        </w:r>
      </w:hyperlink>
      <w:r w:rsidRPr="00A44C05" w:rsidDel="00A44C05">
        <w:t xml:space="preserve"> </w:t>
      </w:r>
      <w:r>
        <w:t>- Annex A Workshop report on human-to-human scaling approaches for the derivation of tolerable upper intake levels</w:t>
      </w:r>
    </w:p>
    <w:p w14:paraId="20E9DAE2" w14:textId="3A728B77" w:rsidR="00D10D74" w:rsidRDefault="0057577C" w:rsidP="00211F4C">
      <w:pPr>
        <w:pStyle w:val="Boxed1Bullet"/>
        <w:numPr>
          <w:ilvl w:val="0"/>
          <w:numId w:val="57"/>
        </w:numPr>
      </w:pPr>
      <w:r w:rsidRPr="0057577C">
        <w:t xml:space="preserve">NASEM. (2018). Harmonization of Approaches to Nutrient Reference Values: Applications to Young Children and Women of Reproductive Age. National Academies Press (US) </w:t>
      </w:r>
      <w:hyperlink r:id="rId115" w:history="1">
        <w:r w:rsidRPr="000163C7">
          <w:rPr>
            <w:rStyle w:val="Hyperlink"/>
            <w:color w:val="006CBC"/>
          </w:rPr>
          <w:t>https://doi.org/10.17226/25148</w:t>
        </w:r>
      </w:hyperlink>
      <w:r>
        <w:t xml:space="preserve"> - pp. 60-61</w:t>
      </w:r>
    </w:p>
    <w:p w14:paraId="43B3FCE8" w14:textId="77777777" w:rsidR="006C187C" w:rsidRPr="000D4740" w:rsidRDefault="006C187C" w:rsidP="00211F4C">
      <w:pPr>
        <w:pStyle w:val="Boxed1Bullet"/>
        <w:numPr>
          <w:ilvl w:val="0"/>
          <w:numId w:val="57"/>
        </w:numPr>
      </w:pPr>
      <w:r>
        <w:fldChar w:fldCharType="begin"/>
      </w:r>
      <w:r>
        <w:instrText xml:space="preserve"> ADDIN EN.CITE &lt;EndNote&gt;&lt;Cite AuthorYear="1"&gt;&lt;Author&gt;Atkinson&lt;/Author&gt;&lt;Year&gt;2007&lt;/Year&gt;&lt;RecNum&gt;113&lt;/RecNum&gt;&lt;DisplayText&gt;Atkinson (2007)&lt;/DisplayText&gt;&lt;record&gt;&lt;rec-number&gt;113&lt;/rec-number&gt;&lt;foreign-keys&gt;&lt;key app="EN" db-id="zxfaevvrgpsxebez5ec5vspfe2av5dtxt9xx" timestamp="1755048466"&gt;113&lt;/key&gt;&lt;/foreign-keys&gt;&lt;ref-type name="Conference Paper"&gt;47&lt;/ref-type&gt;&lt;contributors&gt;&lt;authors&gt;&lt;author&gt;Atkinson, Stephanie A&lt;/author&gt;&lt;/authors&gt;&lt;/contributors&gt;&lt;titles&gt;&lt;title&gt;Background Paper: The DRI Development Process; Issues Related to Extrapolation and Interpolation&lt;/title&gt;&lt;secondary-title&gt;The Development of DRIs 1994-2004: Lessons Learned and New Challenges, Workshop Summary&lt;/secondary-title&gt;&lt;/titles&gt;&lt;dates&gt;&lt;year&gt;2007&lt;/year&gt;&lt;/dates&gt;&lt;pub-location&gt;Washington DC&lt;/pub-location&gt;&lt;publisher&gt;Institute of Medicine, Food and Nutrition Boards Workshop&lt;/publisher&gt;&lt;urls&gt;&lt;related-urls&gt;&lt;url&gt;date accessed 18 August 2025, https://nap.nationalacademies.org/read/12086/chapter/9&lt;/url&gt;&lt;/related-urls&gt;&lt;/urls&gt;&lt;/record&gt;&lt;/Cite&gt;&lt;Cite&gt;&lt;Author&gt;Atkinson&lt;/Author&gt;&lt;Year&gt;2007&lt;/Year&gt;&lt;RecNum&gt;113&lt;/RecNum&gt;&lt;record&gt;&lt;rec-number&gt;113&lt;/rec-number&gt;&lt;foreign-keys&gt;&lt;key app="EN" db-id="zxfaevvrgpsxebez5ec5vspfe2av5dtxt9xx" timestamp="1755048466"&gt;113&lt;/key&gt;&lt;/foreign-keys&gt;&lt;ref-type name="Conference Paper"&gt;47&lt;/ref-type&gt;&lt;contributors&gt;&lt;authors&gt;&lt;author&gt;Atkinson, Stephanie A&lt;/author&gt;&lt;/authors&gt;&lt;/contributors&gt;&lt;titles&gt;&lt;title&gt;Background Paper: The DRI Development Process; Issues Related to Extrapolation and Interpolation&lt;/title&gt;&lt;secondary-title&gt;The Development of DRIs 1994-2004: Lessons Learned and New Challenges, Workshop Summary&lt;/secondary-title&gt;&lt;/titles&gt;&lt;dates&gt;&lt;year&gt;2007&lt;/year&gt;&lt;/dates&gt;&lt;pub-location&gt;Washington DC&lt;/pub-location&gt;&lt;publisher&gt;Institute of Medicine, Food and Nutrition Boards Workshop&lt;/publisher&gt;&lt;urls&gt;&lt;related-urls&gt;&lt;url&gt;date accessed 18 August 2025, https://nap.nationalacademies.org/read/12086/chapter/9&lt;/url&gt;&lt;/related-urls&gt;&lt;/urls&gt;&lt;/record&gt;&lt;/Cite&gt;&lt;/EndNote&gt;</w:instrText>
      </w:r>
      <w:r>
        <w:fldChar w:fldCharType="separate"/>
      </w:r>
      <w:r>
        <w:rPr>
          <w:noProof/>
        </w:rPr>
        <w:t>Atkinson (2007)</w:t>
      </w:r>
      <w:r>
        <w:fldChar w:fldCharType="end"/>
      </w:r>
      <w:r w:rsidRPr="000D4740">
        <w:t xml:space="preserve"> </w:t>
      </w:r>
      <w:r w:rsidRPr="001C46E1">
        <w:rPr>
          <w:i/>
          <w:iCs/>
        </w:rPr>
        <w:t>Background Paper: The DRI Development Process; Issues Related to Extrapolation and Interpolation</w:t>
      </w:r>
      <w:r>
        <w:rPr>
          <w:i/>
          <w:iCs/>
        </w:rPr>
        <w:t>.</w:t>
      </w:r>
      <w:r w:rsidRPr="001C46E1">
        <w:t xml:space="preserve"> The Development of DRIs 1994-2004: Lessons Learned and New Challenges</w:t>
      </w:r>
      <w:r w:rsidRPr="000923AD">
        <w:t>, Workshop Summary</w:t>
      </w:r>
      <w:r w:rsidRPr="001C46E1">
        <w:t xml:space="preserve">, Washington DC. </w:t>
      </w:r>
      <w:hyperlink r:id="rId116" w:history="1">
        <w:r w:rsidRPr="000163C7">
          <w:rPr>
            <w:rStyle w:val="Hyperlink"/>
            <w:color w:val="006CBC"/>
          </w:rPr>
          <w:t>https://nap.nationalacademies.org/read/12086/chapter/9</w:t>
        </w:r>
      </w:hyperlink>
      <w:r>
        <w:t xml:space="preserve"> </w:t>
      </w:r>
    </w:p>
    <w:p w14:paraId="6AFA24CC" w14:textId="77777777" w:rsidR="006C187C" w:rsidRPr="000D4740" w:rsidRDefault="006C187C" w:rsidP="00211F4C">
      <w:pPr>
        <w:pStyle w:val="Boxed1Bullet"/>
        <w:numPr>
          <w:ilvl w:val="0"/>
          <w:numId w:val="57"/>
        </w:numPr>
      </w:pPr>
      <w:r>
        <w:fldChar w:fldCharType="begin"/>
      </w:r>
      <w:r>
        <w:instrText xml:space="preserve"> ADDIN EN.CITE &lt;EndNote&gt;&lt;Cite AuthorYear="1"&gt;&lt;Author&gt;FAO&lt;/Author&gt;&lt;Year&gt;2024&lt;/Year&gt;&lt;RecNum&gt;112&lt;/RecNum&gt;&lt;DisplayText&gt;FAO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fldChar w:fldCharType="separate"/>
      </w:r>
      <w:r>
        <w:rPr>
          <w:noProof/>
        </w:rPr>
        <w:t>FAO (2024)</w:t>
      </w:r>
      <w:r>
        <w:fldChar w:fldCharType="end"/>
      </w:r>
      <w:r>
        <w:t xml:space="preserve"> </w:t>
      </w:r>
      <w:r w:rsidRPr="00B172F1">
        <w:rPr>
          <w:i/>
          <w:iCs/>
        </w:rPr>
        <w:t>Review of derivation methods for dietary intake reference values for older infants and young children – FAO request for scientific advice to develop general principles for the establishment of Codex nutrient reference values for older infants and young children.</w:t>
      </w:r>
      <w:r w:rsidRPr="00B172F1">
        <w:t xml:space="preserve"> Food and Agriculture Organization of the United Nations. </w:t>
      </w:r>
      <w:hyperlink r:id="rId117" w:history="1">
        <w:r w:rsidRPr="000163C7">
          <w:rPr>
            <w:rStyle w:val="Hyperlink"/>
            <w:color w:val="006CBC"/>
          </w:rPr>
          <w:t>https://doi.org/10.4060/cb9380en</w:t>
        </w:r>
      </w:hyperlink>
      <w:r>
        <w:t xml:space="preserve"> </w:t>
      </w:r>
    </w:p>
    <w:p w14:paraId="1828D5F4" w14:textId="77777777" w:rsidR="00A85DA9" w:rsidRPr="00613E9E" w:rsidRDefault="00A85DA9" w:rsidP="00906F0B">
      <w:pPr>
        <w:rPr>
          <w:highlight w:val="yellow"/>
        </w:rPr>
      </w:pPr>
    </w:p>
    <w:p w14:paraId="434FAEA6" w14:textId="0B2E8AC5" w:rsidR="00F04C0D" w:rsidRDefault="00F04C0D" w:rsidP="003E2E95">
      <w:pPr>
        <w:pStyle w:val="Heading40"/>
      </w:pPr>
      <w:bookmarkStart w:id="215" w:name="_Ref207789714"/>
      <w:bookmarkStart w:id="216" w:name="_Toc207801103"/>
      <w:bookmarkStart w:id="217" w:name="_Toc207824574"/>
      <w:bookmarkStart w:id="218" w:name="_Toc31790827"/>
      <w:bookmarkStart w:id="219" w:name="_Toc153967152"/>
      <w:r>
        <w:lastRenderedPageBreak/>
        <w:t xml:space="preserve">Growth </w:t>
      </w:r>
      <w:r w:rsidR="000B7EE8">
        <w:t>f</w:t>
      </w:r>
      <w:r>
        <w:t>actor</w:t>
      </w:r>
      <w:r w:rsidR="000B7EE8">
        <w:t>s</w:t>
      </w:r>
      <w:bookmarkEnd w:id="215"/>
      <w:bookmarkEnd w:id="216"/>
      <w:bookmarkEnd w:id="217"/>
    </w:p>
    <w:p w14:paraId="14515D66" w14:textId="5FDD998C" w:rsidR="00ED5048" w:rsidRDefault="0098302E" w:rsidP="00ED5048">
      <w:pPr>
        <w:rPr>
          <w:color w:val="000000"/>
          <w:shd w:val="clear" w:color="auto" w:fill="FFFFFF"/>
        </w:rPr>
      </w:pPr>
      <w:r>
        <w:t xml:space="preserve">When </w:t>
      </w:r>
      <w:r w:rsidR="003025FF">
        <w:t xml:space="preserve">NRVs are derived by scaling </w:t>
      </w:r>
      <w:r>
        <w:t>from adult</w:t>
      </w:r>
      <w:r w:rsidR="003025FF">
        <w:t xml:space="preserve"> requirement</w:t>
      </w:r>
      <w:r>
        <w:t>s,</w:t>
      </w:r>
      <w:r w:rsidR="003025FF">
        <w:t xml:space="preserve"> the calculated result typically reflects maintenance needs only. </w:t>
      </w:r>
      <w:r w:rsidR="00CC10F2">
        <w:t xml:space="preserve">Scaling approaches must therefore adjust for growth requirements by applying a growth factor. </w:t>
      </w:r>
      <w:r w:rsidR="00ED5048">
        <w:rPr>
          <w:shd w:val="clear" w:color="auto" w:fill="FFFFFF"/>
        </w:rPr>
        <w:t>When scaling up from infants to older infants, a</w:t>
      </w:r>
      <w:r w:rsidR="00ED5048" w:rsidRPr="002B75BA">
        <w:t xml:space="preserve"> separate </w:t>
      </w:r>
      <w:r w:rsidR="00ED5048">
        <w:t xml:space="preserve">growth </w:t>
      </w:r>
      <w:r w:rsidR="00ED5048" w:rsidRPr="002B75BA">
        <w:t xml:space="preserve">factor is </w:t>
      </w:r>
      <w:r w:rsidR="00ED5048">
        <w:t>not</w:t>
      </w:r>
      <w:r w:rsidR="00E84708">
        <w:t xml:space="preserve"> typically</w:t>
      </w:r>
      <w:r w:rsidR="00ED5048">
        <w:t xml:space="preserve"> required </w:t>
      </w:r>
      <w:r w:rsidR="00ED5048" w:rsidRPr="002B75BA">
        <w:t xml:space="preserve">because the reference AI for a growing young infant already accounts for </w:t>
      </w:r>
      <w:r w:rsidR="00ED5048">
        <w:t>growth requirements</w:t>
      </w:r>
      <w:r w:rsidR="00ED5048" w:rsidRPr="002B75BA">
        <w:t>.</w:t>
      </w:r>
    </w:p>
    <w:p w14:paraId="2B8E1EBB" w14:textId="29615F92" w:rsidR="0098302E" w:rsidRDefault="0098302E" w:rsidP="0098302E">
      <w:r>
        <w:t>G</w:t>
      </w:r>
      <w:r w:rsidRPr="00BD0B94">
        <w:t>rowth</w:t>
      </w:r>
      <w:r>
        <w:t xml:space="preserve"> factors are</w:t>
      </w:r>
      <w:r w:rsidRPr="00BD0B94">
        <w:t xml:space="preserve"> calculated </w:t>
      </w:r>
      <w:r>
        <w:t xml:space="preserve">based on estimated additional protein requirements </w:t>
      </w:r>
      <w:r w:rsidRPr="00BD0B94">
        <w:t>for growth at the different ages</w:t>
      </w:r>
      <w:r w:rsidR="00CC10F2">
        <w:t xml:space="preserve"> and are presented at </w:t>
      </w:r>
      <w:r w:rsidR="00CC10F2">
        <w:fldChar w:fldCharType="begin"/>
      </w:r>
      <w:r w:rsidR="00CC10F2">
        <w:instrText xml:space="preserve"> REF _Ref207023689 \r \h </w:instrText>
      </w:r>
      <w:r w:rsidR="00CC10F2">
        <w:fldChar w:fldCharType="separate"/>
      </w:r>
      <w:r w:rsidR="00CC10F2">
        <w:t>Appendix C</w:t>
      </w:r>
      <w:r w:rsidR="00CC10F2">
        <w:fldChar w:fldCharType="end"/>
      </w:r>
      <w:r>
        <w:t>.</w:t>
      </w:r>
    </w:p>
    <w:p w14:paraId="56504D10" w14:textId="5896D0FD" w:rsidR="00333EDA" w:rsidRDefault="00333EDA" w:rsidP="00333EDA">
      <w:r w:rsidRPr="0028756D">
        <w:t xml:space="preserve">When a growth factor is included in the </w:t>
      </w:r>
      <w:r>
        <w:t>scaling</w:t>
      </w:r>
      <w:r w:rsidRPr="0028756D">
        <w:t xml:space="preserve">, the general formula </w:t>
      </w:r>
      <w:r w:rsidR="00CC10F2">
        <w:t>becomes</w:t>
      </w:r>
      <w:r w:rsidRPr="0028756D">
        <w:t>:</w:t>
      </w:r>
    </w:p>
    <w:p w14:paraId="33FD8FB2" w14:textId="6B47D6BC" w:rsidR="00333EDA" w:rsidRPr="00BE4ACA" w:rsidRDefault="00333EDA" w:rsidP="00BE4ACA">
      <w:pPr>
        <w:pStyle w:val="Yellowbox"/>
        <w:pBdr>
          <w:top w:val="single" w:sz="4" w:space="6" w:color="F9A54F"/>
          <w:left w:val="single" w:sz="4" w:space="6" w:color="F9A54F"/>
          <w:bottom w:val="single" w:sz="4" w:space="6" w:color="F9A54F"/>
          <w:right w:val="single" w:sz="4" w:space="6" w:color="F9A54F"/>
        </w:pBdr>
        <w:spacing w:before="120" w:after="120"/>
        <w:jc w:val="center"/>
        <w:rPr>
          <w:rFonts w:ascii="Cambria Math" w:hAnsi="Cambria Math"/>
        </w:rPr>
      </w:pPr>
      <w:r w:rsidRPr="00BE4ACA">
        <w:rPr>
          <w:rFonts w:ascii="Cambria Math" w:hAnsi="Cambria Math"/>
        </w:rPr>
        <w:t>Average Value</w:t>
      </w:r>
      <w:r w:rsidR="004B216B" w:rsidRPr="00BE4ACA">
        <w:rPr>
          <w:rFonts w:ascii="Cambria Math" w:hAnsi="Cambria Math"/>
        </w:rPr>
        <w:t xml:space="preserve"> </w:t>
      </w:r>
      <w:r w:rsidR="004B216B" w:rsidRPr="00BE4ACA">
        <w:rPr>
          <w:rFonts w:ascii="Cambria Math" w:hAnsi="Cambria Math"/>
          <w:vertAlign w:val="subscript"/>
        </w:rPr>
        <w:t>target group</w:t>
      </w:r>
      <w:r w:rsidRPr="00BE4ACA">
        <w:rPr>
          <w:rFonts w:ascii="Cambria Math" w:hAnsi="Cambria Math"/>
        </w:rPr>
        <w:t>= Average Value</w:t>
      </w:r>
      <w:r w:rsidR="004B216B" w:rsidRPr="00BE4ACA">
        <w:rPr>
          <w:rFonts w:ascii="Cambria Math" w:hAnsi="Cambria Math"/>
        </w:rPr>
        <w:t xml:space="preserve"> </w:t>
      </w:r>
      <w:r w:rsidR="004B216B" w:rsidRPr="00BE4ACA">
        <w:rPr>
          <w:rFonts w:ascii="Cambria Math" w:hAnsi="Cambria Math"/>
          <w:vertAlign w:val="subscript"/>
        </w:rPr>
        <w:t>reference group</w:t>
      </w:r>
      <w:r w:rsidRPr="00BE4ACA">
        <w:rPr>
          <w:rFonts w:ascii="Cambria Math" w:hAnsi="Cambria Math"/>
          <w:vertAlign w:val="subscript"/>
        </w:rPr>
        <w:t xml:space="preserve"> </w:t>
      </w:r>
      <w:r w:rsidRPr="00BE4ACA">
        <w:rPr>
          <w:rFonts w:ascii="Cambria Math" w:hAnsi="Cambria Math"/>
        </w:rPr>
        <w:t>× (scaling factor) × (1 + growth factor)</w:t>
      </w:r>
    </w:p>
    <w:p w14:paraId="27D3B5AB" w14:textId="2CC93C91" w:rsidR="00D34974" w:rsidRPr="00276BEE" w:rsidRDefault="00D34974" w:rsidP="003E2E95">
      <w:pPr>
        <w:pStyle w:val="Heading30"/>
      </w:pPr>
      <w:bookmarkStart w:id="220" w:name="_Toc207801104"/>
      <w:bookmarkStart w:id="221" w:name="_Toc207801105"/>
      <w:bookmarkStart w:id="222" w:name="_Toc207824575"/>
      <w:bookmarkEnd w:id="218"/>
      <w:bookmarkEnd w:id="219"/>
      <w:bookmarkEnd w:id="220"/>
      <w:r w:rsidRPr="00276BEE">
        <w:t xml:space="preserve">Rounding </w:t>
      </w:r>
      <w:r w:rsidR="00234768">
        <w:t>and adjustments</w:t>
      </w:r>
      <w:bookmarkEnd w:id="221"/>
      <w:bookmarkEnd w:id="222"/>
    </w:p>
    <w:p w14:paraId="7410706E" w14:textId="3F088D21" w:rsidR="005376F2" w:rsidRDefault="00FE76D3" w:rsidP="00114F22">
      <w:r>
        <w:t>E</w:t>
      </w:r>
      <w:r w:rsidR="007B76CD">
        <w:t>stimates from e</w:t>
      </w:r>
      <w:r w:rsidR="005376F2">
        <w:t>xtrapolat</w:t>
      </w:r>
      <w:r w:rsidR="0056271D">
        <w:t xml:space="preserve">ion and interpolation are inherently uncertain, and </w:t>
      </w:r>
      <w:r w:rsidR="00333EDA">
        <w:t>t</w:t>
      </w:r>
      <w:r w:rsidR="00333EDA" w:rsidRPr="00871F68">
        <w:t xml:space="preserve">he </w:t>
      </w:r>
      <w:r w:rsidR="00333EDA">
        <w:t>range of calculated</w:t>
      </w:r>
      <w:r w:rsidR="00333EDA" w:rsidRPr="00871F68">
        <w:t xml:space="preserve"> </w:t>
      </w:r>
      <w:r w:rsidR="00333EDA">
        <w:t>values</w:t>
      </w:r>
      <w:r w:rsidR="00333EDA" w:rsidRPr="00871F68">
        <w:t xml:space="preserve"> </w:t>
      </w:r>
      <w:r w:rsidR="00333EDA">
        <w:t xml:space="preserve">should </w:t>
      </w:r>
      <w:r w:rsidR="00333EDA" w:rsidRPr="00871F68">
        <w:t xml:space="preserve">be reviewed to ensure </w:t>
      </w:r>
      <w:r w:rsidR="00333EDA">
        <w:t xml:space="preserve">differences between age groups </w:t>
      </w:r>
      <w:r w:rsidR="00333EDA" w:rsidRPr="00871F68">
        <w:t xml:space="preserve">are </w:t>
      </w:r>
      <w:r w:rsidR="00333EDA">
        <w:t xml:space="preserve">coherent </w:t>
      </w:r>
      <w:r w:rsidR="00333EDA">
        <w:rPr>
          <w:shd w:val="clear" w:color="auto" w:fill="FFFFFF"/>
        </w:rPr>
        <w:fldChar w:fldCharType="begin"/>
      </w:r>
      <w:r w:rsidR="00333EDA">
        <w:rPr>
          <w:shd w:val="clear" w:color="auto" w:fill="FFFFFF"/>
        </w:rPr>
        <w:instrText xml:space="preserve"> ADDIN EN.CITE &lt;EndNote&gt;&lt;Cite&gt;&lt;Author&gt;NASEM&lt;/Author&gt;&lt;Year&gt;2018&lt;/Year&gt;&lt;RecNum&gt;67&lt;/RecNum&gt;&lt;DisplayText&gt;(NASEM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sidR="00333EDA">
        <w:rPr>
          <w:shd w:val="clear" w:color="auto" w:fill="FFFFFF"/>
        </w:rPr>
        <w:fldChar w:fldCharType="separate"/>
      </w:r>
      <w:r w:rsidR="00333EDA">
        <w:rPr>
          <w:noProof/>
          <w:shd w:val="clear" w:color="auto" w:fill="FFFFFF"/>
        </w:rPr>
        <w:t>(NASEM 2018)</w:t>
      </w:r>
      <w:r w:rsidR="00333EDA">
        <w:rPr>
          <w:shd w:val="clear" w:color="auto" w:fill="FFFFFF"/>
        </w:rPr>
        <w:fldChar w:fldCharType="end"/>
      </w:r>
      <w:r w:rsidR="00333EDA">
        <w:rPr>
          <w:shd w:val="clear" w:color="auto" w:fill="FFFFFF"/>
        </w:rPr>
        <w:t>.</w:t>
      </w:r>
      <w:r w:rsidR="00333EDA" w:rsidRPr="00871F68">
        <w:t xml:space="preserve"> </w:t>
      </w:r>
      <w:r w:rsidR="00A4109E">
        <w:t xml:space="preserve">Where abrupt or significant changes are observed between age groups, consideration should be given </w:t>
      </w:r>
      <w:r w:rsidR="007B76CD">
        <w:t xml:space="preserve">to whether this change is </w:t>
      </w:r>
      <w:r w:rsidR="00C73F57">
        <w:t>appropriate (e</w:t>
      </w:r>
      <w:r w:rsidR="00877F0F">
        <w:t>.</w:t>
      </w:r>
      <w:r w:rsidR="00C73F57">
        <w:t xml:space="preserve">g. does it </w:t>
      </w:r>
      <w:r w:rsidR="007B76CD">
        <w:t xml:space="preserve">reflect a significant shift in requirements aligned with </w:t>
      </w:r>
      <w:r w:rsidR="00C73F57">
        <w:t xml:space="preserve">a particular </w:t>
      </w:r>
      <w:r w:rsidR="007B76CD">
        <w:t>life age/stage</w:t>
      </w:r>
      <w:r w:rsidR="00C73F57">
        <w:t>)</w:t>
      </w:r>
      <w:r w:rsidR="007B76CD">
        <w:t xml:space="preserve">. </w:t>
      </w:r>
      <w:r w:rsidR="00343C09">
        <w:t xml:space="preserve">NRVs should be adjusted – where necessary - to ensure appropriate consistency </w:t>
      </w:r>
      <w:r w:rsidR="00140A6F">
        <w:t xml:space="preserve">in recommendations </w:t>
      </w:r>
      <w:r w:rsidR="00343C09">
        <w:t>across age groups.</w:t>
      </w:r>
      <w:r w:rsidR="00140A6F">
        <w:t xml:space="preserve"> Where age groupings include children and adolescents of varying age and developmental stage, consideration should be given to whether it is most appropriate to round upwards or downwards to ensure that the needs of all children within an age grouping are met.</w:t>
      </w:r>
    </w:p>
    <w:p w14:paraId="0F1A966C" w14:textId="77777777" w:rsidR="00057B92" w:rsidRDefault="00057B92" w:rsidP="00114F22"/>
    <w:p w14:paraId="7B18538C" w14:textId="17C6B4D4" w:rsidR="00160234" w:rsidRDefault="00B01727" w:rsidP="00D34974">
      <w:r>
        <w:t>Any ro</w:t>
      </w:r>
      <w:r w:rsidR="00D34974">
        <w:t xml:space="preserve">unding </w:t>
      </w:r>
      <w:r>
        <w:t xml:space="preserve">and adjustment to </w:t>
      </w:r>
      <w:r w:rsidR="00D34974">
        <w:t xml:space="preserve">draft values must be clearly communicated and the rationale included in the </w:t>
      </w:r>
      <w:r>
        <w:t>review documentation</w:t>
      </w:r>
      <w:r w:rsidR="00D34974">
        <w:t xml:space="preserve">. Implications of any rounding must be considered. </w:t>
      </w:r>
    </w:p>
    <w:p w14:paraId="500FC374" w14:textId="582DDFFB" w:rsidR="00A825C6" w:rsidRDefault="00A825C6" w:rsidP="003E2E95">
      <w:pPr>
        <w:pStyle w:val="Heading30"/>
      </w:pPr>
      <w:bookmarkStart w:id="223" w:name="_Toc153967153"/>
      <w:bookmarkStart w:id="224" w:name="_Toc207801106"/>
      <w:bookmarkStart w:id="225" w:name="_Toc207824576"/>
      <w:r>
        <w:t xml:space="preserve">Special </w:t>
      </w:r>
      <w:bookmarkEnd w:id="223"/>
      <w:r w:rsidR="00F86DE7">
        <w:t>c</w:t>
      </w:r>
      <w:r>
        <w:t>onsiderations</w:t>
      </w:r>
      <w:bookmarkEnd w:id="224"/>
      <w:bookmarkEnd w:id="225"/>
    </w:p>
    <w:p w14:paraId="73DFD107" w14:textId="0C5163B7" w:rsidR="000774F4" w:rsidRDefault="00E62914" w:rsidP="003E2E95">
      <w:pPr>
        <w:pStyle w:val="Heading40"/>
      </w:pPr>
      <w:bookmarkStart w:id="226" w:name="_Toc153967154"/>
      <w:r>
        <w:t xml:space="preserve"> </w:t>
      </w:r>
      <w:bookmarkStart w:id="227" w:name="_Toc207801107"/>
      <w:bookmarkStart w:id="228" w:name="_Toc207824577"/>
      <w:r w:rsidR="000774F4" w:rsidRPr="00C7779B">
        <w:t>Requirements for physiologically derived nutrients</w:t>
      </w:r>
      <w:bookmarkEnd w:id="226"/>
      <w:bookmarkEnd w:id="227"/>
      <w:bookmarkEnd w:id="228"/>
    </w:p>
    <w:p w14:paraId="6C62F339" w14:textId="0E043B3B" w:rsidR="000774F4" w:rsidRDefault="00C719D2" w:rsidP="000774F4">
      <w:r w:rsidRPr="00C719D2">
        <w:t>Nutrients that are synthesised in the body, such as vitamin D and vitamin K, have both dietary and non-dietary sources.</w:t>
      </w:r>
      <w:r>
        <w:t xml:space="preserve"> </w:t>
      </w:r>
      <w:r w:rsidR="000774F4">
        <w:t xml:space="preserve">Review of these two nutrients requires consideration of whether NRVs should be set based on: </w:t>
      </w:r>
    </w:p>
    <w:p w14:paraId="2B19D150" w14:textId="77777777" w:rsidR="000774F4" w:rsidRDefault="000774F4" w:rsidP="00211F4C">
      <w:pPr>
        <w:pStyle w:val="ListParagraph"/>
        <w:numPr>
          <w:ilvl w:val="0"/>
          <w:numId w:val="17"/>
        </w:numPr>
      </w:pPr>
      <w:r>
        <w:t xml:space="preserve">physiological requirements of individuals (regardless of the source of intake), or </w:t>
      </w:r>
    </w:p>
    <w:p w14:paraId="187FAA6E" w14:textId="77777777" w:rsidR="000774F4" w:rsidRDefault="000774F4" w:rsidP="00211F4C">
      <w:pPr>
        <w:pStyle w:val="ListParagraph"/>
        <w:numPr>
          <w:ilvl w:val="0"/>
          <w:numId w:val="17"/>
        </w:numPr>
      </w:pPr>
      <w:r>
        <w:t>dietary requirements following consideration of the non-dietary contribution to the physiological intake.</w:t>
      </w:r>
    </w:p>
    <w:p w14:paraId="74B9F28F" w14:textId="77777777" w:rsidR="000774F4" w:rsidRDefault="000774F4" w:rsidP="000774F4">
      <w:r>
        <w:t>Reviews of these nutrients should clearly identify the basis for setting nutrient values and ensure:</w:t>
      </w:r>
    </w:p>
    <w:p w14:paraId="1C9B456C" w14:textId="66D5CF64" w:rsidR="000774F4" w:rsidRDefault="000774F4" w:rsidP="00211F4C">
      <w:pPr>
        <w:pStyle w:val="ListParagraph"/>
        <w:numPr>
          <w:ilvl w:val="0"/>
          <w:numId w:val="18"/>
        </w:numPr>
      </w:pPr>
      <w:r>
        <w:lastRenderedPageBreak/>
        <w:t>Studies are consistent in focus i.e. they report on dietary or physiological requirements</w:t>
      </w:r>
    </w:p>
    <w:p w14:paraId="0BC30240" w14:textId="77777777" w:rsidR="000774F4" w:rsidRDefault="000774F4" w:rsidP="00211F4C">
      <w:pPr>
        <w:pStyle w:val="ListParagraph"/>
        <w:numPr>
          <w:ilvl w:val="0"/>
          <w:numId w:val="18"/>
        </w:numPr>
      </w:pPr>
      <w:r>
        <w:t>If values are developed based on dietary requirements, both physiological and dietary reference values are provided</w:t>
      </w:r>
    </w:p>
    <w:p w14:paraId="533A05B3" w14:textId="0D497945" w:rsidR="000774F4" w:rsidRDefault="000774F4" w:rsidP="00211F4C">
      <w:pPr>
        <w:pStyle w:val="ListParagraph"/>
        <w:numPr>
          <w:ilvl w:val="0"/>
          <w:numId w:val="18"/>
        </w:numPr>
      </w:pPr>
      <w:r>
        <w:t xml:space="preserve">Recommendations clearly identify appropriate comparison and use of values. For example, it is inappropriate to </w:t>
      </w:r>
      <w:r w:rsidR="001D56DD">
        <w:t>compare</w:t>
      </w:r>
      <w:r>
        <w:t xml:space="preserve"> population vitamin D intakes </w:t>
      </w:r>
      <w:r w:rsidR="002A1AB0" w:rsidRPr="0013582C">
        <w:rPr>
          <w:szCs w:val="20"/>
        </w:rPr>
        <w:t xml:space="preserve">from a region that experiences high sunlight exposure </w:t>
      </w:r>
      <w:r>
        <w:t xml:space="preserve">with an </w:t>
      </w:r>
      <w:r w:rsidRPr="008926E4">
        <w:t>AI</w:t>
      </w:r>
      <w:r>
        <w:t xml:space="preserve"> that assumes minimal sunlight exposure.</w:t>
      </w:r>
    </w:p>
    <w:p w14:paraId="48B8D237" w14:textId="2FF48DAA" w:rsidR="00A825C6" w:rsidRDefault="000774F4" w:rsidP="000774F4">
      <w:r>
        <w:t xml:space="preserve">Consideration should be given to development of an AI for vitamin D levels in Australia and New Zealand that </w:t>
      </w:r>
      <w:r w:rsidR="002B21B6">
        <w:t>considers</w:t>
      </w:r>
      <w:r>
        <w:t xml:space="preserve"> </w:t>
      </w:r>
      <w:r w:rsidR="002A1AB0">
        <w:t xml:space="preserve">varying </w:t>
      </w:r>
      <w:r>
        <w:t>sunshine exposure in all regions</w:t>
      </w:r>
      <w:r w:rsidR="002A1AB0">
        <w:t>/populations</w:t>
      </w:r>
      <w:r w:rsidR="008F07BD">
        <w:t>.</w:t>
      </w:r>
    </w:p>
    <w:p w14:paraId="5C82BA40" w14:textId="72196D35" w:rsidR="00542F3F" w:rsidRDefault="00877527" w:rsidP="003449C9">
      <w:pPr>
        <w:pStyle w:val="Heading2Chapter"/>
      </w:pPr>
      <w:r>
        <w:br w:type="page"/>
      </w:r>
      <w:bookmarkStart w:id="229" w:name="_Toc153967155"/>
      <w:bookmarkStart w:id="230" w:name="_Ref197506473"/>
      <w:bookmarkStart w:id="231" w:name="_Ref197506477"/>
      <w:bookmarkStart w:id="232" w:name="_Ref197506483"/>
      <w:bookmarkStart w:id="233" w:name="_Ref197506486"/>
      <w:bookmarkStart w:id="234" w:name="_Toc207801108"/>
      <w:bookmarkStart w:id="235" w:name="_Toc207824578"/>
      <w:r w:rsidR="005606F3">
        <w:rPr>
          <w:noProof/>
        </w:rPr>
        <w:lastRenderedPageBreak/>
        <mc:AlternateContent>
          <mc:Choice Requires="wps">
            <w:drawing>
              <wp:anchor distT="0" distB="0" distL="114300" distR="114300" simplePos="0" relativeHeight="251656192" behindDoc="0" locked="0" layoutInCell="1" allowOverlap="1" wp14:anchorId="2AD3EB35" wp14:editId="5A37DB3F">
                <wp:simplePos x="0" y="0"/>
                <wp:positionH relativeFrom="column">
                  <wp:posOffset>11496675</wp:posOffset>
                </wp:positionH>
                <wp:positionV relativeFrom="paragraph">
                  <wp:posOffset>-38100</wp:posOffset>
                </wp:positionV>
                <wp:extent cx="1257935" cy="429260"/>
                <wp:effectExtent l="0" t="0" r="0" b="0"/>
                <wp:wrapNone/>
                <wp:docPr id="182761781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935" cy="429260"/>
                        </a:xfrm>
                        <a:prstGeom prst="rect">
                          <a:avLst/>
                        </a:prstGeom>
                        <a:noFill/>
                      </wps:spPr>
                      <wps:txbx>
                        <w:txbxContent>
                          <w:p w14:paraId="0D0977D1" w14:textId="77777777" w:rsidR="003B33E6" w:rsidRDefault="003B33E6" w:rsidP="003B33E6">
                            <w:pPr>
                              <w:rPr>
                                <w:rFonts w:asciiTheme="minorHAnsi" w:hAnsi="Arial" w:cstheme="minorBidi"/>
                                <w:b/>
                                <w:kern w:val="24"/>
                                <w:sz w:val="18"/>
                              </w:rPr>
                            </w:pPr>
                            <w:r>
                              <w:rPr>
                                <w:rFonts w:asciiTheme="minorHAnsi" w:hAnsi="Arial" w:cstheme="minorBidi"/>
                                <w:b/>
                                <w:kern w:val="24"/>
                                <w:sz w:val="18"/>
                              </w:rPr>
                              <w:t xml:space="preserve">Relevant links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AD3EB35" id="_x0000_t202" coordsize="21600,21600" o:spt="202" path="m,l,21600r21600,l21600,xe">
                <v:stroke joinstyle="miter"/>
                <v:path gradientshapeok="t" o:connecttype="rect"/>
              </v:shapetype>
              <v:shape id="Text Box 45" o:spid="_x0000_s1096" type="#_x0000_t202" style="position:absolute;left:0;text-align:left;margin-left:905.25pt;margin-top:-3pt;width:99.05pt;height:33.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" filled="f" stroked="f">
                <v:textbox>
                  <w:txbxContent>
                    <w:p w14:paraId="0D0977D1" w14:textId="77777777" w:rsidR="003B33E6" w:rsidRDefault="003B33E6" w:rsidP="003B33E6">
                      <w:pPr>
                        <w:rPr>
                          <w:rFonts w:asciiTheme="minorHAnsi" w:hAnsi="Arial" w:cstheme="minorBidi"/>
                          <w:b/>
                          <w:kern w:val="24"/>
                          <w:sz w:val="18"/>
                        </w:rPr>
                      </w:pPr>
                      <w:r>
                        <w:rPr>
                          <w:rFonts w:asciiTheme="minorHAnsi" w:hAnsi="Arial" w:cstheme="minorBidi"/>
                          <w:b/>
                          <w:kern w:val="24"/>
                          <w:sz w:val="18"/>
                        </w:rPr>
                        <w:t xml:space="preserve">Relevant links </w:t>
                      </w:r>
                    </w:p>
                  </w:txbxContent>
                </v:textbox>
              </v:shape>
            </w:pict>
          </mc:Fallback>
        </mc:AlternateContent>
      </w:r>
      <w:r w:rsidR="005606F3">
        <w:rPr>
          <w:noProof/>
        </w:rPr>
        <mc:AlternateContent>
          <mc:Choice Requires="wps">
            <w:drawing>
              <wp:anchor distT="0" distB="0" distL="114300" distR="114300" simplePos="0" relativeHeight="251656193" behindDoc="0" locked="0" layoutInCell="1" allowOverlap="1" wp14:anchorId="475F0818" wp14:editId="2BE2F048">
                <wp:simplePos x="0" y="0"/>
                <wp:positionH relativeFrom="column">
                  <wp:posOffset>10944225</wp:posOffset>
                </wp:positionH>
                <wp:positionV relativeFrom="paragraph">
                  <wp:posOffset>638175</wp:posOffset>
                </wp:positionV>
                <wp:extent cx="1466850" cy="1129665"/>
                <wp:effectExtent l="0" t="0" r="0" b="0"/>
                <wp:wrapNone/>
                <wp:docPr id="65179616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1129665"/>
                        </a:xfrm>
                        <a:prstGeom prst="rect">
                          <a:avLst/>
                        </a:prstGeom>
                        <a:solidFill>
                          <a:srgbClr val="FCBEB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A8A12A" w14:textId="77777777" w:rsidR="003B33E6" w:rsidRDefault="003B33E6" w:rsidP="003B33E6">
                            <w:pPr>
                              <w:spacing w:line="276" w:lineRule="auto"/>
                              <w:rPr>
                                <w:rFonts w:asciiTheme="minorHAnsi" w:eastAsia="Calibri" w:hAnsi="Arial"/>
                                <w:color w:val="0000FF"/>
                                <w:kern w:val="24"/>
                                <w:sz w:val="12"/>
                                <w:szCs w:val="12"/>
                              </w:rPr>
                            </w:pPr>
                            <w:hyperlink r:id="rId118" w:history="1">
                              <w:r w:rsidRPr="00BF677F">
                                <w:rPr>
                                  <w:rStyle w:val="Hyperlink"/>
                                  <w:rFonts w:asciiTheme="minorHAnsi" w:eastAsia="Calibri" w:hAnsi="Arial"/>
                                  <w:color w:val="0056A3"/>
                                  <w:kern w:val="24"/>
                                  <w:sz w:val="12"/>
                                  <w:szCs w:val="12"/>
                                </w:rPr>
                                <w:t>Information Products Scoping Report Template</w:t>
                              </w:r>
                            </w:hyperlink>
                          </w:p>
                          <w:p w14:paraId="653BA9F6" w14:textId="77777777" w:rsidR="003B33E6" w:rsidRDefault="003B33E6" w:rsidP="003B33E6">
                            <w:pPr>
                              <w:spacing w:line="276" w:lineRule="auto"/>
                              <w:rPr>
                                <w:rFonts w:asciiTheme="minorHAnsi" w:eastAsia="Calibri" w:hAnsi="Arial"/>
                                <w:color w:val="0000FF"/>
                                <w:kern w:val="24"/>
                                <w:sz w:val="12"/>
                                <w:szCs w:val="12"/>
                              </w:rPr>
                            </w:pPr>
                            <w:hyperlink r:id="rId119" w:history="1">
                              <w:r w:rsidRPr="00BF677F">
                                <w:rPr>
                                  <w:rStyle w:val="Hyperlink"/>
                                  <w:rFonts w:asciiTheme="minorHAnsi" w:eastAsia="Calibri" w:hAnsi="Arial"/>
                                  <w:color w:val="0056A3"/>
                                  <w:kern w:val="24"/>
                                  <w:sz w:val="12"/>
                                  <w:szCs w:val="12"/>
                                </w:rPr>
                                <w:t xml:space="preserve">NHMRC Guidance Documents </w:t>
                              </w:r>
                            </w:hyperlink>
                          </w:p>
                          <w:p w14:paraId="3CF43D2D" w14:textId="77777777" w:rsidR="003B33E6" w:rsidRDefault="003B33E6" w:rsidP="003B33E6">
                            <w:pPr>
                              <w:spacing w:line="276" w:lineRule="auto"/>
                              <w:rPr>
                                <w:rFonts w:asciiTheme="minorHAnsi" w:eastAsia="Calibri" w:hAnsi="Arial"/>
                                <w:color w:val="0000FF"/>
                                <w:kern w:val="24"/>
                                <w:sz w:val="12"/>
                                <w:szCs w:val="12"/>
                              </w:rPr>
                            </w:pPr>
                            <w:hyperlink r:id="rId120" w:history="1">
                              <w:r w:rsidRPr="00BF677F">
                                <w:rPr>
                                  <w:rStyle w:val="Hyperlink"/>
                                  <w:rFonts w:asciiTheme="minorHAnsi" w:eastAsia="Calibri" w:hAnsi="Arial"/>
                                  <w:color w:val="0056A3"/>
                                  <w:kern w:val="24"/>
                                  <w:sz w:val="12"/>
                                  <w:szCs w:val="12"/>
                                </w:rPr>
                                <w:t>NHMRC Act 1992</w:t>
                              </w:r>
                            </w:hyperlink>
                          </w:p>
                          <w:p w14:paraId="00DBB607" w14:textId="77777777" w:rsidR="003B33E6" w:rsidRDefault="003B33E6" w:rsidP="003B33E6">
                            <w:pPr>
                              <w:spacing w:line="276" w:lineRule="auto"/>
                              <w:rPr>
                                <w:rFonts w:asciiTheme="minorHAnsi" w:eastAsia="Calibri" w:hAnsi="Arial"/>
                                <w:color w:val="0000FF"/>
                                <w:kern w:val="24"/>
                                <w:sz w:val="12"/>
                                <w:szCs w:val="12"/>
                              </w:rPr>
                            </w:pPr>
                            <w:hyperlink r:id="rId121" w:history="1">
                              <w:r w:rsidRPr="00BF677F">
                                <w:rPr>
                                  <w:rStyle w:val="Hyperlink"/>
                                  <w:rFonts w:asciiTheme="minorHAnsi" w:eastAsia="Calibri" w:hAnsi="Arial"/>
                                  <w:color w:val="0056A3"/>
                                  <w:kern w:val="24"/>
                                  <w:sz w:val="12"/>
                                  <w:szCs w:val="12"/>
                                </w:rPr>
                                <w:t>Procurement Proposal Plan (PPP)</w:t>
                              </w:r>
                            </w:hyperlink>
                          </w:p>
                          <w:p w14:paraId="07E2D362" w14:textId="77777777" w:rsidR="003B33E6" w:rsidRDefault="003B33E6" w:rsidP="003B33E6">
                            <w:pPr>
                              <w:spacing w:line="276" w:lineRule="auto"/>
                              <w:rPr>
                                <w:rFonts w:asciiTheme="minorHAnsi" w:eastAsia="Calibri" w:hAnsi="Arial"/>
                                <w:color w:val="0000FF"/>
                                <w:kern w:val="24"/>
                                <w:sz w:val="12"/>
                                <w:szCs w:val="12"/>
                              </w:rPr>
                            </w:pPr>
                            <w:hyperlink r:id="rId122" w:history="1">
                              <w:r w:rsidRPr="00BF677F">
                                <w:rPr>
                                  <w:rStyle w:val="Hyperlink"/>
                                  <w:rFonts w:asciiTheme="minorHAnsi" w:eastAsia="Calibri" w:hAnsi="Arial"/>
                                  <w:color w:val="0056A3"/>
                                  <w:kern w:val="24"/>
                                  <w:sz w:val="12"/>
                                  <w:szCs w:val="12"/>
                                </w:rPr>
                                <w:t>Project Plan Template</w:t>
                              </w:r>
                            </w:hyperlink>
                          </w:p>
                          <w:p w14:paraId="23D409DB" w14:textId="77777777" w:rsidR="003B33E6" w:rsidRDefault="003B33E6" w:rsidP="003B33E6">
                            <w:pPr>
                              <w:spacing w:line="276" w:lineRule="auto"/>
                              <w:rPr>
                                <w:rFonts w:asciiTheme="minorHAnsi" w:eastAsia="Calibri" w:hAnsi="Arial"/>
                                <w:color w:val="0000FF"/>
                                <w:kern w:val="24"/>
                                <w:sz w:val="12"/>
                                <w:szCs w:val="12"/>
                              </w:rPr>
                            </w:pPr>
                            <w:hyperlink r:id="rId123" w:history="1">
                              <w:r w:rsidRPr="00BF677F">
                                <w:rPr>
                                  <w:rStyle w:val="Hyperlink"/>
                                  <w:rFonts w:asciiTheme="minorHAnsi" w:eastAsia="Calibri" w:hAnsi="Arial"/>
                                  <w:color w:val="0056A3"/>
                                  <w:kern w:val="24"/>
                                  <w:sz w:val="12"/>
                                  <w:szCs w:val="12"/>
                                </w:rPr>
                                <w:t>Clinical Practice Guidelines Portal - Home</w:t>
                              </w:r>
                            </w:hyperlink>
                          </w:p>
                          <w:p w14:paraId="188ADED4" w14:textId="77777777" w:rsidR="003B33E6" w:rsidRPr="00BF677F" w:rsidRDefault="003B33E6" w:rsidP="003B33E6">
                            <w:pPr>
                              <w:spacing w:line="276" w:lineRule="auto"/>
                              <w:rPr>
                                <w:rFonts w:asciiTheme="minorHAnsi" w:eastAsia="Calibri" w:hAnsi="Arial" w:cs="Arial"/>
                                <w:color w:val="055590"/>
                                <w:kern w:val="24"/>
                                <w:sz w:val="12"/>
                                <w:szCs w:val="12"/>
                              </w:rPr>
                            </w:pPr>
                            <w:r w:rsidRPr="00BF677F">
                              <w:rPr>
                                <w:rFonts w:asciiTheme="minorHAnsi" w:eastAsia="Calibri" w:hAnsi="Arial" w:cs="Arial"/>
                                <w:color w:val="055590"/>
                                <w:kern w:val="24"/>
                                <w:sz w:val="12"/>
                                <w:szCs w:val="12"/>
                              </w:rPr>
                              <w:t>Business Planning Dashboard (Director-level only)</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F0818" id="Rectangle 44" o:spid="_x0000_s1097" style="position:absolute;left:0;text-align:left;margin-left:861.75pt;margin-top:50.25pt;width:115.5pt;height:88.95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" fillcolor="#fcbeb2" strokecolor="#246682 [1604]" strokeweight="2pt">
                <v:path arrowok="t"/>
                <v:textbox>
                  <w:txbxContent>
                    <w:p w14:paraId="49A8A12A" w14:textId="77777777" w:rsidR="003B33E6" w:rsidRDefault="003B33E6" w:rsidP="003B33E6">
                      <w:pPr>
                        <w:spacing w:line="276" w:lineRule="auto"/>
                        <w:rPr>
                          <w:rFonts w:asciiTheme="minorHAnsi" w:eastAsia="Calibri" w:hAnsi="Arial"/>
                          <w:color w:val="0000FF"/>
                          <w:kern w:val="24"/>
                          <w:sz w:val="12"/>
                          <w:szCs w:val="12"/>
                        </w:rPr>
                      </w:pPr>
                      <w:hyperlink r:id="rId124" w:history="1">
                        <w:r w:rsidRPr="00BF677F">
                          <w:rPr>
                            <w:rStyle w:val="Hyperlink"/>
                            <w:rFonts w:asciiTheme="minorHAnsi" w:eastAsia="Calibri" w:hAnsi="Arial"/>
                            <w:color w:val="0056A3"/>
                            <w:kern w:val="24"/>
                            <w:sz w:val="12"/>
                            <w:szCs w:val="12"/>
                          </w:rPr>
                          <w:t>Information Products Scoping Report Template</w:t>
                        </w:r>
                      </w:hyperlink>
                    </w:p>
                    <w:p w14:paraId="653BA9F6" w14:textId="77777777" w:rsidR="003B33E6" w:rsidRDefault="003B33E6" w:rsidP="003B33E6">
                      <w:pPr>
                        <w:spacing w:line="276" w:lineRule="auto"/>
                        <w:rPr>
                          <w:rFonts w:asciiTheme="minorHAnsi" w:eastAsia="Calibri" w:hAnsi="Arial"/>
                          <w:color w:val="0000FF"/>
                          <w:kern w:val="24"/>
                          <w:sz w:val="12"/>
                          <w:szCs w:val="12"/>
                        </w:rPr>
                      </w:pPr>
                      <w:hyperlink r:id="rId125" w:history="1">
                        <w:r w:rsidRPr="00BF677F">
                          <w:rPr>
                            <w:rStyle w:val="Hyperlink"/>
                            <w:rFonts w:asciiTheme="minorHAnsi" w:eastAsia="Calibri" w:hAnsi="Arial"/>
                            <w:color w:val="0056A3"/>
                            <w:kern w:val="24"/>
                            <w:sz w:val="12"/>
                            <w:szCs w:val="12"/>
                          </w:rPr>
                          <w:t xml:space="preserve">NHMRC Guidance Documents </w:t>
                        </w:r>
                      </w:hyperlink>
                    </w:p>
                    <w:p w14:paraId="3CF43D2D" w14:textId="77777777" w:rsidR="003B33E6" w:rsidRDefault="003B33E6" w:rsidP="003B33E6">
                      <w:pPr>
                        <w:spacing w:line="276" w:lineRule="auto"/>
                        <w:rPr>
                          <w:rFonts w:asciiTheme="minorHAnsi" w:eastAsia="Calibri" w:hAnsi="Arial"/>
                          <w:color w:val="0000FF"/>
                          <w:kern w:val="24"/>
                          <w:sz w:val="12"/>
                          <w:szCs w:val="12"/>
                        </w:rPr>
                      </w:pPr>
                      <w:hyperlink r:id="rId126" w:history="1">
                        <w:r w:rsidRPr="00BF677F">
                          <w:rPr>
                            <w:rStyle w:val="Hyperlink"/>
                            <w:rFonts w:asciiTheme="minorHAnsi" w:eastAsia="Calibri" w:hAnsi="Arial"/>
                            <w:color w:val="0056A3"/>
                            <w:kern w:val="24"/>
                            <w:sz w:val="12"/>
                            <w:szCs w:val="12"/>
                          </w:rPr>
                          <w:t>NHMRC Act 1992</w:t>
                        </w:r>
                      </w:hyperlink>
                    </w:p>
                    <w:p w14:paraId="00DBB607" w14:textId="77777777" w:rsidR="003B33E6" w:rsidRDefault="003B33E6" w:rsidP="003B33E6">
                      <w:pPr>
                        <w:spacing w:line="276" w:lineRule="auto"/>
                        <w:rPr>
                          <w:rFonts w:asciiTheme="minorHAnsi" w:eastAsia="Calibri" w:hAnsi="Arial"/>
                          <w:color w:val="0000FF"/>
                          <w:kern w:val="24"/>
                          <w:sz w:val="12"/>
                          <w:szCs w:val="12"/>
                        </w:rPr>
                      </w:pPr>
                      <w:hyperlink r:id="rId127" w:history="1">
                        <w:r w:rsidRPr="00BF677F">
                          <w:rPr>
                            <w:rStyle w:val="Hyperlink"/>
                            <w:rFonts w:asciiTheme="minorHAnsi" w:eastAsia="Calibri" w:hAnsi="Arial"/>
                            <w:color w:val="0056A3"/>
                            <w:kern w:val="24"/>
                            <w:sz w:val="12"/>
                            <w:szCs w:val="12"/>
                          </w:rPr>
                          <w:t>Procurement Proposal Plan (PPP)</w:t>
                        </w:r>
                      </w:hyperlink>
                    </w:p>
                    <w:p w14:paraId="07E2D362" w14:textId="77777777" w:rsidR="003B33E6" w:rsidRDefault="003B33E6" w:rsidP="003B33E6">
                      <w:pPr>
                        <w:spacing w:line="276" w:lineRule="auto"/>
                        <w:rPr>
                          <w:rFonts w:asciiTheme="minorHAnsi" w:eastAsia="Calibri" w:hAnsi="Arial"/>
                          <w:color w:val="0000FF"/>
                          <w:kern w:val="24"/>
                          <w:sz w:val="12"/>
                          <w:szCs w:val="12"/>
                        </w:rPr>
                      </w:pPr>
                      <w:hyperlink r:id="rId128" w:history="1">
                        <w:r w:rsidRPr="00BF677F">
                          <w:rPr>
                            <w:rStyle w:val="Hyperlink"/>
                            <w:rFonts w:asciiTheme="minorHAnsi" w:eastAsia="Calibri" w:hAnsi="Arial"/>
                            <w:color w:val="0056A3"/>
                            <w:kern w:val="24"/>
                            <w:sz w:val="12"/>
                            <w:szCs w:val="12"/>
                          </w:rPr>
                          <w:t>Project Plan Template</w:t>
                        </w:r>
                      </w:hyperlink>
                    </w:p>
                    <w:p w14:paraId="23D409DB" w14:textId="77777777" w:rsidR="003B33E6" w:rsidRDefault="003B33E6" w:rsidP="003B33E6">
                      <w:pPr>
                        <w:spacing w:line="276" w:lineRule="auto"/>
                        <w:rPr>
                          <w:rFonts w:asciiTheme="minorHAnsi" w:eastAsia="Calibri" w:hAnsi="Arial"/>
                          <w:color w:val="0000FF"/>
                          <w:kern w:val="24"/>
                          <w:sz w:val="12"/>
                          <w:szCs w:val="12"/>
                        </w:rPr>
                      </w:pPr>
                      <w:hyperlink r:id="rId129" w:history="1">
                        <w:r w:rsidRPr="00BF677F">
                          <w:rPr>
                            <w:rStyle w:val="Hyperlink"/>
                            <w:rFonts w:asciiTheme="minorHAnsi" w:eastAsia="Calibri" w:hAnsi="Arial"/>
                            <w:color w:val="0056A3"/>
                            <w:kern w:val="24"/>
                            <w:sz w:val="12"/>
                            <w:szCs w:val="12"/>
                          </w:rPr>
                          <w:t>Clinical Practice Guidelines Portal - Home</w:t>
                        </w:r>
                      </w:hyperlink>
                    </w:p>
                    <w:p w14:paraId="188ADED4" w14:textId="77777777" w:rsidR="003B33E6" w:rsidRPr="00BF677F" w:rsidRDefault="003B33E6" w:rsidP="003B33E6">
                      <w:pPr>
                        <w:spacing w:line="276" w:lineRule="auto"/>
                        <w:rPr>
                          <w:rFonts w:asciiTheme="minorHAnsi" w:eastAsia="Calibri" w:hAnsi="Arial" w:cs="Arial"/>
                          <w:color w:val="055590"/>
                          <w:kern w:val="24"/>
                          <w:sz w:val="12"/>
                          <w:szCs w:val="12"/>
                        </w:rPr>
                      </w:pPr>
                      <w:r w:rsidRPr="00BF677F">
                        <w:rPr>
                          <w:rFonts w:asciiTheme="minorHAnsi" w:eastAsia="Calibri" w:hAnsi="Arial" w:cs="Arial"/>
                          <w:color w:val="055590"/>
                          <w:kern w:val="24"/>
                          <w:sz w:val="12"/>
                          <w:szCs w:val="12"/>
                        </w:rPr>
                        <w:t>Business Planning Dashboard (Director-level only)</w:t>
                      </w:r>
                    </w:p>
                  </w:txbxContent>
                </v:textbox>
              </v:rect>
            </w:pict>
          </mc:Fallback>
        </mc:AlternateContent>
      </w:r>
      <w:r w:rsidR="005606F3">
        <w:rPr>
          <w:noProof/>
        </w:rPr>
        <mc:AlternateContent>
          <mc:Choice Requires="wps">
            <w:drawing>
              <wp:anchor distT="0" distB="0" distL="114300" distR="114300" simplePos="0" relativeHeight="251656194" behindDoc="0" locked="0" layoutInCell="1" allowOverlap="1" wp14:anchorId="2A8D325C" wp14:editId="3C28BF51">
                <wp:simplePos x="0" y="0"/>
                <wp:positionH relativeFrom="column">
                  <wp:posOffset>10949305</wp:posOffset>
                </wp:positionH>
                <wp:positionV relativeFrom="paragraph">
                  <wp:posOffset>2790825</wp:posOffset>
                </wp:positionV>
                <wp:extent cx="1465580" cy="840105"/>
                <wp:effectExtent l="0" t="0" r="1270" b="0"/>
                <wp:wrapNone/>
                <wp:docPr id="103205351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5580" cy="840105"/>
                        </a:xfrm>
                        <a:prstGeom prst="rect">
                          <a:avLst/>
                        </a:prstGeom>
                        <a:solidFill>
                          <a:srgbClr val="FCBEB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009B9A" w14:textId="77777777" w:rsidR="003B33E6" w:rsidRDefault="003B33E6" w:rsidP="003B33E6">
                            <w:pPr>
                              <w:rPr>
                                <w:rFonts w:asciiTheme="minorHAnsi" w:eastAsia="Calibri" w:hAnsi="Arial" w:cstheme="minorBidi"/>
                                <w:b/>
                                <w:bCs/>
                                <w:i/>
                                <w:iCs/>
                                <w:color w:val="000000"/>
                                <w:kern w:val="24"/>
                                <w:sz w:val="12"/>
                                <w:szCs w:val="12"/>
                              </w:rPr>
                            </w:pPr>
                            <w:hyperlink r:id="rId130" w:history="1">
                              <w:r>
                                <w:rPr>
                                  <w:rStyle w:val="Hyperlink"/>
                                  <w:rFonts w:asciiTheme="minorHAnsi" w:eastAsia="Calibri" w:hAnsi="Arial" w:cstheme="minorBidi"/>
                                  <w:b/>
                                  <w:bCs/>
                                  <w:i/>
                                  <w:iCs/>
                                  <w:color w:val="000000"/>
                                  <w:kern w:val="24"/>
                                  <w:sz w:val="12"/>
                                  <w:szCs w:val="12"/>
                                </w:rPr>
                                <w:t>Establishing s39 working committee</w:t>
                              </w:r>
                            </w:hyperlink>
                            <w:r>
                              <w:rPr>
                                <w:rFonts w:asciiTheme="minorHAnsi" w:eastAsia="Calibri" w:hAnsi="Arial" w:cstheme="minorBidi"/>
                                <w:b/>
                                <w:bCs/>
                                <w:i/>
                                <w:iCs/>
                                <w:color w:val="000000"/>
                                <w:kern w:val="24"/>
                                <w:sz w:val="12"/>
                                <w:szCs w:val="12"/>
                              </w:rPr>
                              <w:t xml:space="preserve"> SOP</w:t>
                            </w:r>
                          </w:p>
                          <w:p w14:paraId="035E260C" w14:textId="77777777" w:rsidR="003B33E6" w:rsidRDefault="003B33E6" w:rsidP="003B33E6">
                            <w:pPr>
                              <w:spacing w:line="276" w:lineRule="auto"/>
                              <w:rPr>
                                <w:rFonts w:asciiTheme="minorHAnsi" w:eastAsia="Calibri" w:hAnsi="Arial"/>
                                <w:b/>
                                <w:bCs/>
                                <w:i/>
                                <w:iCs/>
                                <w:color w:val="000000"/>
                                <w:kern w:val="24"/>
                                <w:sz w:val="12"/>
                                <w:szCs w:val="12"/>
                              </w:rPr>
                            </w:pPr>
                            <w:r>
                              <w:rPr>
                                <w:rFonts w:asciiTheme="minorHAnsi" w:eastAsia="Calibri" w:hAnsi="Arial"/>
                                <w:b/>
                                <w:bCs/>
                                <w:i/>
                                <w:iCs/>
                                <w:color w:val="000000"/>
                                <w:kern w:val="24"/>
                                <w:sz w:val="12"/>
                                <w:szCs w:val="12"/>
                              </w:rPr>
                              <w:t xml:space="preserve">Arranging Meetings – Principal Committees and Working Groups SOP </w:t>
                            </w:r>
                          </w:p>
                          <w:p w14:paraId="4DE653F1" w14:textId="77777777" w:rsidR="003B33E6" w:rsidRDefault="003B33E6" w:rsidP="003B33E6">
                            <w:pPr>
                              <w:spacing w:line="276" w:lineRule="auto"/>
                              <w:rPr>
                                <w:rFonts w:asciiTheme="minorHAnsi" w:eastAsia="Calibri" w:hAnsi="Arial" w:cs="Arial"/>
                                <w:color w:val="0000FF"/>
                                <w:kern w:val="24"/>
                                <w:sz w:val="12"/>
                                <w:szCs w:val="12"/>
                              </w:rPr>
                            </w:pPr>
                            <w:hyperlink r:id="rId131" w:history="1">
                              <w:r w:rsidRPr="00BF677F">
                                <w:rPr>
                                  <w:rStyle w:val="Hyperlink"/>
                                  <w:rFonts w:asciiTheme="minorHAnsi" w:eastAsia="Calibri" w:hAnsi="Arial" w:cs="Arial"/>
                                  <w:color w:val="0056A3"/>
                                  <w:kern w:val="24"/>
                                  <w:sz w:val="12"/>
                                  <w:szCs w:val="12"/>
                                </w:rPr>
                                <w:t>Template Minute to Establish Committee</w:t>
                              </w:r>
                            </w:hyperlink>
                          </w:p>
                          <w:p w14:paraId="182F21E0" w14:textId="77777777" w:rsidR="003B33E6" w:rsidRDefault="003B33E6" w:rsidP="003B33E6">
                            <w:pPr>
                              <w:spacing w:line="276" w:lineRule="auto"/>
                              <w:rPr>
                                <w:rFonts w:asciiTheme="minorHAnsi" w:eastAsia="Calibri" w:hAnsi="Arial"/>
                                <w:color w:val="0000FF"/>
                                <w:kern w:val="24"/>
                                <w:sz w:val="12"/>
                                <w:szCs w:val="12"/>
                              </w:rPr>
                            </w:pPr>
                            <w:hyperlink r:id="rId132" w:history="1">
                              <w:r w:rsidRPr="00BF677F">
                                <w:rPr>
                                  <w:rStyle w:val="Hyperlink"/>
                                  <w:rFonts w:asciiTheme="minorHAnsi" w:eastAsia="Calibri" w:hAnsi="Arial"/>
                                  <w:color w:val="0056A3"/>
                                  <w:kern w:val="24"/>
                                  <w:sz w:val="12"/>
                                  <w:szCs w:val="12"/>
                                </w:rPr>
                                <w:t>Template Minute to Appoint Members</w:t>
                              </w:r>
                            </w:hyperlink>
                            <w:r>
                              <w:rPr>
                                <w:rFonts w:asciiTheme="minorHAnsi" w:eastAsia="Calibri" w:hAnsi="Arial" w:cs="Arial"/>
                                <w:color w:val="0000FF"/>
                                <w:kern w:val="24"/>
                                <w:sz w:val="12"/>
                                <w:szCs w:val="12"/>
                                <w:u w:val="single"/>
                              </w:rPr>
                              <w:t xml:space="preserve"> </w:t>
                            </w:r>
                            <w:r>
                              <w:rPr>
                                <w:rFonts w:asciiTheme="minorHAnsi" w:eastAsia="Calibri" w:hAnsi="Arial" w:cs="Arial"/>
                                <w:color w:val="0000FF"/>
                                <w:kern w:val="24"/>
                                <w:sz w:val="12"/>
                                <w:szCs w:val="12"/>
                              </w:rPr>
                              <w:t>(includes Instrument of Appointment)</w:t>
                            </w:r>
                          </w:p>
                          <w:p w14:paraId="63335DF2" w14:textId="77777777" w:rsidR="003B33E6" w:rsidRDefault="003B33E6" w:rsidP="003B33E6">
                            <w:pPr>
                              <w:spacing w:line="276" w:lineRule="auto"/>
                              <w:rPr>
                                <w:rFonts w:asciiTheme="minorHAnsi" w:eastAsia="Calibri" w:hAnsi="Arial"/>
                                <w:color w:val="0070C0"/>
                                <w:kern w:val="24"/>
                                <w:sz w:val="12"/>
                                <w:szCs w:val="12"/>
                              </w:rPr>
                            </w:pPr>
                            <w:hyperlink r:id="rId133" w:history="1">
                              <w:r w:rsidRPr="00BF677F">
                                <w:rPr>
                                  <w:rStyle w:val="Hyperlink"/>
                                  <w:rFonts w:asciiTheme="minorHAnsi" w:eastAsia="Calibri" w:hAnsi="Arial"/>
                                  <w:color w:val="0056A3"/>
                                  <w:kern w:val="24"/>
                                  <w:sz w:val="12"/>
                                  <w:szCs w:val="12"/>
                                </w:rPr>
                                <w:t>NHMRC DOI policy</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D325C" id="Rectangle 43" o:spid="_x0000_s1098" style="position:absolute;left:0;text-align:left;margin-left:862.15pt;margin-top:219.75pt;width:115.4pt;height:66.15pt;z-index:251656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" fillcolor="#fcbeb2" strokecolor="#246682 [1604]" strokeweight="2pt">
                <v:path arrowok="t"/>
                <v:textbox>
                  <w:txbxContent>
                    <w:p w14:paraId="05009B9A" w14:textId="77777777" w:rsidR="003B33E6" w:rsidRDefault="003B33E6" w:rsidP="003B33E6">
                      <w:pPr>
                        <w:rPr>
                          <w:rFonts w:asciiTheme="minorHAnsi" w:eastAsia="Calibri" w:hAnsi="Arial" w:cstheme="minorBidi"/>
                          <w:b/>
                          <w:bCs/>
                          <w:i/>
                          <w:iCs/>
                          <w:color w:val="000000"/>
                          <w:kern w:val="24"/>
                          <w:sz w:val="12"/>
                          <w:szCs w:val="12"/>
                        </w:rPr>
                      </w:pPr>
                      <w:hyperlink r:id="rId134" w:history="1">
                        <w:r>
                          <w:rPr>
                            <w:rStyle w:val="Hyperlink"/>
                            <w:rFonts w:asciiTheme="minorHAnsi" w:eastAsia="Calibri" w:hAnsi="Arial" w:cstheme="minorBidi"/>
                            <w:b/>
                            <w:bCs/>
                            <w:i/>
                            <w:iCs/>
                            <w:color w:val="000000"/>
                            <w:kern w:val="24"/>
                            <w:sz w:val="12"/>
                            <w:szCs w:val="12"/>
                          </w:rPr>
                          <w:t>Establishing s39 working committee</w:t>
                        </w:r>
                      </w:hyperlink>
                      <w:r>
                        <w:rPr>
                          <w:rFonts w:asciiTheme="minorHAnsi" w:eastAsia="Calibri" w:hAnsi="Arial" w:cstheme="minorBidi"/>
                          <w:b/>
                          <w:bCs/>
                          <w:i/>
                          <w:iCs/>
                          <w:color w:val="000000"/>
                          <w:kern w:val="24"/>
                          <w:sz w:val="12"/>
                          <w:szCs w:val="12"/>
                        </w:rPr>
                        <w:t xml:space="preserve"> SOP</w:t>
                      </w:r>
                    </w:p>
                    <w:p w14:paraId="035E260C" w14:textId="77777777" w:rsidR="003B33E6" w:rsidRDefault="003B33E6" w:rsidP="003B33E6">
                      <w:pPr>
                        <w:spacing w:line="276" w:lineRule="auto"/>
                        <w:rPr>
                          <w:rFonts w:asciiTheme="minorHAnsi" w:eastAsia="Calibri" w:hAnsi="Arial"/>
                          <w:b/>
                          <w:bCs/>
                          <w:i/>
                          <w:iCs/>
                          <w:color w:val="000000"/>
                          <w:kern w:val="24"/>
                          <w:sz w:val="12"/>
                          <w:szCs w:val="12"/>
                        </w:rPr>
                      </w:pPr>
                      <w:r>
                        <w:rPr>
                          <w:rFonts w:asciiTheme="minorHAnsi" w:eastAsia="Calibri" w:hAnsi="Arial"/>
                          <w:b/>
                          <w:bCs/>
                          <w:i/>
                          <w:iCs/>
                          <w:color w:val="000000"/>
                          <w:kern w:val="24"/>
                          <w:sz w:val="12"/>
                          <w:szCs w:val="12"/>
                        </w:rPr>
                        <w:t xml:space="preserve">Arranging Meetings – Principal Committees and Working Groups SOP </w:t>
                      </w:r>
                    </w:p>
                    <w:p w14:paraId="4DE653F1" w14:textId="77777777" w:rsidR="003B33E6" w:rsidRDefault="003B33E6" w:rsidP="003B33E6">
                      <w:pPr>
                        <w:spacing w:line="276" w:lineRule="auto"/>
                        <w:rPr>
                          <w:rFonts w:asciiTheme="minorHAnsi" w:eastAsia="Calibri" w:hAnsi="Arial" w:cs="Arial"/>
                          <w:color w:val="0000FF"/>
                          <w:kern w:val="24"/>
                          <w:sz w:val="12"/>
                          <w:szCs w:val="12"/>
                        </w:rPr>
                      </w:pPr>
                      <w:hyperlink r:id="rId135" w:history="1">
                        <w:r w:rsidRPr="00BF677F">
                          <w:rPr>
                            <w:rStyle w:val="Hyperlink"/>
                            <w:rFonts w:asciiTheme="minorHAnsi" w:eastAsia="Calibri" w:hAnsi="Arial" w:cs="Arial"/>
                            <w:color w:val="0056A3"/>
                            <w:kern w:val="24"/>
                            <w:sz w:val="12"/>
                            <w:szCs w:val="12"/>
                          </w:rPr>
                          <w:t>Template Minute to Establish Committee</w:t>
                        </w:r>
                      </w:hyperlink>
                    </w:p>
                    <w:p w14:paraId="182F21E0" w14:textId="77777777" w:rsidR="003B33E6" w:rsidRDefault="003B33E6" w:rsidP="003B33E6">
                      <w:pPr>
                        <w:spacing w:line="276" w:lineRule="auto"/>
                        <w:rPr>
                          <w:rFonts w:asciiTheme="minorHAnsi" w:eastAsia="Calibri" w:hAnsi="Arial"/>
                          <w:color w:val="0000FF"/>
                          <w:kern w:val="24"/>
                          <w:sz w:val="12"/>
                          <w:szCs w:val="12"/>
                        </w:rPr>
                      </w:pPr>
                      <w:hyperlink r:id="rId136" w:history="1">
                        <w:r w:rsidRPr="00BF677F">
                          <w:rPr>
                            <w:rStyle w:val="Hyperlink"/>
                            <w:rFonts w:asciiTheme="minorHAnsi" w:eastAsia="Calibri" w:hAnsi="Arial"/>
                            <w:color w:val="0056A3"/>
                            <w:kern w:val="24"/>
                            <w:sz w:val="12"/>
                            <w:szCs w:val="12"/>
                          </w:rPr>
                          <w:t>Template Minute to Appoint Members</w:t>
                        </w:r>
                      </w:hyperlink>
                      <w:r>
                        <w:rPr>
                          <w:rFonts w:asciiTheme="minorHAnsi" w:eastAsia="Calibri" w:hAnsi="Arial" w:cs="Arial"/>
                          <w:color w:val="0000FF"/>
                          <w:kern w:val="24"/>
                          <w:sz w:val="12"/>
                          <w:szCs w:val="12"/>
                          <w:u w:val="single"/>
                        </w:rPr>
                        <w:t xml:space="preserve"> </w:t>
                      </w:r>
                      <w:r>
                        <w:rPr>
                          <w:rFonts w:asciiTheme="minorHAnsi" w:eastAsia="Calibri" w:hAnsi="Arial" w:cs="Arial"/>
                          <w:color w:val="0000FF"/>
                          <w:kern w:val="24"/>
                          <w:sz w:val="12"/>
                          <w:szCs w:val="12"/>
                        </w:rPr>
                        <w:t>(includes Instrument of Appointment)</w:t>
                      </w:r>
                    </w:p>
                    <w:p w14:paraId="63335DF2" w14:textId="77777777" w:rsidR="003B33E6" w:rsidRDefault="003B33E6" w:rsidP="003B33E6">
                      <w:pPr>
                        <w:spacing w:line="276" w:lineRule="auto"/>
                        <w:rPr>
                          <w:rFonts w:asciiTheme="minorHAnsi" w:eastAsia="Calibri" w:hAnsi="Arial"/>
                          <w:color w:val="0070C0"/>
                          <w:kern w:val="24"/>
                          <w:sz w:val="12"/>
                          <w:szCs w:val="12"/>
                        </w:rPr>
                      </w:pPr>
                      <w:hyperlink r:id="rId137" w:history="1">
                        <w:r w:rsidRPr="00BF677F">
                          <w:rPr>
                            <w:rStyle w:val="Hyperlink"/>
                            <w:rFonts w:asciiTheme="minorHAnsi" w:eastAsia="Calibri" w:hAnsi="Arial"/>
                            <w:color w:val="0056A3"/>
                            <w:kern w:val="24"/>
                            <w:sz w:val="12"/>
                            <w:szCs w:val="12"/>
                          </w:rPr>
                          <w:t>NHMRC DOI policy</w:t>
                        </w:r>
                      </w:hyperlink>
                    </w:p>
                  </w:txbxContent>
                </v:textbox>
              </v:rect>
            </w:pict>
          </mc:Fallback>
        </mc:AlternateContent>
      </w:r>
      <w:r w:rsidR="005606F3">
        <w:rPr>
          <w:noProof/>
        </w:rPr>
        <mc:AlternateContent>
          <mc:Choice Requires="wps">
            <w:drawing>
              <wp:anchor distT="0" distB="0" distL="114300" distR="114300" simplePos="0" relativeHeight="251656195" behindDoc="0" locked="0" layoutInCell="1" allowOverlap="1" wp14:anchorId="03B4AFF6" wp14:editId="02405302">
                <wp:simplePos x="0" y="0"/>
                <wp:positionH relativeFrom="column">
                  <wp:posOffset>10934700</wp:posOffset>
                </wp:positionH>
                <wp:positionV relativeFrom="paragraph">
                  <wp:posOffset>4404995</wp:posOffset>
                </wp:positionV>
                <wp:extent cx="1470660" cy="706120"/>
                <wp:effectExtent l="0" t="0" r="0" b="0"/>
                <wp:wrapNone/>
                <wp:docPr id="40289256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706120"/>
                        </a:xfrm>
                        <a:prstGeom prst="rect">
                          <a:avLst/>
                        </a:prstGeom>
                        <a:solidFill>
                          <a:srgbClr val="FCBEB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7C5008" w14:textId="77777777" w:rsidR="003B33E6" w:rsidRDefault="003B33E6" w:rsidP="003B33E6">
                            <w:pPr>
                              <w:spacing w:line="276" w:lineRule="auto"/>
                              <w:rPr>
                                <w:rFonts w:asciiTheme="minorHAnsi" w:eastAsia="Calibri" w:hAnsi="Arial"/>
                                <w:b/>
                                <w:bCs/>
                                <w:i/>
                                <w:iCs/>
                                <w:color w:val="000000"/>
                                <w:kern w:val="24"/>
                                <w:sz w:val="12"/>
                                <w:szCs w:val="12"/>
                              </w:rPr>
                            </w:pPr>
                            <w:r>
                              <w:rPr>
                                <w:rFonts w:asciiTheme="minorHAnsi" w:eastAsia="Calibri" w:hAnsi="Arial"/>
                                <w:b/>
                                <w:bCs/>
                                <w:i/>
                                <w:iCs/>
                                <w:color w:val="000000"/>
                                <w:kern w:val="24"/>
                                <w:sz w:val="12"/>
                                <w:szCs w:val="12"/>
                              </w:rPr>
                              <w:t xml:space="preserve">Engaging Contractors/Contract Management SOP </w:t>
                            </w:r>
                            <w:r w:rsidRPr="00BF677F">
                              <w:rPr>
                                <w:rFonts w:asciiTheme="minorHAnsi" w:eastAsia="Calibri" w:hAnsi="Arial"/>
                                <w:b/>
                                <w:i/>
                                <w:color w:val="000000"/>
                                <w:kern w:val="24"/>
                                <w:sz w:val="12"/>
                                <w:szCs w:val="12"/>
                              </w:rPr>
                              <w:t>(</w:t>
                            </w:r>
                            <w:proofErr w:type="spellStart"/>
                            <w:r w:rsidRPr="00BF677F">
                              <w:rPr>
                                <w:rFonts w:asciiTheme="minorHAnsi" w:eastAsia="Calibri" w:hAnsi="Arial"/>
                                <w:b/>
                                <w:i/>
                                <w:color w:val="000000"/>
                                <w:kern w:val="24"/>
                                <w:sz w:val="12"/>
                                <w:szCs w:val="12"/>
                              </w:rPr>
                              <w:t>tbd</w:t>
                            </w:r>
                            <w:proofErr w:type="spellEnd"/>
                            <w:r w:rsidRPr="00BF677F">
                              <w:rPr>
                                <w:rFonts w:asciiTheme="minorHAnsi" w:eastAsia="Calibri" w:hAnsi="Arial"/>
                                <w:b/>
                                <w:i/>
                                <w:color w:val="000000"/>
                                <w:kern w:val="24"/>
                                <w:sz w:val="12"/>
                                <w:szCs w:val="12"/>
                              </w:rPr>
                              <w:t>)</w:t>
                            </w:r>
                          </w:p>
                          <w:p w14:paraId="251750E6" w14:textId="77777777" w:rsidR="003B33E6" w:rsidRDefault="003B33E6" w:rsidP="003B33E6">
                            <w:pPr>
                              <w:spacing w:line="276" w:lineRule="auto"/>
                              <w:rPr>
                                <w:rFonts w:asciiTheme="minorHAnsi" w:eastAsia="Calibri" w:hAnsi="Arial"/>
                                <w:color w:val="0000FF"/>
                                <w:kern w:val="24"/>
                                <w:sz w:val="12"/>
                                <w:szCs w:val="12"/>
                              </w:rPr>
                            </w:pPr>
                            <w:hyperlink r:id="rId138" w:history="1">
                              <w:r w:rsidRPr="00BF677F">
                                <w:rPr>
                                  <w:rStyle w:val="Hyperlink"/>
                                  <w:rFonts w:asciiTheme="minorHAnsi" w:eastAsia="Calibri" w:hAnsi="Arial"/>
                                  <w:color w:val="0056A3"/>
                                  <w:kern w:val="24"/>
                                  <w:sz w:val="12"/>
                                  <w:szCs w:val="12"/>
                                </w:rPr>
                                <w:t>Introduction to Contracts and Procurement</w:t>
                              </w:r>
                            </w:hyperlink>
                            <w:r>
                              <w:rPr>
                                <w:rFonts w:asciiTheme="minorHAnsi" w:eastAsia="Calibri" w:hAnsi="Arial"/>
                                <w:color w:val="0070C0"/>
                                <w:kern w:val="24"/>
                                <w:sz w:val="12"/>
                                <w:szCs w:val="12"/>
                              </w:rPr>
                              <w:t xml:space="preserve"> </w:t>
                            </w:r>
                          </w:p>
                          <w:p w14:paraId="0A874320" w14:textId="77777777" w:rsidR="003B33E6" w:rsidRDefault="003B33E6" w:rsidP="003B33E6">
                            <w:pPr>
                              <w:spacing w:line="276" w:lineRule="auto"/>
                              <w:rPr>
                                <w:rFonts w:asciiTheme="minorHAnsi" w:eastAsia="Calibri" w:hAnsi="Arial"/>
                                <w:color w:val="0000FF"/>
                                <w:kern w:val="24"/>
                                <w:sz w:val="12"/>
                                <w:szCs w:val="12"/>
                              </w:rPr>
                            </w:pPr>
                            <w:hyperlink r:id="rId139" w:history="1">
                              <w:r w:rsidRPr="00BF677F">
                                <w:rPr>
                                  <w:rStyle w:val="Hyperlink"/>
                                  <w:rFonts w:asciiTheme="minorHAnsi" w:eastAsia="Calibri" w:hAnsi="Arial"/>
                                  <w:color w:val="0056A3"/>
                                  <w:kern w:val="24"/>
                                  <w:sz w:val="12"/>
                                  <w:szCs w:val="12"/>
                                </w:rPr>
                                <w:t>Health Evidence Advice and Methods Panel</w:t>
                              </w:r>
                            </w:hyperlink>
                            <w:r>
                              <w:rPr>
                                <w:rFonts w:asciiTheme="minorHAnsi" w:eastAsia="Calibri" w:hAnsi="Arial"/>
                                <w:color w:val="0070C0"/>
                                <w:kern w:val="24"/>
                                <w:sz w:val="12"/>
                                <w:szCs w:val="12"/>
                              </w:rPr>
                              <w:t xml:space="preserve"> </w:t>
                            </w:r>
                          </w:p>
                          <w:p w14:paraId="0226E59D" w14:textId="77777777" w:rsidR="003B33E6" w:rsidRDefault="003B33E6" w:rsidP="003B33E6">
                            <w:pPr>
                              <w:spacing w:line="276" w:lineRule="auto"/>
                              <w:rPr>
                                <w:rFonts w:asciiTheme="minorHAnsi" w:eastAsia="Calibri" w:hAnsi="Arial"/>
                                <w:color w:val="0000FF"/>
                                <w:kern w:val="24"/>
                                <w:sz w:val="12"/>
                                <w:szCs w:val="12"/>
                              </w:rPr>
                            </w:pPr>
                            <w:hyperlink r:id="rId140" w:history="1">
                              <w:r w:rsidRPr="00BF677F">
                                <w:rPr>
                                  <w:rStyle w:val="Hyperlink"/>
                                  <w:rFonts w:asciiTheme="minorHAnsi" w:eastAsia="Calibri" w:hAnsi="Arial"/>
                                  <w:color w:val="0056A3"/>
                                  <w:kern w:val="24"/>
                                  <w:sz w:val="12"/>
                                  <w:szCs w:val="12"/>
                                </w:rPr>
                                <w:t>Request For Quote Template</w:t>
                              </w:r>
                            </w:hyperlink>
                            <w:r>
                              <w:rPr>
                                <w:rFonts w:asciiTheme="minorHAnsi" w:eastAsia="Calibri" w:hAnsi="Arial"/>
                                <w:color w:val="0070C0"/>
                                <w:kern w:val="24"/>
                                <w:sz w:val="12"/>
                                <w:szCs w:val="12"/>
                              </w:rPr>
                              <w:t xml:space="preserve"> </w:t>
                            </w:r>
                          </w:p>
                          <w:p w14:paraId="29437A59" w14:textId="77777777" w:rsidR="003B33E6" w:rsidRDefault="003B33E6" w:rsidP="003B33E6">
                            <w:pPr>
                              <w:spacing w:line="276" w:lineRule="auto"/>
                              <w:rPr>
                                <w:rFonts w:asciiTheme="minorHAnsi" w:eastAsia="Calibri" w:hAnsi="Arial"/>
                                <w:color w:val="0070C0"/>
                                <w:kern w:val="24"/>
                                <w:sz w:val="12"/>
                                <w:szCs w:val="12"/>
                              </w:rPr>
                            </w:pPr>
                            <w:r w:rsidRPr="00BF677F">
                              <w:rPr>
                                <w:rFonts w:asciiTheme="minorHAnsi" w:eastAsia="Calibri" w:hAnsi="Arial"/>
                                <w:color w:val="0056A3"/>
                                <w:kern w:val="24"/>
                                <w:sz w:val="12"/>
                                <w:szCs w:val="12"/>
                              </w:rPr>
                              <w:t xml:space="preserve">Statement of Requirement template </w:t>
                            </w:r>
                            <w:r w:rsidRPr="00BF677F">
                              <w:rPr>
                                <w:rFonts w:asciiTheme="minorHAnsi" w:eastAsia="Calibri" w:hAnsi="Arial"/>
                                <w:color w:val="535353"/>
                                <w:kern w:val="24"/>
                                <w:sz w:val="12"/>
                                <w:szCs w:val="12"/>
                              </w:rPr>
                              <w:t>(</w:t>
                            </w:r>
                            <w:proofErr w:type="spellStart"/>
                            <w:r w:rsidRPr="00BF677F">
                              <w:rPr>
                                <w:rFonts w:asciiTheme="minorHAnsi" w:eastAsia="Calibri" w:hAnsi="Arial"/>
                                <w:color w:val="535353"/>
                                <w:kern w:val="24"/>
                                <w:sz w:val="12"/>
                                <w:szCs w:val="12"/>
                              </w:rPr>
                              <w:t>tbd</w:t>
                            </w:r>
                            <w:proofErr w:type="spellEnd"/>
                            <w:r w:rsidRPr="00BF677F">
                              <w:rPr>
                                <w:rFonts w:asciiTheme="minorHAnsi" w:eastAsia="Calibri" w:hAnsi="Arial"/>
                                <w:color w:val="535353"/>
                                <w:kern w:val="24"/>
                                <w:sz w:val="12"/>
                                <w:szCs w:val="1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4AFF6" id="Rectangle 42" o:spid="_x0000_s1099" style="position:absolute;left:0;text-align:left;margin-left:861pt;margin-top:346.85pt;width:115.8pt;height:55.6pt;z-index:2516561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" fillcolor="#fcbeb2" strokecolor="#246682 [1604]" strokeweight="2pt">
                <v:path arrowok="t"/>
                <v:textbox>
                  <w:txbxContent>
                    <w:p w14:paraId="7D7C5008" w14:textId="77777777" w:rsidR="003B33E6" w:rsidRDefault="003B33E6" w:rsidP="003B33E6">
                      <w:pPr>
                        <w:spacing w:line="276" w:lineRule="auto"/>
                        <w:rPr>
                          <w:rFonts w:asciiTheme="minorHAnsi" w:eastAsia="Calibri" w:hAnsi="Arial"/>
                          <w:b/>
                          <w:bCs/>
                          <w:i/>
                          <w:iCs/>
                          <w:color w:val="000000"/>
                          <w:kern w:val="24"/>
                          <w:sz w:val="12"/>
                          <w:szCs w:val="12"/>
                        </w:rPr>
                      </w:pPr>
                      <w:r>
                        <w:rPr>
                          <w:rFonts w:asciiTheme="minorHAnsi" w:eastAsia="Calibri" w:hAnsi="Arial"/>
                          <w:b/>
                          <w:bCs/>
                          <w:i/>
                          <w:iCs/>
                          <w:color w:val="000000"/>
                          <w:kern w:val="24"/>
                          <w:sz w:val="12"/>
                          <w:szCs w:val="12"/>
                        </w:rPr>
                        <w:t xml:space="preserve">Engaging Contractors/Contract Management SOP </w:t>
                      </w:r>
                      <w:r w:rsidRPr="00BF677F">
                        <w:rPr>
                          <w:rFonts w:asciiTheme="minorHAnsi" w:eastAsia="Calibri" w:hAnsi="Arial"/>
                          <w:b/>
                          <w:i/>
                          <w:color w:val="000000"/>
                          <w:kern w:val="24"/>
                          <w:sz w:val="12"/>
                          <w:szCs w:val="12"/>
                        </w:rPr>
                        <w:t>(</w:t>
                      </w:r>
                      <w:proofErr w:type="spellStart"/>
                      <w:r w:rsidRPr="00BF677F">
                        <w:rPr>
                          <w:rFonts w:asciiTheme="minorHAnsi" w:eastAsia="Calibri" w:hAnsi="Arial"/>
                          <w:b/>
                          <w:i/>
                          <w:color w:val="000000"/>
                          <w:kern w:val="24"/>
                          <w:sz w:val="12"/>
                          <w:szCs w:val="12"/>
                        </w:rPr>
                        <w:t>tbd</w:t>
                      </w:r>
                      <w:proofErr w:type="spellEnd"/>
                      <w:r w:rsidRPr="00BF677F">
                        <w:rPr>
                          <w:rFonts w:asciiTheme="minorHAnsi" w:eastAsia="Calibri" w:hAnsi="Arial"/>
                          <w:b/>
                          <w:i/>
                          <w:color w:val="000000"/>
                          <w:kern w:val="24"/>
                          <w:sz w:val="12"/>
                          <w:szCs w:val="12"/>
                        </w:rPr>
                        <w:t>)</w:t>
                      </w:r>
                    </w:p>
                    <w:p w14:paraId="251750E6" w14:textId="77777777" w:rsidR="003B33E6" w:rsidRDefault="003B33E6" w:rsidP="003B33E6">
                      <w:pPr>
                        <w:spacing w:line="276" w:lineRule="auto"/>
                        <w:rPr>
                          <w:rFonts w:asciiTheme="minorHAnsi" w:eastAsia="Calibri" w:hAnsi="Arial"/>
                          <w:color w:val="0000FF"/>
                          <w:kern w:val="24"/>
                          <w:sz w:val="12"/>
                          <w:szCs w:val="12"/>
                        </w:rPr>
                      </w:pPr>
                      <w:hyperlink r:id="rId141" w:history="1">
                        <w:r w:rsidRPr="00BF677F">
                          <w:rPr>
                            <w:rStyle w:val="Hyperlink"/>
                            <w:rFonts w:asciiTheme="minorHAnsi" w:eastAsia="Calibri" w:hAnsi="Arial"/>
                            <w:color w:val="0056A3"/>
                            <w:kern w:val="24"/>
                            <w:sz w:val="12"/>
                            <w:szCs w:val="12"/>
                          </w:rPr>
                          <w:t>Introduction to Contracts and Procurement</w:t>
                        </w:r>
                      </w:hyperlink>
                      <w:r>
                        <w:rPr>
                          <w:rFonts w:asciiTheme="minorHAnsi" w:eastAsia="Calibri" w:hAnsi="Arial"/>
                          <w:color w:val="0070C0"/>
                          <w:kern w:val="24"/>
                          <w:sz w:val="12"/>
                          <w:szCs w:val="12"/>
                        </w:rPr>
                        <w:t xml:space="preserve"> </w:t>
                      </w:r>
                    </w:p>
                    <w:p w14:paraId="0A874320" w14:textId="77777777" w:rsidR="003B33E6" w:rsidRDefault="003B33E6" w:rsidP="003B33E6">
                      <w:pPr>
                        <w:spacing w:line="276" w:lineRule="auto"/>
                        <w:rPr>
                          <w:rFonts w:asciiTheme="minorHAnsi" w:eastAsia="Calibri" w:hAnsi="Arial"/>
                          <w:color w:val="0000FF"/>
                          <w:kern w:val="24"/>
                          <w:sz w:val="12"/>
                          <w:szCs w:val="12"/>
                        </w:rPr>
                      </w:pPr>
                      <w:hyperlink r:id="rId142" w:history="1">
                        <w:r w:rsidRPr="00BF677F">
                          <w:rPr>
                            <w:rStyle w:val="Hyperlink"/>
                            <w:rFonts w:asciiTheme="minorHAnsi" w:eastAsia="Calibri" w:hAnsi="Arial"/>
                            <w:color w:val="0056A3"/>
                            <w:kern w:val="24"/>
                            <w:sz w:val="12"/>
                            <w:szCs w:val="12"/>
                          </w:rPr>
                          <w:t>Health Evidence Advice and Methods Panel</w:t>
                        </w:r>
                      </w:hyperlink>
                      <w:r>
                        <w:rPr>
                          <w:rFonts w:asciiTheme="minorHAnsi" w:eastAsia="Calibri" w:hAnsi="Arial"/>
                          <w:color w:val="0070C0"/>
                          <w:kern w:val="24"/>
                          <w:sz w:val="12"/>
                          <w:szCs w:val="12"/>
                        </w:rPr>
                        <w:t xml:space="preserve"> </w:t>
                      </w:r>
                    </w:p>
                    <w:p w14:paraId="0226E59D" w14:textId="77777777" w:rsidR="003B33E6" w:rsidRDefault="003B33E6" w:rsidP="003B33E6">
                      <w:pPr>
                        <w:spacing w:line="276" w:lineRule="auto"/>
                        <w:rPr>
                          <w:rFonts w:asciiTheme="minorHAnsi" w:eastAsia="Calibri" w:hAnsi="Arial"/>
                          <w:color w:val="0000FF"/>
                          <w:kern w:val="24"/>
                          <w:sz w:val="12"/>
                          <w:szCs w:val="12"/>
                        </w:rPr>
                      </w:pPr>
                      <w:hyperlink r:id="rId143" w:history="1">
                        <w:r w:rsidRPr="00BF677F">
                          <w:rPr>
                            <w:rStyle w:val="Hyperlink"/>
                            <w:rFonts w:asciiTheme="minorHAnsi" w:eastAsia="Calibri" w:hAnsi="Arial"/>
                            <w:color w:val="0056A3"/>
                            <w:kern w:val="24"/>
                            <w:sz w:val="12"/>
                            <w:szCs w:val="12"/>
                          </w:rPr>
                          <w:t>Request For Quote Template</w:t>
                        </w:r>
                      </w:hyperlink>
                      <w:r>
                        <w:rPr>
                          <w:rFonts w:asciiTheme="minorHAnsi" w:eastAsia="Calibri" w:hAnsi="Arial"/>
                          <w:color w:val="0070C0"/>
                          <w:kern w:val="24"/>
                          <w:sz w:val="12"/>
                          <w:szCs w:val="12"/>
                        </w:rPr>
                        <w:t xml:space="preserve"> </w:t>
                      </w:r>
                    </w:p>
                    <w:p w14:paraId="29437A59" w14:textId="77777777" w:rsidR="003B33E6" w:rsidRDefault="003B33E6" w:rsidP="003B33E6">
                      <w:pPr>
                        <w:spacing w:line="276" w:lineRule="auto"/>
                        <w:rPr>
                          <w:rFonts w:asciiTheme="minorHAnsi" w:eastAsia="Calibri" w:hAnsi="Arial"/>
                          <w:color w:val="0070C0"/>
                          <w:kern w:val="24"/>
                          <w:sz w:val="12"/>
                          <w:szCs w:val="12"/>
                        </w:rPr>
                      </w:pPr>
                      <w:r w:rsidRPr="00BF677F">
                        <w:rPr>
                          <w:rFonts w:asciiTheme="minorHAnsi" w:eastAsia="Calibri" w:hAnsi="Arial"/>
                          <w:color w:val="0056A3"/>
                          <w:kern w:val="24"/>
                          <w:sz w:val="12"/>
                          <w:szCs w:val="12"/>
                        </w:rPr>
                        <w:t xml:space="preserve">Statement of Requirement template </w:t>
                      </w:r>
                      <w:r w:rsidRPr="00BF677F">
                        <w:rPr>
                          <w:rFonts w:asciiTheme="minorHAnsi" w:eastAsia="Calibri" w:hAnsi="Arial"/>
                          <w:color w:val="535353"/>
                          <w:kern w:val="24"/>
                          <w:sz w:val="12"/>
                          <w:szCs w:val="12"/>
                        </w:rPr>
                        <w:t>(</w:t>
                      </w:r>
                      <w:proofErr w:type="spellStart"/>
                      <w:r w:rsidRPr="00BF677F">
                        <w:rPr>
                          <w:rFonts w:asciiTheme="minorHAnsi" w:eastAsia="Calibri" w:hAnsi="Arial"/>
                          <w:color w:val="535353"/>
                          <w:kern w:val="24"/>
                          <w:sz w:val="12"/>
                          <w:szCs w:val="12"/>
                        </w:rPr>
                        <w:t>tbd</w:t>
                      </w:r>
                      <w:proofErr w:type="spellEnd"/>
                      <w:r w:rsidRPr="00BF677F">
                        <w:rPr>
                          <w:rFonts w:asciiTheme="minorHAnsi" w:eastAsia="Calibri" w:hAnsi="Arial"/>
                          <w:color w:val="535353"/>
                          <w:kern w:val="24"/>
                          <w:sz w:val="12"/>
                          <w:szCs w:val="12"/>
                        </w:rPr>
                        <w:t>)</w:t>
                      </w:r>
                    </w:p>
                  </w:txbxContent>
                </v:textbox>
              </v:rect>
            </w:pict>
          </mc:Fallback>
        </mc:AlternateContent>
      </w:r>
      <w:r w:rsidR="005606F3">
        <w:rPr>
          <w:noProof/>
        </w:rPr>
        <mc:AlternateContent>
          <mc:Choice Requires="wps">
            <w:drawing>
              <wp:anchor distT="0" distB="0" distL="114300" distR="114300" simplePos="0" relativeHeight="251656196" behindDoc="0" locked="0" layoutInCell="1" allowOverlap="1" wp14:anchorId="00512763" wp14:editId="78BD1943">
                <wp:simplePos x="0" y="0"/>
                <wp:positionH relativeFrom="column">
                  <wp:posOffset>11163300</wp:posOffset>
                </wp:positionH>
                <wp:positionV relativeFrom="paragraph">
                  <wp:posOffset>8277225</wp:posOffset>
                </wp:positionV>
                <wp:extent cx="561975" cy="415290"/>
                <wp:effectExtent l="0" t="0" r="9525" b="3810"/>
                <wp:wrapNone/>
                <wp:docPr id="156052787"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 cy="415290"/>
                        </a:xfrm>
                        <a:prstGeom prst="roundRect">
                          <a:avLst/>
                        </a:prstGeom>
                        <a:noFill/>
                        <a:ln w="19050">
                          <a:solidFill>
                            <a:schemeClr val="bg1">
                              <a:lumMod val="65000"/>
                            </a:schemeClr>
                          </a:solidFill>
                        </a:ln>
                      </wps:spPr>
                      <wps:txbx>
                        <w:txbxContent>
                          <w:p w14:paraId="5EC0DCE7" w14:textId="77777777" w:rsidR="003B33E6" w:rsidRDefault="003B33E6" w:rsidP="003B33E6">
                            <w:pPr>
                              <w:jc w:val="center"/>
                              <w:rPr>
                                <w:rFonts w:asciiTheme="minorHAnsi" w:hAnsi="Arial" w:cstheme="minorBidi"/>
                                <w:kern w:val="24"/>
                                <w:sz w:val="14"/>
                                <w:szCs w:val="14"/>
                                <w:lang w:val="en-US"/>
                              </w:rPr>
                            </w:pPr>
                            <w:r>
                              <w:rPr>
                                <w:rFonts w:asciiTheme="minorHAnsi" w:hAnsi="Arial" w:cstheme="minorBidi"/>
                                <w:kern w:val="24"/>
                                <w:sz w:val="14"/>
                                <w:szCs w:val="14"/>
                                <w:lang w:val="en-US"/>
                              </w:rPr>
                              <w:t>Adopt recommendations</w:t>
                            </w:r>
                          </w:p>
                        </w:txbxContent>
                      </wps:txbx>
                      <wps:bodyPr wrap="square" tIns="0" bIns="50625" rtlCol="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0512763" id="Rectangle: Rounded Corners 41" o:spid="_x0000_s1100" style="position:absolute;left:0;text-align:left;margin-left:879pt;margin-top:651.75pt;width:44.25pt;height:32.7pt;z-index:2516561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" filled="f" strokecolor="#a5a5a5 [2092]" strokeweight="1.5pt">
                <v:path arrowok="t"/>
                <v:textbox inset=",0,,1.40625mm">
                  <w:txbxContent>
                    <w:p w14:paraId="5EC0DCE7" w14:textId="77777777" w:rsidR="003B33E6" w:rsidRDefault="003B33E6" w:rsidP="003B33E6">
                      <w:pPr>
                        <w:jc w:val="center"/>
                        <w:rPr>
                          <w:rFonts w:asciiTheme="minorHAnsi" w:hAnsi="Arial" w:cstheme="minorBidi"/>
                          <w:kern w:val="24"/>
                          <w:sz w:val="14"/>
                          <w:szCs w:val="14"/>
                          <w:lang w:val="en-US"/>
                        </w:rPr>
                      </w:pPr>
                      <w:r>
                        <w:rPr>
                          <w:rFonts w:asciiTheme="minorHAnsi" w:hAnsi="Arial" w:cstheme="minorBidi"/>
                          <w:kern w:val="24"/>
                          <w:sz w:val="14"/>
                          <w:szCs w:val="14"/>
                          <w:lang w:val="en-US"/>
                        </w:rPr>
                        <w:t>Adopt recommendations</w:t>
                      </w:r>
                    </w:p>
                  </w:txbxContent>
                </v:textbox>
              </v:roundrect>
            </w:pict>
          </mc:Fallback>
        </mc:AlternateContent>
      </w:r>
      <w:r w:rsidR="005606F3">
        <w:rPr>
          <w:noProof/>
        </w:rPr>
        <mc:AlternateContent>
          <mc:Choice Requires="wps">
            <w:drawing>
              <wp:anchor distT="0" distB="0" distL="114300" distR="114300" simplePos="0" relativeHeight="251656197" behindDoc="0" locked="0" layoutInCell="1" allowOverlap="1" wp14:anchorId="3A989CAD" wp14:editId="03636233">
                <wp:simplePos x="0" y="0"/>
                <wp:positionH relativeFrom="column">
                  <wp:posOffset>10896600</wp:posOffset>
                </wp:positionH>
                <wp:positionV relativeFrom="paragraph">
                  <wp:posOffset>8609965</wp:posOffset>
                </wp:positionV>
                <wp:extent cx="118745" cy="45085"/>
                <wp:effectExtent l="0" t="38100" r="33655" b="31115"/>
                <wp:wrapNone/>
                <wp:docPr id="800312308" name="Straight Arrow Connector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8745" cy="45085"/>
                        </a:xfrm>
                        <a:prstGeom prst="straightConnector1">
                          <a:avLst/>
                        </a:prstGeom>
                        <a:ln w="12700">
                          <a:solidFill>
                            <a:schemeClr val="tx1">
                              <a:lumMod val="50000"/>
                              <a:lumOff val="5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1D7A4B" id="Straight Arrow Connector 40" o:spid="_x0000_s1026" type="#_x0000_t32" alt="&quot;&quot;" style="position:absolute;margin-left:858pt;margin-top:677.95pt;width:9.35pt;height:3.55pt;flip:y;z-index:2516561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" strokecolor="gray [1629]" strokeweight="1pt">
                <v:stroke endarrow="block"/>
                <o:lock v:ext="edit" shapetype="f"/>
              </v:shape>
            </w:pict>
          </mc:Fallback>
        </mc:AlternateContent>
      </w:r>
      <w:r w:rsidR="005606F3">
        <w:rPr>
          <w:noProof/>
        </w:rPr>
        <mc:AlternateContent>
          <mc:Choice Requires="wps">
            <w:drawing>
              <wp:anchor distT="0" distB="0" distL="114300" distR="114300" simplePos="0" relativeHeight="251656198" behindDoc="0" locked="0" layoutInCell="1" allowOverlap="1" wp14:anchorId="3AFB826A" wp14:editId="6CECE01D">
                <wp:simplePos x="0" y="0"/>
                <wp:positionH relativeFrom="column">
                  <wp:posOffset>12630150</wp:posOffset>
                </wp:positionH>
                <wp:positionV relativeFrom="paragraph">
                  <wp:posOffset>8291195</wp:posOffset>
                </wp:positionV>
                <wp:extent cx="623570" cy="415290"/>
                <wp:effectExtent l="0" t="0" r="5080" b="3810"/>
                <wp:wrapNone/>
                <wp:docPr id="1817260578" name="Rectangle: Rounded Corners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 cy="415290"/>
                        </a:xfrm>
                        <a:prstGeom prst="roundRect">
                          <a:avLst/>
                        </a:prstGeom>
                        <a:noFill/>
                        <a:ln w="19050">
                          <a:solidFill>
                            <a:schemeClr val="bg1">
                              <a:lumMod val="65000"/>
                            </a:schemeClr>
                          </a:solidFill>
                        </a:ln>
                      </wps:spPr>
                      <wps:txbx>
                        <w:txbxContent>
                          <w:p w14:paraId="736F1532" w14:textId="77777777" w:rsidR="003B33E6" w:rsidRDefault="003B33E6" w:rsidP="003B33E6">
                            <w:pPr>
                              <w:jc w:val="center"/>
                              <w:rPr>
                                <w:rFonts w:asciiTheme="minorHAnsi" w:hAnsi="Arial" w:cstheme="minorBidi"/>
                                <w:kern w:val="24"/>
                                <w:sz w:val="14"/>
                                <w:szCs w:val="14"/>
                                <w:lang w:val="en-US"/>
                              </w:rPr>
                            </w:pPr>
                            <w:r>
                              <w:rPr>
                                <w:rFonts w:asciiTheme="minorHAnsi" w:hAnsi="Arial" w:cstheme="minorBidi"/>
                                <w:kern w:val="24"/>
                                <w:sz w:val="14"/>
                                <w:szCs w:val="14"/>
                                <w:lang w:val="en-US"/>
                              </w:rPr>
                              <w:t>Adapt recommendations</w:t>
                            </w:r>
                          </w:p>
                        </w:txbxContent>
                      </wps:txbx>
                      <wps:bodyPr wrap="square" tIns="0" bIns="50625" rtlCol="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AFB826A" id="Rectangle: Rounded Corners 39" o:spid="_x0000_s1101" style="position:absolute;left:0;text-align:left;margin-left:994.5pt;margin-top:652.85pt;width:49.1pt;height:32.7pt;z-index:2516561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" filled="f" strokecolor="#a5a5a5 [2092]" strokeweight="1.5pt">
                <v:path arrowok="t"/>
                <v:textbox inset=",0,,1.40625mm">
                  <w:txbxContent>
                    <w:p w14:paraId="736F1532" w14:textId="77777777" w:rsidR="003B33E6" w:rsidRDefault="003B33E6" w:rsidP="003B33E6">
                      <w:pPr>
                        <w:jc w:val="center"/>
                        <w:rPr>
                          <w:rFonts w:asciiTheme="minorHAnsi" w:hAnsi="Arial" w:cstheme="minorBidi"/>
                          <w:kern w:val="24"/>
                          <w:sz w:val="14"/>
                          <w:szCs w:val="14"/>
                          <w:lang w:val="en-US"/>
                        </w:rPr>
                      </w:pPr>
                      <w:r>
                        <w:rPr>
                          <w:rFonts w:asciiTheme="minorHAnsi" w:hAnsi="Arial" w:cstheme="minorBidi"/>
                          <w:kern w:val="24"/>
                          <w:sz w:val="14"/>
                          <w:szCs w:val="14"/>
                          <w:lang w:val="en-US"/>
                        </w:rPr>
                        <w:t>Adapt recommendations</w:t>
                      </w:r>
                    </w:p>
                  </w:txbxContent>
                </v:textbox>
              </v:roundrect>
            </w:pict>
          </mc:Fallback>
        </mc:AlternateContent>
      </w:r>
      <w:r w:rsidR="005606F3">
        <w:rPr>
          <w:noProof/>
        </w:rPr>
        <mc:AlternateContent>
          <mc:Choice Requires="wps">
            <w:drawing>
              <wp:anchor distT="0" distB="0" distL="114300" distR="114300" simplePos="0" relativeHeight="251656199" behindDoc="0" locked="0" layoutInCell="1" allowOverlap="1" wp14:anchorId="760BB8A9" wp14:editId="6AD4B040">
                <wp:simplePos x="0" y="0"/>
                <wp:positionH relativeFrom="column">
                  <wp:posOffset>12378055</wp:posOffset>
                </wp:positionH>
                <wp:positionV relativeFrom="paragraph">
                  <wp:posOffset>8624570</wp:posOffset>
                </wp:positionV>
                <wp:extent cx="118745" cy="45085"/>
                <wp:effectExtent l="0" t="38100" r="33655" b="50165"/>
                <wp:wrapNone/>
                <wp:docPr id="168215916" name="Straight Arrow Connector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8745" cy="45085"/>
                        </a:xfrm>
                        <a:prstGeom prst="straightConnector1">
                          <a:avLst/>
                        </a:prstGeom>
                        <a:ln w="12700">
                          <a:solidFill>
                            <a:schemeClr val="tx1">
                              <a:lumMod val="50000"/>
                              <a:lumOff val="50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67FD74" id="Straight Arrow Connector 38" o:spid="_x0000_s1026" type="#_x0000_t32" alt="&quot;&quot;" style="position:absolute;margin-left:974.65pt;margin-top:679.1pt;width:9.35pt;height:3.55pt;z-index:251656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" strokecolor="gray [1629]" strokeweight="1pt">
                <v:stroke endarrow="block"/>
                <o:lock v:ext="edit" shapetype="f"/>
              </v:shape>
            </w:pict>
          </mc:Fallback>
        </mc:AlternateContent>
      </w:r>
      <w:r w:rsidR="00542F3F">
        <w:t xml:space="preserve">Developing </w:t>
      </w:r>
      <w:r w:rsidR="00A80E1C">
        <w:t>NRV r</w:t>
      </w:r>
      <w:r w:rsidR="00542F3F">
        <w:t>ecommendations</w:t>
      </w:r>
      <w:bookmarkEnd w:id="229"/>
      <w:bookmarkEnd w:id="230"/>
      <w:bookmarkEnd w:id="231"/>
      <w:bookmarkEnd w:id="232"/>
      <w:bookmarkEnd w:id="233"/>
      <w:bookmarkEnd w:id="234"/>
      <w:bookmarkEnd w:id="235"/>
    </w:p>
    <w:p w14:paraId="74E43270" w14:textId="4B353719" w:rsidR="00404630" w:rsidRDefault="000C7842" w:rsidP="003E2E95">
      <w:pPr>
        <w:pStyle w:val="Heading30"/>
      </w:pPr>
      <w:bookmarkStart w:id="236" w:name="_Toc153967156"/>
      <w:bookmarkStart w:id="237" w:name="_Toc207801109"/>
      <w:bookmarkStart w:id="238" w:name="_Toc207824579"/>
      <w:r>
        <w:t>T</w:t>
      </w:r>
      <w:r w:rsidR="00404630">
        <w:t xml:space="preserve">ranslating </w:t>
      </w:r>
      <w:r>
        <w:t xml:space="preserve">estimated nutritional requirements </w:t>
      </w:r>
      <w:r w:rsidR="00404630">
        <w:t xml:space="preserve">into </w:t>
      </w:r>
      <w:r>
        <w:t xml:space="preserve">NRV </w:t>
      </w:r>
      <w:r w:rsidR="00404630">
        <w:t>recommendations</w:t>
      </w:r>
      <w:bookmarkEnd w:id="236"/>
      <w:bookmarkEnd w:id="237"/>
      <w:bookmarkEnd w:id="238"/>
    </w:p>
    <w:p w14:paraId="2649B69E" w14:textId="5F2A2300" w:rsidR="009C310E" w:rsidRDefault="00DD711B" w:rsidP="0054585A">
      <w:r>
        <w:t xml:space="preserve">The </w:t>
      </w:r>
      <w:r w:rsidR="004F3037">
        <w:t xml:space="preserve">following </w:t>
      </w:r>
      <w:r>
        <w:t xml:space="preserve">documents </w:t>
      </w:r>
      <w:r w:rsidR="00C45523">
        <w:t xml:space="preserve">and information </w:t>
      </w:r>
      <w:r w:rsidR="004F3037">
        <w:t xml:space="preserve">are </w:t>
      </w:r>
      <w:r w:rsidR="00B2565D">
        <w:t>required to translate</w:t>
      </w:r>
      <w:r w:rsidR="00847AA2">
        <w:t xml:space="preserve"> evidence into an NRV recommendation</w:t>
      </w:r>
      <w:r w:rsidR="00A022CF">
        <w:t>:</w:t>
      </w:r>
    </w:p>
    <w:p w14:paraId="4693633D" w14:textId="457A297D" w:rsidR="00BD7ABE" w:rsidRDefault="0018012F" w:rsidP="00211F4C">
      <w:pPr>
        <w:pStyle w:val="ListParagraph"/>
        <w:numPr>
          <w:ilvl w:val="0"/>
          <w:numId w:val="77"/>
        </w:numPr>
      </w:pPr>
      <w:r>
        <w:t>c</w:t>
      </w:r>
      <w:r w:rsidR="009A485C">
        <w:t>urrent</w:t>
      </w:r>
      <w:r w:rsidR="00382E09">
        <w:t xml:space="preserve"> NRV </w:t>
      </w:r>
      <w:r w:rsidR="009A485C">
        <w:t>for Australia and New Zealand</w:t>
      </w:r>
      <w:r w:rsidR="00C836FE">
        <w:t xml:space="preserve"> </w:t>
      </w:r>
    </w:p>
    <w:p w14:paraId="6029E00D" w14:textId="122D4AFF" w:rsidR="00382E09" w:rsidRDefault="00BD7ABE" w:rsidP="00211F4C">
      <w:pPr>
        <w:pStyle w:val="ListParagraph"/>
        <w:numPr>
          <w:ilvl w:val="0"/>
          <w:numId w:val="77"/>
        </w:numPr>
      </w:pPr>
      <w:r>
        <w:t>r</w:t>
      </w:r>
      <w:r w:rsidR="00C836FE">
        <w:t>ationale for updating</w:t>
      </w:r>
    </w:p>
    <w:p w14:paraId="49CD743B" w14:textId="4D03D411" w:rsidR="00C45523" w:rsidRDefault="0018012F" w:rsidP="00211F4C">
      <w:pPr>
        <w:pStyle w:val="ListParagraph"/>
        <w:numPr>
          <w:ilvl w:val="0"/>
          <w:numId w:val="77"/>
        </w:numPr>
      </w:pPr>
      <w:r>
        <w:t>d</w:t>
      </w:r>
      <w:r w:rsidR="00C45523">
        <w:t>escription of the question and priority outcomes</w:t>
      </w:r>
    </w:p>
    <w:p w14:paraId="238EF8AA" w14:textId="44146C3B" w:rsidR="0054345A" w:rsidRDefault="0018012F" w:rsidP="00211F4C">
      <w:pPr>
        <w:pStyle w:val="ListParagraph"/>
        <w:numPr>
          <w:ilvl w:val="0"/>
          <w:numId w:val="77"/>
        </w:numPr>
      </w:pPr>
      <w:r>
        <w:t>s</w:t>
      </w:r>
      <w:r w:rsidR="00F96250">
        <w:t xml:space="preserve">ummary of the </w:t>
      </w:r>
      <w:r w:rsidR="00462857">
        <w:t xml:space="preserve">evidence </w:t>
      </w:r>
      <w:r w:rsidR="00C836FE">
        <w:t>from</w:t>
      </w:r>
      <w:r w:rsidR="0054345A">
        <w:t>:</w:t>
      </w:r>
    </w:p>
    <w:p w14:paraId="544B7807" w14:textId="34754718" w:rsidR="00F26DCE" w:rsidRDefault="006A2B10" w:rsidP="00211F4C">
      <w:pPr>
        <w:pStyle w:val="ListParagraph"/>
        <w:numPr>
          <w:ilvl w:val="1"/>
          <w:numId w:val="79"/>
        </w:numPr>
      </w:pPr>
      <w:r>
        <w:t>an</w:t>
      </w:r>
      <w:r w:rsidR="00F26DCE">
        <w:t xml:space="preserve"> evidence </w:t>
      </w:r>
      <w:proofErr w:type="gramStart"/>
      <w:r w:rsidR="00F26DCE">
        <w:t>review</w:t>
      </w:r>
      <w:proofErr w:type="gramEnd"/>
      <w:r w:rsidR="00F26DCE">
        <w:t xml:space="preserve"> from an international jurisdiction</w:t>
      </w:r>
      <w:r>
        <w:t xml:space="preserve"> that </w:t>
      </w:r>
      <w:r w:rsidR="00413F36">
        <w:t>underpins the NRV</w:t>
      </w:r>
      <w:r w:rsidR="00F26DCE">
        <w:t xml:space="preserve"> and/or</w:t>
      </w:r>
    </w:p>
    <w:p w14:paraId="4FE3629D" w14:textId="431BB412" w:rsidR="00F26DCE" w:rsidRDefault="00F26DCE" w:rsidP="00211F4C">
      <w:pPr>
        <w:pStyle w:val="ListParagraph"/>
        <w:numPr>
          <w:ilvl w:val="1"/>
          <w:numId w:val="79"/>
        </w:numPr>
      </w:pPr>
      <w:r>
        <w:t xml:space="preserve">existing </w:t>
      </w:r>
      <w:r w:rsidR="00715BB2">
        <w:t>high-quality</w:t>
      </w:r>
      <w:r>
        <w:t xml:space="preserve"> reviews (that meet NHMRC requirements) and/or</w:t>
      </w:r>
    </w:p>
    <w:p w14:paraId="5ADEF25A" w14:textId="2D470369" w:rsidR="00957A31" w:rsidRDefault="00462857" w:rsidP="00211F4C">
      <w:pPr>
        <w:pStyle w:val="ListParagraph"/>
        <w:numPr>
          <w:ilvl w:val="1"/>
          <w:numId w:val="79"/>
        </w:numPr>
      </w:pPr>
      <w:r>
        <w:t xml:space="preserve">de novo </w:t>
      </w:r>
      <w:r w:rsidR="00957A31">
        <w:t>evidence review</w:t>
      </w:r>
      <w:r>
        <w:t xml:space="preserve"> </w:t>
      </w:r>
    </w:p>
    <w:p w14:paraId="0439110F" w14:textId="783BC543" w:rsidR="00D37C1F" w:rsidRDefault="0018012F" w:rsidP="00211F4C">
      <w:pPr>
        <w:pStyle w:val="ListParagraph"/>
        <w:numPr>
          <w:ilvl w:val="0"/>
          <w:numId w:val="78"/>
        </w:numPr>
      </w:pPr>
      <w:r>
        <w:t>i</w:t>
      </w:r>
      <w:r w:rsidR="00C836FE">
        <w:t xml:space="preserve">ntended </w:t>
      </w:r>
      <w:r w:rsidR="00247008">
        <w:t xml:space="preserve">approach </w:t>
      </w:r>
      <w:r w:rsidR="00D37C1F">
        <w:t>for:</w:t>
      </w:r>
    </w:p>
    <w:p w14:paraId="1BBA67D1" w14:textId="52381EAD" w:rsidR="00C836FE" w:rsidRDefault="00EC274C" w:rsidP="00211F4C">
      <w:pPr>
        <w:pStyle w:val="ListParagraph"/>
        <w:numPr>
          <w:ilvl w:val="1"/>
          <w:numId w:val="79"/>
        </w:numPr>
      </w:pPr>
      <w:r>
        <w:t>c</w:t>
      </w:r>
      <w:r w:rsidR="00D37C1F">
        <w:t>alculating NRV requirements</w:t>
      </w:r>
      <w:r w:rsidR="00247008">
        <w:t xml:space="preserve"> (</w:t>
      </w:r>
      <w:r w:rsidR="00923FFA">
        <w:t xml:space="preserve">factorial approach, </w:t>
      </w:r>
      <w:r w:rsidR="00247008">
        <w:t>dose r</w:t>
      </w:r>
      <w:r w:rsidR="00923FFA">
        <w:t>e</w:t>
      </w:r>
      <w:r w:rsidR="00247008">
        <w:t>sponse</w:t>
      </w:r>
      <w:r w:rsidR="00923FFA">
        <w:t xml:space="preserve"> or risk assessment)</w:t>
      </w:r>
    </w:p>
    <w:p w14:paraId="4C7203DE" w14:textId="5AD7EEA3" w:rsidR="00D37C1F" w:rsidRDefault="00EC274C" w:rsidP="00211F4C">
      <w:pPr>
        <w:pStyle w:val="ListParagraph"/>
        <w:numPr>
          <w:ilvl w:val="1"/>
          <w:numId w:val="79"/>
        </w:numPr>
      </w:pPr>
      <w:r>
        <w:t>s</w:t>
      </w:r>
      <w:r w:rsidR="00D37C1F">
        <w:t xml:space="preserve">caling </w:t>
      </w:r>
      <w:r w:rsidR="00AE7FE3">
        <w:t>(including rationale for the selected scaling method)</w:t>
      </w:r>
    </w:p>
    <w:p w14:paraId="05EC193A" w14:textId="4B30B20A" w:rsidR="00F96250" w:rsidRPr="007D3B07" w:rsidRDefault="00EC274C" w:rsidP="00211F4C">
      <w:pPr>
        <w:pStyle w:val="ListParagraph"/>
        <w:numPr>
          <w:ilvl w:val="1"/>
          <w:numId w:val="79"/>
        </w:numPr>
      </w:pPr>
      <w:r>
        <w:t>c</w:t>
      </w:r>
      <w:r w:rsidR="003D41B7" w:rsidRPr="007D3B07">
        <w:t>alculations</w:t>
      </w:r>
      <w:r w:rsidR="00545EAF" w:rsidRPr="007D3B07">
        <w:t xml:space="preserve"> with assumptions</w:t>
      </w:r>
      <w:r w:rsidR="003D41B7" w:rsidRPr="007D3B07">
        <w:t xml:space="preserve"> </w:t>
      </w:r>
    </w:p>
    <w:p w14:paraId="4DE4257D" w14:textId="334404B7" w:rsidR="00966142" w:rsidRDefault="0018012F" w:rsidP="00211F4C">
      <w:pPr>
        <w:pStyle w:val="ListParagraph"/>
        <w:numPr>
          <w:ilvl w:val="0"/>
          <w:numId w:val="78"/>
        </w:numPr>
      </w:pPr>
      <w:r>
        <w:t>c</w:t>
      </w:r>
      <w:r w:rsidR="00862434">
        <w:t xml:space="preserve">ontextual evidence </w:t>
      </w:r>
      <w:r w:rsidR="00DD1505">
        <w:t xml:space="preserve">including </w:t>
      </w:r>
      <w:r w:rsidR="00966142">
        <w:t xml:space="preserve">factors </w:t>
      </w:r>
      <w:r w:rsidR="00DD1505">
        <w:t>relating to</w:t>
      </w:r>
      <w:r w:rsidR="00966142">
        <w:t>:</w:t>
      </w:r>
    </w:p>
    <w:p w14:paraId="4B75901A" w14:textId="25A649EC" w:rsidR="00862434" w:rsidRDefault="00862434" w:rsidP="00211F4C">
      <w:pPr>
        <w:pStyle w:val="ListParagraph"/>
        <w:numPr>
          <w:ilvl w:val="1"/>
          <w:numId w:val="79"/>
        </w:numPr>
      </w:pPr>
      <w:r>
        <w:t>nutrient requirements in the Australian and New Zealand context (e</w:t>
      </w:r>
      <w:r w:rsidR="00865B98">
        <w:t>.</w:t>
      </w:r>
      <w:r>
        <w:t>g. dietary patterns, food system, population status and intakes)</w:t>
      </w:r>
    </w:p>
    <w:p w14:paraId="5E8D3CC2" w14:textId="77777777" w:rsidR="00A14CA2" w:rsidRDefault="00966142" w:rsidP="00211F4C">
      <w:pPr>
        <w:pStyle w:val="ListParagraph"/>
        <w:numPr>
          <w:ilvl w:val="1"/>
          <w:numId w:val="79"/>
        </w:numPr>
      </w:pPr>
      <w:r>
        <w:t>comparison against international NRVs</w:t>
      </w:r>
    </w:p>
    <w:p w14:paraId="0271F920" w14:textId="14949078" w:rsidR="006F6344" w:rsidRPr="007D3B07" w:rsidRDefault="00617B3A" w:rsidP="00211F4C">
      <w:pPr>
        <w:pStyle w:val="ListParagraph"/>
        <w:numPr>
          <w:ilvl w:val="1"/>
          <w:numId w:val="79"/>
        </w:numPr>
      </w:pPr>
      <w:r>
        <w:t>equity and other social determinants</w:t>
      </w:r>
      <w:r w:rsidR="00F14BAA">
        <w:t>.</w:t>
      </w:r>
    </w:p>
    <w:p w14:paraId="4B541818" w14:textId="37F4C787" w:rsidR="00FD5D1A" w:rsidRPr="00FD5D1A" w:rsidRDefault="00FD5D1A" w:rsidP="00FD5D1A">
      <w:pPr>
        <w:rPr>
          <w:highlight w:val="yellow"/>
        </w:rPr>
      </w:pPr>
    </w:p>
    <w:p w14:paraId="4FEF28DE" w14:textId="3892CD6F" w:rsidR="00AA5B26" w:rsidRDefault="002504CB" w:rsidP="003E2E95">
      <w:pPr>
        <w:pStyle w:val="Heading30"/>
      </w:pPr>
      <w:bookmarkStart w:id="239" w:name="_Toc153967157"/>
      <w:bookmarkStart w:id="240" w:name="_Toc207801110"/>
      <w:bookmarkStart w:id="241" w:name="_Toc207824580"/>
      <w:r>
        <w:t>R</w:t>
      </w:r>
      <w:r w:rsidR="00AA5B26">
        <w:t>elevant contextual factors</w:t>
      </w:r>
      <w:bookmarkEnd w:id="239"/>
      <w:bookmarkEnd w:id="240"/>
      <w:bookmarkEnd w:id="241"/>
    </w:p>
    <w:p w14:paraId="01BA6882" w14:textId="0597095F" w:rsidR="00C80231" w:rsidRDefault="006005DE" w:rsidP="003E2E95">
      <w:pPr>
        <w:pStyle w:val="Heading40"/>
      </w:pPr>
      <w:bookmarkStart w:id="242" w:name="_Toc153967158"/>
      <w:bookmarkStart w:id="243" w:name="_Toc207801111"/>
      <w:bookmarkStart w:id="244" w:name="_Toc207824581"/>
      <w:r>
        <w:t xml:space="preserve">Dietary </w:t>
      </w:r>
      <w:bookmarkEnd w:id="242"/>
      <w:r w:rsidR="00F86DE7">
        <w:t>p</w:t>
      </w:r>
      <w:r>
        <w:t>atterns</w:t>
      </w:r>
      <w:bookmarkEnd w:id="243"/>
      <w:bookmarkEnd w:id="244"/>
    </w:p>
    <w:p w14:paraId="3D759EC3" w14:textId="246FE52B" w:rsidR="00C54AD6" w:rsidRDefault="00C54AD6" w:rsidP="003E2E95">
      <w:pPr>
        <w:pStyle w:val="Heading50"/>
      </w:pPr>
      <w:bookmarkStart w:id="245" w:name="_Toc207801112"/>
      <w:bookmarkStart w:id="246" w:name="_Toc207824582"/>
      <w:r>
        <w:t xml:space="preserve">Dietary </w:t>
      </w:r>
      <w:r w:rsidR="00FE159E">
        <w:t>p</w:t>
      </w:r>
      <w:r>
        <w:t>atterns for adequacy</w:t>
      </w:r>
      <w:bookmarkEnd w:id="245"/>
      <w:bookmarkEnd w:id="246"/>
    </w:p>
    <w:p w14:paraId="6D047D8C" w14:textId="120DEA4C" w:rsidR="008F49E1" w:rsidRPr="007B0F04" w:rsidRDefault="008F49E1" w:rsidP="005F737D">
      <w:pPr>
        <w:spacing w:line="276" w:lineRule="auto"/>
      </w:pPr>
      <w:r w:rsidRPr="007B0F04">
        <w:t xml:space="preserve">Recommended dietary patterns are based on the four Foundation Diets developed in </w:t>
      </w:r>
      <w:r w:rsidR="007D4CC9" w:rsidRPr="00B70E45">
        <w:rPr>
          <w:i/>
        </w:rPr>
        <w:t>A Modelling System to Inform the Revision of the Australia Guide to Healthy Eating</w:t>
      </w:r>
      <w:r w:rsidR="0051473D">
        <w:t xml:space="preserve"> </w:t>
      </w:r>
      <w:r w:rsidR="00F10324">
        <w:fldChar w:fldCharType="begin"/>
      </w:r>
      <w:r w:rsidR="00A16ACE">
        <w:instrText xml:space="preserve"> ADDIN EN.CITE &lt;EndNote&gt;&lt;Cite&gt;&lt;Author&gt;Dietitians Association of Australia&lt;/Author&gt;&lt;Year&gt;2011&lt;/Year&gt;&lt;RecNum&gt;120&lt;/RecNum&gt;&lt;DisplayText&gt;(Dietitians Association of Australia et al. 2011)&lt;/DisplayText&gt;&lt;record&gt;&lt;rec-number&gt;120&lt;/rec-number&gt;&lt;foreign-keys&gt;&lt;key app="EN" db-id="zxfaevvrgpsxebez5ec5vspfe2av5dtxt9xx" timestamp="1756093911"&gt;120&lt;/key&gt;&lt;/foreign-keys&gt;&lt;ref-type name="Electronic Book"&gt;44&lt;/ref-type&gt;&lt;contributors&gt;&lt;authors&gt;&lt;author&gt;Dietitians Association of Australia,&lt;/author&gt;&lt;author&gt;Baghurst, K&lt;/author&gt;&lt;author&gt;Cobiac, L&lt;/author&gt;&lt;author&gt;Baghurst, P&lt;/author&gt;&lt;author&gt;Magary, A&lt;/author&gt;&lt;author&gt;Bryon, A&lt;/author&gt;&lt;/authors&gt;&lt;secondary-authors&gt;&lt;author&gt;Australian Government Department of Health and Ageing and National Health and Medical Research Council,&lt;/author&gt;&lt;/secondary-authors&gt;&lt;/contributors&gt;&lt;titles&gt;&lt;title&gt;A modelling system to inform the revision of the Australian Guide to Healthy Eating&lt;/title&gt;&lt;/titles&gt;&lt;dates&gt;&lt;year&gt;2011&lt;/year&gt;&lt;/dates&gt;&lt;pub-location&gt;Canberra, ACT&lt;/pub-location&gt;&lt;publisher&gt;NHMRC&lt;/publisher&gt;&lt;urls&gt;&lt;related-urls&gt;&lt;url&gt;date accessed 25 August 2025 https://www.eatforhealth.gov.au/sites/default/files/files/the_guidelines/n55c_dietary_guidelines_food_modelling.pdf&lt;/url&gt;&lt;/related-urls&gt;&lt;/urls&gt;&lt;/record&gt;&lt;/Cite&gt;&lt;/EndNote&gt;</w:instrText>
      </w:r>
      <w:r w:rsidR="00F10324">
        <w:fldChar w:fldCharType="separate"/>
      </w:r>
      <w:r w:rsidR="00F10324">
        <w:rPr>
          <w:noProof/>
        </w:rPr>
        <w:t>(Dietitians Association of Australia et al. 2011)</w:t>
      </w:r>
      <w:r w:rsidR="00F10324">
        <w:fldChar w:fldCharType="end"/>
      </w:r>
      <w:r w:rsidR="00E85AAE">
        <w:t>.</w:t>
      </w:r>
      <w:r w:rsidR="00B01844">
        <w:t xml:space="preserve"> </w:t>
      </w:r>
      <w:r>
        <w:t>Evidence reviewers</w:t>
      </w:r>
      <w:r w:rsidRPr="007B0F04">
        <w:t xml:space="preserve"> are not required to develop or adapt the Modelling </w:t>
      </w:r>
      <w:r w:rsidRPr="007B0F04">
        <w:lastRenderedPageBreak/>
        <w:t xml:space="preserve">System. </w:t>
      </w:r>
      <w:r>
        <w:t>Evidence reviewers</w:t>
      </w:r>
      <w:r w:rsidRPr="007B0F04">
        <w:t xml:space="preserve"> will check any draft values proposed meet the criteria of realistic and achievable for the Australian/New Zealand population using various data sources</w:t>
      </w:r>
      <w:r w:rsidR="00670C9F">
        <w:t xml:space="preserve"> </w:t>
      </w:r>
      <w:r w:rsidR="00670C9F">
        <w:fldChar w:fldCharType="begin"/>
      </w:r>
      <w:r w:rsidR="00272AC4">
        <w:instrText xml:space="preserve"> ADDIN EN.CITE &lt;EndNote&gt;&lt;Cite&gt;&lt;Author&gt;NHMRC&lt;/Author&gt;&lt;Year&gt;2011&lt;/Year&gt;&lt;RecNum&gt;48&lt;/RecNum&gt;&lt;DisplayText&gt;(NHMRC 2011)&lt;/DisplayText&gt;&lt;record&gt;&lt;rec-number&gt;48&lt;/rec-number&gt;&lt;foreign-keys&gt;&lt;key app="EN" db-id="zxfaevvrgpsxebez5ec5vspfe2av5dtxt9xx" timestamp="1754957726"&gt;48&lt;/key&gt;&lt;/foreign-keys&gt;&lt;ref-type name="Electronic Book"&gt;44&lt;/ref-type&gt;&lt;contributors&gt;&lt;authors&gt;&lt;author&gt;NHMRC,&lt;/author&gt;&lt;/authors&gt;&lt;/contributors&gt;&lt;titles&gt;&lt;title&gt;A modelling system to inform the revision of the Australian Guide to Healthy Eating&lt;/title&gt;&lt;/titles&gt;&lt;dates&gt;&lt;year&gt;2011&lt;/year&gt;&lt;/dates&gt;&lt;pub-location&gt;Canberra&lt;/pub-location&gt;&lt;urls&gt;&lt;related-urls&gt;&lt;url&gt;date accessed 18 August 2025, https://www.eatforhealth.gov.au/sites/default/files/files/the_guidelines/n55c_dietary_guidelines_food_modelling.pdf&lt;/url&gt;&lt;/related-urls&gt;&lt;/urls&gt;&lt;/record&gt;&lt;/Cite&gt;&lt;/EndNote&gt;</w:instrText>
      </w:r>
      <w:r w:rsidR="00670C9F">
        <w:fldChar w:fldCharType="separate"/>
      </w:r>
      <w:r w:rsidR="007607BA">
        <w:rPr>
          <w:noProof/>
        </w:rPr>
        <w:t>(NHMRC 2011)</w:t>
      </w:r>
      <w:r w:rsidR="00670C9F">
        <w:fldChar w:fldCharType="end"/>
      </w:r>
      <w:r w:rsidRPr="007B0F04">
        <w:t>.</w:t>
      </w:r>
    </w:p>
    <w:p w14:paraId="3FC8A6C6" w14:textId="569D4602" w:rsidR="00EC7766" w:rsidRDefault="008F49E1" w:rsidP="002F672A">
      <w:pPr>
        <w:spacing w:line="276" w:lineRule="auto"/>
        <w:rPr>
          <w:i/>
        </w:rPr>
      </w:pPr>
      <w:r w:rsidRPr="007B0F04">
        <w:t xml:space="preserve">As part of this work, evidence reviewers are requested to develop and propose draft NRVs based on the evidence. These draft values should then be compared </w:t>
      </w:r>
      <w:r w:rsidR="00020FCD">
        <w:t>with</w:t>
      </w:r>
      <w:r w:rsidR="00020FCD" w:rsidRPr="007B0F04">
        <w:t xml:space="preserve"> </w:t>
      </w:r>
      <w:r w:rsidRPr="007B0F04">
        <w:t xml:space="preserve">the results of relevant nutrient analysis of </w:t>
      </w:r>
      <w:r w:rsidRPr="007B0F04">
        <w:rPr>
          <w:b/>
        </w:rPr>
        <w:t>current</w:t>
      </w:r>
      <w:r w:rsidRPr="007B0F04">
        <w:t xml:space="preserve"> dietary patterns in Australia</w:t>
      </w:r>
      <w:r>
        <w:rPr>
          <w:vertAlign w:val="superscript"/>
        </w:rPr>
        <w:footnoteReference w:id="9"/>
      </w:r>
      <w:r w:rsidRPr="007B0F04">
        <w:t xml:space="preserve"> </w:t>
      </w:r>
      <w:r w:rsidR="000A4E27">
        <w:t xml:space="preserve">and New Zealand such as </w:t>
      </w:r>
      <w:r w:rsidRPr="007B0F04">
        <w:t xml:space="preserve">the Australia </w:t>
      </w:r>
      <w:r w:rsidR="001C7ED4">
        <w:t xml:space="preserve">Physical Activity and Nutrition </w:t>
      </w:r>
      <w:r w:rsidRPr="007B0F04">
        <w:t>Survey 2011-12</w:t>
      </w:r>
      <w:r>
        <w:t xml:space="preserve"> </w:t>
      </w:r>
      <w:r w:rsidR="00E90DF5">
        <w:fldChar w:fldCharType="begin"/>
      </w:r>
      <w:r w:rsidR="007607BA">
        <w:instrText xml:space="preserve"> ADDIN EN.CITE &lt;EndNote&gt;&lt;Cite&gt;&lt;Author&gt;ABS&lt;/Author&gt;&lt;Year&gt;2014&lt;/Year&gt;&lt;RecNum&gt;10&lt;/RecNum&gt;&lt;DisplayText&gt;(ABS 2014)&lt;/DisplayText&gt;&lt;record&gt;&lt;rec-number&gt;10&lt;/rec-number&gt;&lt;foreign-keys&gt;&lt;key app="EN" db-id="zxfaevvrgpsxebez5ec5vspfe2av5dtxt9xx" timestamp="1754957726"&gt;10&lt;/key&gt;&lt;/foreign-keys&gt;&lt;ref-type name="Electronic Book"&gt;44&lt;/ref-type&gt;&lt;contributors&gt;&lt;authors&gt;&lt;author&gt;ABS,&lt;/author&gt;&lt;/authors&gt;&lt;/contributors&gt;&lt;titles&gt;&lt;title&gt;Australian Health Survey: Nutrition First Results—Foods and Nutrients, 2011–2012.&lt;/title&gt;&lt;/titles&gt;&lt;dates&gt;&lt;year&gt;2014&lt;/year&gt;&lt;/dates&gt;&lt;urls&gt;&lt;related-urls&gt;&lt;url&gt;date accessed 13 August 2025, https://www.abs.gov.au/statistics/health/health-conditions-and-risks/australian-health-survey-nutrition-first-results-foods-and-nutrients/latest-release&lt;/url&gt;&lt;/related-urls&gt;&lt;/urls&gt;&lt;access-date&gt;13 August 2025&lt;/access-date&gt;&lt;/record&gt;&lt;/Cite&gt;&lt;/EndNote&gt;</w:instrText>
      </w:r>
      <w:r w:rsidR="00E90DF5">
        <w:fldChar w:fldCharType="separate"/>
      </w:r>
      <w:r w:rsidR="007607BA">
        <w:rPr>
          <w:noProof/>
        </w:rPr>
        <w:t>(ABS 2014)</w:t>
      </w:r>
      <w:r w:rsidR="00E90DF5">
        <w:fldChar w:fldCharType="end"/>
      </w:r>
      <w:r w:rsidR="00035A0D">
        <w:t xml:space="preserve"> </w:t>
      </w:r>
      <w:r w:rsidRPr="007B0F04">
        <w:t xml:space="preserve">to ensure the value is </w:t>
      </w:r>
      <w:r w:rsidRPr="007B0F04">
        <w:rPr>
          <w:b/>
          <w:bCs/>
        </w:rPr>
        <w:t xml:space="preserve">realistic </w:t>
      </w:r>
      <w:r w:rsidRPr="007B0F04">
        <w:rPr>
          <w:bCs/>
        </w:rPr>
        <w:t>and</w:t>
      </w:r>
      <w:r w:rsidRPr="007B0F04">
        <w:rPr>
          <w:b/>
          <w:bCs/>
        </w:rPr>
        <w:t xml:space="preserve"> achievable. </w:t>
      </w:r>
    </w:p>
    <w:p w14:paraId="751C88D2" w14:textId="2D24C057" w:rsidR="007F2655" w:rsidRPr="0092115F" w:rsidRDefault="008821C1" w:rsidP="003E2E95">
      <w:pPr>
        <w:pStyle w:val="Heading50"/>
      </w:pPr>
      <w:r>
        <w:t xml:space="preserve"> </w:t>
      </w:r>
      <w:bookmarkStart w:id="247" w:name="_Toc207801113"/>
      <w:bookmarkStart w:id="248" w:name="_Toc207824583"/>
      <w:r w:rsidR="000A777F">
        <w:t>Nutrient</w:t>
      </w:r>
      <w:r w:rsidR="00FE159E">
        <w:t xml:space="preserve"> intake</w:t>
      </w:r>
      <w:r w:rsidR="000A777F">
        <w:t xml:space="preserve"> and</w:t>
      </w:r>
      <w:r w:rsidR="00FE159E">
        <w:t xml:space="preserve"> </w:t>
      </w:r>
      <w:r w:rsidR="007F2655" w:rsidRPr="007F2655">
        <w:t>Upper Level of Intake (UL)</w:t>
      </w:r>
      <w:bookmarkEnd w:id="247"/>
      <w:bookmarkEnd w:id="248"/>
    </w:p>
    <w:p w14:paraId="62B9E50F" w14:textId="5A0A6AEB" w:rsidR="007F2655" w:rsidRPr="007F2655" w:rsidRDefault="007F2655" w:rsidP="005F737D">
      <w:pPr>
        <w:widowControl w:val="0"/>
        <w:spacing w:after="120" w:line="276" w:lineRule="auto"/>
        <w:ind w:right="261"/>
        <w:rPr>
          <w:rFonts w:eastAsia="Calibri"/>
          <w:spacing w:val="-1"/>
          <w:lang w:val="en-US"/>
        </w:rPr>
      </w:pPr>
      <w:r w:rsidRPr="007F2655">
        <w:rPr>
          <w:rFonts w:eastAsia="Calibri"/>
          <w:spacing w:val="-1"/>
          <w:lang w:val="en-US"/>
        </w:rPr>
        <w:t>The UL is the highest average daily nutrient intake level likely to pose no adverse health effects to almost all individuals in the general population.  Quantified risk estimates for the adverse health risks associated with different levels of nutrient intake are also required. When proposing draft UL values, validation of proposed ULs against actual population intakes requires consideration of supplement use.</w:t>
      </w:r>
    </w:p>
    <w:p w14:paraId="7F57D3B7" w14:textId="1189F127" w:rsidR="008F49E1" w:rsidRDefault="007F2655" w:rsidP="005F737D">
      <w:pPr>
        <w:widowControl w:val="0"/>
        <w:spacing w:after="120" w:line="276" w:lineRule="auto"/>
        <w:ind w:right="261"/>
        <w:rPr>
          <w:rFonts w:eastAsia="Calibri"/>
          <w:spacing w:val="-1"/>
          <w:lang w:val="en-US"/>
        </w:rPr>
      </w:pPr>
      <w:r w:rsidRPr="00EC7766">
        <w:rPr>
          <w:rFonts w:eastAsia="Calibri"/>
          <w:spacing w:val="-1"/>
          <w:lang w:val="en-US"/>
        </w:rPr>
        <w:t>For each defined sub</w:t>
      </w:r>
      <w:r w:rsidR="005F737D">
        <w:rPr>
          <w:rFonts w:eastAsia="Calibri"/>
          <w:spacing w:val="-1"/>
          <w:lang w:val="en-US"/>
        </w:rPr>
        <w:t>-</w:t>
      </w:r>
      <w:r w:rsidRPr="00EC7766">
        <w:rPr>
          <w:rFonts w:eastAsia="Calibri"/>
          <w:spacing w:val="-1"/>
          <w:lang w:val="en-US"/>
        </w:rPr>
        <w:t>population of interest, consider all nutrient sources by combining the Foundation Diet intakes or survey data with supplements and drinking water. Determine the upper bound</w:t>
      </w:r>
      <w:r w:rsidR="006A5A3B">
        <w:rPr>
          <w:rFonts w:eastAsia="Calibri"/>
          <w:spacing w:val="-1"/>
          <w:lang w:val="en-US"/>
        </w:rPr>
        <w:t>ary</w:t>
      </w:r>
      <w:r w:rsidRPr="00EC7766">
        <w:rPr>
          <w:rFonts w:eastAsia="Calibri"/>
          <w:spacing w:val="-1"/>
          <w:lang w:val="en-US"/>
        </w:rPr>
        <w:t xml:space="preserve"> of intakes that has not been associated with adverse outcomes in reliable studies. </w:t>
      </w:r>
    </w:p>
    <w:p w14:paraId="78D08743" w14:textId="1C0CA3FC" w:rsidR="00B0593F" w:rsidRPr="00B0593F" w:rsidRDefault="00627B51" w:rsidP="003E2E95">
      <w:pPr>
        <w:pStyle w:val="Heading40"/>
      </w:pPr>
      <w:bookmarkStart w:id="249" w:name="_Toc207801114"/>
      <w:bookmarkStart w:id="250" w:name="_Toc207824584"/>
      <w:r>
        <w:t>Potential impacts</w:t>
      </w:r>
      <w:bookmarkEnd w:id="249"/>
      <w:bookmarkEnd w:id="250"/>
      <w:r>
        <w:t xml:space="preserve"> </w:t>
      </w:r>
    </w:p>
    <w:p w14:paraId="15618A36" w14:textId="77777777" w:rsidR="00627B51" w:rsidRPr="007B0F04" w:rsidRDefault="00627B51" w:rsidP="00627B51">
      <w:pPr>
        <w:spacing w:line="252" w:lineRule="auto"/>
      </w:pPr>
      <w:r>
        <w:t>T</w:t>
      </w:r>
      <w:r w:rsidRPr="007B0F04">
        <w:t xml:space="preserve">he implications </w:t>
      </w:r>
      <w:r>
        <w:t xml:space="preserve">should be discussed </w:t>
      </w:r>
      <w:r w:rsidRPr="007B0F04">
        <w:t>of any proposed draft value that:</w:t>
      </w:r>
    </w:p>
    <w:p w14:paraId="59FFE4ED" w14:textId="77777777" w:rsidR="00627B51" w:rsidRPr="007B0F04" w:rsidRDefault="00627B51" w:rsidP="00211F4C">
      <w:pPr>
        <w:numPr>
          <w:ilvl w:val="0"/>
          <w:numId w:val="31"/>
        </w:numPr>
        <w:spacing w:before="0" w:after="200" w:line="276" w:lineRule="auto"/>
        <w:contextualSpacing/>
      </w:pPr>
      <w:r w:rsidRPr="007B0F04">
        <w:t>varies significantly from relevant nutrient content of current dietary patterns</w:t>
      </w:r>
    </w:p>
    <w:p w14:paraId="48FE317D" w14:textId="77777777" w:rsidR="00627B51" w:rsidRPr="007B0F04" w:rsidRDefault="00627B51" w:rsidP="00211F4C">
      <w:pPr>
        <w:numPr>
          <w:ilvl w:val="0"/>
          <w:numId w:val="31"/>
        </w:numPr>
        <w:spacing w:before="0" w:after="200" w:line="276" w:lineRule="auto"/>
        <w:contextualSpacing/>
      </w:pPr>
      <w:r w:rsidRPr="007B0F04">
        <w:t xml:space="preserve">varies significantly from relevant nutrient content of recommended dietary patterns i.e. Foundation Diet Models </w:t>
      </w:r>
    </w:p>
    <w:p w14:paraId="5ABD56A2" w14:textId="41CC87BE" w:rsidR="00627B51" w:rsidRDefault="00627B51" w:rsidP="00211F4C">
      <w:pPr>
        <w:numPr>
          <w:ilvl w:val="0"/>
          <w:numId w:val="31"/>
        </w:numPr>
        <w:spacing w:before="0" w:after="200" w:line="276" w:lineRule="auto"/>
        <w:contextualSpacing/>
      </w:pPr>
      <w:r w:rsidRPr="007B0F04">
        <w:t xml:space="preserve">varies significantly from existing values and the values of other </w:t>
      </w:r>
      <w:r>
        <w:t>comparable international jurisdictions</w:t>
      </w:r>
    </w:p>
    <w:p w14:paraId="619B601B" w14:textId="5CD1EB57" w:rsidR="00627B51" w:rsidRDefault="00B74AEA" w:rsidP="00211F4C">
      <w:pPr>
        <w:numPr>
          <w:ilvl w:val="0"/>
          <w:numId w:val="31"/>
        </w:numPr>
        <w:spacing w:before="0" w:after="200" w:line="276" w:lineRule="auto"/>
        <w:contextualSpacing/>
      </w:pPr>
      <w:r>
        <w:t>i</w:t>
      </w:r>
      <w:r w:rsidR="00627B51">
        <w:t>mpact</w:t>
      </w:r>
      <w:r>
        <w:t>s</w:t>
      </w:r>
      <w:r w:rsidR="00627B51">
        <w:t xml:space="preserve"> on regulation</w:t>
      </w:r>
    </w:p>
    <w:p w14:paraId="2F8B846E" w14:textId="77777777" w:rsidR="00B0593F" w:rsidRDefault="00B0593F" w:rsidP="00EC7766">
      <w:pPr>
        <w:widowControl w:val="0"/>
        <w:spacing w:after="120" w:line="240" w:lineRule="auto"/>
        <w:ind w:right="261"/>
      </w:pPr>
    </w:p>
    <w:p w14:paraId="242DF4A6" w14:textId="772FA3C8" w:rsidR="006005DE" w:rsidRDefault="006005DE" w:rsidP="003E2E95">
      <w:pPr>
        <w:pStyle w:val="Heading40"/>
      </w:pPr>
      <w:bookmarkStart w:id="251" w:name="_Toc153967159"/>
      <w:bookmarkStart w:id="252" w:name="_Toc207801115"/>
      <w:bookmarkStart w:id="253" w:name="_Toc207824585"/>
      <w:r w:rsidRPr="009845D8">
        <w:t>International dietary reference values</w:t>
      </w:r>
      <w:bookmarkEnd w:id="251"/>
      <w:bookmarkEnd w:id="252"/>
      <w:bookmarkEnd w:id="253"/>
    </w:p>
    <w:p w14:paraId="507DE3B6" w14:textId="32594525" w:rsidR="004F72DE" w:rsidRDefault="00F764A0" w:rsidP="00404309">
      <w:pPr>
        <w:spacing w:line="276" w:lineRule="auto"/>
      </w:pPr>
      <w:r>
        <w:t xml:space="preserve">Proposed NRVs should be </w:t>
      </w:r>
      <w:r w:rsidR="0046420A">
        <w:t>contrasted</w:t>
      </w:r>
      <w:r>
        <w:t xml:space="preserve"> with </w:t>
      </w:r>
      <w:r w:rsidR="004F72DE">
        <w:t>NRVs from comparable international jurisdictions</w:t>
      </w:r>
      <w:r w:rsidR="0046420A">
        <w:t>.</w:t>
      </w:r>
      <w:r w:rsidR="00C6009A">
        <w:t xml:space="preserve"> </w:t>
      </w:r>
      <w:r w:rsidR="00165875">
        <w:t>If final recommendations differ substantially to international values or the previous Australian value, Expert Working Groups should record the rationale for difference in findings. Rationale should also be included when final recommendations reflect existing values. All decisions regarding the basis of final NRV values will be clearly recorded and communicated to final end-users as per the GRADE process.</w:t>
      </w:r>
    </w:p>
    <w:p w14:paraId="781665E2" w14:textId="77777777" w:rsidR="0085516D" w:rsidRDefault="0085516D" w:rsidP="008B3310"/>
    <w:p w14:paraId="1EAAD45F" w14:textId="246725B3" w:rsidR="00542F3F" w:rsidRDefault="00542F3F" w:rsidP="003E2E95">
      <w:pPr>
        <w:pStyle w:val="Heading30"/>
      </w:pPr>
      <w:bookmarkStart w:id="254" w:name="_Toc153967160"/>
      <w:bookmarkStart w:id="255" w:name="_Ref193279383"/>
      <w:bookmarkStart w:id="256" w:name="_Toc207801116"/>
      <w:bookmarkStart w:id="257" w:name="_Toc207824586"/>
      <w:r>
        <w:lastRenderedPageBreak/>
        <w:t xml:space="preserve">GRADE </w:t>
      </w:r>
      <w:r w:rsidR="00F86DE7">
        <w:t>e</w:t>
      </w:r>
      <w:r>
        <w:t>vidence</w:t>
      </w:r>
      <w:r w:rsidR="005705E7">
        <w:t>-</w:t>
      </w:r>
      <w:r>
        <w:t>to</w:t>
      </w:r>
      <w:bookmarkEnd w:id="254"/>
      <w:r w:rsidR="005705E7">
        <w:t>-</w:t>
      </w:r>
      <w:r w:rsidR="00F86DE7">
        <w:t>d</w:t>
      </w:r>
      <w:r>
        <w:t xml:space="preserve">ecision </w:t>
      </w:r>
      <w:r w:rsidR="00F86DE7">
        <w:t>p</w:t>
      </w:r>
      <w:r>
        <w:t>rocess</w:t>
      </w:r>
      <w:bookmarkEnd w:id="255"/>
      <w:bookmarkEnd w:id="256"/>
      <w:bookmarkEnd w:id="257"/>
    </w:p>
    <w:p w14:paraId="7D345964" w14:textId="09CF1317" w:rsidR="00FF2882" w:rsidRDefault="001D7C4D" w:rsidP="00FF2882">
      <w:pPr>
        <w:rPr>
          <w:rFonts w:ascii="Aptos" w:hAnsi="Aptos"/>
          <w:color w:val="000000"/>
          <w:sz w:val="24"/>
          <w:szCs w:val="24"/>
        </w:rPr>
      </w:pPr>
      <w:r w:rsidRPr="001D7C4D">
        <w:t xml:space="preserve">The GRADE </w:t>
      </w:r>
      <w:r w:rsidR="005705E7">
        <w:t>e</w:t>
      </w:r>
      <w:r w:rsidRPr="001D7C4D">
        <w:t>vidence</w:t>
      </w:r>
      <w:r w:rsidR="005705E7">
        <w:t>-</w:t>
      </w:r>
      <w:r w:rsidRPr="001D7C4D">
        <w:t>to</w:t>
      </w:r>
      <w:r w:rsidR="005705E7">
        <w:t>-d</w:t>
      </w:r>
      <w:r w:rsidRPr="001D7C4D">
        <w:t>ecision (</w:t>
      </w:r>
      <w:proofErr w:type="spellStart"/>
      <w:r w:rsidRPr="001D7C4D">
        <w:t>EtD</w:t>
      </w:r>
      <w:proofErr w:type="spellEnd"/>
      <w:r w:rsidRPr="001D7C4D">
        <w:t>) framework is guided by a set of criteria that consider the available scientific evidence, anticipated benefits and harms, stakeholder values and preferences, resource implications, equity, acceptability, and feasibility.</w:t>
      </w:r>
      <w:r>
        <w:t xml:space="preserve"> </w:t>
      </w:r>
      <w:r w:rsidR="00FD6216" w:rsidRPr="00F95EE3">
        <w:rPr>
          <w:szCs w:val="20"/>
        </w:rPr>
        <w:t>For the development of NRVs</w:t>
      </w:r>
      <w:r w:rsidR="00E70BAC">
        <w:rPr>
          <w:szCs w:val="20"/>
        </w:rPr>
        <w:t>,</w:t>
      </w:r>
      <w:r w:rsidR="00FF2882" w:rsidRPr="00F95EE3">
        <w:rPr>
          <w:szCs w:val="20"/>
        </w:rPr>
        <w:t xml:space="preserve"> </w:t>
      </w:r>
      <w:r w:rsidR="00FF2882" w:rsidRPr="00F95EE3">
        <w:rPr>
          <w:color w:val="000000"/>
          <w:szCs w:val="20"/>
        </w:rPr>
        <w:t xml:space="preserve">one </w:t>
      </w:r>
      <w:proofErr w:type="spellStart"/>
      <w:r w:rsidR="00FF2882" w:rsidRPr="00F95EE3">
        <w:rPr>
          <w:color w:val="000000"/>
          <w:szCs w:val="20"/>
        </w:rPr>
        <w:t>EtD</w:t>
      </w:r>
      <w:proofErr w:type="spellEnd"/>
      <w:r w:rsidR="00FF2882" w:rsidRPr="00F95EE3">
        <w:rPr>
          <w:color w:val="000000"/>
          <w:szCs w:val="20"/>
        </w:rPr>
        <w:t xml:space="preserve"> framework should be applied for each population group for each nutrient.</w:t>
      </w:r>
      <w:r w:rsidR="00FF2882" w:rsidRPr="000D7063">
        <w:rPr>
          <w:rFonts w:ascii="Aptos" w:hAnsi="Aptos"/>
          <w:color w:val="000000"/>
          <w:sz w:val="24"/>
          <w:szCs w:val="24"/>
        </w:rPr>
        <w:t xml:space="preserve"> </w:t>
      </w:r>
    </w:p>
    <w:p w14:paraId="09A2861A" w14:textId="30377775" w:rsidR="00145ACB" w:rsidRDefault="00C90E03" w:rsidP="00FF2882">
      <w:pPr>
        <w:rPr>
          <w:rFonts w:ascii="Aptos" w:hAnsi="Aptos"/>
          <w:color w:val="000000"/>
          <w:sz w:val="24"/>
          <w:szCs w:val="24"/>
        </w:rPr>
      </w:pPr>
      <w:r>
        <w:t>P</w:t>
      </w:r>
      <w:r w:rsidR="003B1CC8" w:rsidRPr="003B1CC8">
        <w:t>eople consume whole foods rather than isolated nutrients, and that interactions between nutrients may need to be considered when deriving reference values.</w:t>
      </w:r>
      <w:r w:rsidR="003B1CC8">
        <w:t xml:space="preserve"> </w:t>
      </w:r>
      <w:r w:rsidR="009453BB">
        <w:t xml:space="preserve">The considerations in the </w:t>
      </w:r>
      <w:proofErr w:type="spellStart"/>
      <w:r w:rsidR="009453BB">
        <w:t>EtD</w:t>
      </w:r>
      <w:proofErr w:type="spellEnd"/>
      <w:r w:rsidR="009453BB">
        <w:t xml:space="preserve"> framework</w:t>
      </w:r>
      <w:r w:rsidR="00145ACB">
        <w:t xml:space="preserve"> will </w:t>
      </w:r>
      <w:r w:rsidR="003B1CC8">
        <w:t xml:space="preserve">also </w:t>
      </w:r>
      <w:r w:rsidR="00145ACB">
        <w:t>be related to food sources</w:t>
      </w:r>
      <w:r w:rsidR="00DD062B">
        <w:t xml:space="preserve"> and supply</w:t>
      </w:r>
      <w:r w:rsidR="009E31C3">
        <w:t>, food</w:t>
      </w:r>
      <w:r w:rsidR="00DD062B">
        <w:t xml:space="preserve"> systems</w:t>
      </w:r>
      <w:r w:rsidR="0096776B">
        <w:t>,</w:t>
      </w:r>
      <w:r w:rsidR="007B3F3F">
        <w:t xml:space="preserve"> dietary patterns</w:t>
      </w:r>
      <w:r w:rsidR="004C212C" w:rsidRPr="004C212C">
        <w:t xml:space="preserve"> </w:t>
      </w:r>
      <w:r w:rsidR="004C212C">
        <w:t xml:space="preserve">and </w:t>
      </w:r>
      <w:r w:rsidR="004C212C" w:rsidRPr="00677CFE">
        <w:t>the public health situation in Australia and New Zealand</w:t>
      </w:r>
      <w:r w:rsidR="007B3F3F">
        <w:t>.</w:t>
      </w:r>
    </w:p>
    <w:p w14:paraId="07B84B6C" w14:textId="7752073D" w:rsidR="00FE043C" w:rsidRDefault="009C3444" w:rsidP="00AD7085">
      <w:r>
        <w:t>Th</w:t>
      </w:r>
      <w:r w:rsidR="008D5FE1">
        <w:t>e</w:t>
      </w:r>
      <w:r w:rsidR="009270A5">
        <w:t xml:space="preserve"> </w:t>
      </w:r>
      <w:proofErr w:type="spellStart"/>
      <w:r w:rsidR="009270A5">
        <w:t>EtD</w:t>
      </w:r>
      <w:proofErr w:type="spellEnd"/>
      <w:r w:rsidR="00FF2882">
        <w:t xml:space="preserve"> template </w:t>
      </w:r>
      <w:r w:rsidR="00B206D7">
        <w:t>is used to capture discussion</w:t>
      </w:r>
      <w:r w:rsidR="00DF0596">
        <w:t>, the rationale</w:t>
      </w:r>
      <w:r w:rsidR="00FE043C">
        <w:t xml:space="preserve"> and any judgements or assumptions</w:t>
      </w:r>
      <w:r w:rsidR="00B206D7">
        <w:t xml:space="preserve"> about the</w:t>
      </w:r>
      <w:r w:rsidR="0069118B">
        <w:t xml:space="preserve"> nutrient </w:t>
      </w:r>
      <w:r w:rsidR="00B206D7">
        <w:t>by the expert committee</w:t>
      </w:r>
      <w:r w:rsidR="00FB0A35">
        <w:t xml:space="preserve"> through</w:t>
      </w:r>
      <w:r w:rsidR="001638D6">
        <w:t>out the development process</w:t>
      </w:r>
      <w:r w:rsidR="00FE043C">
        <w:t xml:space="preserve">. </w:t>
      </w:r>
      <w:r w:rsidR="0038224E">
        <w:t>It</w:t>
      </w:r>
      <w:r w:rsidR="00022DDF">
        <w:t xml:space="preserve"> is </w:t>
      </w:r>
      <w:r w:rsidR="00C550BE">
        <w:t xml:space="preserve">published alongside the value to </w:t>
      </w:r>
      <w:r w:rsidR="006218FB">
        <w:t xml:space="preserve">convey the </w:t>
      </w:r>
      <w:r w:rsidR="005A2C61">
        <w:t>Committee’s</w:t>
      </w:r>
      <w:r w:rsidR="006218FB">
        <w:t xml:space="preserve"> judgement of</w:t>
      </w:r>
      <w:r w:rsidR="000E60DD">
        <w:t xml:space="preserve"> the evidence and how th</w:t>
      </w:r>
      <w:r w:rsidR="00473F60">
        <w:t xml:space="preserve">ose judgements are reflected in the value. </w:t>
      </w:r>
      <w:r w:rsidR="00A9016D">
        <w:t>This</w:t>
      </w:r>
      <w:r w:rsidR="00653CE8">
        <w:t xml:space="preserve"> ensure</w:t>
      </w:r>
      <w:r w:rsidR="00C90E03">
        <w:t>s</w:t>
      </w:r>
      <w:r w:rsidR="00A9016D">
        <w:t xml:space="preserve"> </w:t>
      </w:r>
      <w:r w:rsidR="00653CE8">
        <w:t xml:space="preserve">a transparent </w:t>
      </w:r>
      <w:r w:rsidR="00CA390E">
        <w:t>decision-making</w:t>
      </w:r>
      <w:r w:rsidR="00653CE8">
        <w:t xml:space="preserve"> process and for future harmonisation efforts across jurisdictions.</w:t>
      </w:r>
    </w:p>
    <w:p w14:paraId="29923F18" w14:textId="0B9BF545" w:rsidR="008F72CF" w:rsidRPr="00677CFE" w:rsidRDefault="003D027C" w:rsidP="00A825FB">
      <w:r>
        <w:t xml:space="preserve">If there are overarching issues that are important </w:t>
      </w:r>
      <w:r w:rsidR="00687E74">
        <w:t xml:space="preserve">to the calculations of NRVs they should be reflected in the </w:t>
      </w:r>
      <w:proofErr w:type="spellStart"/>
      <w:r w:rsidR="00687E74">
        <w:t>EtD</w:t>
      </w:r>
      <w:proofErr w:type="spellEnd"/>
      <w:r w:rsidR="00687E74">
        <w:t xml:space="preserve"> framework.</w:t>
      </w:r>
      <w:r w:rsidR="00075DF9" w:rsidRPr="00677CFE">
        <w:t xml:space="preserve"> </w:t>
      </w:r>
    </w:p>
    <w:p w14:paraId="407A8F46" w14:textId="0FE02062" w:rsidR="00FF2882" w:rsidRPr="00677CFE" w:rsidRDefault="00FF2882" w:rsidP="00FF2882">
      <w:r>
        <w:t xml:space="preserve">The following framework has been adapted from templates available in the </w:t>
      </w:r>
      <w:r w:rsidR="00F9076C" w:rsidRPr="00F9076C">
        <w:t>GRADEpro platform</w:t>
      </w:r>
      <w:r w:rsidR="00A44852">
        <w:t xml:space="preserve"> (</w:t>
      </w:r>
      <w:hyperlink r:id="rId144" w:history="1">
        <w:r w:rsidR="00A44852" w:rsidRPr="00A71EDE">
          <w:rPr>
            <w:rStyle w:val="Hyperlink"/>
          </w:rPr>
          <w:t>https://www.gradepro.org/</w:t>
        </w:r>
      </w:hyperlink>
      <w:r w:rsidR="00A44852">
        <w:t>)</w:t>
      </w:r>
      <w:r>
        <w:t xml:space="preserve">. </w:t>
      </w:r>
    </w:p>
    <w:p w14:paraId="70C1C5FB" w14:textId="70E10E91" w:rsidR="00325D2B" w:rsidRPr="00A825FB" w:rsidRDefault="005858B0" w:rsidP="003E2E95">
      <w:pPr>
        <w:pStyle w:val="Heading40"/>
      </w:pPr>
      <w:bookmarkStart w:id="258" w:name="_Toc207801117"/>
      <w:bookmarkStart w:id="259" w:name="_Toc207824587"/>
      <w:r>
        <w:t>Evidence</w:t>
      </w:r>
      <w:r w:rsidR="00404309">
        <w:t>-</w:t>
      </w:r>
      <w:r>
        <w:t>to</w:t>
      </w:r>
      <w:r w:rsidR="00404309">
        <w:t>-</w:t>
      </w:r>
      <w:r>
        <w:t>decision template</w:t>
      </w:r>
      <w:bookmarkEnd w:id="258"/>
      <w:bookmarkEnd w:id="259"/>
    </w:p>
    <w:tbl>
      <w:tblPr>
        <w:tblStyle w:val="TableGrid"/>
        <w:tblW w:w="10201" w:type="dxa"/>
        <w:tblLook w:val="0620" w:firstRow="1" w:lastRow="0" w:firstColumn="0" w:lastColumn="0" w:noHBand="1" w:noVBand="1"/>
      </w:tblPr>
      <w:tblGrid>
        <w:gridCol w:w="2054"/>
        <w:gridCol w:w="8147"/>
      </w:tblGrid>
      <w:tr w:rsidR="00FD6216" w:rsidRPr="00A825FB" w14:paraId="353B7206" w14:textId="77777777" w:rsidTr="00BE4ACA">
        <w:tc>
          <w:tcPr>
            <w:tcW w:w="10201" w:type="dxa"/>
            <w:gridSpan w:val="2"/>
            <w:shd w:val="clear" w:color="auto" w:fill="D9D9D9" w:themeFill="background1" w:themeFillShade="D9"/>
          </w:tcPr>
          <w:p w14:paraId="4773817D" w14:textId="259AB84D" w:rsidR="00FD6216" w:rsidRDefault="00CC5E4F">
            <w:pPr>
              <w:rPr>
                <w:rFonts w:eastAsia="Times New Roman"/>
                <w:b/>
                <w:bCs/>
                <w:szCs w:val="20"/>
              </w:rPr>
            </w:pPr>
            <w:r>
              <w:rPr>
                <w:rFonts w:eastAsia="Times New Roman" w:cs="Times New Roman"/>
                <w:b/>
                <w:bCs/>
                <w:szCs w:val="20"/>
                <w:lang w:eastAsia="en-AU"/>
              </w:rPr>
              <w:t>Outline the b</w:t>
            </w:r>
            <w:r w:rsidR="00FD6216">
              <w:rPr>
                <w:rFonts w:eastAsia="Times New Roman" w:cs="Times New Roman"/>
                <w:b/>
                <w:bCs/>
                <w:szCs w:val="20"/>
                <w:lang w:eastAsia="en-AU"/>
              </w:rPr>
              <w:t xml:space="preserve">ackground </w:t>
            </w:r>
            <w:r>
              <w:rPr>
                <w:rFonts w:eastAsia="Times New Roman" w:cs="Times New Roman"/>
                <w:b/>
                <w:bCs/>
                <w:szCs w:val="20"/>
                <w:lang w:eastAsia="en-AU"/>
              </w:rPr>
              <w:t xml:space="preserve">and context </w:t>
            </w:r>
            <w:r w:rsidR="00FD6216">
              <w:rPr>
                <w:rFonts w:eastAsia="Times New Roman" w:cs="Times New Roman"/>
                <w:b/>
                <w:bCs/>
                <w:szCs w:val="20"/>
                <w:lang w:eastAsia="en-AU"/>
              </w:rPr>
              <w:t>of nutrient</w:t>
            </w:r>
            <w:r>
              <w:rPr>
                <w:rFonts w:eastAsia="Times New Roman" w:cs="Times New Roman"/>
                <w:b/>
                <w:bCs/>
                <w:szCs w:val="20"/>
                <w:lang w:eastAsia="en-AU"/>
              </w:rPr>
              <w:t xml:space="preserve"> in Australia</w:t>
            </w:r>
            <w:r w:rsidR="005E1A2F">
              <w:rPr>
                <w:rFonts w:eastAsia="Times New Roman" w:cs="Times New Roman"/>
                <w:b/>
                <w:bCs/>
                <w:szCs w:val="20"/>
                <w:lang w:eastAsia="en-AU"/>
              </w:rPr>
              <w:t>, NZ and other relevant jurisdictions</w:t>
            </w:r>
          </w:p>
        </w:tc>
      </w:tr>
      <w:tr w:rsidR="00160A10" w:rsidRPr="00A825FB" w14:paraId="53CB5C99" w14:textId="77777777" w:rsidTr="00BE4ACA">
        <w:tc>
          <w:tcPr>
            <w:tcW w:w="10201" w:type="dxa"/>
            <w:gridSpan w:val="2"/>
            <w:shd w:val="clear" w:color="auto" w:fill="FFFFFF" w:themeFill="background1"/>
          </w:tcPr>
          <w:p w14:paraId="61CE10FA" w14:textId="2F2000D8" w:rsidR="00160A10" w:rsidRPr="0079560D" w:rsidRDefault="00160A10" w:rsidP="00BE4ACA">
            <w:pPr>
              <w:spacing w:before="60"/>
              <w:rPr>
                <w:rFonts w:eastAsia="Times New Roman"/>
                <w:szCs w:val="20"/>
              </w:rPr>
            </w:pPr>
            <w:r w:rsidRPr="0079560D">
              <w:rPr>
                <w:rFonts w:eastAsia="Times New Roman"/>
                <w:szCs w:val="20"/>
              </w:rPr>
              <w:t xml:space="preserve">What is the current </w:t>
            </w:r>
            <w:r w:rsidR="00CB227D">
              <w:rPr>
                <w:rFonts w:eastAsia="Times New Roman"/>
                <w:szCs w:val="20"/>
              </w:rPr>
              <w:t xml:space="preserve">NRV </w:t>
            </w:r>
            <w:r w:rsidRPr="0079560D">
              <w:rPr>
                <w:rFonts w:eastAsia="Times New Roman"/>
                <w:szCs w:val="20"/>
              </w:rPr>
              <w:t>value in Australia</w:t>
            </w:r>
            <w:r w:rsidR="004826B8">
              <w:rPr>
                <w:rFonts w:eastAsia="Times New Roman"/>
                <w:szCs w:val="20"/>
              </w:rPr>
              <w:t xml:space="preserve"> and NZ</w:t>
            </w:r>
            <w:r w:rsidR="00743DFC">
              <w:rPr>
                <w:rFonts w:eastAsia="Times New Roman"/>
                <w:szCs w:val="20"/>
              </w:rPr>
              <w:t xml:space="preserve"> and what was the evidence upon which it was based</w:t>
            </w:r>
            <w:r w:rsidRPr="0079560D">
              <w:rPr>
                <w:rFonts w:eastAsia="Times New Roman"/>
                <w:szCs w:val="20"/>
              </w:rPr>
              <w:t>?</w:t>
            </w:r>
          </w:p>
          <w:p w14:paraId="20F98AEA" w14:textId="3C000C23" w:rsidR="00160A10" w:rsidRPr="0079560D" w:rsidRDefault="00160A10" w:rsidP="00BE4ACA">
            <w:pPr>
              <w:spacing w:before="60"/>
              <w:rPr>
                <w:rFonts w:eastAsia="Times New Roman"/>
                <w:szCs w:val="20"/>
              </w:rPr>
            </w:pPr>
            <w:r w:rsidRPr="0079560D">
              <w:rPr>
                <w:rFonts w:eastAsia="Times New Roman"/>
                <w:szCs w:val="20"/>
              </w:rPr>
              <w:t>What is the current value in international jurisdictions?</w:t>
            </w:r>
            <w:r w:rsidR="00414AAE">
              <w:rPr>
                <w:rFonts w:eastAsia="Times New Roman"/>
                <w:szCs w:val="20"/>
              </w:rPr>
              <w:t xml:space="preserve"> (benchmark against international and </w:t>
            </w:r>
            <w:r w:rsidR="00C471B3">
              <w:rPr>
                <w:rFonts w:eastAsia="Times New Roman"/>
                <w:szCs w:val="20"/>
              </w:rPr>
              <w:t>foundation diets)</w:t>
            </w:r>
          </w:p>
          <w:p w14:paraId="4156F76D" w14:textId="77777777" w:rsidR="00160A10" w:rsidRPr="0079560D" w:rsidRDefault="00160A10" w:rsidP="00BE4ACA">
            <w:pPr>
              <w:spacing w:before="60"/>
              <w:rPr>
                <w:rFonts w:eastAsia="Times New Roman"/>
                <w:szCs w:val="20"/>
              </w:rPr>
            </w:pPr>
            <w:r w:rsidRPr="0079560D">
              <w:rPr>
                <w:rFonts w:eastAsia="Times New Roman"/>
                <w:szCs w:val="20"/>
              </w:rPr>
              <w:t>What are the associated health implications of this nutrient?</w:t>
            </w:r>
          </w:p>
          <w:p w14:paraId="2E00CB1D" w14:textId="1A41BC9F" w:rsidR="00BF4EE3" w:rsidRDefault="00BF4EE3" w:rsidP="00BE4ACA">
            <w:pPr>
              <w:spacing w:before="60"/>
              <w:rPr>
                <w:rFonts w:eastAsia="Times New Roman"/>
                <w:szCs w:val="20"/>
              </w:rPr>
            </w:pPr>
            <w:r>
              <w:rPr>
                <w:rFonts w:eastAsia="Times New Roman"/>
                <w:szCs w:val="20"/>
              </w:rPr>
              <w:t>Is this nutrient linked to other nutrients?</w:t>
            </w:r>
          </w:p>
          <w:p w14:paraId="1AF2004C" w14:textId="6426AC99" w:rsidR="00DC359F" w:rsidRDefault="00B160E8" w:rsidP="00BE4ACA">
            <w:pPr>
              <w:spacing w:before="60"/>
              <w:rPr>
                <w:rFonts w:eastAsia="Times New Roman"/>
                <w:szCs w:val="20"/>
              </w:rPr>
            </w:pPr>
            <w:r>
              <w:rPr>
                <w:rFonts w:eastAsia="Times New Roman"/>
                <w:szCs w:val="20"/>
              </w:rPr>
              <w:t xml:space="preserve">What </w:t>
            </w:r>
            <w:r w:rsidR="005A1C2F">
              <w:rPr>
                <w:rFonts w:eastAsia="Times New Roman"/>
                <w:szCs w:val="20"/>
              </w:rPr>
              <w:t>is the rationale for prioritising</w:t>
            </w:r>
            <w:r w:rsidR="00AB44CE">
              <w:rPr>
                <w:rFonts w:eastAsia="Times New Roman"/>
                <w:szCs w:val="20"/>
              </w:rPr>
              <w:t xml:space="preserve"> this review?</w:t>
            </w:r>
          </w:p>
          <w:p w14:paraId="7B38031E" w14:textId="33C0E437" w:rsidR="004117CD" w:rsidRPr="00D6212B" w:rsidRDefault="0025066C" w:rsidP="00211F4C">
            <w:pPr>
              <w:pStyle w:val="ListParagraph"/>
              <w:numPr>
                <w:ilvl w:val="0"/>
                <w:numId w:val="59"/>
              </w:numPr>
              <w:spacing w:before="60"/>
              <w:rPr>
                <w:rFonts w:eastAsia="Times New Roman"/>
                <w:szCs w:val="20"/>
              </w:rPr>
            </w:pPr>
            <w:r>
              <w:rPr>
                <w:rFonts w:eastAsia="Times New Roman"/>
                <w:szCs w:val="20"/>
              </w:rPr>
              <w:t xml:space="preserve">What evidence </w:t>
            </w:r>
            <w:r w:rsidR="003A56D8">
              <w:rPr>
                <w:rFonts w:eastAsia="Times New Roman"/>
                <w:szCs w:val="20"/>
              </w:rPr>
              <w:t>was used to decide priorities</w:t>
            </w:r>
            <w:r w:rsidR="00D6212B">
              <w:rPr>
                <w:rFonts w:eastAsia="Times New Roman"/>
                <w:szCs w:val="20"/>
              </w:rPr>
              <w:t>?</w:t>
            </w:r>
          </w:p>
          <w:p w14:paraId="3DBCBFF1" w14:textId="60A0FC0A" w:rsidR="00BA3F1C" w:rsidRPr="0079560D" w:rsidRDefault="00BA3F1C" w:rsidP="00BE4ACA">
            <w:pPr>
              <w:spacing w:before="60"/>
              <w:rPr>
                <w:rFonts w:eastAsia="Times New Roman"/>
                <w:szCs w:val="20"/>
              </w:rPr>
            </w:pPr>
            <w:r>
              <w:rPr>
                <w:rFonts w:eastAsia="Times New Roman"/>
                <w:szCs w:val="20"/>
              </w:rPr>
              <w:t>Wh</w:t>
            </w:r>
            <w:r w:rsidR="00BC393F">
              <w:rPr>
                <w:rFonts w:eastAsia="Times New Roman"/>
                <w:szCs w:val="20"/>
              </w:rPr>
              <w:t xml:space="preserve">y do you need </w:t>
            </w:r>
            <w:r w:rsidR="005A6018">
              <w:rPr>
                <w:rFonts w:eastAsia="Times New Roman"/>
                <w:szCs w:val="20"/>
              </w:rPr>
              <w:t xml:space="preserve">an NRV </w:t>
            </w:r>
            <w:r w:rsidR="003B6E3E">
              <w:rPr>
                <w:rFonts w:eastAsia="Times New Roman"/>
                <w:szCs w:val="20"/>
              </w:rPr>
              <w:t>for this nut</w:t>
            </w:r>
            <w:r w:rsidR="00E8148B">
              <w:rPr>
                <w:rFonts w:eastAsia="Times New Roman"/>
                <w:szCs w:val="20"/>
              </w:rPr>
              <w:t>rient?</w:t>
            </w:r>
          </w:p>
          <w:p w14:paraId="02CA8BFE" w14:textId="2877447A" w:rsidR="00E8148B" w:rsidRPr="0079560D" w:rsidRDefault="00FA1414" w:rsidP="00BE4ACA">
            <w:pPr>
              <w:spacing w:before="60"/>
              <w:rPr>
                <w:rFonts w:eastAsia="Times New Roman"/>
                <w:szCs w:val="20"/>
              </w:rPr>
            </w:pPr>
            <w:r>
              <w:rPr>
                <w:rFonts w:eastAsia="Times New Roman"/>
                <w:szCs w:val="20"/>
              </w:rPr>
              <w:t>What is the nutrient specific health issue you</w:t>
            </w:r>
            <w:r w:rsidR="004F218C">
              <w:rPr>
                <w:rFonts w:eastAsia="Times New Roman"/>
                <w:szCs w:val="20"/>
              </w:rPr>
              <w:t xml:space="preserve"> a</w:t>
            </w:r>
            <w:r>
              <w:rPr>
                <w:rFonts w:eastAsia="Times New Roman"/>
                <w:szCs w:val="20"/>
              </w:rPr>
              <w:t>r</w:t>
            </w:r>
            <w:r w:rsidR="004F218C">
              <w:rPr>
                <w:rFonts w:eastAsia="Times New Roman"/>
                <w:szCs w:val="20"/>
              </w:rPr>
              <w:t>e</w:t>
            </w:r>
            <w:r>
              <w:rPr>
                <w:rFonts w:eastAsia="Times New Roman"/>
                <w:szCs w:val="20"/>
              </w:rPr>
              <w:t xml:space="preserve"> trying to address in Australian and NZ?</w:t>
            </w:r>
          </w:p>
          <w:p w14:paraId="42CF710B" w14:textId="0B1DBBC7" w:rsidR="00160A10" w:rsidRDefault="00F87D3A" w:rsidP="00BE4ACA">
            <w:pPr>
              <w:spacing w:before="60"/>
              <w:rPr>
                <w:rFonts w:eastAsia="Times New Roman"/>
                <w:szCs w:val="20"/>
              </w:rPr>
            </w:pPr>
            <w:r w:rsidRPr="00001962">
              <w:rPr>
                <w:rFonts w:eastAsia="Times New Roman"/>
                <w:szCs w:val="20"/>
              </w:rPr>
              <w:t>What are the c</w:t>
            </w:r>
            <w:r w:rsidR="004826B8" w:rsidRPr="00001962">
              <w:rPr>
                <w:rFonts w:eastAsia="Times New Roman"/>
                <w:szCs w:val="20"/>
              </w:rPr>
              <w:t>urrent dietary intakes</w:t>
            </w:r>
            <w:r w:rsidR="00414AAE" w:rsidRPr="00001962">
              <w:rPr>
                <w:rFonts w:eastAsia="Times New Roman"/>
                <w:szCs w:val="20"/>
              </w:rPr>
              <w:t xml:space="preserve"> in Australia and NZ</w:t>
            </w:r>
            <w:r w:rsidR="0064108C" w:rsidRPr="00001962">
              <w:rPr>
                <w:rFonts w:eastAsia="Times New Roman"/>
                <w:szCs w:val="20"/>
              </w:rPr>
              <w:t>?</w:t>
            </w:r>
          </w:p>
          <w:p w14:paraId="0E7AA669" w14:textId="24E43C75" w:rsidR="00E63282" w:rsidRDefault="00E63282" w:rsidP="00211F4C">
            <w:pPr>
              <w:pStyle w:val="ListParagraph"/>
              <w:numPr>
                <w:ilvl w:val="0"/>
                <w:numId w:val="59"/>
              </w:numPr>
              <w:spacing w:before="60"/>
              <w:rPr>
                <w:rFonts w:eastAsia="Times New Roman"/>
                <w:szCs w:val="20"/>
              </w:rPr>
            </w:pPr>
            <w:r>
              <w:rPr>
                <w:rFonts w:eastAsia="Times New Roman"/>
                <w:szCs w:val="20"/>
              </w:rPr>
              <w:t>What assumptions are made about</w:t>
            </w:r>
            <w:r w:rsidR="00024833">
              <w:rPr>
                <w:rFonts w:eastAsia="Times New Roman"/>
                <w:szCs w:val="20"/>
              </w:rPr>
              <w:t xml:space="preserve"> the dietary surveys</w:t>
            </w:r>
            <w:r w:rsidR="00864050">
              <w:rPr>
                <w:rFonts w:eastAsia="Times New Roman"/>
                <w:szCs w:val="20"/>
              </w:rPr>
              <w:t>?</w:t>
            </w:r>
          </w:p>
          <w:p w14:paraId="5FFFF82C" w14:textId="2721F965" w:rsidR="00864050" w:rsidRDefault="00864050" w:rsidP="00211F4C">
            <w:pPr>
              <w:pStyle w:val="ListParagraph"/>
              <w:numPr>
                <w:ilvl w:val="1"/>
                <w:numId w:val="59"/>
              </w:numPr>
              <w:spacing w:before="60"/>
              <w:rPr>
                <w:rFonts w:eastAsia="Times New Roman"/>
                <w:szCs w:val="20"/>
              </w:rPr>
            </w:pPr>
            <w:r>
              <w:rPr>
                <w:rFonts w:eastAsia="Times New Roman"/>
                <w:szCs w:val="20"/>
              </w:rPr>
              <w:t>What are the risks in those assumptions?</w:t>
            </w:r>
          </w:p>
          <w:p w14:paraId="786F8CF9" w14:textId="7617E4B9" w:rsidR="00864050" w:rsidRPr="00CC654D" w:rsidRDefault="00864050" w:rsidP="00211F4C">
            <w:pPr>
              <w:pStyle w:val="ListParagraph"/>
              <w:numPr>
                <w:ilvl w:val="1"/>
                <w:numId w:val="59"/>
              </w:numPr>
              <w:spacing w:before="60"/>
              <w:rPr>
                <w:rFonts w:eastAsia="Times New Roman"/>
                <w:szCs w:val="20"/>
              </w:rPr>
            </w:pPr>
            <w:r>
              <w:rPr>
                <w:rFonts w:eastAsia="Times New Roman"/>
                <w:szCs w:val="20"/>
              </w:rPr>
              <w:t>What are the associated mitigation strategies?</w:t>
            </w:r>
          </w:p>
          <w:p w14:paraId="67E4E8FF" w14:textId="37657694" w:rsidR="00160A10" w:rsidRPr="00AB1A0A" w:rsidRDefault="0064108C" w:rsidP="00BE4ACA">
            <w:pPr>
              <w:spacing w:before="60"/>
              <w:rPr>
                <w:rFonts w:eastAsia="Times New Roman"/>
                <w:szCs w:val="20"/>
              </w:rPr>
            </w:pPr>
            <w:r w:rsidRPr="00001962">
              <w:rPr>
                <w:rFonts w:eastAsia="Times New Roman"/>
                <w:szCs w:val="20"/>
              </w:rPr>
              <w:t>Who uses this NRV?</w:t>
            </w:r>
          </w:p>
        </w:tc>
      </w:tr>
      <w:tr w:rsidR="001C2CA9" w:rsidRPr="00A825FB" w14:paraId="0AF85A3F" w14:textId="77777777" w:rsidTr="00BE4ACA">
        <w:tc>
          <w:tcPr>
            <w:tcW w:w="10201" w:type="dxa"/>
            <w:gridSpan w:val="2"/>
            <w:shd w:val="clear" w:color="auto" w:fill="D9D9D9" w:themeFill="background1" w:themeFillShade="D9"/>
          </w:tcPr>
          <w:p w14:paraId="6B788E4F" w14:textId="68129312" w:rsidR="001C2CA9" w:rsidRPr="00A825FB" w:rsidRDefault="001C2CA9">
            <w:pPr>
              <w:rPr>
                <w:rFonts w:eastAsia="Times New Roman"/>
                <w:b/>
                <w:bCs/>
                <w:szCs w:val="20"/>
              </w:rPr>
            </w:pPr>
            <w:r w:rsidRPr="00A825FB">
              <w:rPr>
                <w:rFonts w:eastAsia="Times New Roman" w:cs="Times New Roman"/>
                <w:b/>
                <w:bCs/>
                <w:szCs w:val="20"/>
                <w:lang w:eastAsia="en-AU"/>
              </w:rPr>
              <w:t xml:space="preserve">Summary of </w:t>
            </w:r>
            <w:r w:rsidR="00F86DE7">
              <w:rPr>
                <w:rFonts w:eastAsia="Times New Roman" w:cs="Times New Roman"/>
                <w:b/>
                <w:bCs/>
                <w:szCs w:val="20"/>
                <w:lang w:eastAsia="en-AU"/>
              </w:rPr>
              <w:t>e</w:t>
            </w:r>
            <w:r w:rsidRPr="00A825FB">
              <w:rPr>
                <w:rFonts w:eastAsia="Times New Roman" w:cs="Times New Roman"/>
                <w:b/>
                <w:bCs/>
                <w:szCs w:val="20"/>
                <w:lang w:eastAsia="en-AU"/>
              </w:rPr>
              <w:t>vidence</w:t>
            </w:r>
          </w:p>
        </w:tc>
      </w:tr>
      <w:tr w:rsidR="00A825FB" w:rsidRPr="00A825FB" w14:paraId="77EF2E4D" w14:textId="77777777" w:rsidTr="00BE4ACA">
        <w:tc>
          <w:tcPr>
            <w:tcW w:w="10201" w:type="dxa"/>
            <w:gridSpan w:val="2"/>
          </w:tcPr>
          <w:p w14:paraId="101FBD17" w14:textId="0CA381A3" w:rsidR="00C27B12" w:rsidRPr="00A825FB" w:rsidRDefault="00D90884">
            <w:pPr>
              <w:rPr>
                <w:rFonts w:eastAsia="Times New Roman" w:cs="Times New Roman"/>
                <w:szCs w:val="20"/>
                <w:lang w:eastAsia="en-AU"/>
              </w:rPr>
            </w:pPr>
            <w:r>
              <w:rPr>
                <w:rFonts w:eastAsia="Times New Roman" w:cs="Times New Roman"/>
                <w:szCs w:val="20"/>
                <w:lang w:eastAsia="en-AU"/>
              </w:rPr>
              <w:lastRenderedPageBreak/>
              <w:t xml:space="preserve">What does the </w:t>
            </w:r>
            <w:r w:rsidR="00743DFC">
              <w:rPr>
                <w:rFonts w:eastAsia="Times New Roman" w:cs="Times New Roman"/>
                <w:szCs w:val="20"/>
                <w:lang w:eastAsia="en-AU"/>
              </w:rPr>
              <w:t xml:space="preserve">current </w:t>
            </w:r>
            <w:r>
              <w:rPr>
                <w:rFonts w:eastAsia="Times New Roman" w:cs="Times New Roman"/>
                <w:szCs w:val="20"/>
                <w:lang w:eastAsia="en-AU"/>
              </w:rPr>
              <w:t>evidence base consist of</w:t>
            </w:r>
            <w:r w:rsidR="00842AD9">
              <w:rPr>
                <w:rFonts w:eastAsia="Times New Roman" w:cs="Times New Roman"/>
                <w:szCs w:val="20"/>
                <w:lang w:eastAsia="en-AU"/>
              </w:rPr>
              <w:t>?</w:t>
            </w:r>
          </w:p>
          <w:p w14:paraId="27E45A7D" w14:textId="3B52C56F" w:rsidR="002E7129" w:rsidRPr="00B53512" w:rsidRDefault="00930649">
            <w:pPr>
              <w:rPr>
                <w:rFonts w:eastAsia="Times New Roman" w:cs="Times New Roman"/>
                <w:szCs w:val="20"/>
                <w:lang w:eastAsia="en-AU"/>
              </w:rPr>
            </w:pPr>
            <w:r w:rsidRPr="00A825FB">
              <w:rPr>
                <w:rFonts w:eastAsia="Times New Roman" w:cs="Times New Roman"/>
                <w:szCs w:val="20"/>
                <w:lang w:eastAsia="en-AU"/>
              </w:rPr>
              <w:t xml:space="preserve">Is there enough evidence to perform metanalysis? </w:t>
            </w:r>
            <w:r w:rsidR="008413CC">
              <w:rPr>
                <w:rFonts w:eastAsia="Times New Roman" w:cs="Times New Roman"/>
                <w:szCs w:val="20"/>
                <w:lang w:eastAsia="en-AU"/>
              </w:rPr>
              <w:t>If not</w:t>
            </w:r>
            <w:r w:rsidR="007B6248">
              <w:rPr>
                <w:rFonts w:eastAsia="Times New Roman" w:cs="Times New Roman"/>
                <w:szCs w:val="20"/>
                <w:lang w:eastAsia="en-AU"/>
              </w:rPr>
              <w:t>,</w:t>
            </w:r>
            <w:r w:rsidR="008413CC">
              <w:rPr>
                <w:rFonts w:eastAsia="Times New Roman" w:cs="Times New Roman"/>
                <w:szCs w:val="20"/>
                <w:lang w:eastAsia="en-AU"/>
              </w:rPr>
              <w:t xml:space="preserve"> how will the evidence be used to calculate the NRV?</w:t>
            </w:r>
          </w:p>
          <w:p w14:paraId="5863638E" w14:textId="3356A884" w:rsidR="00A825FB" w:rsidRPr="00A825FB" w:rsidRDefault="00757C29">
            <w:pPr>
              <w:rPr>
                <w:rFonts w:eastAsia="Times New Roman" w:cs="Times New Roman"/>
                <w:b/>
                <w:bCs/>
                <w:szCs w:val="20"/>
                <w:lang w:eastAsia="en-AU"/>
              </w:rPr>
            </w:pPr>
            <w:r>
              <w:rPr>
                <w:rFonts w:eastAsia="Times New Roman" w:cs="Times New Roman"/>
                <w:b/>
                <w:bCs/>
                <w:szCs w:val="20"/>
                <w:lang w:eastAsia="en-AU"/>
              </w:rPr>
              <w:t xml:space="preserve">Is there enough </w:t>
            </w:r>
            <w:r w:rsidR="007F3A10">
              <w:rPr>
                <w:rFonts w:eastAsia="Times New Roman" w:cs="Times New Roman"/>
                <w:b/>
                <w:bCs/>
                <w:szCs w:val="20"/>
                <w:lang w:eastAsia="en-AU"/>
              </w:rPr>
              <w:t xml:space="preserve">information </w:t>
            </w:r>
            <w:r>
              <w:rPr>
                <w:rFonts w:eastAsia="Times New Roman" w:cs="Times New Roman"/>
                <w:b/>
                <w:bCs/>
                <w:szCs w:val="20"/>
                <w:lang w:eastAsia="en-AU"/>
              </w:rPr>
              <w:t>to calculate an NRV from?</w:t>
            </w:r>
          </w:p>
        </w:tc>
      </w:tr>
      <w:tr w:rsidR="00AF6980" w:rsidRPr="00A825FB" w14:paraId="7F2B399F" w14:textId="77777777" w:rsidTr="00BE4ACA">
        <w:tc>
          <w:tcPr>
            <w:tcW w:w="10201" w:type="dxa"/>
            <w:gridSpan w:val="2"/>
            <w:shd w:val="clear" w:color="auto" w:fill="D9D9D9" w:themeFill="background1" w:themeFillShade="D9"/>
          </w:tcPr>
          <w:p w14:paraId="1E2EA98D" w14:textId="65F881D0" w:rsidR="00AF6980" w:rsidRPr="00A825FB" w:rsidRDefault="00F87D3A">
            <w:pPr>
              <w:rPr>
                <w:rFonts w:eastAsia="Times New Roman"/>
                <w:b/>
                <w:bCs/>
                <w:szCs w:val="20"/>
              </w:rPr>
            </w:pPr>
            <w:r>
              <w:rPr>
                <w:rFonts w:eastAsia="Times New Roman"/>
                <w:b/>
                <w:bCs/>
                <w:szCs w:val="20"/>
              </w:rPr>
              <w:t xml:space="preserve">Comparison of calculated value </w:t>
            </w:r>
          </w:p>
        </w:tc>
      </w:tr>
      <w:tr w:rsidR="00AF6980" w:rsidRPr="00A825FB" w14:paraId="20B6582B" w14:textId="77777777" w:rsidTr="00BE4ACA">
        <w:tc>
          <w:tcPr>
            <w:tcW w:w="10201" w:type="dxa"/>
            <w:gridSpan w:val="2"/>
          </w:tcPr>
          <w:p w14:paraId="4E45A0A2" w14:textId="03E1F287" w:rsidR="00F87D3A" w:rsidRDefault="00BE55DB" w:rsidP="00930A56">
            <w:pPr>
              <w:spacing w:before="60"/>
              <w:rPr>
                <w:rFonts w:eastAsia="Times New Roman"/>
                <w:szCs w:val="20"/>
              </w:rPr>
            </w:pPr>
            <w:r>
              <w:rPr>
                <w:rFonts w:eastAsia="Times New Roman"/>
                <w:szCs w:val="20"/>
              </w:rPr>
              <w:t xml:space="preserve">Does this </w:t>
            </w:r>
            <w:r w:rsidR="00576966">
              <w:rPr>
                <w:rFonts w:eastAsia="Times New Roman"/>
                <w:szCs w:val="20"/>
              </w:rPr>
              <w:t xml:space="preserve">revised </w:t>
            </w:r>
            <w:r>
              <w:rPr>
                <w:rFonts w:eastAsia="Times New Roman"/>
                <w:szCs w:val="20"/>
              </w:rPr>
              <w:t>value differ</w:t>
            </w:r>
            <w:r w:rsidR="002E7129">
              <w:rPr>
                <w:rFonts w:eastAsia="Times New Roman"/>
                <w:szCs w:val="20"/>
              </w:rPr>
              <w:t xml:space="preserve"> from the current value?</w:t>
            </w:r>
          </w:p>
          <w:p w14:paraId="7C78994D" w14:textId="2BF40593" w:rsidR="002E7129" w:rsidRPr="00CC5E4F" w:rsidRDefault="002E7129" w:rsidP="00930A56">
            <w:pPr>
              <w:spacing w:before="60"/>
              <w:rPr>
                <w:rFonts w:eastAsia="Times New Roman" w:cs="Times New Roman"/>
                <w:szCs w:val="20"/>
                <w:lang w:eastAsia="en-AU"/>
              </w:rPr>
            </w:pPr>
            <w:r w:rsidRPr="00B53512">
              <w:rPr>
                <w:rFonts w:eastAsia="Times New Roman" w:cs="Times New Roman"/>
                <w:szCs w:val="20"/>
                <w:lang w:eastAsia="en-AU"/>
              </w:rPr>
              <w:t>Is this value consistent with other comparable international jurisdictions. If not</w:t>
            </w:r>
            <w:r w:rsidR="00511848">
              <w:rPr>
                <w:rFonts w:eastAsia="Times New Roman" w:cs="Times New Roman"/>
                <w:szCs w:val="20"/>
                <w:lang w:eastAsia="en-AU"/>
              </w:rPr>
              <w:t>,</w:t>
            </w:r>
            <w:r w:rsidRPr="00B53512">
              <w:rPr>
                <w:rFonts w:eastAsia="Times New Roman" w:cs="Times New Roman"/>
                <w:szCs w:val="20"/>
                <w:lang w:eastAsia="en-AU"/>
              </w:rPr>
              <w:t xml:space="preserve"> can the differences be explained?</w:t>
            </w:r>
          </w:p>
          <w:p w14:paraId="3CAF1E44" w14:textId="77777777" w:rsidR="0048049A" w:rsidRDefault="00F87D3A" w:rsidP="00930A56">
            <w:pPr>
              <w:spacing w:before="60"/>
              <w:rPr>
                <w:color w:val="000000"/>
                <w:szCs w:val="20"/>
              </w:rPr>
            </w:pPr>
            <w:r w:rsidRPr="00B53512">
              <w:rPr>
                <w:color w:val="000000"/>
                <w:szCs w:val="20"/>
              </w:rPr>
              <w:t>Is the new value sufficiently different from the old value to justify a change?</w:t>
            </w:r>
            <w:r w:rsidR="0064108C" w:rsidRPr="00B53512">
              <w:rPr>
                <w:color w:val="000000"/>
                <w:szCs w:val="20"/>
              </w:rPr>
              <w:t xml:space="preserve"> </w:t>
            </w:r>
          </w:p>
          <w:p w14:paraId="5DF50F2C" w14:textId="416E39E0" w:rsidR="00F87D3A" w:rsidRPr="00B53512" w:rsidRDefault="0064108C" w:rsidP="00930A56">
            <w:pPr>
              <w:spacing w:before="60"/>
              <w:rPr>
                <w:color w:val="000000"/>
                <w:szCs w:val="20"/>
              </w:rPr>
            </w:pPr>
            <w:r w:rsidRPr="00B53512">
              <w:rPr>
                <w:color w:val="000000"/>
                <w:szCs w:val="20"/>
              </w:rPr>
              <w:t>Is the underlying evidence</w:t>
            </w:r>
            <w:r w:rsidR="00F950EE" w:rsidRPr="00B53512">
              <w:rPr>
                <w:color w:val="000000"/>
                <w:szCs w:val="20"/>
              </w:rPr>
              <w:t xml:space="preserve"> certain enough to justify a change? </w:t>
            </w:r>
          </w:p>
          <w:p w14:paraId="3D47A0EF" w14:textId="49AB7B89" w:rsidR="00496081" w:rsidRDefault="0048049A" w:rsidP="00930A56">
            <w:pPr>
              <w:spacing w:before="60"/>
            </w:pPr>
            <w:r>
              <w:t>W</w:t>
            </w:r>
            <w:r w:rsidR="00496081">
              <w:t>hat is the impact of altering this value relative to other NRVs for the nutrient?</w:t>
            </w:r>
          </w:p>
          <w:p w14:paraId="115B2396" w14:textId="455DB7C1" w:rsidR="00F87D3A" w:rsidRDefault="00F87D3A" w:rsidP="00930A56">
            <w:pPr>
              <w:spacing w:before="60"/>
              <w:rPr>
                <w:rFonts w:eastAsia="Times New Roman"/>
                <w:szCs w:val="20"/>
              </w:rPr>
            </w:pPr>
            <w:r w:rsidRPr="00B53512">
              <w:rPr>
                <w:color w:val="000000"/>
                <w:szCs w:val="20"/>
              </w:rPr>
              <w:t>What are the consequences of not changing the NRV?</w:t>
            </w:r>
          </w:p>
          <w:p w14:paraId="49EDF7C1" w14:textId="77777777" w:rsidR="00AF6980" w:rsidRDefault="00CB0E80" w:rsidP="00930A56">
            <w:pPr>
              <w:spacing w:before="60"/>
              <w:rPr>
                <w:rFonts w:eastAsia="Times New Roman"/>
                <w:szCs w:val="20"/>
              </w:rPr>
            </w:pPr>
            <w:r>
              <w:rPr>
                <w:rFonts w:eastAsia="Times New Roman"/>
                <w:szCs w:val="20"/>
              </w:rPr>
              <w:t>Was any rounding done</w:t>
            </w:r>
            <w:r w:rsidR="0033158D">
              <w:rPr>
                <w:rFonts w:eastAsia="Times New Roman"/>
                <w:szCs w:val="20"/>
              </w:rPr>
              <w:t xml:space="preserve"> to the figure?</w:t>
            </w:r>
          </w:p>
          <w:p w14:paraId="47194738" w14:textId="77777777" w:rsidR="00F87956" w:rsidRDefault="00F87956" w:rsidP="00930A56">
            <w:pPr>
              <w:spacing w:before="60"/>
              <w:rPr>
                <w:rFonts w:eastAsia="Times New Roman"/>
                <w:szCs w:val="20"/>
              </w:rPr>
            </w:pPr>
            <w:r>
              <w:rPr>
                <w:rFonts w:eastAsia="Times New Roman"/>
                <w:szCs w:val="20"/>
              </w:rPr>
              <w:t>What Uncertainty Factor</w:t>
            </w:r>
            <w:r w:rsidR="00D614CB">
              <w:rPr>
                <w:rFonts w:eastAsia="Times New Roman"/>
                <w:szCs w:val="20"/>
              </w:rPr>
              <w:t xml:space="preserve"> (UF) was applied?</w:t>
            </w:r>
          </w:p>
          <w:p w14:paraId="0A131F99" w14:textId="77777777" w:rsidR="00D614CB" w:rsidRDefault="00620E33" w:rsidP="00211F4C">
            <w:pPr>
              <w:pStyle w:val="ListParagraph"/>
              <w:numPr>
                <w:ilvl w:val="0"/>
                <w:numId w:val="59"/>
              </w:numPr>
              <w:spacing w:before="60"/>
              <w:rPr>
                <w:rFonts w:eastAsia="Times New Roman"/>
                <w:szCs w:val="20"/>
              </w:rPr>
            </w:pPr>
            <w:r>
              <w:rPr>
                <w:rFonts w:eastAsia="Times New Roman"/>
                <w:szCs w:val="20"/>
              </w:rPr>
              <w:t>What was the justification for the UF used?</w:t>
            </w:r>
          </w:p>
          <w:p w14:paraId="13723DB7" w14:textId="4F5B59B7" w:rsidR="00074C1F" w:rsidRPr="00CC654D" w:rsidRDefault="00074C1F" w:rsidP="00930A56">
            <w:pPr>
              <w:spacing w:before="60"/>
              <w:rPr>
                <w:rFonts w:eastAsia="Times New Roman"/>
                <w:szCs w:val="20"/>
              </w:rPr>
            </w:pPr>
            <w:r>
              <w:rPr>
                <w:rFonts w:eastAsia="Times New Roman"/>
                <w:szCs w:val="20"/>
              </w:rPr>
              <w:t xml:space="preserve">Were there any other adjustments made to the </w:t>
            </w:r>
            <w:r w:rsidR="000A1FDA">
              <w:rPr>
                <w:rFonts w:eastAsia="Times New Roman"/>
                <w:szCs w:val="20"/>
              </w:rPr>
              <w:t>value?</w:t>
            </w:r>
            <w:r w:rsidR="00136B35">
              <w:rPr>
                <w:rFonts w:eastAsia="Times New Roman"/>
                <w:szCs w:val="20"/>
              </w:rPr>
              <w:t xml:space="preserve"> (if so</w:t>
            </w:r>
            <w:r w:rsidR="00CC654D">
              <w:rPr>
                <w:rFonts w:eastAsia="Times New Roman"/>
                <w:szCs w:val="20"/>
              </w:rPr>
              <w:t>, why?)</w:t>
            </w:r>
          </w:p>
        </w:tc>
      </w:tr>
      <w:tr w:rsidR="0069465B" w:rsidRPr="00A825FB" w14:paraId="4FC87588" w14:textId="77777777" w:rsidTr="00BE4ACA">
        <w:tc>
          <w:tcPr>
            <w:tcW w:w="10201" w:type="dxa"/>
            <w:gridSpan w:val="2"/>
            <w:shd w:val="clear" w:color="auto" w:fill="D9D9D9" w:themeFill="background1" w:themeFillShade="D9"/>
          </w:tcPr>
          <w:p w14:paraId="3CEF9F8B" w14:textId="6AEEE2DC" w:rsidR="0069465B" w:rsidRPr="00A825FB" w:rsidRDefault="0069465B">
            <w:pPr>
              <w:rPr>
                <w:rFonts w:eastAsia="Times New Roman"/>
                <w:b/>
                <w:bCs/>
                <w:szCs w:val="20"/>
              </w:rPr>
            </w:pPr>
            <w:r>
              <w:rPr>
                <w:rFonts w:eastAsia="Times New Roman"/>
                <w:b/>
                <w:bCs/>
                <w:szCs w:val="20"/>
              </w:rPr>
              <w:t xml:space="preserve">Scaling method </w:t>
            </w:r>
          </w:p>
        </w:tc>
      </w:tr>
      <w:tr w:rsidR="00FB5CEF" w:rsidRPr="00A825FB" w14:paraId="0EC1F062" w14:textId="77777777" w:rsidTr="00BE4ACA">
        <w:tc>
          <w:tcPr>
            <w:tcW w:w="10201" w:type="dxa"/>
            <w:gridSpan w:val="2"/>
          </w:tcPr>
          <w:p w14:paraId="451F94CF" w14:textId="679C98C5" w:rsidR="00522A23" w:rsidRDefault="00522A23">
            <w:pPr>
              <w:rPr>
                <w:rFonts w:eastAsia="Times New Roman"/>
                <w:szCs w:val="20"/>
              </w:rPr>
            </w:pPr>
            <w:r>
              <w:t>Will scaling and extrapolation be needed for certain populations?</w:t>
            </w:r>
          </w:p>
          <w:p w14:paraId="16BA93B9" w14:textId="0795980E" w:rsidR="00FB5CEF" w:rsidRDefault="00FB5CEF">
            <w:pPr>
              <w:rPr>
                <w:rFonts w:eastAsia="Times New Roman"/>
                <w:szCs w:val="20"/>
              </w:rPr>
            </w:pPr>
            <w:r>
              <w:rPr>
                <w:rFonts w:eastAsia="Times New Roman"/>
                <w:szCs w:val="20"/>
              </w:rPr>
              <w:t>What methods were used to scale values for this specific population</w:t>
            </w:r>
            <w:r w:rsidR="0069465B">
              <w:rPr>
                <w:rFonts w:eastAsia="Times New Roman"/>
                <w:szCs w:val="20"/>
              </w:rPr>
              <w:t>?</w:t>
            </w:r>
            <w:r>
              <w:rPr>
                <w:rFonts w:eastAsia="Times New Roman"/>
                <w:szCs w:val="20"/>
              </w:rPr>
              <w:t xml:space="preserve"> </w:t>
            </w:r>
          </w:p>
        </w:tc>
      </w:tr>
      <w:tr w:rsidR="00A825FB" w:rsidRPr="00A825FB" w14:paraId="283AFBAE" w14:textId="77777777" w:rsidTr="00BE4ACA">
        <w:tc>
          <w:tcPr>
            <w:tcW w:w="10201" w:type="dxa"/>
            <w:gridSpan w:val="2"/>
            <w:shd w:val="clear" w:color="auto" w:fill="D9D9D9" w:themeFill="background1" w:themeFillShade="D9"/>
          </w:tcPr>
          <w:p w14:paraId="2DD03982" w14:textId="0C500383" w:rsidR="00A825FB" w:rsidRPr="00A825FB" w:rsidRDefault="00A825FB">
            <w:pPr>
              <w:rPr>
                <w:rFonts w:eastAsia="Times New Roman" w:cs="Times New Roman"/>
                <w:b/>
                <w:bCs/>
                <w:szCs w:val="20"/>
                <w:lang w:eastAsia="en-AU"/>
              </w:rPr>
            </w:pPr>
            <w:r w:rsidRPr="00A825FB">
              <w:rPr>
                <w:rFonts w:eastAsia="Times New Roman" w:cs="Times New Roman"/>
                <w:b/>
                <w:bCs/>
                <w:szCs w:val="20"/>
                <w:lang w:eastAsia="en-AU"/>
              </w:rPr>
              <w:t xml:space="preserve">Evidence to </w:t>
            </w:r>
            <w:r w:rsidR="00F86DE7">
              <w:rPr>
                <w:rFonts w:eastAsia="Times New Roman" w:cs="Times New Roman"/>
                <w:b/>
                <w:bCs/>
                <w:szCs w:val="20"/>
                <w:lang w:eastAsia="en-AU"/>
              </w:rPr>
              <w:t>d</w:t>
            </w:r>
            <w:r w:rsidRPr="00A825FB">
              <w:rPr>
                <w:rFonts w:eastAsia="Times New Roman" w:cs="Times New Roman"/>
                <w:b/>
                <w:bCs/>
                <w:szCs w:val="20"/>
                <w:lang w:eastAsia="en-AU"/>
              </w:rPr>
              <w:t>ecision</w:t>
            </w:r>
          </w:p>
        </w:tc>
      </w:tr>
      <w:tr w:rsidR="002B47B8" w:rsidRPr="00A825FB" w14:paraId="2395B69A" w14:textId="77777777" w:rsidTr="00BE4ACA">
        <w:tc>
          <w:tcPr>
            <w:tcW w:w="2054" w:type="dxa"/>
            <w:shd w:val="clear" w:color="auto" w:fill="A5F0FF" w:themeFill="accent6" w:themeFillTint="33"/>
          </w:tcPr>
          <w:p w14:paraId="79D618AD" w14:textId="77777777" w:rsidR="002B47B8" w:rsidRPr="00A825FB" w:rsidRDefault="002B47B8">
            <w:pPr>
              <w:rPr>
                <w:rFonts w:eastAsia="Times New Roman" w:cs="Times New Roman"/>
                <w:b/>
                <w:bCs/>
                <w:szCs w:val="20"/>
                <w:lang w:eastAsia="en-AU"/>
              </w:rPr>
            </w:pPr>
            <w:r w:rsidRPr="00A825FB">
              <w:rPr>
                <w:rFonts w:eastAsia="Times New Roman" w:cs="Times New Roman"/>
                <w:b/>
                <w:bCs/>
                <w:szCs w:val="20"/>
                <w:lang w:eastAsia="en-AU"/>
              </w:rPr>
              <w:t>Criterion</w:t>
            </w:r>
          </w:p>
        </w:tc>
        <w:tc>
          <w:tcPr>
            <w:tcW w:w="8147" w:type="dxa"/>
            <w:shd w:val="clear" w:color="auto" w:fill="A5F0FF" w:themeFill="accent6" w:themeFillTint="33"/>
          </w:tcPr>
          <w:p w14:paraId="257D9637" w14:textId="680B6C66" w:rsidR="002B47B8" w:rsidRPr="00A825FB" w:rsidRDefault="002B47B8" w:rsidP="0090272A">
            <w:pPr>
              <w:ind w:right="-1346"/>
              <w:rPr>
                <w:rFonts w:eastAsia="Times New Roman" w:cs="Times New Roman"/>
                <w:b/>
                <w:bCs/>
                <w:szCs w:val="20"/>
                <w:lang w:eastAsia="en-AU"/>
              </w:rPr>
            </w:pPr>
            <w:r>
              <w:rPr>
                <w:rFonts w:eastAsia="Times New Roman" w:cs="Times New Roman"/>
                <w:b/>
                <w:bCs/>
                <w:szCs w:val="20"/>
                <w:lang w:eastAsia="en-AU"/>
              </w:rPr>
              <w:t>Judgement factors</w:t>
            </w:r>
          </w:p>
        </w:tc>
      </w:tr>
      <w:tr w:rsidR="002B47B8" w:rsidRPr="00A825FB" w14:paraId="1DB44981" w14:textId="77777777" w:rsidTr="00BE4ACA">
        <w:tc>
          <w:tcPr>
            <w:tcW w:w="2054" w:type="dxa"/>
          </w:tcPr>
          <w:p w14:paraId="418AFE99" w14:textId="77777777" w:rsidR="002B47B8" w:rsidRPr="00A825FB" w:rsidRDefault="002B47B8" w:rsidP="00F515CD">
            <w:pPr>
              <w:rPr>
                <w:rFonts w:cs="Helvetica"/>
                <w:b/>
                <w:bCs/>
                <w:color w:val="34495E"/>
                <w:szCs w:val="20"/>
              </w:rPr>
            </w:pPr>
            <w:r w:rsidRPr="00A825FB">
              <w:t>Balance of effects (Benefits and harms)</w:t>
            </w:r>
          </w:p>
          <w:p w14:paraId="5B4265EF" w14:textId="77777777" w:rsidR="002B47B8" w:rsidRPr="00A825FB" w:rsidRDefault="002B47B8">
            <w:pPr>
              <w:rPr>
                <w:rFonts w:eastAsia="Times New Roman" w:cs="Times New Roman"/>
                <w:b/>
                <w:bCs/>
                <w:szCs w:val="20"/>
                <w:lang w:eastAsia="en-AU"/>
              </w:rPr>
            </w:pPr>
          </w:p>
        </w:tc>
        <w:tc>
          <w:tcPr>
            <w:tcW w:w="8147" w:type="dxa"/>
          </w:tcPr>
          <w:p w14:paraId="1D4D5AD7" w14:textId="5AAEFCC2" w:rsidR="002B47B8" w:rsidRPr="00A825FB" w:rsidRDefault="002B47B8">
            <w:pPr>
              <w:rPr>
                <w:rFonts w:eastAsia="Times New Roman" w:cs="Times New Roman"/>
                <w:szCs w:val="20"/>
                <w:lang w:eastAsia="en-AU"/>
              </w:rPr>
            </w:pPr>
            <w:r w:rsidRPr="00A825FB">
              <w:rPr>
                <w:rFonts w:eastAsia="Times New Roman" w:cs="Times New Roman"/>
                <w:szCs w:val="20"/>
                <w:lang w:eastAsia="en-AU"/>
              </w:rPr>
              <w:t xml:space="preserve">Do the benefits outweigh the harms for </w:t>
            </w:r>
            <w:r w:rsidR="002E74C2">
              <w:rPr>
                <w:rFonts w:eastAsia="Times New Roman" w:cs="Times New Roman"/>
                <w:szCs w:val="20"/>
                <w:lang w:eastAsia="en-AU"/>
              </w:rPr>
              <w:t>e</w:t>
            </w:r>
            <w:r w:rsidR="002E74C2">
              <w:rPr>
                <w:rFonts w:eastAsia="Times New Roman" w:cs="Times New Roman"/>
                <w:szCs w:val="20"/>
              </w:rPr>
              <w:t>stablishing the NRV at the proposed level</w:t>
            </w:r>
            <w:r w:rsidRPr="00A825FB">
              <w:rPr>
                <w:rFonts w:eastAsia="Times New Roman" w:cs="Times New Roman"/>
                <w:szCs w:val="20"/>
                <w:lang w:eastAsia="en-AU"/>
              </w:rPr>
              <w:t xml:space="preserve">? </w:t>
            </w:r>
          </w:p>
          <w:p w14:paraId="1C757EAE" w14:textId="77777777" w:rsidR="002B47B8" w:rsidRDefault="002B47B8">
            <w:pPr>
              <w:rPr>
                <w:rFonts w:eastAsia="Times New Roman" w:cs="Times New Roman"/>
                <w:szCs w:val="20"/>
                <w:lang w:eastAsia="en-AU"/>
              </w:rPr>
            </w:pPr>
            <w:r>
              <w:rPr>
                <w:rFonts w:eastAsia="Times New Roman" w:cs="Times New Roman"/>
                <w:szCs w:val="20"/>
                <w:lang w:eastAsia="en-AU"/>
              </w:rPr>
              <w:t xml:space="preserve">Is it acceptable to make </w:t>
            </w:r>
            <w:r w:rsidR="002E74C2">
              <w:rPr>
                <w:rFonts w:eastAsia="Times New Roman" w:cs="Times New Roman"/>
                <w:szCs w:val="20"/>
                <w:lang w:eastAsia="en-AU"/>
              </w:rPr>
              <w:t>the NRV</w:t>
            </w:r>
            <w:r>
              <w:rPr>
                <w:rFonts w:eastAsia="Times New Roman" w:cs="Times New Roman"/>
                <w:szCs w:val="20"/>
                <w:lang w:eastAsia="en-AU"/>
              </w:rPr>
              <w:t xml:space="preserve"> recommendation if there are harms in one population but benefits in others?</w:t>
            </w:r>
          </w:p>
          <w:p w14:paraId="6D0D7A8D" w14:textId="2A794310" w:rsidR="004B0069" w:rsidRPr="00A825FB" w:rsidRDefault="004B0069">
            <w:pPr>
              <w:rPr>
                <w:rFonts w:eastAsia="Times New Roman" w:cs="Times New Roman"/>
                <w:szCs w:val="20"/>
                <w:lang w:eastAsia="en-AU"/>
              </w:rPr>
            </w:pPr>
            <w:r>
              <w:rPr>
                <w:rFonts w:eastAsia="Times New Roman" w:cs="Times New Roman"/>
                <w:szCs w:val="20"/>
                <w:lang w:eastAsia="en-AU"/>
              </w:rPr>
              <w:t>What proportion of the population</w:t>
            </w:r>
            <w:r w:rsidR="00C50A23">
              <w:rPr>
                <w:rFonts w:eastAsia="Times New Roman" w:cs="Times New Roman"/>
                <w:szCs w:val="20"/>
                <w:lang w:eastAsia="en-AU"/>
              </w:rPr>
              <w:t xml:space="preserve"> should be covered by the NRV?</w:t>
            </w:r>
          </w:p>
        </w:tc>
      </w:tr>
      <w:tr w:rsidR="002B47B8" w:rsidRPr="00A825FB" w14:paraId="57C0E93E" w14:textId="77777777" w:rsidTr="00BE4ACA">
        <w:tc>
          <w:tcPr>
            <w:tcW w:w="2054" w:type="dxa"/>
          </w:tcPr>
          <w:p w14:paraId="1E8F440B" w14:textId="1244ADD8" w:rsidR="002B47B8" w:rsidRPr="00B53512" w:rsidRDefault="002B47B8" w:rsidP="00F515CD">
            <w:pPr>
              <w:rPr>
                <w:rFonts w:cs="Helvetica"/>
                <w:b/>
                <w:color w:val="34495E"/>
                <w:szCs w:val="20"/>
              </w:rPr>
            </w:pPr>
            <w:r w:rsidRPr="00F515CD">
              <w:t xml:space="preserve">Certainty of the </w:t>
            </w:r>
            <w:r w:rsidR="00F86DE7">
              <w:t>e</w:t>
            </w:r>
            <w:r w:rsidRPr="00F515CD">
              <w:t>vidence</w:t>
            </w:r>
          </w:p>
        </w:tc>
        <w:tc>
          <w:tcPr>
            <w:tcW w:w="8147" w:type="dxa"/>
          </w:tcPr>
          <w:p w14:paraId="33138070" w14:textId="034B511F" w:rsidR="002B47B8" w:rsidRPr="00A825FB" w:rsidRDefault="002B47B8">
            <w:pPr>
              <w:rPr>
                <w:rFonts w:eastAsia="Times New Roman" w:cs="Times New Roman"/>
                <w:szCs w:val="20"/>
                <w:lang w:eastAsia="en-AU"/>
              </w:rPr>
            </w:pPr>
            <w:r>
              <w:rPr>
                <w:rFonts w:eastAsia="Times New Roman" w:cs="Times New Roman"/>
                <w:szCs w:val="20"/>
                <w:lang w:eastAsia="en-AU"/>
              </w:rPr>
              <w:t xml:space="preserve">GRADE methodology </w:t>
            </w:r>
            <w:r w:rsidR="00103034">
              <w:rPr>
                <w:rFonts w:eastAsia="Times New Roman" w:cs="Times New Roman"/>
                <w:szCs w:val="20"/>
                <w:lang w:eastAsia="en-AU"/>
              </w:rPr>
              <w:t xml:space="preserve">(or similar) </w:t>
            </w:r>
            <w:r>
              <w:rPr>
                <w:rFonts w:eastAsia="Times New Roman" w:cs="Times New Roman"/>
                <w:szCs w:val="20"/>
                <w:lang w:eastAsia="en-AU"/>
              </w:rPr>
              <w:t>will be used to determine evidence certainty</w:t>
            </w:r>
            <w:r w:rsidR="002E74C2">
              <w:rPr>
                <w:rFonts w:eastAsia="Times New Roman" w:cs="Times New Roman"/>
                <w:szCs w:val="20"/>
                <w:lang w:eastAsia="en-AU"/>
              </w:rPr>
              <w:t xml:space="preserve"> during the evidence review stage</w:t>
            </w:r>
          </w:p>
        </w:tc>
      </w:tr>
      <w:tr w:rsidR="002B47B8" w:rsidRPr="00A825FB" w14:paraId="405DAE30" w14:textId="77777777" w:rsidTr="00BE4ACA">
        <w:tc>
          <w:tcPr>
            <w:tcW w:w="2054" w:type="dxa"/>
          </w:tcPr>
          <w:p w14:paraId="1EC0E311" w14:textId="77777777" w:rsidR="002B47B8" w:rsidRPr="00A825FB" w:rsidRDefault="002B47B8" w:rsidP="00F515CD">
            <w:pPr>
              <w:rPr>
                <w:rFonts w:cs="Helvetica"/>
                <w:b/>
                <w:bCs/>
                <w:color w:val="34495E"/>
                <w:szCs w:val="20"/>
              </w:rPr>
            </w:pPr>
            <w:r w:rsidRPr="00F515CD">
              <w:t>Values and preferences</w:t>
            </w:r>
          </w:p>
          <w:p w14:paraId="68D3BA19" w14:textId="77777777" w:rsidR="002B47B8" w:rsidRPr="00A825FB" w:rsidRDefault="002B47B8">
            <w:pPr>
              <w:rPr>
                <w:rFonts w:eastAsia="Times New Roman" w:cs="Times New Roman"/>
                <w:b/>
                <w:bCs/>
                <w:szCs w:val="20"/>
                <w:lang w:eastAsia="en-AU"/>
              </w:rPr>
            </w:pPr>
          </w:p>
        </w:tc>
        <w:tc>
          <w:tcPr>
            <w:tcW w:w="8147" w:type="dxa"/>
          </w:tcPr>
          <w:p w14:paraId="73CD4691" w14:textId="77777777" w:rsidR="002B47B8" w:rsidRDefault="002B47B8">
            <w:pPr>
              <w:rPr>
                <w:rFonts w:eastAsia="Times New Roman" w:cs="Times New Roman"/>
                <w:szCs w:val="20"/>
                <w:lang w:eastAsia="en-AU"/>
              </w:rPr>
            </w:pPr>
            <w:r w:rsidRPr="00A825FB">
              <w:rPr>
                <w:rFonts w:eastAsia="Times New Roman" w:cs="Times New Roman"/>
                <w:szCs w:val="20"/>
                <w:lang w:eastAsia="en-AU"/>
              </w:rPr>
              <w:t>Is there uncertainty or variability in how much people value the outcome?</w:t>
            </w:r>
          </w:p>
          <w:p w14:paraId="38F2F826" w14:textId="208A7664" w:rsidR="002B47B8" w:rsidRDefault="00504AFE">
            <w:pPr>
              <w:rPr>
                <w:rFonts w:eastAsia="Times New Roman" w:cs="Times New Roman"/>
                <w:szCs w:val="20"/>
                <w:lang w:eastAsia="en-AU"/>
              </w:rPr>
            </w:pPr>
            <w:r>
              <w:rPr>
                <w:rFonts w:eastAsia="Times New Roman" w:cs="Times New Roman"/>
                <w:szCs w:val="20"/>
                <w:lang w:eastAsia="en-AU"/>
              </w:rPr>
              <w:t>How does the proposed NRV value relate</w:t>
            </w:r>
            <w:r w:rsidR="002B47B8">
              <w:rPr>
                <w:rFonts w:eastAsia="Times New Roman" w:cs="Times New Roman"/>
                <w:szCs w:val="20"/>
                <w:lang w:eastAsia="en-AU"/>
              </w:rPr>
              <w:t xml:space="preserve"> to current dietary patterns</w:t>
            </w:r>
            <w:r>
              <w:rPr>
                <w:rFonts w:eastAsia="Times New Roman" w:cs="Times New Roman"/>
                <w:szCs w:val="20"/>
                <w:lang w:eastAsia="en-AU"/>
              </w:rPr>
              <w:t>?</w:t>
            </w:r>
          </w:p>
          <w:p w14:paraId="1D973065" w14:textId="4728F1FD" w:rsidR="002B47B8" w:rsidRPr="00A825FB" w:rsidRDefault="00504AFE">
            <w:pPr>
              <w:rPr>
                <w:rFonts w:eastAsia="Times New Roman" w:cs="Times New Roman"/>
                <w:szCs w:val="20"/>
                <w:lang w:eastAsia="en-AU"/>
              </w:rPr>
            </w:pPr>
            <w:r>
              <w:rPr>
                <w:rFonts w:eastAsia="Times New Roman" w:cs="Times New Roman"/>
                <w:szCs w:val="20"/>
                <w:lang w:eastAsia="en-AU"/>
              </w:rPr>
              <w:t xml:space="preserve">Do people </w:t>
            </w:r>
            <w:r w:rsidR="002B47B8">
              <w:rPr>
                <w:rFonts w:eastAsia="Times New Roman" w:cs="Times New Roman"/>
                <w:szCs w:val="20"/>
                <w:lang w:eastAsia="en-AU"/>
              </w:rPr>
              <w:t>have differen</w:t>
            </w:r>
            <w:r>
              <w:rPr>
                <w:rFonts w:eastAsia="Times New Roman" w:cs="Times New Roman"/>
                <w:szCs w:val="20"/>
                <w:lang w:eastAsia="en-AU"/>
              </w:rPr>
              <w:t>t</w:t>
            </w:r>
            <w:r w:rsidR="002B47B8">
              <w:rPr>
                <w:rFonts w:eastAsia="Times New Roman" w:cs="Times New Roman"/>
                <w:szCs w:val="20"/>
                <w:lang w:eastAsia="en-AU"/>
              </w:rPr>
              <w:t xml:space="preserve"> views on harms and benefits </w:t>
            </w:r>
            <w:r>
              <w:rPr>
                <w:rFonts w:eastAsia="Times New Roman" w:cs="Times New Roman"/>
                <w:szCs w:val="20"/>
                <w:lang w:eastAsia="en-AU"/>
              </w:rPr>
              <w:t>associated with intakes of this nutrient</w:t>
            </w:r>
            <w:r w:rsidR="002B47B8">
              <w:rPr>
                <w:rFonts w:eastAsia="Times New Roman" w:cs="Times New Roman"/>
                <w:szCs w:val="20"/>
                <w:lang w:eastAsia="en-AU"/>
              </w:rPr>
              <w:t xml:space="preserve"> that </w:t>
            </w:r>
            <w:r>
              <w:rPr>
                <w:rFonts w:eastAsia="Times New Roman" w:cs="Times New Roman"/>
                <w:szCs w:val="20"/>
                <w:lang w:eastAsia="en-AU"/>
              </w:rPr>
              <w:t>may influence</w:t>
            </w:r>
            <w:r w:rsidR="002B47B8">
              <w:rPr>
                <w:rFonts w:eastAsia="Times New Roman" w:cs="Times New Roman"/>
                <w:szCs w:val="20"/>
                <w:lang w:eastAsia="en-AU"/>
              </w:rPr>
              <w:t xml:space="preserve"> values and preferences</w:t>
            </w:r>
            <w:r>
              <w:rPr>
                <w:rFonts w:eastAsia="Times New Roman" w:cs="Times New Roman"/>
                <w:szCs w:val="20"/>
                <w:lang w:eastAsia="en-AU"/>
              </w:rPr>
              <w:t>?</w:t>
            </w:r>
          </w:p>
        </w:tc>
      </w:tr>
      <w:tr w:rsidR="002B47B8" w:rsidRPr="00A825FB" w14:paraId="348808D2" w14:textId="77777777" w:rsidTr="00BE4ACA">
        <w:tc>
          <w:tcPr>
            <w:tcW w:w="2054" w:type="dxa"/>
          </w:tcPr>
          <w:p w14:paraId="64F05102" w14:textId="77777777" w:rsidR="002B47B8" w:rsidRPr="00A825FB" w:rsidRDefault="002B47B8">
            <w:pPr>
              <w:rPr>
                <w:rFonts w:eastAsia="Times New Roman" w:cs="Times New Roman"/>
                <w:b/>
                <w:bCs/>
                <w:szCs w:val="20"/>
                <w:lang w:eastAsia="en-AU"/>
              </w:rPr>
            </w:pPr>
            <w:r w:rsidRPr="00A825FB">
              <w:rPr>
                <w:rFonts w:eastAsia="Times New Roman" w:cs="Times New Roman"/>
                <w:b/>
                <w:bCs/>
                <w:szCs w:val="20"/>
                <w:lang w:eastAsia="en-AU"/>
              </w:rPr>
              <w:t xml:space="preserve">Cost effectiveness and </w:t>
            </w:r>
            <w:r w:rsidRPr="00A825FB">
              <w:rPr>
                <w:rFonts w:eastAsia="Times New Roman" w:cs="Times New Roman"/>
                <w:b/>
                <w:bCs/>
                <w:szCs w:val="20"/>
                <w:lang w:eastAsia="en-AU"/>
              </w:rPr>
              <w:lastRenderedPageBreak/>
              <w:t>required resources</w:t>
            </w:r>
          </w:p>
        </w:tc>
        <w:tc>
          <w:tcPr>
            <w:tcW w:w="8147" w:type="dxa"/>
          </w:tcPr>
          <w:p w14:paraId="3BF87D6C" w14:textId="77777777" w:rsidR="007D373A" w:rsidRDefault="002B47B8">
            <w:pPr>
              <w:rPr>
                <w:rFonts w:eastAsia="Times New Roman" w:cs="Times New Roman"/>
                <w:szCs w:val="20"/>
                <w:lang w:eastAsia="en-AU"/>
              </w:rPr>
            </w:pPr>
            <w:r w:rsidRPr="007D373A">
              <w:rPr>
                <w:rFonts w:eastAsia="Times New Roman" w:cs="Times New Roman"/>
                <w:i/>
                <w:iCs/>
                <w:szCs w:val="20"/>
                <w:lang w:eastAsia="en-AU"/>
              </w:rPr>
              <w:lastRenderedPageBreak/>
              <w:t>This should be considered with context to available food sources</w:t>
            </w:r>
            <w:r>
              <w:rPr>
                <w:rFonts w:eastAsia="Times New Roman" w:cs="Times New Roman"/>
                <w:szCs w:val="20"/>
                <w:lang w:eastAsia="en-AU"/>
              </w:rPr>
              <w:t xml:space="preserve">. </w:t>
            </w:r>
          </w:p>
          <w:p w14:paraId="036515AA" w14:textId="709C6C6D" w:rsidR="002B47B8" w:rsidRPr="00A825FB" w:rsidRDefault="002B47B8">
            <w:pPr>
              <w:rPr>
                <w:rFonts w:eastAsia="Times New Roman" w:cs="Times New Roman"/>
                <w:szCs w:val="20"/>
                <w:lang w:eastAsia="en-AU"/>
              </w:rPr>
            </w:pPr>
            <w:r w:rsidRPr="00A825FB">
              <w:rPr>
                <w:rFonts w:eastAsia="Times New Roman" w:cs="Times New Roman"/>
                <w:szCs w:val="20"/>
                <w:lang w:eastAsia="en-AU"/>
              </w:rPr>
              <w:t xml:space="preserve">What </w:t>
            </w:r>
            <w:r w:rsidR="00913F0D">
              <w:rPr>
                <w:rFonts w:eastAsia="Times New Roman" w:cs="Times New Roman"/>
                <w:szCs w:val="20"/>
                <w:lang w:eastAsia="en-AU"/>
              </w:rPr>
              <w:t>are the resource implications of the proposed NRV recommendation?</w:t>
            </w:r>
          </w:p>
          <w:p w14:paraId="07A3A275" w14:textId="77777777" w:rsidR="002B47B8" w:rsidRDefault="002B47B8">
            <w:pPr>
              <w:rPr>
                <w:rFonts w:eastAsia="Times New Roman" w:cs="Times New Roman"/>
                <w:szCs w:val="20"/>
                <w:lang w:eastAsia="en-AU"/>
              </w:rPr>
            </w:pPr>
            <w:r w:rsidRPr="00A825FB">
              <w:rPr>
                <w:rFonts w:eastAsia="Times New Roman" w:cs="Times New Roman"/>
                <w:szCs w:val="20"/>
                <w:lang w:eastAsia="en-AU"/>
              </w:rPr>
              <w:lastRenderedPageBreak/>
              <w:t xml:space="preserve">Are sources of this nutrient available in a </w:t>
            </w:r>
            <w:r w:rsidR="00C53BC3" w:rsidRPr="00A825FB">
              <w:rPr>
                <w:rFonts w:eastAsia="Times New Roman" w:cs="Times New Roman"/>
                <w:szCs w:val="20"/>
                <w:lang w:eastAsia="en-AU"/>
              </w:rPr>
              <w:t>cost-effective</w:t>
            </w:r>
            <w:r w:rsidRPr="00A825FB">
              <w:rPr>
                <w:rFonts w:eastAsia="Times New Roman" w:cs="Times New Roman"/>
                <w:szCs w:val="20"/>
                <w:lang w:eastAsia="en-AU"/>
              </w:rPr>
              <w:t xml:space="preserve"> form</w:t>
            </w:r>
            <w:r>
              <w:rPr>
                <w:rFonts w:eastAsia="Times New Roman" w:cs="Times New Roman"/>
                <w:szCs w:val="20"/>
                <w:lang w:eastAsia="en-AU"/>
              </w:rPr>
              <w:t xml:space="preserve"> (for instance through available food sources)</w:t>
            </w:r>
            <w:r w:rsidRPr="00A825FB">
              <w:rPr>
                <w:rFonts w:eastAsia="Times New Roman" w:cs="Times New Roman"/>
                <w:szCs w:val="20"/>
                <w:lang w:eastAsia="en-AU"/>
              </w:rPr>
              <w:t>?</w:t>
            </w:r>
          </w:p>
          <w:p w14:paraId="10DD8324" w14:textId="77777777" w:rsidR="00D7574B" w:rsidRDefault="00D7574B">
            <w:pPr>
              <w:rPr>
                <w:rFonts w:eastAsia="Times New Roman" w:cs="Times New Roman"/>
                <w:szCs w:val="20"/>
                <w:lang w:eastAsia="en-AU"/>
              </w:rPr>
            </w:pPr>
            <w:r>
              <w:rPr>
                <w:rFonts w:eastAsia="Times New Roman" w:cs="Times New Roman"/>
                <w:szCs w:val="20"/>
                <w:lang w:eastAsia="en-AU"/>
              </w:rPr>
              <w:t>What are the implications for food/supplement industries?</w:t>
            </w:r>
          </w:p>
          <w:p w14:paraId="03F8695D" w14:textId="77777777" w:rsidR="00D7574B" w:rsidRDefault="00C00200">
            <w:pPr>
              <w:rPr>
                <w:rFonts w:eastAsia="Times New Roman" w:cs="Times New Roman"/>
                <w:szCs w:val="20"/>
                <w:lang w:eastAsia="en-AU"/>
              </w:rPr>
            </w:pPr>
            <w:r>
              <w:rPr>
                <w:rFonts w:eastAsia="Times New Roman" w:cs="Times New Roman"/>
                <w:szCs w:val="20"/>
                <w:lang w:eastAsia="en-AU"/>
              </w:rPr>
              <w:t xml:space="preserve">What are the implications for </w:t>
            </w:r>
            <w:r w:rsidR="00A16672">
              <w:rPr>
                <w:rFonts w:eastAsia="Times New Roman" w:cs="Times New Roman"/>
                <w:szCs w:val="20"/>
                <w:lang w:eastAsia="en-AU"/>
              </w:rPr>
              <w:t>government/regulators?</w:t>
            </w:r>
          </w:p>
          <w:p w14:paraId="1710B606" w14:textId="4E81AAC8" w:rsidR="00716E13" w:rsidRPr="00A825FB" w:rsidRDefault="00414641">
            <w:pPr>
              <w:rPr>
                <w:rFonts w:eastAsia="Times New Roman" w:cs="Times New Roman"/>
                <w:szCs w:val="20"/>
                <w:lang w:eastAsia="en-AU"/>
              </w:rPr>
            </w:pPr>
            <w:r>
              <w:rPr>
                <w:rFonts w:eastAsia="Times New Roman" w:cs="Times New Roman"/>
                <w:szCs w:val="20"/>
                <w:lang w:eastAsia="en-AU"/>
              </w:rPr>
              <w:t>What are the implications for consumers?</w:t>
            </w:r>
          </w:p>
        </w:tc>
      </w:tr>
      <w:tr w:rsidR="00BF2918" w:rsidRPr="00A825FB" w14:paraId="61120548" w14:textId="77777777" w:rsidTr="00BE4ACA">
        <w:tc>
          <w:tcPr>
            <w:tcW w:w="10201" w:type="dxa"/>
            <w:gridSpan w:val="2"/>
            <w:shd w:val="clear" w:color="auto" w:fill="C7E2ED" w:themeFill="background2"/>
          </w:tcPr>
          <w:p w14:paraId="5C91D129" w14:textId="5097CA8C" w:rsidR="00BF2918" w:rsidRPr="004A2FFF" w:rsidRDefault="004A2FFF">
            <w:pPr>
              <w:rPr>
                <w:rFonts w:eastAsia="Times New Roman"/>
                <w:i/>
                <w:szCs w:val="20"/>
              </w:rPr>
            </w:pPr>
            <w:r w:rsidRPr="004A2FFF">
              <w:rPr>
                <w:rFonts w:eastAsia="Times New Roman"/>
                <w:b/>
                <w:bCs/>
                <w:i/>
                <w:iCs/>
                <w:szCs w:val="20"/>
              </w:rPr>
              <w:lastRenderedPageBreak/>
              <w:t xml:space="preserve">Other factors </w:t>
            </w:r>
            <w:r w:rsidR="00AB3CD5">
              <w:rPr>
                <w:rFonts w:eastAsia="Times New Roman"/>
                <w:b/>
                <w:bCs/>
                <w:i/>
                <w:iCs/>
                <w:szCs w:val="20"/>
              </w:rPr>
              <w:t xml:space="preserve">to be considered by the Committee </w:t>
            </w:r>
            <w:r w:rsidRPr="004A2FFF">
              <w:rPr>
                <w:rFonts w:eastAsia="Times New Roman"/>
                <w:b/>
                <w:bCs/>
                <w:i/>
                <w:iCs/>
                <w:szCs w:val="20"/>
              </w:rPr>
              <w:t>(equity, acceptability, feasibility, environmental sustainability)</w:t>
            </w:r>
            <w:r w:rsidR="00C977F7">
              <w:rPr>
                <w:rFonts w:eastAsia="Times New Roman"/>
                <w:b/>
                <w:bCs/>
                <w:i/>
                <w:iCs/>
                <w:szCs w:val="20"/>
              </w:rPr>
              <w:t xml:space="preserve">. </w:t>
            </w:r>
            <w:r w:rsidR="00E81DA7">
              <w:rPr>
                <w:rFonts w:eastAsia="Times New Roman"/>
                <w:b/>
                <w:bCs/>
                <w:i/>
                <w:iCs/>
                <w:szCs w:val="20"/>
              </w:rPr>
              <w:t>Sampl</w:t>
            </w:r>
            <w:r w:rsidR="00C977F7">
              <w:rPr>
                <w:rFonts w:eastAsia="Times New Roman"/>
                <w:b/>
                <w:bCs/>
                <w:i/>
                <w:iCs/>
                <w:szCs w:val="20"/>
              </w:rPr>
              <w:t xml:space="preserve">e questions </w:t>
            </w:r>
            <w:r w:rsidR="00E81DA7">
              <w:rPr>
                <w:rFonts w:eastAsia="Times New Roman"/>
                <w:b/>
                <w:bCs/>
                <w:i/>
                <w:iCs/>
                <w:szCs w:val="20"/>
              </w:rPr>
              <w:t xml:space="preserve">to guide discussion </w:t>
            </w:r>
            <w:r w:rsidR="00C977F7">
              <w:rPr>
                <w:rFonts w:eastAsia="Times New Roman"/>
                <w:b/>
                <w:bCs/>
                <w:i/>
                <w:iCs/>
                <w:szCs w:val="20"/>
              </w:rPr>
              <w:t>are offered below:</w:t>
            </w:r>
            <w:r w:rsidR="00596496">
              <w:rPr>
                <w:rFonts w:eastAsia="Times New Roman"/>
                <w:b/>
                <w:bCs/>
                <w:i/>
                <w:iCs/>
                <w:szCs w:val="20"/>
              </w:rPr>
              <w:t xml:space="preserve"> </w:t>
            </w:r>
          </w:p>
        </w:tc>
      </w:tr>
      <w:tr w:rsidR="00AB3CD5" w:rsidRPr="00A825FB" w14:paraId="758C6436" w14:textId="77777777" w:rsidTr="00BE4ACA">
        <w:tc>
          <w:tcPr>
            <w:tcW w:w="10201" w:type="dxa"/>
            <w:gridSpan w:val="2"/>
          </w:tcPr>
          <w:p w14:paraId="3505D53E" w14:textId="32A81A81" w:rsidR="00AB3CD5" w:rsidRDefault="00AB3CD5">
            <w:pPr>
              <w:rPr>
                <w:rFonts w:eastAsia="Times New Roman" w:cs="Times New Roman"/>
                <w:szCs w:val="20"/>
                <w:lang w:eastAsia="en-AU"/>
              </w:rPr>
            </w:pPr>
            <w:r w:rsidRPr="00A825FB">
              <w:rPr>
                <w:rFonts w:eastAsia="Times New Roman" w:cs="Times New Roman"/>
                <w:szCs w:val="20"/>
                <w:lang w:eastAsia="en-AU"/>
              </w:rPr>
              <w:t xml:space="preserve">Will there be some groups who are more </w:t>
            </w:r>
            <w:r>
              <w:rPr>
                <w:rFonts w:eastAsia="Times New Roman" w:cs="Times New Roman"/>
                <w:szCs w:val="20"/>
                <w:lang w:eastAsia="en-AU"/>
              </w:rPr>
              <w:t xml:space="preserve">advantaged or </w:t>
            </w:r>
            <w:r w:rsidRPr="00A825FB">
              <w:rPr>
                <w:rFonts w:eastAsia="Times New Roman" w:cs="Times New Roman"/>
                <w:szCs w:val="20"/>
                <w:lang w:eastAsia="en-AU"/>
              </w:rPr>
              <w:t xml:space="preserve">disadvantaged </w:t>
            </w:r>
            <w:r w:rsidR="00C25876">
              <w:rPr>
                <w:rFonts w:eastAsia="Times New Roman" w:cs="Times New Roman"/>
                <w:szCs w:val="20"/>
                <w:lang w:eastAsia="en-AU"/>
              </w:rPr>
              <w:t>in meeting the NRV recommendation for</w:t>
            </w:r>
            <w:r w:rsidRPr="00A825FB">
              <w:rPr>
                <w:rFonts w:eastAsia="Times New Roman" w:cs="Times New Roman"/>
                <w:szCs w:val="20"/>
                <w:lang w:eastAsia="en-AU"/>
              </w:rPr>
              <w:t xml:space="preserve"> this nutrient?</w:t>
            </w:r>
          </w:p>
          <w:p w14:paraId="06BD55A2" w14:textId="79B3FAF5" w:rsidR="00C977F7" w:rsidRDefault="00AB3CD5" w:rsidP="00AB3CD5">
            <w:pPr>
              <w:rPr>
                <w:rFonts w:eastAsia="Times New Roman" w:cs="Times New Roman"/>
                <w:szCs w:val="20"/>
                <w:lang w:eastAsia="en-AU"/>
              </w:rPr>
            </w:pPr>
            <w:r w:rsidRPr="00A825FB">
              <w:rPr>
                <w:rFonts w:eastAsia="Times New Roman" w:cs="Times New Roman"/>
                <w:szCs w:val="20"/>
                <w:lang w:eastAsia="en-AU"/>
              </w:rPr>
              <w:t xml:space="preserve">Is ingestion of this nutrient </w:t>
            </w:r>
            <w:r w:rsidR="00533B45">
              <w:rPr>
                <w:rFonts w:eastAsia="Times New Roman" w:cs="Times New Roman"/>
                <w:szCs w:val="20"/>
                <w:lang w:eastAsia="en-AU"/>
              </w:rPr>
              <w:t xml:space="preserve">within the levels specified by the NRV </w:t>
            </w:r>
            <w:r w:rsidRPr="00A825FB">
              <w:rPr>
                <w:rFonts w:eastAsia="Times New Roman" w:cs="Times New Roman"/>
                <w:szCs w:val="20"/>
                <w:lang w:eastAsia="en-AU"/>
              </w:rPr>
              <w:t>acceptable to all stakeholders and populations?</w:t>
            </w:r>
          </w:p>
          <w:p w14:paraId="037B3FA5" w14:textId="5D33268F" w:rsidR="00AB669E" w:rsidRDefault="00AB669E" w:rsidP="00AB669E">
            <w:pPr>
              <w:rPr>
                <w:rFonts w:eastAsia="Times New Roman" w:cs="Times New Roman"/>
                <w:szCs w:val="20"/>
                <w:lang w:eastAsia="en-AU"/>
              </w:rPr>
            </w:pPr>
            <w:r>
              <w:rPr>
                <w:rFonts w:eastAsia="Times New Roman"/>
                <w:szCs w:val="20"/>
              </w:rPr>
              <w:t>With consideration to current dietary patterns is th</w:t>
            </w:r>
            <w:r w:rsidR="0090272A">
              <w:rPr>
                <w:rFonts w:eastAsia="Times New Roman"/>
                <w:szCs w:val="20"/>
              </w:rPr>
              <w:t>e specified</w:t>
            </w:r>
            <w:r>
              <w:rPr>
                <w:rFonts w:eastAsia="Times New Roman"/>
                <w:szCs w:val="20"/>
              </w:rPr>
              <w:t xml:space="preserve"> value feasible to </w:t>
            </w:r>
            <w:proofErr w:type="gramStart"/>
            <w:r>
              <w:rPr>
                <w:rFonts w:eastAsia="Times New Roman"/>
                <w:szCs w:val="20"/>
              </w:rPr>
              <w:t>achieve?</w:t>
            </w:r>
            <w:proofErr w:type="gramEnd"/>
          </w:p>
          <w:p w14:paraId="185DBB10" w14:textId="7843B552" w:rsidR="00AB669E" w:rsidRDefault="00AB669E" w:rsidP="00AB669E">
            <w:pPr>
              <w:rPr>
                <w:rFonts w:eastAsia="Times New Roman" w:cs="Times New Roman"/>
                <w:szCs w:val="20"/>
                <w:lang w:eastAsia="en-AU"/>
              </w:rPr>
            </w:pPr>
            <w:r w:rsidRPr="00A825FB">
              <w:rPr>
                <w:rFonts w:eastAsia="Times New Roman" w:cs="Times New Roman"/>
                <w:szCs w:val="20"/>
                <w:lang w:eastAsia="en-AU"/>
              </w:rPr>
              <w:t xml:space="preserve">Are there sustainability issues in obtaining this nutrient? </w:t>
            </w:r>
            <w:r w:rsidR="00E95C39" w:rsidRPr="00A825FB">
              <w:rPr>
                <w:rFonts w:eastAsia="Times New Roman" w:cs="Times New Roman"/>
                <w:szCs w:val="20"/>
                <w:lang w:eastAsia="en-AU"/>
              </w:rPr>
              <w:t>I.e.</w:t>
            </w:r>
            <w:r w:rsidRPr="00A825FB">
              <w:rPr>
                <w:rFonts w:eastAsia="Times New Roman" w:cs="Times New Roman"/>
                <w:szCs w:val="20"/>
                <w:lang w:eastAsia="en-AU"/>
              </w:rPr>
              <w:t xml:space="preserve"> from certain food sources?</w:t>
            </w:r>
          </w:p>
          <w:p w14:paraId="411E5AD2" w14:textId="1FCF8976" w:rsidR="00AB3CD5" w:rsidRDefault="00AB669E" w:rsidP="00AB669E">
            <w:pPr>
              <w:rPr>
                <w:rFonts w:eastAsia="Times New Roman" w:cs="Times New Roman"/>
                <w:szCs w:val="20"/>
                <w:lang w:eastAsia="en-AU"/>
              </w:rPr>
            </w:pPr>
            <w:r>
              <w:rPr>
                <w:rFonts w:eastAsia="Times New Roman" w:cs="Times New Roman"/>
                <w:szCs w:val="20"/>
                <w:lang w:eastAsia="en-AU"/>
              </w:rPr>
              <w:t xml:space="preserve">Are there bioavailability </w:t>
            </w:r>
            <w:r w:rsidR="004E78DC">
              <w:rPr>
                <w:rFonts w:eastAsia="Times New Roman" w:cs="Times New Roman"/>
                <w:szCs w:val="20"/>
                <w:lang w:eastAsia="en-AU"/>
              </w:rPr>
              <w:t>considerations relevant to the Australian or New Zealand context</w:t>
            </w:r>
            <w:r>
              <w:rPr>
                <w:rFonts w:eastAsia="Times New Roman" w:cs="Times New Roman"/>
                <w:szCs w:val="20"/>
                <w:lang w:eastAsia="en-AU"/>
              </w:rPr>
              <w:t>?</w:t>
            </w:r>
          </w:p>
          <w:p w14:paraId="6980EE4B" w14:textId="77777777" w:rsidR="00350926" w:rsidRDefault="00350926" w:rsidP="00AB669E">
            <w:r>
              <w:t xml:space="preserve">What impact does </w:t>
            </w:r>
            <w:r w:rsidR="005A732D">
              <w:t xml:space="preserve">intake within the level/s specified by the NRV </w:t>
            </w:r>
            <w:r>
              <w:t>have on other nutrient</w:t>
            </w:r>
            <w:r w:rsidR="004C5C7D">
              <w:t xml:space="preserve"> requirements</w:t>
            </w:r>
            <w:r>
              <w:t>?</w:t>
            </w:r>
          </w:p>
          <w:p w14:paraId="03C6244D" w14:textId="77777777" w:rsidR="00FB5840" w:rsidRDefault="00FB5840" w:rsidP="00AB669E">
            <w:r>
              <w:t xml:space="preserve">Are there interactions </w:t>
            </w:r>
            <w:r w:rsidR="001946DF">
              <w:t>of this nutrient with other nutrients?</w:t>
            </w:r>
          </w:p>
          <w:p w14:paraId="0B4F2007" w14:textId="26A99DA3" w:rsidR="001946DF" w:rsidRPr="00A825FB" w:rsidRDefault="00D12DBD" w:rsidP="00AB669E">
            <w:r>
              <w:t>Is specific public health advice required?</w:t>
            </w:r>
          </w:p>
        </w:tc>
      </w:tr>
    </w:tbl>
    <w:p w14:paraId="1FCBAFD0" w14:textId="77777777" w:rsidR="000D4CC4" w:rsidRDefault="000D4CC4" w:rsidP="000D4CC4"/>
    <w:p w14:paraId="46C95637" w14:textId="7013A0C4" w:rsidR="000D4CC4" w:rsidRDefault="000D4CC4" w:rsidP="000D4CC4">
      <w:pPr>
        <w:pStyle w:val="Boxed1Bullet"/>
        <w:numPr>
          <w:ilvl w:val="0"/>
          <w:numId w:val="0"/>
        </w:numPr>
        <w:ind w:left="349"/>
      </w:pPr>
      <w:r>
        <w:t xml:space="preserve">Further guidance on GRADE </w:t>
      </w:r>
      <w:r w:rsidR="005705E7">
        <w:t>e</w:t>
      </w:r>
      <w:r>
        <w:t>vidence-to</w:t>
      </w:r>
      <w:r w:rsidR="005705E7">
        <w:t>-d</w:t>
      </w:r>
      <w:r>
        <w:t>ecision is available in</w:t>
      </w:r>
      <w:r w:rsidRPr="006B6AF0">
        <w:t>:</w:t>
      </w:r>
    </w:p>
    <w:p w14:paraId="34FD5273" w14:textId="77777777" w:rsidR="000D4CC4" w:rsidRDefault="000D4CC4" w:rsidP="00211F4C">
      <w:pPr>
        <w:pStyle w:val="Boxed1Bullet"/>
        <w:numPr>
          <w:ilvl w:val="0"/>
          <w:numId w:val="19"/>
        </w:numPr>
        <w:ind w:left="709"/>
      </w:pPr>
      <w:r>
        <w:fldChar w:fldCharType="begin"/>
      </w:r>
      <w:r>
        <w:instrText xml:space="preserve"> ADDIN EN.CITE &lt;EndNote&gt;&lt;Cite AuthorYear="1"&gt;&lt;Author&gt;Neumann&lt;/Author&gt;&lt;Year&gt;2025&lt;/Year&gt;&lt;RecNum&gt;86&lt;/RecNum&gt;&lt;DisplayText&gt;Neumann et al. (2025)&lt;/DisplayText&gt;&lt;record&gt;&lt;rec-number&gt;86&lt;/rec-number&gt;&lt;foreign-keys&gt;&lt;key app="EN" db-id="zxfaevvrgpsxebez5ec5vspfe2av5dtxt9xx" timestamp="1754959384"&gt;86&lt;/key&gt;&lt;/foreign-keys&gt;&lt;ref-type name="Electronic Book"&gt;44&lt;/ref-type&gt;&lt;contributors&gt;&lt;authors&gt;&lt;author&gt;Neumann, Ignacio&lt;/author&gt;&lt;author&gt;Brennan, Sue&lt;/author&gt;&lt;author&gt;Meerpohl, Joerg&lt;/author&gt;&lt;author&gt;Davoli, Marina&lt;/author&gt;&lt;author&gt;Coello, Pablo Alonso&lt;/author&gt;&lt;author&gt;Akl, Elie&lt;/author&gt;&lt;author&gt;Dahm, Philip&lt;/author&gt;&lt;author&gt;Skoetz, Nicole&lt;/author&gt;&lt;author&gt;Xia, Jun&lt;/author&gt;&lt;author&gt;Brozek, Jan&lt;/author&gt;&lt;author&gt;Schünemann, Holger J.&lt;/author&gt;&lt;/authors&gt;&lt;/contributors&gt;&lt;titles&gt;&lt;title&gt;GRADE Book&lt;/title&gt;&lt;/titles&gt;&lt;dates&gt;&lt;year&gt;2025&lt;/year&gt;&lt;/dates&gt;&lt;urls&gt;&lt;related-urls&gt;&lt;url&gt;date accessed 18 August 2025, https://book.gradepro.org/&lt;/url&gt;&lt;/related-urls&gt;&lt;/urls&gt;&lt;/record&gt;&lt;/Cite&gt;&lt;/EndNote&gt;</w:instrText>
      </w:r>
      <w:r>
        <w:fldChar w:fldCharType="separate"/>
      </w:r>
      <w:r>
        <w:rPr>
          <w:noProof/>
        </w:rPr>
        <w:t>Neumann et al. (2025)</w:t>
      </w:r>
      <w:r>
        <w:fldChar w:fldCharType="end"/>
      </w:r>
      <w:r w:rsidRPr="00560234">
        <w:t xml:space="preserve"> </w:t>
      </w:r>
      <w:r w:rsidRPr="00560234">
        <w:rPr>
          <w:i/>
          <w:iCs/>
        </w:rPr>
        <w:t>GRADE Book</w:t>
      </w:r>
      <w:r>
        <w:rPr>
          <w:i/>
          <w:iCs/>
        </w:rPr>
        <w:t>.</w:t>
      </w:r>
      <w:r w:rsidRPr="00560234">
        <w:t xml:space="preserve"> </w:t>
      </w:r>
      <w:hyperlink r:id="rId145" w:history="1">
        <w:r w:rsidRPr="00BF677F">
          <w:rPr>
            <w:rStyle w:val="Hyperlink"/>
            <w:color w:val="006CBC"/>
          </w:rPr>
          <w:t>https://book.gradepro.org/</w:t>
        </w:r>
      </w:hyperlink>
    </w:p>
    <w:p w14:paraId="7550D0C7" w14:textId="77777777" w:rsidR="000D4CC4" w:rsidRDefault="000D4CC4" w:rsidP="00211F4C">
      <w:pPr>
        <w:pStyle w:val="Boxed1Bullet"/>
        <w:numPr>
          <w:ilvl w:val="0"/>
          <w:numId w:val="19"/>
        </w:numPr>
        <w:ind w:left="709"/>
      </w:pPr>
      <w:r>
        <w:fldChar w:fldCharType="begin"/>
      </w:r>
      <w:r>
        <w:instrText xml:space="preserve"> ADDIN EN.CITE &lt;EndNote&gt;&lt;Cite AuthorYear="1"&gt;&lt;Author&gt;The GRADE Working Group&lt;/Author&gt;&lt;Year&gt;2024&lt;/Year&gt;&lt;RecNum&gt;87&lt;/RecNum&gt;&lt;DisplayText&gt;The GRADE Working Group (2024)&lt;/DisplayText&gt;&lt;record&gt;&lt;rec-number&gt;87&lt;/rec-number&gt;&lt;foreign-keys&gt;&lt;key app="EN" db-id="zxfaevvrgpsxebez5ec5vspfe2av5dtxt9xx" timestamp="1754959384"&gt;87&lt;/key&gt;&lt;/foreign-keys&gt;&lt;ref-type name="Electronic Book"&gt;44&lt;/ref-type&gt;&lt;contributors&gt;&lt;authors&gt;&lt;author&gt;The GRADE Working Group,&lt;/author&gt;&lt;/authors&gt;&lt;secondary-authors&gt;&lt;author&gt;Schünemann H, &lt;/author&gt;&lt;author&gt;&lt;style face="normal" font="default" size="100%"&gt;Bro&lt;/style&gt;&lt;style face="normal" font="default" charset="238" size="100%"&gt;żek J, &lt;/style&gt;&lt;/author&gt;&lt;author&gt;&lt;style face="normal" font="default" charset="238" size="100%"&gt;Guyatt G, &lt;/style&gt;&lt;/author&gt;&lt;author&gt;&lt;style face="normal" font="default" charset="238" size="100%"&gt;Oxman A,&lt;/style&gt;&lt;/author&gt;&lt;/secondary-authors&gt;&lt;/contributors&gt;&lt;titles&gt;&lt;title&gt;GRADE Handbook&lt;/title&gt;&lt;/titles&gt;&lt;dates&gt;&lt;year&gt;2024&lt;/year&gt;&lt;/dates&gt;&lt;urls&gt;&lt;related-urls&gt;&lt;url&gt;date accessed 18 August 2025, https://gdt.gradepro.org/app/handbook/handbook.html&lt;/url&gt;&lt;/related-urls&gt;&lt;/urls&gt;&lt;/record&gt;&lt;/Cite&gt;&lt;/EndNote&gt;</w:instrText>
      </w:r>
      <w:r>
        <w:fldChar w:fldCharType="separate"/>
      </w:r>
      <w:r>
        <w:rPr>
          <w:noProof/>
        </w:rPr>
        <w:t>The GRADE Working Group (2024)</w:t>
      </w:r>
      <w:r>
        <w:fldChar w:fldCharType="end"/>
      </w:r>
      <w:r w:rsidRPr="00244675">
        <w:t xml:space="preserve"> </w:t>
      </w:r>
      <w:r w:rsidRPr="00244675">
        <w:rPr>
          <w:i/>
          <w:iCs/>
        </w:rPr>
        <w:t>GRADE Handbook</w:t>
      </w:r>
      <w:r w:rsidRPr="00244675">
        <w:t xml:space="preserve">   </w:t>
      </w:r>
      <w:hyperlink r:id="rId146" w:history="1">
        <w:r w:rsidRPr="00BF677F">
          <w:rPr>
            <w:rStyle w:val="Hyperlink"/>
            <w:color w:val="006CBC"/>
          </w:rPr>
          <w:t>https://gdt.gradepro.org/app/handbook/handbook.html</w:t>
        </w:r>
      </w:hyperlink>
      <w:r>
        <w:t xml:space="preserve"> </w:t>
      </w:r>
    </w:p>
    <w:p w14:paraId="38665BAD" w14:textId="77777777" w:rsidR="000D4CC4" w:rsidRDefault="000D4CC4" w:rsidP="00211F4C">
      <w:pPr>
        <w:pStyle w:val="Boxed1Bullet"/>
        <w:numPr>
          <w:ilvl w:val="0"/>
          <w:numId w:val="19"/>
        </w:numPr>
        <w:ind w:left="709"/>
      </w:pPr>
      <w:r w:rsidRPr="00BE451B">
        <w:t>Journal of Clinical Epidemiology GRADE Guidance series</w:t>
      </w:r>
      <w:r>
        <w:t xml:space="preserve">. </w:t>
      </w:r>
      <w:hyperlink r:id="rId147" w:history="1">
        <w:r w:rsidRPr="00BF677F">
          <w:rPr>
            <w:rStyle w:val="Hyperlink"/>
            <w:color w:val="006CBC"/>
          </w:rPr>
          <w:t>https://www.sciencedirect.com/special-issue/10F8V3S0J7V</w:t>
        </w:r>
      </w:hyperlink>
      <w:r>
        <w:t xml:space="preserve">  </w:t>
      </w:r>
    </w:p>
    <w:p w14:paraId="642355E2" w14:textId="1A267FDC" w:rsidR="005705E7" w:rsidRDefault="005705E7" w:rsidP="00211F4C">
      <w:pPr>
        <w:pStyle w:val="Boxed1Bullet"/>
        <w:numPr>
          <w:ilvl w:val="0"/>
          <w:numId w:val="19"/>
        </w:numPr>
        <w:ind w:left="709"/>
      </w:pPr>
      <w:r>
        <w:t xml:space="preserve">NHMRC Guidelines for Guidelines (2019) Evidence to decision making recommendations </w:t>
      </w:r>
      <w:hyperlink r:id="rId148" w:history="1">
        <w:r w:rsidRPr="00BF677F">
          <w:rPr>
            <w:rStyle w:val="Hyperlink"/>
            <w:color w:val="006CBC"/>
          </w:rPr>
          <w:t>Evidence to decision | NHMRC</w:t>
        </w:r>
      </w:hyperlink>
    </w:p>
    <w:p w14:paraId="420654AC" w14:textId="6FBA2AD5" w:rsidR="005705E7" w:rsidRDefault="00B767DC" w:rsidP="00211F4C">
      <w:pPr>
        <w:pStyle w:val="Boxed1Bullet"/>
        <w:numPr>
          <w:ilvl w:val="0"/>
          <w:numId w:val="19"/>
        </w:numPr>
        <w:ind w:left="709"/>
      </w:pPr>
      <w:r>
        <w:fldChar w:fldCharType="begin"/>
      </w:r>
      <w:r w:rsidR="00AF2674">
        <w:instrText xml:space="preserve"> ADDIN EN.CITE &lt;EndNote&gt;&lt;Cite AuthorYear="1"&gt;&lt;Author&gt;Moberg&lt;/Author&gt;&lt;Year&gt;2018&lt;/Year&gt;&lt;RecNum&gt;123&lt;/RecNum&gt;&lt;DisplayText&gt;Moberg et al. (2018)&lt;/DisplayText&gt;&lt;record&gt;&lt;rec-number&gt;123&lt;/rec-number&gt;&lt;foreign-keys&gt;&lt;key app="EN" db-id="zxfaevvrgpsxebez5ec5vspfe2av5dtxt9xx" timestamp="1756704777"&gt;123&lt;/key&gt;&lt;/foreign-keys&gt;&lt;ref-type name="Journal Article"&gt;17&lt;/ref-type&gt;&lt;contributors&gt;&lt;authors&gt;&lt;author&gt;Moberg, Jenny&lt;/author&gt;&lt;author&gt;Oxman, Andrew D&lt;/author&gt;&lt;author&gt;Rosenbaum, Sarah&lt;/author&gt;&lt;author&gt;Schünemann, Holger J&lt;/author&gt;&lt;author&gt;Guyatt, Gordon&lt;/author&gt;&lt;author&gt;Flottorp, Signe&lt;/author&gt;&lt;author&gt;Glenton, Claire&lt;/author&gt;&lt;author&gt;Lewin, Simon&lt;/author&gt;&lt;author&gt;Morelli, Angela&lt;/author&gt;&lt;author&gt;Rada, Gabriel&lt;/author&gt;&lt;/authors&gt;&lt;/contributors&gt;&lt;titles&gt;&lt;title&gt;The GRADE Evidence to Decision (EtD) framework for health system and public health decisions&lt;/title&gt;&lt;secondary-title&gt;Health research policy and systems&lt;/secondary-title&gt;&lt;/titles&gt;&lt;periodical&gt;&lt;full-title&gt;Health research policy and systems&lt;/full-title&gt;&lt;/periodical&gt;&lt;pages&gt;45&lt;/pages&gt;&lt;volume&gt;16&lt;/volume&gt;&lt;number&gt;1&lt;/number&gt;&lt;dates&gt;&lt;year&gt;2018&lt;/year&gt;&lt;/dates&gt;&lt;isbn&gt;1478-4505&lt;/isbn&gt;&lt;urls&gt;&lt;/urls&gt;&lt;electronic-resource-num&gt;10.1186/s12961-018-0320-2&lt;/electronic-resource-num&gt;&lt;/record&gt;&lt;/Cite&gt;&lt;/EndNote&gt;</w:instrText>
      </w:r>
      <w:r>
        <w:fldChar w:fldCharType="separate"/>
      </w:r>
      <w:r w:rsidR="00AF2674">
        <w:rPr>
          <w:noProof/>
        </w:rPr>
        <w:t>Moberg et al. (2018)</w:t>
      </w:r>
      <w:r>
        <w:fldChar w:fldCharType="end"/>
      </w:r>
      <w:r w:rsidR="002A6476" w:rsidRPr="002A6476">
        <w:t> The GRADE Evidence to Decision (</w:t>
      </w:r>
      <w:proofErr w:type="spellStart"/>
      <w:r w:rsidR="002A6476" w:rsidRPr="002A6476">
        <w:t>EtD</w:t>
      </w:r>
      <w:proofErr w:type="spellEnd"/>
      <w:r w:rsidR="002A6476" w:rsidRPr="002A6476">
        <w:t>) framework for health system and public health decisions. </w:t>
      </w:r>
      <w:r w:rsidR="002A6476" w:rsidRPr="002A6476">
        <w:rPr>
          <w:i/>
          <w:iCs/>
        </w:rPr>
        <w:t>Health Res Policy Sys</w:t>
      </w:r>
      <w:r w:rsidR="002A6476" w:rsidRPr="002A6476">
        <w:t> </w:t>
      </w:r>
      <w:r w:rsidR="002A6476" w:rsidRPr="002A6476">
        <w:rPr>
          <w:b/>
          <w:bCs/>
        </w:rPr>
        <w:t>16</w:t>
      </w:r>
      <w:r w:rsidR="002A6476" w:rsidRPr="002A6476">
        <w:t xml:space="preserve">, 45 </w:t>
      </w:r>
      <w:hyperlink r:id="rId149" w:history="1">
        <w:r w:rsidR="002A6476" w:rsidRPr="00BF677F">
          <w:rPr>
            <w:rStyle w:val="Hyperlink"/>
            <w:color w:val="006CBC"/>
          </w:rPr>
          <w:t>https://doi.org/10.1186/s12961-018-0320-2</w:t>
        </w:r>
      </w:hyperlink>
      <w:r w:rsidR="002A6476">
        <w:t xml:space="preserve"> </w:t>
      </w:r>
      <w:r w:rsidR="002A6476" w:rsidRPr="002A6476">
        <w:t xml:space="preserve"> </w:t>
      </w:r>
      <w:r w:rsidR="005705E7" w:rsidRPr="005705E7">
        <w:t>.</w:t>
      </w:r>
      <w:r w:rsidR="005705E7">
        <w:t xml:space="preserve"> </w:t>
      </w:r>
    </w:p>
    <w:p w14:paraId="12CFA25D" w14:textId="7F313AD4" w:rsidR="00542F3F" w:rsidRPr="00B53512" w:rsidRDefault="00542F3F" w:rsidP="000D4CC4">
      <w:pPr>
        <w:rPr>
          <w:lang w:val="en-US"/>
        </w:rPr>
      </w:pPr>
      <w:r>
        <w:br w:type="page"/>
      </w:r>
    </w:p>
    <w:p w14:paraId="258E5ED9" w14:textId="77777777" w:rsidR="0006662D" w:rsidRDefault="0006662D" w:rsidP="003E2E95">
      <w:pPr>
        <w:pStyle w:val="Heading2Chapter"/>
        <w:numPr>
          <w:ilvl w:val="0"/>
          <w:numId w:val="0"/>
        </w:numPr>
        <w:ind w:left="431" w:hanging="431"/>
      </w:pPr>
      <w:bookmarkStart w:id="260" w:name="_Toc153967162"/>
      <w:bookmarkStart w:id="261" w:name="_Toc207801118"/>
      <w:bookmarkStart w:id="262" w:name="_Toc207824588"/>
      <w:r w:rsidRPr="001D0924">
        <w:lastRenderedPageBreak/>
        <w:t>Glossary</w:t>
      </w:r>
      <w:bookmarkEnd w:id="260"/>
      <w:bookmarkEnd w:id="261"/>
      <w:bookmarkEnd w:id="262"/>
    </w:p>
    <w:tbl>
      <w:tblPr>
        <w:tblStyle w:val="TableGrid"/>
        <w:tblW w:w="9928" w:type="dxa"/>
        <w:tblInd w:w="-5" w:type="dxa"/>
        <w:tblLook w:val="06A0" w:firstRow="1" w:lastRow="0" w:firstColumn="1" w:lastColumn="0" w:noHBand="1" w:noVBand="1"/>
      </w:tblPr>
      <w:tblGrid>
        <w:gridCol w:w="1559"/>
        <w:gridCol w:w="8369"/>
      </w:tblGrid>
      <w:tr w:rsidR="00B37352" w14:paraId="5EC65D9B" w14:textId="77777777" w:rsidTr="00153946">
        <w:trPr>
          <w:trHeight w:val="567"/>
        </w:trPr>
        <w:tc>
          <w:tcPr>
            <w:tcW w:w="1559" w:type="dxa"/>
          </w:tcPr>
          <w:p w14:paraId="319F3221" w14:textId="22519D60" w:rsidR="00B37352" w:rsidRDefault="00B37352">
            <w:pPr>
              <w:ind w:left="-1674" w:firstLine="1674"/>
            </w:pPr>
            <w:r w:rsidRPr="00A91E0E">
              <w:t>ABS</w:t>
            </w:r>
          </w:p>
        </w:tc>
        <w:tc>
          <w:tcPr>
            <w:tcW w:w="8369" w:type="dxa"/>
          </w:tcPr>
          <w:p w14:paraId="4352E921" w14:textId="77777777" w:rsidR="00B37352" w:rsidRDefault="00B37352">
            <w:r w:rsidRPr="00A91E0E">
              <w:t>Australian Bureau of Statistics</w:t>
            </w:r>
          </w:p>
        </w:tc>
      </w:tr>
      <w:tr w:rsidR="00B37352" w14:paraId="59BCF599" w14:textId="77777777" w:rsidTr="00153946">
        <w:trPr>
          <w:trHeight w:val="567"/>
        </w:trPr>
        <w:tc>
          <w:tcPr>
            <w:tcW w:w="1559" w:type="dxa"/>
          </w:tcPr>
          <w:p w14:paraId="158FFE4F" w14:textId="5BCE7BEB" w:rsidR="00B37352" w:rsidRDefault="00B37352">
            <w:r w:rsidRPr="00A91E0E">
              <w:t>ADGs</w:t>
            </w:r>
          </w:p>
        </w:tc>
        <w:tc>
          <w:tcPr>
            <w:tcW w:w="8369" w:type="dxa"/>
          </w:tcPr>
          <w:p w14:paraId="501BE8C0" w14:textId="77777777" w:rsidR="00B37352" w:rsidRDefault="00B37352">
            <w:r w:rsidRPr="00A91E0E">
              <w:t>Australian Dietary Guidelines</w:t>
            </w:r>
          </w:p>
        </w:tc>
      </w:tr>
      <w:tr w:rsidR="00B37352" w14:paraId="229873FB" w14:textId="77777777" w:rsidTr="00153946">
        <w:trPr>
          <w:trHeight w:val="567"/>
        </w:trPr>
        <w:tc>
          <w:tcPr>
            <w:tcW w:w="1559" w:type="dxa"/>
          </w:tcPr>
          <w:p w14:paraId="4126E558" w14:textId="77777777" w:rsidR="00B37352" w:rsidRDefault="00B37352">
            <w:r>
              <w:t>AI</w:t>
            </w:r>
          </w:p>
        </w:tc>
        <w:tc>
          <w:tcPr>
            <w:tcW w:w="8369" w:type="dxa"/>
          </w:tcPr>
          <w:p w14:paraId="09FF4F78" w14:textId="1C45CD1B" w:rsidR="00B37352" w:rsidRDefault="00B37352">
            <w:r>
              <w:t>Adequate Intake:</w:t>
            </w:r>
            <w:r w:rsidRPr="00A91E0E">
              <w:t xml:space="preserve"> The mean daily nutrient intake level based on observed or experimentally determined approximations or estimates of nutrient intake by a group (or groups) of apparently healthy people that are assumed to be adequate (used when an EAR cannot be determined)</w:t>
            </w:r>
          </w:p>
        </w:tc>
      </w:tr>
      <w:tr w:rsidR="00D50E65" w14:paraId="1F6EBDFB" w14:textId="77777777" w:rsidTr="00153946">
        <w:trPr>
          <w:trHeight w:val="567"/>
        </w:trPr>
        <w:tc>
          <w:tcPr>
            <w:tcW w:w="1559" w:type="dxa"/>
          </w:tcPr>
          <w:p w14:paraId="2956DA46" w14:textId="58BDA47C" w:rsidR="00D50E65" w:rsidRDefault="00D50E65">
            <w:r>
              <w:t>allometric</w:t>
            </w:r>
          </w:p>
        </w:tc>
        <w:tc>
          <w:tcPr>
            <w:tcW w:w="8369" w:type="dxa"/>
          </w:tcPr>
          <w:p w14:paraId="04006D53" w14:textId="511BEA7B" w:rsidR="00D50E65" w:rsidRDefault="00740D01">
            <w:r w:rsidRPr="00740D01">
              <w:t>allometric scaling assumes that the metabolic rate of an organism is an exponential function of body weight</w:t>
            </w:r>
          </w:p>
        </w:tc>
      </w:tr>
      <w:tr w:rsidR="00B37352" w14:paraId="599AAEA8" w14:textId="77777777" w:rsidTr="00153946">
        <w:trPr>
          <w:trHeight w:val="567"/>
        </w:trPr>
        <w:tc>
          <w:tcPr>
            <w:tcW w:w="1559" w:type="dxa"/>
          </w:tcPr>
          <w:p w14:paraId="4DA61F4D" w14:textId="77777777" w:rsidR="00B37352" w:rsidRDefault="00B37352">
            <w:r w:rsidRPr="00A91E0E">
              <w:t>AMDR</w:t>
            </w:r>
          </w:p>
        </w:tc>
        <w:tc>
          <w:tcPr>
            <w:tcW w:w="8369" w:type="dxa"/>
          </w:tcPr>
          <w:p w14:paraId="50DA166A" w14:textId="2D73DD4C" w:rsidR="00B37352" w:rsidRDefault="00B37352">
            <w:r w:rsidRPr="00A91E0E">
              <w:t>Acceptable Ma</w:t>
            </w:r>
            <w:r>
              <w:t>cronutrient Distribution Range:</w:t>
            </w:r>
            <w:r w:rsidRPr="00A91E0E">
              <w:t xml:space="preserve"> An estimate of the range of intake for each macronutrient for individuals (expressed as per cent contribution to energy), which would allow for an adequate intake of all the other nutrients whilst maximising general health outcome.</w:t>
            </w:r>
          </w:p>
        </w:tc>
      </w:tr>
      <w:tr w:rsidR="00B37352" w14:paraId="4E3D02CB" w14:textId="77777777" w:rsidTr="00153946">
        <w:tc>
          <w:tcPr>
            <w:tcW w:w="1559" w:type="dxa"/>
          </w:tcPr>
          <w:p w14:paraId="1E2B4E2E" w14:textId="77777777" w:rsidR="00B37352" w:rsidRDefault="00B37352">
            <w:r w:rsidRPr="00A91E0E">
              <w:t>AMSTAR I</w:t>
            </w:r>
            <w:r>
              <w:t>I</w:t>
            </w:r>
          </w:p>
        </w:tc>
        <w:tc>
          <w:tcPr>
            <w:tcW w:w="8369" w:type="dxa"/>
          </w:tcPr>
          <w:p w14:paraId="38A287B5" w14:textId="1E819F88" w:rsidR="00B37352" w:rsidRDefault="00B37352">
            <w:r>
              <w:t xml:space="preserve">A </w:t>
            </w:r>
            <w:proofErr w:type="spellStart"/>
            <w:r>
              <w:t>MeaSurement</w:t>
            </w:r>
            <w:proofErr w:type="spellEnd"/>
            <w:r>
              <w:t xml:space="preserve"> Tool to Assess S</w:t>
            </w:r>
            <w:r w:rsidRPr="00A91E0E">
              <w:t>ystematic Reviews II</w:t>
            </w:r>
          </w:p>
        </w:tc>
      </w:tr>
      <w:tr w:rsidR="00B37352" w14:paraId="0CEA05F0" w14:textId="77777777" w:rsidTr="00153946">
        <w:tc>
          <w:tcPr>
            <w:tcW w:w="1559" w:type="dxa"/>
          </w:tcPr>
          <w:p w14:paraId="15A10FFF" w14:textId="77777777" w:rsidR="00B37352" w:rsidRPr="00A91E0E" w:rsidRDefault="00B37352">
            <w:r>
              <w:t>AR</w:t>
            </w:r>
          </w:p>
        </w:tc>
        <w:tc>
          <w:tcPr>
            <w:tcW w:w="8369" w:type="dxa"/>
          </w:tcPr>
          <w:p w14:paraId="23158DB4" w14:textId="100EE0F9" w:rsidR="00B37352" w:rsidRDefault="00B37352">
            <w:r>
              <w:t xml:space="preserve">Average requirement: </w:t>
            </w:r>
            <w:r w:rsidRPr="00A53CDE">
              <w:t>the level of (nutrient) intake that is adequate for half of the people in a population group, given a normal distribution of requirement</w:t>
            </w:r>
            <w:r w:rsidR="00F73E65">
              <w:rPr>
                <w:noProof/>
              </w:rPr>
              <w:t xml:space="preserve"> </w:t>
            </w:r>
            <w:r w:rsidR="00F73E65">
              <w:rPr>
                <w:noProof/>
              </w:rPr>
              <w:fldChar w:fldCharType="begin"/>
            </w:r>
            <w:r w:rsidR="00FD5765">
              <w:rPr>
                <w:noProof/>
              </w:rPr>
              <w:instrText xml:space="preserve"> ADDIN EN.CITE &lt;EndNote&gt;&lt;Cite&gt;&lt;Author&gt;EFSA Panel on Dietetic Products Nutrition and Allergies&lt;/Author&gt;&lt;Year&gt;2010&lt;/Year&gt;&lt;RecNum&gt;80&lt;/RecNum&gt;&lt;DisplayText&gt;(EFSA Panel on Dietetic Products Nutrition and Allergies 2010)&lt;/DisplayText&gt;&lt;record&gt;&lt;rec-number&gt;80&lt;/rec-number&gt;&lt;foreign-keys&gt;&lt;key app="EN" db-id="zxfaevvrgpsxebez5ec5vspfe2av5dtxt9xx" timestamp="1754957765"&gt;80&lt;/key&gt;&lt;/foreign-keys&gt;&lt;ref-type name="Journal Article"&gt;17&lt;/ref-type&gt;&lt;contributors&gt;&lt;authors&gt;&lt;author&gt;EFSA Panel on Dietetic Products Nutrition and Allergies,&lt;/author&gt;&lt;/authors&gt;&lt;/contributors&gt;&lt;titles&gt;&lt;title&gt;Scientific Opinion on principles for deriving and applying Dietary Reference Values&lt;/title&gt;&lt;secondary-title&gt;EFSA Journal&lt;/secondary-title&gt;&lt;/titles&gt;&lt;periodical&gt;&lt;full-title&gt;EFSA Journal&lt;/full-title&gt;&lt;/periodical&gt;&lt;pages&gt;1458&lt;/pages&gt;&lt;volume&gt;8&lt;/volume&gt;&lt;number&gt;3&lt;/number&gt;&lt;dates&gt;&lt;year&gt;2010&lt;/year&gt;&lt;/dates&gt;&lt;isbn&gt;1831-4732&lt;/isbn&gt;&lt;urls&gt;&lt;related-urls&gt;&lt;url&gt;https://efsa.onlinelibrary.wiley.com/doi/abs/10.2903/j.efsa.2010.1458&lt;/url&gt;&lt;/related-urls&gt;&lt;/urls&gt;&lt;electronic-resource-num&gt;10.2903/j.efsa.2010.1458&lt;/electronic-resource-num&gt;&lt;/record&gt;&lt;/Cite&gt;&lt;/EndNote&gt;</w:instrText>
            </w:r>
            <w:r w:rsidR="00F73E65">
              <w:rPr>
                <w:noProof/>
              </w:rPr>
              <w:fldChar w:fldCharType="separate"/>
            </w:r>
            <w:r w:rsidR="00FD5765">
              <w:rPr>
                <w:noProof/>
              </w:rPr>
              <w:t>(EFSA Panel on Dietetic Products Nutrition and Allergies 2010)</w:t>
            </w:r>
            <w:r w:rsidR="00F73E65">
              <w:rPr>
                <w:noProof/>
              </w:rPr>
              <w:fldChar w:fldCharType="end"/>
            </w:r>
          </w:p>
        </w:tc>
      </w:tr>
      <w:tr w:rsidR="00B37352" w14:paraId="566D5CDE" w14:textId="77777777" w:rsidTr="00153946">
        <w:tc>
          <w:tcPr>
            <w:tcW w:w="1559" w:type="dxa"/>
          </w:tcPr>
          <w:p w14:paraId="08F28FF9" w14:textId="77777777" w:rsidR="00B37352" w:rsidRDefault="00B37352">
            <w:r w:rsidRPr="00A91E0E">
              <w:t>BSA</w:t>
            </w:r>
          </w:p>
        </w:tc>
        <w:tc>
          <w:tcPr>
            <w:tcW w:w="8369" w:type="dxa"/>
          </w:tcPr>
          <w:p w14:paraId="33E43FB9" w14:textId="5F1B7347" w:rsidR="00B37352" w:rsidRDefault="00B37352">
            <w:r>
              <w:t>B</w:t>
            </w:r>
            <w:r w:rsidRPr="00A91E0E">
              <w:t>ody surface area</w:t>
            </w:r>
          </w:p>
        </w:tc>
      </w:tr>
      <w:tr w:rsidR="00B37352" w14:paraId="6E95D682" w14:textId="77777777" w:rsidTr="00153946">
        <w:tc>
          <w:tcPr>
            <w:tcW w:w="1559" w:type="dxa"/>
          </w:tcPr>
          <w:p w14:paraId="3C90A77C" w14:textId="0E5D2140" w:rsidR="00B37352" w:rsidRDefault="00B027A4">
            <w:r>
              <w:t>Department</w:t>
            </w:r>
          </w:p>
        </w:tc>
        <w:tc>
          <w:tcPr>
            <w:tcW w:w="8369" w:type="dxa"/>
          </w:tcPr>
          <w:p w14:paraId="1244A5B5" w14:textId="1BEA2119" w:rsidR="00B37352" w:rsidRDefault="00B5025F" w:rsidP="008336D2">
            <w:r>
              <w:t xml:space="preserve">Australian </w:t>
            </w:r>
            <w:r w:rsidR="003B015F">
              <w:t xml:space="preserve">Government </w:t>
            </w:r>
            <w:r w:rsidR="00B37352" w:rsidRPr="00A91E0E">
              <w:t>Department of Health</w:t>
            </w:r>
            <w:r w:rsidR="00F821A1">
              <w:t>, Disability and Age</w:t>
            </w:r>
            <w:r w:rsidR="00985057">
              <w:t>ing</w:t>
            </w:r>
          </w:p>
        </w:tc>
      </w:tr>
      <w:tr w:rsidR="005838F5" w14:paraId="4758D09A" w14:textId="77777777" w:rsidTr="00153946">
        <w:tc>
          <w:tcPr>
            <w:tcW w:w="1559" w:type="dxa"/>
          </w:tcPr>
          <w:p w14:paraId="4C0F8501" w14:textId="17D7F531" w:rsidR="005838F5" w:rsidRPr="00A91E0E" w:rsidDel="008336D2" w:rsidRDefault="005838F5">
            <w:r>
              <w:t>CDRR</w:t>
            </w:r>
          </w:p>
        </w:tc>
        <w:tc>
          <w:tcPr>
            <w:tcW w:w="8369" w:type="dxa"/>
          </w:tcPr>
          <w:p w14:paraId="0A6E5FAB" w14:textId="1B9FEBC9" w:rsidR="005838F5" w:rsidRDefault="005838F5">
            <w:r>
              <w:t>Chronic Disease Risk Reduction</w:t>
            </w:r>
            <w:r w:rsidR="007C2100">
              <w:t xml:space="preserve">: </w:t>
            </w:r>
            <w:r w:rsidR="007C2100" w:rsidRPr="00E423E4">
              <w:t xml:space="preserve">lowest level of intake for which there </w:t>
            </w:r>
            <w:r w:rsidR="007C2100">
              <w:t>is</w:t>
            </w:r>
            <w:r w:rsidR="007C2100" w:rsidRPr="00E423E4">
              <w:t xml:space="preserve"> sufficient strength of evidence to characteri</w:t>
            </w:r>
            <w:r w:rsidR="007C2100">
              <w:t>s</w:t>
            </w:r>
            <w:r w:rsidR="007C2100" w:rsidRPr="00E423E4">
              <w:t>e a chronic disease risk reduction within an apparently healthy population</w:t>
            </w:r>
          </w:p>
        </w:tc>
      </w:tr>
      <w:tr w:rsidR="00B37352" w14:paraId="054759B0" w14:textId="77777777" w:rsidTr="00153946">
        <w:tc>
          <w:tcPr>
            <w:tcW w:w="1559" w:type="dxa"/>
          </w:tcPr>
          <w:p w14:paraId="05533D8E" w14:textId="77777777" w:rsidR="00B37352" w:rsidRDefault="00B37352">
            <w:r w:rsidRPr="00A91E0E">
              <w:t>EAR</w:t>
            </w:r>
          </w:p>
        </w:tc>
        <w:tc>
          <w:tcPr>
            <w:tcW w:w="8369" w:type="dxa"/>
          </w:tcPr>
          <w:p w14:paraId="25CB59F9" w14:textId="50B6DDF2" w:rsidR="00B37352" w:rsidRDefault="00B37352">
            <w:r>
              <w:t>Estimated Average Requirement:</w:t>
            </w:r>
            <w:r w:rsidRPr="00A91E0E">
              <w:t xml:space="preserve"> A daily nutrient level estimated to meet the requirements of half the healthy individuals in a sex</w:t>
            </w:r>
            <w:r>
              <w:rPr>
                <w:rStyle w:val="FootnoteReference"/>
              </w:rPr>
              <w:footnoteReference w:id="10"/>
            </w:r>
            <w:r w:rsidRPr="00A91E0E">
              <w:t xml:space="preserve"> and </w:t>
            </w:r>
            <w:proofErr w:type="gramStart"/>
            <w:r w:rsidRPr="00A91E0E">
              <w:t>particular life</w:t>
            </w:r>
            <w:proofErr w:type="gramEnd"/>
            <w:r w:rsidRPr="00A91E0E">
              <w:t xml:space="preserve"> stage group. This also </w:t>
            </w:r>
            <w:proofErr w:type="gramStart"/>
            <w:r w:rsidRPr="00A91E0E">
              <w:t>takes into account</w:t>
            </w:r>
            <w:proofErr w:type="gramEnd"/>
            <w:r w:rsidRPr="00A91E0E">
              <w:t xml:space="preserve"> height, weight and physical activity levels.</w:t>
            </w:r>
          </w:p>
        </w:tc>
      </w:tr>
      <w:tr w:rsidR="00563B87" w14:paraId="45E3EDCD" w14:textId="77777777" w:rsidTr="00153946">
        <w:tc>
          <w:tcPr>
            <w:tcW w:w="1559" w:type="dxa"/>
          </w:tcPr>
          <w:p w14:paraId="7CCF78BC" w14:textId="6907D2CB" w:rsidR="00563B87" w:rsidRPr="00A91E0E" w:rsidRDefault="00563B87" w:rsidP="00563B87">
            <w:r>
              <w:t>EFSA</w:t>
            </w:r>
          </w:p>
        </w:tc>
        <w:tc>
          <w:tcPr>
            <w:tcW w:w="8369" w:type="dxa"/>
          </w:tcPr>
          <w:p w14:paraId="3E57B5BD" w14:textId="6C2EA862" w:rsidR="00563B87" w:rsidRDefault="00563B87" w:rsidP="00563B87">
            <w:r>
              <w:t>European Food Safety Authority</w:t>
            </w:r>
          </w:p>
        </w:tc>
      </w:tr>
      <w:tr w:rsidR="00B37352" w14:paraId="64047CA8" w14:textId="77777777" w:rsidTr="00153946">
        <w:tc>
          <w:tcPr>
            <w:tcW w:w="1559" w:type="dxa"/>
          </w:tcPr>
          <w:p w14:paraId="1D485935" w14:textId="5BA88A05" w:rsidR="00B37352" w:rsidRDefault="00B37352">
            <w:r w:rsidRPr="00A91E0E">
              <w:t>EURRECA</w:t>
            </w:r>
          </w:p>
        </w:tc>
        <w:tc>
          <w:tcPr>
            <w:tcW w:w="8369" w:type="dxa"/>
          </w:tcPr>
          <w:p w14:paraId="5004D24C" w14:textId="577479EC" w:rsidR="00B37352" w:rsidRDefault="00B37352">
            <w:proofErr w:type="spellStart"/>
            <w:r>
              <w:t>EURopean</w:t>
            </w:r>
            <w:proofErr w:type="spellEnd"/>
            <w:r>
              <w:t xml:space="preserve"> micronutrient </w:t>
            </w:r>
            <w:proofErr w:type="spellStart"/>
            <w:r>
              <w:t>RECommendations</w:t>
            </w:r>
            <w:proofErr w:type="spellEnd"/>
            <w:r>
              <w:t xml:space="preserve"> Aligned: </w:t>
            </w:r>
            <w:r w:rsidRPr="00A91E0E">
              <w:t>Evidence-based methodology for deriving micronutrient recommendations</w:t>
            </w:r>
          </w:p>
        </w:tc>
      </w:tr>
      <w:tr w:rsidR="004F5192" w14:paraId="7EFAEB34" w14:textId="77777777" w:rsidTr="00153946">
        <w:tc>
          <w:tcPr>
            <w:tcW w:w="1559" w:type="dxa"/>
          </w:tcPr>
          <w:p w14:paraId="26F2E0E5" w14:textId="33591B53" w:rsidR="004F5192" w:rsidRDefault="00D50E65">
            <w:r>
              <w:t>e</w:t>
            </w:r>
            <w:r w:rsidR="004F5192">
              <w:t>xtrapolation</w:t>
            </w:r>
          </w:p>
        </w:tc>
        <w:tc>
          <w:tcPr>
            <w:tcW w:w="8369" w:type="dxa"/>
          </w:tcPr>
          <w:p w14:paraId="4EAA869C" w14:textId="3DEFB933" w:rsidR="004F5192" w:rsidRPr="0058057F" w:rsidRDefault="00C31ABE">
            <w:r>
              <w:t>S</w:t>
            </w:r>
            <w:r w:rsidRPr="00C31ABE">
              <w:t xml:space="preserve">caling the </w:t>
            </w:r>
            <w:r>
              <w:t>NR</w:t>
            </w:r>
            <w:r w:rsidRPr="00C31ABE">
              <w:t>Vs for younger or older age groups either upwards or downwards.</w:t>
            </w:r>
          </w:p>
        </w:tc>
      </w:tr>
      <w:tr w:rsidR="009018FA" w14:paraId="2420CBB5" w14:textId="77777777" w:rsidTr="00153946">
        <w:tc>
          <w:tcPr>
            <w:tcW w:w="1559" w:type="dxa"/>
          </w:tcPr>
          <w:p w14:paraId="1B6D9D0A" w14:textId="1BF452A2" w:rsidR="009018FA" w:rsidRPr="00A91E0E" w:rsidRDefault="00D50E65">
            <w:r>
              <w:lastRenderedPageBreak/>
              <w:t>f</w:t>
            </w:r>
            <w:r w:rsidR="009018FA">
              <w:t>actorial method</w:t>
            </w:r>
          </w:p>
        </w:tc>
        <w:tc>
          <w:tcPr>
            <w:tcW w:w="8369" w:type="dxa"/>
          </w:tcPr>
          <w:p w14:paraId="572E3E81" w14:textId="6241F800" w:rsidR="009018FA" w:rsidRDefault="00C31ABE">
            <w:r>
              <w:t>D</w:t>
            </w:r>
            <w:r w:rsidR="0058057F" w:rsidRPr="0058057F">
              <w:t>erive</w:t>
            </w:r>
            <w:r w:rsidR="0058057F">
              <w:t>s</w:t>
            </w:r>
            <w:r w:rsidR="0058057F" w:rsidRPr="0058057F">
              <w:t xml:space="preserve"> requirements from </w:t>
            </w:r>
            <w:r w:rsidR="0058057F">
              <w:t>the</w:t>
            </w:r>
            <w:r w:rsidR="0058057F" w:rsidRPr="0058057F">
              <w:t xml:space="preserve"> sum</w:t>
            </w:r>
            <w:r w:rsidR="0058057F">
              <w:t xml:space="preserve"> of </w:t>
            </w:r>
            <w:r w:rsidR="008D2FC3">
              <w:t>estimates of</w:t>
            </w:r>
            <w:r w:rsidR="00243E90">
              <w:t xml:space="preserve"> nutrients </w:t>
            </w:r>
            <w:r w:rsidR="00BC4446">
              <w:t xml:space="preserve">intake for </w:t>
            </w:r>
            <w:r w:rsidR="0058057F" w:rsidRPr="0058057F">
              <w:t>physiological maintenance and growth and nutrients lost from the body</w:t>
            </w:r>
            <w:r w:rsidR="00BC4446">
              <w:t xml:space="preserve"> in </w:t>
            </w:r>
            <w:r w:rsidR="004F5192">
              <w:t>faeces, urine, sweat and respiration</w:t>
            </w:r>
          </w:p>
        </w:tc>
      </w:tr>
      <w:tr w:rsidR="00D46F81" w14:paraId="75CB92EB" w14:textId="77777777" w:rsidTr="00153946">
        <w:tc>
          <w:tcPr>
            <w:tcW w:w="1559" w:type="dxa"/>
          </w:tcPr>
          <w:p w14:paraId="6BB89DA0" w14:textId="7707B038" w:rsidR="00D46F81" w:rsidRPr="00A91E0E" w:rsidRDefault="00D46F81">
            <w:r>
              <w:t>FAO</w:t>
            </w:r>
          </w:p>
        </w:tc>
        <w:tc>
          <w:tcPr>
            <w:tcW w:w="8369" w:type="dxa"/>
          </w:tcPr>
          <w:p w14:paraId="2483F7F1" w14:textId="6CBF9587" w:rsidR="00D46F81" w:rsidRDefault="00877E78">
            <w:r>
              <w:t>Food and Agriculture Organization of the United Nations</w:t>
            </w:r>
          </w:p>
        </w:tc>
      </w:tr>
      <w:tr w:rsidR="00B37352" w14:paraId="4FED0373" w14:textId="77777777" w:rsidTr="00153946">
        <w:tc>
          <w:tcPr>
            <w:tcW w:w="1559" w:type="dxa"/>
          </w:tcPr>
          <w:p w14:paraId="1B2F2B13" w14:textId="77777777" w:rsidR="00B37352" w:rsidRDefault="00B37352">
            <w:r w:rsidRPr="00A91E0E">
              <w:t>GRADE</w:t>
            </w:r>
          </w:p>
        </w:tc>
        <w:tc>
          <w:tcPr>
            <w:tcW w:w="8369" w:type="dxa"/>
          </w:tcPr>
          <w:p w14:paraId="00F19BA7" w14:textId="48B88509" w:rsidR="00B37352" w:rsidRDefault="00B37352">
            <w:r w:rsidRPr="00A91E0E">
              <w:t>Grading of Recommendations, Assessmen</w:t>
            </w:r>
            <w:r>
              <w:t xml:space="preserve">t, Development and Evaluation: </w:t>
            </w:r>
            <w:r w:rsidRPr="00A91E0E">
              <w:t>an internationally recognised approach to rate the quality of evidence and the strength of recommendations and is considered the standard in guideline development</w:t>
            </w:r>
          </w:p>
        </w:tc>
      </w:tr>
      <w:tr w:rsidR="00C31ABE" w14:paraId="7859F7C8" w14:textId="77777777" w:rsidTr="00153946">
        <w:tc>
          <w:tcPr>
            <w:tcW w:w="1559" w:type="dxa"/>
          </w:tcPr>
          <w:p w14:paraId="12C891B8" w14:textId="1D71D810" w:rsidR="00C31ABE" w:rsidRDefault="00D50E65">
            <w:r>
              <w:t>i</w:t>
            </w:r>
            <w:r w:rsidR="00C31ABE">
              <w:t>nterpol</w:t>
            </w:r>
            <w:r w:rsidR="00582FC6">
              <w:t>ation</w:t>
            </w:r>
          </w:p>
        </w:tc>
        <w:tc>
          <w:tcPr>
            <w:tcW w:w="8369" w:type="dxa"/>
          </w:tcPr>
          <w:p w14:paraId="338B0C0C" w14:textId="201B9EA0" w:rsidR="00C31ABE" w:rsidRDefault="00582FC6">
            <w:r>
              <w:t>D</w:t>
            </w:r>
            <w:r w:rsidRPr="00582FC6">
              <w:t xml:space="preserve">erive </w:t>
            </w:r>
            <w:r w:rsidR="000507F9">
              <w:t>N</w:t>
            </w:r>
            <w:r w:rsidRPr="00582FC6">
              <w:t xml:space="preserve">RVs for an intervening group or groups when the </w:t>
            </w:r>
            <w:r w:rsidR="000507F9">
              <w:t>N</w:t>
            </w:r>
            <w:r w:rsidRPr="00582FC6">
              <w:t xml:space="preserve">RVs for the two groups on either side are known. </w:t>
            </w:r>
            <w:r w:rsidR="000507F9">
              <w:t>T</w:t>
            </w:r>
            <w:r w:rsidRPr="00582FC6">
              <w:t xml:space="preserve">he </w:t>
            </w:r>
            <w:r w:rsidR="000507F9">
              <w:t>N</w:t>
            </w:r>
            <w:r w:rsidRPr="00582FC6">
              <w:t xml:space="preserve">RVs for the intervening group or groups are estimated and smoothed between the </w:t>
            </w:r>
            <w:r w:rsidR="000507F9">
              <w:t>N</w:t>
            </w:r>
            <w:r w:rsidRPr="00582FC6">
              <w:t>RVs of the two other groups using interpolation.</w:t>
            </w:r>
          </w:p>
        </w:tc>
      </w:tr>
      <w:tr w:rsidR="00B37352" w14:paraId="5EFC0222" w14:textId="77777777" w:rsidTr="00153946">
        <w:tc>
          <w:tcPr>
            <w:tcW w:w="1559" w:type="dxa"/>
          </w:tcPr>
          <w:p w14:paraId="52AA2BF1" w14:textId="77777777" w:rsidR="00B37352" w:rsidRDefault="00B37352">
            <w:r>
              <w:t>IOM</w:t>
            </w:r>
          </w:p>
        </w:tc>
        <w:tc>
          <w:tcPr>
            <w:tcW w:w="8369" w:type="dxa"/>
          </w:tcPr>
          <w:p w14:paraId="61824E20" w14:textId="60939FE8" w:rsidR="00B37352" w:rsidRDefault="00B37352">
            <w:r>
              <w:t>Institute of Medicine:</w:t>
            </w:r>
            <w:r w:rsidRPr="00A91E0E">
              <w:rPr>
                <w:rFonts w:cs="Arial"/>
                <w:color w:val="222222"/>
                <w:shd w:val="clear" w:color="auto" w:fill="FFFFFF"/>
              </w:rPr>
              <w:t xml:space="preserve"> a component of the US National Academy of Sciences that works outside the framework of government to provide evidence-based research and recommendations for public health and science policy.</w:t>
            </w:r>
          </w:p>
        </w:tc>
      </w:tr>
      <w:tr w:rsidR="00D50E65" w14:paraId="207C261B" w14:textId="77777777" w:rsidTr="00153946">
        <w:tc>
          <w:tcPr>
            <w:tcW w:w="1559" w:type="dxa"/>
          </w:tcPr>
          <w:p w14:paraId="4F8628F3" w14:textId="3D08CD7D" w:rsidR="00D50E65" w:rsidRDefault="00D50E65">
            <w:r>
              <w:t>isometric</w:t>
            </w:r>
          </w:p>
        </w:tc>
        <w:tc>
          <w:tcPr>
            <w:tcW w:w="8369" w:type="dxa"/>
          </w:tcPr>
          <w:p w14:paraId="68DDCFDC" w14:textId="6B762901" w:rsidR="00D50E65" w:rsidRDefault="00740D01">
            <w:r w:rsidRPr="00740D01">
              <w:tab/>
              <w:t>isometric scaling assumes that proportional relationships – relative to body weight - are preserved as size changes during growth or over time</w:t>
            </w:r>
          </w:p>
        </w:tc>
      </w:tr>
      <w:tr w:rsidR="00B37352" w14:paraId="2E845BB1" w14:textId="77777777" w:rsidTr="00153946">
        <w:tc>
          <w:tcPr>
            <w:tcW w:w="1559" w:type="dxa"/>
          </w:tcPr>
          <w:p w14:paraId="04EAAA65" w14:textId="77777777" w:rsidR="00B37352" w:rsidRDefault="00B37352">
            <w:r w:rsidRPr="00A91E0E">
              <w:t>LOAEL</w:t>
            </w:r>
          </w:p>
        </w:tc>
        <w:tc>
          <w:tcPr>
            <w:tcW w:w="8369" w:type="dxa"/>
          </w:tcPr>
          <w:p w14:paraId="0A2AFEF9" w14:textId="529DB8C1" w:rsidR="00B37352" w:rsidRDefault="00B37352">
            <w:r w:rsidRPr="00A91E0E">
              <w:t>Lowest</w:t>
            </w:r>
            <w:r>
              <w:t xml:space="preserve"> Observed Adverse Effect level: </w:t>
            </w:r>
            <w:r w:rsidRPr="00A91E0E">
              <w:t>Lowest dose at which there is a measurable adverse effect from a test substance in a test subject or population.</w:t>
            </w:r>
          </w:p>
        </w:tc>
      </w:tr>
      <w:tr w:rsidR="0002312F" w14:paraId="0B7259EC" w14:textId="77777777" w:rsidTr="00153946">
        <w:tc>
          <w:tcPr>
            <w:tcW w:w="1559" w:type="dxa"/>
          </w:tcPr>
          <w:p w14:paraId="4B4776BF" w14:textId="03D119F3" w:rsidR="0002312F" w:rsidRDefault="0002312F" w:rsidP="00563B87">
            <w:r>
              <w:t>MD</w:t>
            </w:r>
          </w:p>
        </w:tc>
        <w:tc>
          <w:tcPr>
            <w:tcW w:w="8369" w:type="dxa"/>
          </w:tcPr>
          <w:p w14:paraId="0FA36BFC" w14:textId="452BF54C" w:rsidR="0002312F" w:rsidRPr="001E21A7" w:rsidRDefault="0002312F" w:rsidP="00563B87">
            <w:r w:rsidRPr="006D4935">
              <w:t xml:space="preserve">mean difference </w:t>
            </w:r>
          </w:p>
        </w:tc>
      </w:tr>
      <w:tr w:rsidR="00B37352" w14:paraId="145B3659" w14:textId="77777777" w:rsidTr="00153946">
        <w:tc>
          <w:tcPr>
            <w:tcW w:w="1559" w:type="dxa"/>
          </w:tcPr>
          <w:p w14:paraId="26BE68D9" w14:textId="77777777" w:rsidR="00B37352" w:rsidRDefault="00B37352">
            <w:r>
              <w:rPr>
                <w:rFonts w:cs="Times New Roman"/>
              </w:rPr>
              <w:t>Modelling System</w:t>
            </w:r>
          </w:p>
        </w:tc>
        <w:tc>
          <w:tcPr>
            <w:tcW w:w="8369" w:type="dxa"/>
          </w:tcPr>
          <w:p w14:paraId="4A28A553" w14:textId="4255CCA1" w:rsidR="00B37352" w:rsidRDefault="00B37352">
            <w:r w:rsidRPr="001E21A7">
              <w:rPr>
                <w:rFonts w:cs="Times New Roman"/>
              </w:rPr>
              <w:t xml:space="preserve">The </w:t>
            </w:r>
            <w:r>
              <w:rPr>
                <w:rFonts w:cs="Times New Roman"/>
              </w:rPr>
              <w:t xml:space="preserve">document, A </w:t>
            </w:r>
            <w:r w:rsidRPr="001E21A7">
              <w:rPr>
                <w:rFonts w:cs="Times New Roman"/>
              </w:rPr>
              <w:t>Modelling System</w:t>
            </w:r>
            <w:r>
              <w:rPr>
                <w:rFonts w:cs="Times New Roman"/>
              </w:rPr>
              <w:t xml:space="preserve"> to inform the revision of the Australian Guide to Healthy Eating, was</w:t>
            </w:r>
            <w:r w:rsidRPr="001E21A7">
              <w:rPr>
                <w:rFonts w:cs="Times New Roman"/>
              </w:rPr>
              <w:t xml:space="preserve"> developed in 2011</w:t>
            </w:r>
            <w:r>
              <w:rPr>
                <w:rFonts w:cs="Times New Roman"/>
              </w:rPr>
              <w:t xml:space="preserve"> and</w:t>
            </w:r>
            <w:r w:rsidRPr="001E21A7">
              <w:rPr>
                <w:rFonts w:cs="Times New Roman"/>
              </w:rPr>
              <w:t xml:space="preserve"> translates selected </w:t>
            </w:r>
            <w:r w:rsidRPr="000D4FB7">
              <w:rPr>
                <w:rFonts w:cs="Times New Roman"/>
              </w:rPr>
              <w:t>NRVs and healthy dietary patterns into dietary models, known as Foundation Diets. It describes</w:t>
            </w:r>
            <w:r w:rsidRPr="001E21A7">
              <w:rPr>
                <w:rFonts w:cs="Times New Roman"/>
              </w:rPr>
              <w:t xml:space="preserve"> the foods required to support positive health outcomes and the quantities needed to meet estimated nutrient requirements of groups of Australian individuals at different ages, sex, body size and activity. It also takes into consideration social and food cultures, promotion of health and wellbeing and the Australian food system while applying the best available scientific evidence. The nutrient composition of each Foundation Diet type – omnivore, rice-based, pasta-style and </w:t>
            </w:r>
            <w:proofErr w:type="spellStart"/>
            <w:r w:rsidRPr="001E21A7">
              <w:rPr>
                <w:rFonts w:cs="Times New Roman"/>
              </w:rPr>
              <w:t>lacto-ovo</w:t>
            </w:r>
            <w:proofErr w:type="spellEnd"/>
            <w:r w:rsidRPr="001E21A7">
              <w:rPr>
                <w:rFonts w:cs="Times New Roman"/>
              </w:rPr>
              <w:t xml:space="preserve"> vegetarian – is provided</w:t>
            </w:r>
            <w:r>
              <w:rPr>
                <w:rFonts w:cs="Times New Roman"/>
              </w:rPr>
              <w:t xml:space="preserve"> </w:t>
            </w:r>
            <w:r w:rsidR="003336A7">
              <w:fldChar w:fldCharType="begin"/>
            </w:r>
            <w:r w:rsidR="00272AC4">
              <w:instrText xml:space="preserve"> ADDIN EN.CITE &lt;EndNote&gt;&lt;Cite&gt;&lt;Author&gt;NHMRC&lt;/Author&gt;&lt;Year&gt;2011&lt;/Year&gt;&lt;RecNum&gt;48&lt;/RecNum&gt;&lt;DisplayText&gt;(NHMRC 2011)&lt;/DisplayText&gt;&lt;record&gt;&lt;rec-number&gt;48&lt;/rec-number&gt;&lt;foreign-keys&gt;&lt;key app="EN" db-id="zxfaevvrgpsxebez5ec5vspfe2av5dtxt9xx" timestamp="1754957726"&gt;48&lt;/key&gt;&lt;/foreign-keys&gt;&lt;ref-type name="Electronic Book"&gt;44&lt;/ref-type&gt;&lt;contributors&gt;&lt;authors&gt;&lt;author&gt;NHMRC,&lt;/author&gt;&lt;/authors&gt;&lt;/contributors&gt;&lt;titles&gt;&lt;title&gt;A modelling system to inform the revision of the Australian Guide to Healthy Eating&lt;/title&gt;&lt;/titles&gt;&lt;dates&gt;&lt;year&gt;2011&lt;/year&gt;&lt;/dates&gt;&lt;pub-location&gt;Canberra&lt;/pub-location&gt;&lt;urls&gt;&lt;related-urls&gt;&lt;url&gt;date accessed 18 August 2025, https://www.eatforhealth.gov.au/sites/default/files/files/the_guidelines/n55c_dietary_guidelines_food_modelling.pdf&lt;/url&gt;&lt;/related-urls&gt;&lt;/urls&gt;&lt;/record&gt;&lt;/Cite&gt;&lt;/EndNote&gt;</w:instrText>
            </w:r>
            <w:r w:rsidR="003336A7">
              <w:fldChar w:fldCharType="separate"/>
            </w:r>
            <w:r w:rsidR="007607BA">
              <w:rPr>
                <w:noProof/>
              </w:rPr>
              <w:t>(NHMRC 2011)</w:t>
            </w:r>
            <w:r w:rsidR="003336A7">
              <w:fldChar w:fldCharType="end"/>
            </w:r>
          </w:p>
        </w:tc>
      </w:tr>
      <w:tr w:rsidR="00563B87" w:rsidRPr="001E21A7" w14:paraId="01CF89D0" w14:textId="77777777" w:rsidTr="00153946">
        <w:tc>
          <w:tcPr>
            <w:tcW w:w="1559" w:type="dxa"/>
          </w:tcPr>
          <w:p w14:paraId="2977B2DC" w14:textId="397E694F" w:rsidR="00563B87" w:rsidRPr="00A91E0E" w:rsidRDefault="00563B87" w:rsidP="00563B87">
            <w:r>
              <w:t>NASEM</w:t>
            </w:r>
          </w:p>
        </w:tc>
        <w:tc>
          <w:tcPr>
            <w:tcW w:w="8369" w:type="dxa"/>
          </w:tcPr>
          <w:p w14:paraId="70157251" w14:textId="141A4672" w:rsidR="00563B87" w:rsidRPr="00A91E0E" w:rsidRDefault="00563B87" w:rsidP="00563B87">
            <w:r>
              <w:t>United States National Academy of Science Engineering and Medicine</w:t>
            </w:r>
          </w:p>
        </w:tc>
      </w:tr>
      <w:tr w:rsidR="00B37352" w:rsidRPr="001E21A7" w14:paraId="07578157" w14:textId="77777777" w:rsidTr="00153946">
        <w:tc>
          <w:tcPr>
            <w:tcW w:w="1559" w:type="dxa"/>
          </w:tcPr>
          <w:p w14:paraId="0A40BBF8" w14:textId="77777777" w:rsidR="00B37352" w:rsidRDefault="00B37352">
            <w:pPr>
              <w:rPr>
                <w:rFonts w:cs="Times New Roman"/>
              </w:rPr>
            </w:pPr>
            <w:r w:rsidRPr="00A91E0E">
              <w:t>NHMRC</w:t>
            </w:r>
          </w:p>
        </w:tc>
        <w:tc>
          <w:tcPr>
            <w:tcW w:w="8369" w:type="dxa"/>
          </w:tcPr>
          <w:p w14:paraId="3CEA65FD" w14:textId="455B7528" w:rsidR="00B37352" w:rsidRPr="001E21A7" w:rsidRDefault="00B37352">
            <w:pPr>
              <w:rPr>
                <w:rFonts w:cs="Times New Roman"/>
              </w:rPr>
            </w:pPr>
            <w:r w:rsidRPr="00A91E0E">
              <w:t>National Healt</w:t>
            </w:r>
            <w:r>
              <w:t>h and Medical Research Council:</w:t>
            </w:r>
            <w:r w:rsidRPr="00A91E0E">
              <w:t xml:space="preserve"> Australia's peak body for supporting health and medical research; for developing health advice for the Australian community, health professionals and governments; and for providing advice on ethical behaviour in health care and in the conduct of health and medical research</w:t>
            </w:r>
          </w:p>
        </w:tc>
      </w:tr>
      <w:tr w:rsidR="00B37352" w14:paraId="20413571" w14:textId="77777777" w:rsidTr="00153946">
        <w:tc>
          <w:tcPr>
            <w:tcW w:w="1559" w:type="dxa"/>
          </w:tcPr>
          <w:p w14:paraId="4309A5B2" w14:textId="77777777" w:rsidR="00B37352" w:rsidRDefault="00B37352">
            <w:r w:rsidRPr="00A91E0E">
              <w:t>NOAEL</w:t>
            </w:r>
          </w:p>
        </w:tc>
        <w:tc>
          <w:tcPr>
            <w:tcW w:w="8369" w:type="dxa"/>
          </w:tcPr>
          <w:p w14:paraId="326D256B" w14:textId="6182D4CB" w:rsidR="00B37352" w:rsidRDefault="00B37352">
            <w:r w:rsidRPr="00A91E0E">
              <w:t>No</w:t>
            </w:r>
            <w:r>
              <w:t xml:space="preserve"> Observed Adverse Effect Level:</w:t>
            </w:r>
            <w:r w:rsidRPr="00A91E0E">
              <w:t xml:space="preserve"> Highest dose at which there is no measurable adverse effect from a test substance in a test subject or population</w:t>
            </w:r>
          </w:p>
        </w:tc>
      </w:tr>
      <w:tr w:rsidR="00B37352" w:rsidRPr="00A91E0E" w14:paraId="536D7C3D" w14:textId="77777777" w:rsidTr="00153946">
        <w:tc>
          <w:tcPr>
            <w:tcW w:w="1559" w:type="dxa"/>
          </w:tcPr>
          <w:p w14:paraId="00ABF30A" w14:textId="77777777" w:rsidR="00B37352" w:rsidRPr="00A91E0E" w:rsidRDefault="00B37352">
            <w:r>
              <w:lastRenderedPageBreak/>
              <w:t>NOS</w:t>
            </w:r>
          </w:p>
        </w:tc>
        <w:tc>
          <w:tcPr>
            <w:tcW w:w="8369" w:type="dxa"/>
          </w:tcPr>
          <w:p w14:paraId="5F9788F1" w14:textId="77777777" w:rsidR="00B37352" w:rsidRPr="00A91E0E" w:rsidRDefault="00B37352">
            <w:r>
              <w:t xml:space="preserve">Newcastle Ottawa Scale. A risk of bias tool used to </w:t>
            </w:r>
            <w:r w:rsidRPr="0065458E">
              <w:t>assess the quality of nonrandomised studies</w:t>
            </w:r>
          </w:p>
        </w:tc>
      </w:tr>
      <w:tr w:rsidR="00B37352" w14:paraId="1A52C3B7" w14:textId="77777777" w:rsidTr="00153946">
        <w:tc>
          <w:tcPr>
            <w:tcW w:w="1559" w:type="dxa"/>
          </w:tcPr>
          <w:p w14:paraId="2D003F6D" w14:textId="77777777" w:rsidR="00B37352" w:rsidRDefault="00B37352">
            <w:r>
              <w:t>NRV</w:t>
            </w:r>
          </w:p>
        </w:tc>
        <w:tc>
          <w:tcPr>
            <w:tcW w:w="8369" w:type="dxa"/>
          </w:tcPr>
          <w:p w14:paraId="4D49912A" w14:textId="6BE93F70" w:rsidR="00B37352" w:rsidRDefault="00B37352">
            <w:r>
              <w:t>Nutrient Reference Values:</w:t>
            </w:r>
            <w:r w:rsidRPr="00A91E0E">
              <w:t xml:space="preserve"> A set of nutritional recommendations, based on current scientific knowledge, used to assess the health status of populations and individuals.</w:t>
            </w:r>
          </w:p>
        </w:tc>
      </w:tr>
      <w:tr w:rsidR="00B37352" w14:paraId="1F7B3D22" w14:textId="77777777" w:rsidTr="00153946">
        <w:tc>
          <w:tcPr>
            <w:tcW w:w="1559" w:type="dxa"/>
          </w:tcPr>
          <w:p w14:paraId="742AF395" w14:textId="76EF2808" w:rsidR="00B37352" w:rsidRDefault="00563B87">
            <w:r w:rsidRPr="00A91E0E">
              <w:t>NZ</w:t>
            </w:r>
            <w:r>
              <w:t xml:space="preserve"> </w:t>
            </w:r>
            <w:proofErr w:type="spellStart"/>
            <w:r>
              <w:t>MInistry</w:t>
            </w:r>
            <w:proofErr w:type="spellEnd"/>
          </w:p>
        </w:tc>
        <w:tc>
          <w:tcPr>
            <w:tcW w:w="8369" w:type="dxa"/>
          </w:tcPr>
          <w:p w14:paraId="6B4DB73B" w14:textId="0B041C35" w:rsidR="00B37352" w:rsidRDefault="00B37352">
            <w:r w:rsidRPr="00A91E0E">
              <w:t>New Zealand Ministry of Health</w:t>
            </w:r>
          </w:p>
        </w:tc>
      </w:tr>
      <w:tr w:rsidR="00B37352" w14:paraId="71D0E7DE" w14:textId="77777777" w:rsidTr="00153946">
        <w:tc>
          <w:tcPr>
            <w:tcW w:w="1559" w:type="dxa"/>
          </w:tcPr>
          <w:p w14:paraId="55E50E01" w14:textId="2FC62720" w:rsidR="00B37352" w:rsidRDefault="00B37352">
            <w:r w:rsidRPr="00A91E0E">
              <w:t>PI</w:t>
            </w:r>
            <w:r w:rsidR="00FE0190">
              <w:t>/E</w:t>
            </w:r>
            <w:r w:rsidRPr="00A91E0E">
              <w:t>COS</w:t>
            </w:r>
          </w:p>
        </w:tc>
        <w:tc>
          <w:tcPr>
            <w:tcW w:w="8369" w:type="dxa"/>
          </w:tcPr>
          <w:p w14:paraId="59F04697" w14:textId="7D8BF983" w:rsidR="00B37352" w:rsidRDefault="00B37352">
            <w:r w:rsidRPr="00A91E0E">
              <w:t xml:space="preserve">Population, </w:t>
            </w:r>
            <w:r w:rsidR="00FE0190">
              <w:t>I</w:t>
            </w:r>
            <w:r w:rsidRPr="00A91E0E">
              <w:t>ntervention</w:t>
            </w:r>
            <w:r w:rsidR="00FE0190">
              <w:t>/Exposure</w:t>
            </w:r>
            <w:r w:rsidRPr="00A91E0E">
              <w:t xml:space="preserve">, </w:t>
            </w:r>
            <w:r w:rsidR="00FE0190">
              <w:t>C</w:t>
            </w:r>
            <w:r w:rsidRPr="00A91E0E">
              <w:t xml:space="preserve">omparator, </w:t>
            </w:r>
            <w:r w:rsidR="00FE0190">
              <w:t>O</w:t>
            </w:r>
            <w:r w:rsidRPr="00A91E0E">
              <w:t xml:space="preserve">utcome, </w:t>
            </w:r>
            <w:r w:rsidR="007E3146">
              <w:t>S</w:t>
            </w:r>
            <w:r w:rsidRPr="00A91E0E">
              <w:t>tudy design</w:t>
            </w:r>
          </w:p>
        </w:tc>
      </w:tr>
      <w:tr w:rsidR="00B37352" w14:paraId="5E21EEB8" w14:textId="77777777" w:rsidTr="00153946">
        <w:tc>
          <w:tcPr>
            <w:tcW w:w="1559" w:type="dxa"/>
          </w:tcPr>
          <w:p w14:paraId="765C27C1" w14:textId="77777777" w:rsidR="00B37352" w:rsidRDefault="00B37352">
            <w:r w:rsidRPr="00A91E0E">
              <w:t>PRISMA</w:t>
            </w:r>
          </w:p>
        </w:tc>
        <w:tc>
          <w:tcPr>
            <w:tcW w:w="8369" w:type="dxa"/>
          </w:tcPr>
          <w:p w14:paraId="437E44CB" w14:textId="5C21376E" w:rsidR="00B37352" w:rsidRDefault="00B37352">
            <w:r w:rsidRPr="00A91E0E">
              <w:t>Preferred Reporting Items for Systematic Reviews and Meta-Analyses</w:t>
            </w:r>
          </w:p>
        </w:tc>
      </w:tr>
      <w:tr w:rsidR="00B37352" w14:paraId="72226FA7" w14:textId="77777777" w:rsidTr="00153946">
        <w:tc>
          <w:tcPr>
            <w:tcW w:w="1559" w:type="dxa"/>
          </w:tcPr>
          <w:p w14:paraId="56CFF3EA" w14:textId="77777777" w:rsidR="00B37352" w:rsidRDefault="00B37352">
            <w:r>
              <w:t>RDI</w:t>
            </w:r>
          </w:p>
        </w:tc>
        <w:tc>
          <w:tcPr>
            <w:tcW w:w="8369" w:type="dxa"/>
          </w:tcPr>
          <w:p w14:paraId="02CD4781" w14:textId="77777777" w:rsidR="00B37352" w:rsidRDefault="00B37352">
            <w:r>
              <w:t>Recommended Dietary Intake:</w:t>
            </w:r>
            <w:r w:rsidRPr="00A91E0E">
              <w:t xml:space="preserve"> The mean daily dietary intake level that is sufficient to meet the nutrient requirements of nearly all (97.5 per cent) healthy individuals of a particular life stage and sex.</w:t>
            </w:r>
          </w:p>
          <w:p w14:paraId="183CDE22" w14:textId="77777777" w:rsidR="00B37352" w:rsidRDefault="00B37352"/>
        </w:tc>
      </w:tr>
      <w:tr w:rsidR="00B37352" w14:paraId="1A4EFB4C" w14:textId="77777777" w:rsidTr="00153946">
        <w:tc>
          <w:tcPr>
            <w:tcW w:w="1559" w:type="dxa"/>
          </w:tcPr>
          <w:p w14:paraId="2E225E71" w14:textId="77777777" w:rsidR="00B37352" w:rsidRDefault="00B37352">
            <w:proofErr w:type="spellStart"/>
            <w:r>
              <w:t>RoB</w:t>
            </w:r>
            <w:proofErr w:type="spellEnd"/>
            <w:r>
              <w:t xml:space="preserve"> 2</w:t>
            </w:r>
          </w:p>
        </w:tc>
        <w:tc>
          <w:tcPr>
            <w:tcW w:w="8369" w:type="dxa"/>
          </w:tcPr>
          <w:p w14:paraId="778DE9CB" w14:textId="77777777" w:rsidR="00B37352" w:rsidRDefault="00B37352">
            <w:r>
              <w:t>R</w:t>
            </w:r>
            <w:r w:rsidRPr="0065458E">
              <w:t>isk-of-bias</w:t>
            </w:r>
            <w:r>
              <w:t xml:space="preserve"> tool. </w:t>
            </w:r>
            <w:r w:rsidRPr="0065458E">
              <w:t>Version 2 of the Cochrane risk-of-bias tool for randomized trials (</w:t>
            </w:r>
            <w:proofErr w:type="spellStart"/>
            <w:r w:rsidRPr="0065458E">
              <w:t>RoB</w:t>
            </w:r>
            <w:proofErr w:type="spellEnd"/>
            <w:r w:rsidRPr="0065458E">
              <w:t xml:space="preserve"> 2) is the recommended tool to assess the risk of bias in randomized trials included in Cochrane Reviews</w:t>
            </w:r>
          </w:p>
        </w:tc>
      </w:tr>
      <w:tr w:rsidR="00563B87" w14:paraId="2501A8FD" w14:textId="77777777" w:rsidTr="00153946">
        <w:tc>
          <w:tcPr>
            <w:tcW w:w="1559" w:type="dxa"/>
          </w:tcPr>
          <w:p w14:paraId="1C5AB223" w14:textId="6CAB7A72" w:rsidR="00563B87" w:rsidRPr="00A91E0E" w:rsidRDefault="00563B87" w:rsidP="00563B87">
            <w:r>
              <w:t>ROBIS</w:t>
            </w:r>
          </w:p>
        </w:tc>
        <w:tc>
          <w:tcPr>
            <w:tcW w:w="8369" w:type="dxa"/>
          </w:tcPr>
          <w:p w14:paraId="5E70B5F7" w14:textId="52B1A748" w:rsidR="00563B87" w:rsidRPr="00A91E0E" w:rsidRDefault="00563B87" w:rsidP="00563B87">
            <w:r>
              <w:t xml:space="preserve">Risk of bias in systematic reviews tool </w:t>
            </w:r>
          </w:p>
        </w:tc>
      </w:tr>
      <w:tr w:rsidR="00B37352" w14:paraId="559868D9" w14:textId="77777777" w:rsidTr="00153946">
        <w:tc>
          <w:tcPr>
            <w:tcW w:w="1559" w:type="dxa"/>
          </w:tcPr>
          <w:p w14:paraId="44417802" w14:textId="7736E458" w:rsidR="00B37352" w:rsidRDefault="00B37352">
            <w:r w:rsidRPr="00A91E0E">
              <w:t>SD</w:t>
            </w:r>
          </w:p>
        </w:tc>
        <w:tc>
          <w:tcPr>
            <w:tcW w:w="8369" w:type="dxa"/>
          </w:tcPr>
          <w:p w14:paraId="1EA5B188" w14:textId="77777777" w:rsidR="00B37352" w:rsidRDefault="00B37352">
            <w:r w:rsidRPr="00A91E0E">
              <w:t>Standard Deviation</w:t>
            </w:r>
          </w:p>
        </w:tc>
      </w:tr>
      <w:tr w:rsidR="00B37352" w14:paraId="16CC6386" w14:textId="77777777" w:rsidTr="00153946">
        <w:tc>
          <w:tcPr>
            <w:tcW w:w="1559" w:type="dxa"/>
          </w:tcPr>
          <w:p w14:paraId="52FB40BF" w14:textId="77777777" w:rsidR="00B37352" w:rsidRDefault="00B37352">
            <w:r>
              <w:t>SDT</w:t>
            </w:r>
          </w:p>
        </w:tc>
        <w:tc>
          <w:tcPr>
            <w:tcW w:w="8369" w:type="dxa"/>
          </w:tcPr>
          <w:p w14:paraId="069ED7E0" w14:textId="353511EF" w:rsidR="00B37352" w:rsidRDefault="00B37352">
            <w:r>
              <w:t>Suggested Dietary Target:</w:t>
            </w:r>
            <w:r w:rsidRPr="00A91E0E">
              <w:t xml:space="preserve"> A daily mean intake from food and beverages for certain nutrients that may help in the prevention of chronic disease.</w:t>
            </w:r>
          </w:p>
        </w:tc>
      </w:tr>
      <w:tr w:rsidR="00B37352" w14:paraId="14C87EC2" w14:textId="77777777" w:rsidTr="00153946">
        <w:tc>
          <w:tcPr>
            <w:tcW w:w="1559" w:type="dxa"/>
          </w:tcPr>
          <w:p w14:paraId="003005AF" w14:textId="3E588804" w:rsidR="00B37352" w:rsidRDefault="00B37352">
            <w:r w:rsidRPr="00A91E0E">
              <w:t>UF</w:t>
            </w:r>
          </w:p>
        </w:tc>
        <w:tc>
          <w:tcPr>
            <w:tcW w:w="8369" w:type="dxa"/>
          </w:tcPr>
          <w:p w14:paraId="4D56C4CB" w14:textId="77777777" w:rsidR="00B37352" w:rsidRDefault="00B37352">
            <w:r w:rsidRPr="00A91E0E">
              <w:t>Uncertainty Factor</w:t>
            </w:r>
          </w:p>
        </w:tc>
      </w:tr>
      <w:tr w:rsidR="00B37352" w14:paraId="3417D487" w14:textId="77777777" w:rsidTr="00153946">
        <w:trPr>
          <w:trHeight w:val="1278"/>
        </w:trPr>
        <w:tc>
          <w:tcPr>
            <w:tcW w:w="1559" w:type="dxa"/>
          </w:tcPr>
          <w:p w14:paraId="6AB3A6A0" w14:textId="77777777" w:rsidR="00B37352" w:rsidRDefault="00B37352">
            <w:r>
              <w:t>UL</w:t>
            </w:r>
          </w:p>
        </w:tc>
        <w:tc>
          <w:tcPr>
            <w:tcW w:w="8369" w:type="dxa"/>
          </w:tcPr>
          <w:p w14:paraId="090C3347" w14:textId="3A1FF025" w:rsidR="003D4F74" w:rsidRDefault="00B37352">
            <w:r>
              <w:t>Upper Level of Intake:</w:t>
            </w:r>
            <w:r w:rsidRPr="00A91E0E">
              <w:t xml:space="preserve"> The highest mean daily nutrient intake level likely to pose no adverse health effects to almost all individuals in the general population. As intake increases above the UL, the risk of adverse effects increases</w:t>
            </w:r>
          </w:p>
        </w:tc>
      </w:tr>
    </w:tbl>
    <w:p w14:paraId="7729922F" w14:textId="77777777" w:rsidR="000E3C43" w:rsidRDefault="000E3C43" w:rsidP="00B35D1F">
      <w:bookmarkStart w:id="263" w:name="_Ref199341484"/>
    </w:p>
    <w:p w14:paraId="159DC283" w14:textId="77777777" w:rsidR="000E3C43" w:rsidRDefault="000E3C43">
      <w:pPr>
        <w:spacing w:line="240" w:lineRule="atLeast"/>
        <w:rPr>
          <w:rFonts w:ascii="Gotham Medium" w:eastAsiaTheme="majorEastAsia" w:hAnsi="Gotham Medium" w:cstheme="majorBidi"/>
          <w:color w:val="09002E" w:themeColor="text2"/>
          <w:kern w:val="28"/>
          <w:sz w:val="36"/>
          <w:szCs w:val="56"/>
        </w:rPr>
      </w:pPr>
      <w:r>
        <w:br w:type="page"/>
      </w:r>
    </w:p>
    <w:p w14:paraId="06931012" w14:textId="7953A87F" w:rsidR="003A73F8" w:rsidRPr="00152D1F" w:rsidRDefault="00CD5033" w:rsidP="003E2E95">
      <w:pPr>
        <w:pStyle w:val="Heading2Chapter"/>
        <w:numPr>
          <w:ilvl w:val="0"/>
          <w:numId w:val="0"/>
        </w:numPr>
        <w:ind w:left="431" w:hanging="431"/>
      </w:pPr>
      <w:bookmarkStart w:id="264" w:name="_Toc207801119"/>
      <w:bookmarkStart w:id="265" w:name="_Toc207824589"/>
      <w:r w:rsidRPr="00152D1F">
        <w:lastRenderedPageBreak/>
        <w:t>References</w:t>
      </w:r>
      <w:bookmarkEnd w:id="263"/>
      <w:r w:rsidRPr="00152D1F">
        <w:t xml:space="preserve"> </w:t>
      </w:r>
      <w:bookmarkEnd w:id="264"/>
      <w:bookmarkEnd w:id="265"/>
    </w:p>
    <w:p w14:paraId="17CF3189" w14:textId="38025DE4" w:rsidR="00C17F9B" w:rsidRPr="00C17F9B" w:rsidRDefault="005B708C" w:rsidP="00C17F9B">
      <w:pPr>
        <w:pStyle w:val="EndNoteBibliography"/>
        <w:spacing w:after="0"/>
        <w:ind w:left="720" w:hanging="720"/>
      </w:pPr>
      <w:r w:rsidRPr="005E5444">
        <w:fldChar w:fldCharType="begin"/>
      </w:r>
      <w:r w:rsidRPr="005E5444">
        <w:instrText xml:space="preserve"> ADDIN EN.REFLIST </w:instrText>
      </w:r>
      <w:r w:rsidRPr="005E5444">
        <w:fldChar w:fldCharType="separate"/>
      </w:r>
      <w:r w:rsidR="00C17F9B" w:rsidRPr="00C17F9B">
        <w:t xml:space="preserve">ABS. (2014). </w:t>
      </w:r>
      <w:r w:rsidR="00C17F9B" w:rsidRPr="00C17F9B">
        <w:rPr>
          <w:i/>
        </w:rPr>
        <w:t>Australian Health Survey: Nutrition First Results—Foods and Nutrients, 2011–2012.</w:t>
      </w:r>
      <w:r w:rsidR="00C17F9B" w:rsidRPr="00C17F9B">
        <w:t xml:space="preserve">   date accessed 13 August 2025, </w:t>
      </w:r>
      <w:hyperlink r:id="rId150" w:history="1">
        <w:r w:rsidR="00C17F9B" w:rsidRPr="00C17F9B">
          <w:rPr>
            <w:rStyle w:val="Hyperlink"/>
          </w:rPr>
          <w:t>https://www.abs.gov.au/statistics/health/health-conditions-and-risks/australian-health-survey-nutrition-first-results-foods-and-nutrients/latest-release</w:t>
        </w:r>
      </w:hyperlink>
      <w:r w:rsidR="00C17F9B" w:rsidRPr="00C17F9B">
        <w:t xml:space="preserve"> </w:t>
      </w:r>
    </w:p>
    <w:p w14:paraId="213D3717" w14:textId="35F8F864" w:rsidR="00C17F9B" w:rsidRPr="00C17F9B" w:rsidRDefault="00C17F9B" w:rsidP="00C17F9B">
      <w:pPr>
        <w:pStyle w:val="EndNoteBibliography"/>
        <w:spacing w:after="0"/>
        <w:ind w:left="720" w:hanging="720"/>
      </w:pPr>
      <w:r w:rsidRPr="00C17F9B">
        <w:t xml:space="preserve">ABS. (2022). </w:t>
      </w:r>
      <w:r w:rsidRPr="00C17F9B">
        <w:rPr>
          <w:i/>
        </w:rPr>
        <w:t>National Health Survey.</w:t>
      </w:r>
      <w:r w:rsidRPr="00C17F9B">
        <w:t xml:space="preserve">   date accessed 13 August 2025, </w:t>
      </w:r>
      <w:hyperlink r:id="rId151" w:history="1">
        <w:r w:rsidRPr="00C17F9B">
          <w:rPr>
            <w:rStyle w:val="Hyperlink"/>
          </w:rPr>
          <w:t>https://www.abs.gov.au/statistics/health/health-conditions-and-risks/national-health-survey/latest-release</w:t>
        </w:r>
      </w:hyperlink>
      <w:r w:rsidRPr="00C17F9B">
        <w:t xml:space="preserve"> </w:t>
      </w:r>
    </w:p>
    <w:p w14:paraId="66F9B049" w14:textId="27310914" w:rsidR="00C17F9B" w:rsidRPr="00C17F9B" w:rsidRDefault="00C17F9B" w:rsidP="00C17F9B">
      <w:pPr>
        <w:pStyle w:val="EndNoteBibliography"/>
        <w:spacing w:after="0"/>
        <w:ind w:left="720" w:hanging="720"/>
      </w:pPr>
      <w:r w:rsidRPr="00C17F9B">
        <w:t xml:space="preserve">Arnesen EK, Christensen JJ, Andersen R, Eneroth H, Erkkola M, Høyer A, Lemming EW, Meltzer HM, Halldórsson ÞI, &amp; Þórsdóttir I. (2020). The Nordic Nutrition Recommendations 2022–handbook for qualified systematic reviews. </w:t>
      </w:r>
      <w:r w:rsidRPr="00C17F9B">
        <w:rPr>
          <w:i/>
        </w:rPr>
        <w:t>Food &amp; Nutrition Research</w:t>
      </w:r>
      <w:r w:rsidRPr="00C17F9B">
        <w:t>,</w:t>
      </w:r>
      <w:r w:rsidRPr="00C17F9B">
        <w:rPr>
          <w:i/>
        </w:rPr>
        <w:t xml:space="preserve"> 64</w:t>
      </w:r>
      <w:r w:rsidRPr="00C17F9B">
        <w:t xml:space="preserve">, 4404. </w:t>
      </w:r>
      <w:hyperlink r:id="rId152" w:history="1">
        <w:r w:rsidRPr="00C17F9B">
          <w:rPr>
            <w:rStyle w:val="Hyperlink"/>
          </w:rPr>
          <w:t>https://doi.org/10.29219/fnr</w:t>
        </w:r>
      </w:hyperlink>
      <w:r w:rsidRPr="00C17F9B">
        <w:t xml:space="preserve"> </w:t>
      </w:r>
    </w:p>
    <w:p w14:paraId="75279BDB" w14:textId="23FCFFBF" w:rsidR="00C17F9B" w:rsidRPr="00C17F9B" w:rsidRDefault="00C17F9B" w:rsidP="00C17F9B">
      <w:pPr>
        <w:pStyle w:val="EndNoteBibliography"/>
        <w:spacing w:after="0"/>
        <w:ind w:left="720" w:hanging="720"/>
      </w:pPr>
      <w:r w:rsidRPr="00C17F9B">
        <w:t xml:space="preserve">Atkinson SA. (2007). </w:t>
      </w:r>
      <w:r w:rsidRPr="00C17F9B">
        <w:rPr>
          <w:i/>
        </w:rPr>
        <w:t>Background Paper: The DRI Development Process; Issues Related to Extrapolation and Interpolation</w:t>
      </w:r>
      <w:r w:rsidRPr="00C17F9B">
        <w:t xml:space="preserve"> The Development of DRIs 1994-2004: Lessons Learned and New Challenges, Workshop Summary, Washington DC. date accessed 18 August 2025, </w:t>
      </w:r>
      <w:hyperlink r:id="rId153" w:history="1">
        <w:r w:rsidRPr="00C17F9B">
          <w:rPr>
            <w:rStyle w:val="Hyperlink"/>
          </w:rPr>
          <w:t>https://nap.nationalacademies.org/read/12086/chapter/9</w:t>
        </w:r>
      </w:hyperlink>
    </w:p>
    <w:p w14:paraId="6C761F17" w14:textId="16B23708" w:rsidR="00C17F9B" w:rsidRPr="00C17F9B" w:rsidRDefault="00C17F9B" w:rsidP="00C17F9B">
      <w:pPr>
        <w:pStyle w:val="EndNoteBibliography"/>
        <w:spacing w:after="0"/>
        <w:ind w:left="720" w:hanging="720"/>
      </w:pPr>
      <w:r w:rsidRPr="00C17F9B">
        <w:t xml:space="preserve">Australian Government Department of Health, &amp; New Zealand Ministry of Health. (2017). </w:t>
      </w:r>
      <w:r w:rsidRPr="00C17F9B">
        <w:rPr>
          <w:i/>
        </w:rPr>
        <w:t>General principles for establishing safe upper levels of intake for micronutrients – Issues for consideration. A supporting reference document to the methodological framework for the review of Nutrient Reference Values.</w:t>
      </w:r>
      <w:r w:rsidRPr="00C17F9B">
        <w:t xml:space="preserve">   date accessed 13 August 2025, </w:t>
      </w:r>
      <w:hyperlink r:id="rId154" w:history="1">
        <w:r w:rsidRPr="00C17F9B">
          <w:rPr>
            <w:rStyle w:val="Hyperlink"/>
          </w:rPr>
          <w:t>https://www.eatforhealth.gov.au/nutrient-reference-values/resources</w:t>
        </w:r>
      </w:hyperlink>
      <w:r w:rsidRPr="00C17F9B">
        <w:t xml:space="preserve"> </w:t>
      </w:r>
    </w:p>
    <w:p w14:paraId="7E4426C6" w14:textId="10D6B7E4" w:rsidR="00C17F9B" w:rsidRPr="00C17F9B" w:rsidRDefault="00C17F9B" w:rsidP="00C17F9B">
      <w:pPr>
        <w:pStyle w:val="EndNoteBibliography"/>
        <w:spacing w:after="0"/>
        <w:ind w:left="720" w:hanging="720"/>
      </w:pPr>
      <w:r w:rsidRPr="00C17F9B">
        <w:t xml:space="preserve">Beyerbach J, Stadelmaier J, Hoffmann G, Balduzzi S, Bröckelmann N, &amp; Schwingshackl L. (2022). Evaluating concordance of bodies of evidence from randomized controlled trials, dietary intake, and biomarkers of intake in cohort studies: a meta-epidemiological study. </w:t>
      </w:r>
      <w:r w:rsidRPr="00C17F9B">
        <w:rPr>
          <w:i/>
        </w:rPr>
        <w:t>Advances in Nutrition</w:t>
      </w:r>
      <w:r w:rsidRPr="00C17F9B">
        <w:t>,</w:t>
      </w:r>
      <w:r w:rsidRPr="00C17F9B">
        <w:rPr>
          <w:i/>
        </w:rPr>
        <w:t xml:space="preserve"> 13</w:t>
      </w:r>
      <w:r w:rsidRPr="00C17F9B">
        <w:t xml:space="preserve">(1), 48-65. </w:t>
      </w:r>
      <w:hyperlink r:id="rId155" w:history="1">
        <w:r w:rsidRPr="00C17F9B">
          <w:rPr>
            <w:rStyle w:val="Hyperlink"/>
          </w:rPr>
          <w:t>https://doi.org/https://doi.org/10.1093/advances/nmab095</w:t>
        </w:r>
      </w:hyperlink>
      <w:r w:rsidRPr="00C17F9B">
        <w:t xml:space="preserve"> </w:t>
      </w:r>
    </w:p>
    <w:p w14:paraId="14DF0375" w14:textId="53263761" w:rsidR="005B14DC" w:rsidRPr="005B14DC" w:rsidRDefault="005B14DC" w:rsidP="005B14DC">
      <w:pPr>
        <w:pStyle w:val="EndNoteBibliography"/>
        <w:spacing w:after="0"/>
        <w:ind w:left="720" w:hanging="720"/>
      </w:pPr>
      <w:r w:rsidRPr="005B14DC">
        <w:t xml:space="preserve">Boon MH, Thomson H, Shaw B, Akl EA, Lhachimi SK, López-Alcalde J, Klugar M, Choi L, Saz-Parkinson Z, &amp; Mustafa RA. (2021). Challenges in applying the GRADE approach in public health guidelines and systematic reviews: a concept article from the GRADE Public Health Group. </w:t>
      </w:r>
      <w:r w:rsidRPr="005B14DC">
        <w:rPr>
          <w:i/>
        </w:rPr>
        <w:t>Journal of Clinical Epidemiology</w:t>
      </w:r>
      <w:r w:rsidRPr="005B14DC">
        <w:t>,</w:t>
      </w:r>
      <w:r w:rsidRPr="005B14DC">
        <w:rPr>
          <w:i/>
        </w:rPr>
        <w:t xml:space="preserve"> 135</w:t>
      </w:r>
      <w:r w:rsidRPr="005B14DC">
        <w:t xml:space="preserve">, 42-53. </w:t>
      </w:r>
    </w:p>
    <w:p w14:paraId="022ECD5E" w14:textId="2B5674A4" w:rsidR="00C17F9B" w:rsidRPr="00C17F9B" w:rsidRDefault="00C17F9B" w:rsidP="00C17F9B">
      <w:pPr>
        <w:pStyle w:val="EndNoteBibliography"/>
        <w:spacing w:after="0"/>
        <w:ind w:left="720" w:hanging="720"/>
      </w:pPr>
      <w:r w:rsidRPr="00C17F9B">
        <w:t xml:space="preserve">Christensen JJ, Arnesen EK, Andersen R, Eneroth H, Erkkola M, Høyer A, Lemming EW, Meltzer HM, Halldórsson ÞI, &amp; Þórsdóttir I. (2020). The Nordic nutrition recommendations 2022–principles and methodologies. </w:t>
      </w:r>
      <w:r w:rsidRPr="00C17F9B">
        <w:rPr>
          <w:i/>
        </w:rPr>
        <w:t>Food &amp; Nutrition Research</w:t>
      </w:r>
      <w:r w:rsidRPr="00C17F9B">
        <w:t>,</w:t>
      </w:r>
      <w:r w:rsidRPr="00C17F9B">
        <w:rPr>
          <w:i/>
        </w:rPr>
        <w:t xml:space="preserve"> 64</w:t>
      </w:r>
      <w:r w:rsidRPr="00C17F9B">
        <w:t xml:space="preserve">, 4402. </w:t>
      </w:r>
      <w:hyperlink r:id="rId156" w:history="1">
        <w:r w:rsidRPr="00C17F9B">
          <w:rPr>
            <w:rStyle w:val="Hyperlink"/>
          </w:rPr>
          <w:t>https://doi.org/10.29219/fnr</w:t>
        </w:r>
      </w:hyperlink>
      <w:r w:rsidRPr="00C17F9B">
        <w:t xml:space="preserve"> </w:t>
      </w:r>
    </w:p>
    <w:p w14:paraId="24B05A7D" w14:textId="759E08FF" w:rsidR="00C17F9B" w:rsidRPr="00C17F9B" w:rsidRDefault="00C17F9B" w:rsidP="00C17F9B">
      <w:pPr>
        <w:pStyle w:val="EndNoteBibliography"/>
        <w:spacing w:after="0"/>
        <w:ind w:left="720" w:hanging="720"/>
      </w:pPr>
      <w:r w:rsidRPr="00C17F9B">
        <w:t xml:space="preserve">Claessens M, Contor L, Dhonukshe-Rutten R, De Groot LC, Fairweather-Tait SJ, Gurinovic M, Koletzko B, Van Ommen B, Raats MM, &amp; Van’t Veer P. (2013). EURRECA—principles and future for deriving micronutrient recommendations. </w:t>
      </w:r>
      <w:r w:rsidRPr="00C17F9B">
        <w:rPr>
          <w:i/>
        </w:rPr>
        <w:t>Critical reviews in food science and nutrition</w:t>
      </w:r>
      <w:r w:rsidRPr="00C17F9B">
        <w:t>,</w:t>
      </w:r>
      <w:r w:rsidRPr="00C17F9B">
        <w:rPr>
          <w:i/>
        </w:rPr>
        <w:t xml:space="preserve"> 53</w:t>
      </w:r>
      <w:r w:rsidRPr="00C17F9B">
        <w:t xml:space="preserve">(10), 1135-1146. </w:t>
      </w:r>
      <w:hyperlink r:id="rId157" w:history="1">
        <w:r w:rsidRPr="00C17F9B">
          <w:rPr>
            <w:rStyle w:val="Hyperlink"/>
          </w:rPr>
          <w:t>https://doi.org/https://doi.org/10.1080/10408398.2012.742864</w:t>
        </w:r>
      </w:hyperlink>
      <w:r w:rsidRPr="00C17F9B">
        <w:t xml:space="preserve"> </w:t>
      </w:r>
    </w:p>
    <w:p w14:paraId="7307F738" w14:textId="797411E5" w:rsidR="00C17F9B" w:rsidRPr="00C17F9B" w:rsidRDefault="00C17F9B" w:rsidP="00C17F9B">
      <w:pPr>
        <w:pStyle w:val="EndNoteBibliography"/>
        <w:spacing w:after="0"/>
        <w:ind w:left="720" w:hanging="720"/>
      </w:pPr>
      <w:r w:rsidRPr="00C17F9B">
        <w:t xml:space="preserve">Cole TJ, Bellizzi MC, Flegal KM, &amp; Dietz WH. (2000). Establishing a standard definition for child overweight and obesity worldwide: international survey. </w:t>
      </w:r>
      <w:r w:rsidRPr="00C17F9B">
        <w:rPr>
          <w:i/>
        </w:rPr>
        <w:t>Bmj</w:t>
      </w:r>
      <w:r w:rsidRPr="00C17F9B">
        <w:t>,</w:t>
      </w:r>
      <w:r w:rsidRPr="00C17F9B">
        <w:rPr>
          <w:i/>
        </w:rPr>
        <w:t xml:space="preserve"> 320</w:t>
      </w:r>
      <w:r w:rsidRPr="00C17F9B">
        <w:t xml:space="preserve">(7244), 1240. </w:t>
      </w:r>
      <w:hyperlink r:id="rId158" w:history="1">
        <w:r w:rsidRPr="00C17F9B">
          <w:rPr>
            <w:rStyle w:val="Hyperlink"/>
          </w:rPr>
          <w:t>https://doi.org/https://doi.org/10.1136/bmj.320.7244.1240</w:t>
        </w:r>
      </w:hyperlink>
      <w:r w:rsidRPr="00C17F9B">
        <w:t xml:space="preserve"> </w:t>
      </w:r>
    </w:p>
    <w:p w14:paraId="34D5E629" w14:textId="2765589F" w:rsidR="00C17F9B" w:rsidRPr="00C17F9B" w:rsidRDefault="00C17F9B" w:rsidP="00C17F9B">
      <w:pPr>
        <w:pStyle w:val="EndNoteBibliography"/>
        <w:spacing w:after="0"/>
        <w:ind w:left="720" w:hanging="720"/>
      </w:pPr>
      <w:r w:rsidRPr="00C17F9B">
        <w:t xml:space="preserve">Cole TJ, Flegal KM, Nicholls D, &amp; Jackson AA. (2007). Body mass index cut offs to define thinness in children and adolescents: international survey. </w:t>
      </w:r>
      <w:r w:rsidRPr="00C17F9B">
        <w:rPr>
          <w:i/>
        </w:rPr>
        <w:t>Bmj</w:t>
      </w:r>
      <w:r w:rsidRPr="00C17F9B">
        <w:t>,</w:t>
      </w:r>
      <w:r w:rsidRPr="00C17F9B">
        <w:rPr>
          <w:i/>
        </w:rPr>
        <w:t xml:space="preserve"> 335</w:t>
      </w:r>
      <w:r w:rsidRPr="00C17F9B">
        <w:t xml:space="preserve">(7612), 194. </w:t>
      </w:r>
      <w:hyperlink r:id="rId159" w:history="1">
        <w:r w:rsidRPr="00C17F9B">
          <w:rPr>
            <w:rStyle w:val="Hyperlink"/>
          </w:rPr>
          <w:t>https://doi.org/10.1136/bmj.39238.399444.55</w:t>
        </w:r>
      </w:hyperlink>
      <w:r w:rsidRPr="00C17F9B">
        <w:t xml:space="preserve"> </w:t>
      </w:r>
    </w:p>
    <w:p w14:paraId="3DC645F1" w14:textId="58D74556" w:rsidR="00C17F9B" w:rsidRPr="00C17F9B" w:rsidRDefault="00C17F9B" w:rsidP="00C17F9B">
      <w:pPr>
        <w:pStyle w:val="EndNoteBibliography"/>
        <w:spacing w:after="0"/>
        <w:ind w:left="720" w:hanging="720"/>
      </w:pPr>
      <w:r w:rsidRPr="00C17F9B">
        <w:t xml:space="preserve">Dankovic D, Naumann B, Maier A, Dourson M, &amp; Levy L. (2015). The scientific basis of uncertainty factors used in setting occupational exposure limits. </w:t>
      </w:r>
      <w:r w:rsidRPr="00C17F9B">
        <w:rPr>
          <w:i/>
        </w:rPr>
        <w:t>Journal of occupational and environmental hygiene</w:t>
      </w:r>
      <w:r w:rsidRPr="00C17F9B">
        <w:t>,</w:t>
      </w:r>
      <w:r w:rsidRPr="00C17F9B">
        <w:rPr>
          <w:i/>
        </w:rPr>
        <w:t xml:space="preserve"> 12</w:t>
      </w:r>
      <w:r w:rsidRPr="00C17F9B">
        <w:t xml:space="preserve">(sup1), S55-S68. </w:t>
      </w:r>
      <w:hyperlink r:id="rId160" w:history="1">
        <w:r w:rsidRPr="00C17F9B">
          <w:rPr>
            <w:rStyle w:val="Hyperlink"/>
          </w:rPr>
          <w:t>https://doi.org/10.1080/15459624.2015.1060325</w:t>
        </w:r>
      </w:hyperlink>
      <w:r w:rsidRPr="00C17F9B">
        <w:t xml:space="preserve"> </w:t>
      </w:r>
    </w:p>
    <w:p w14:paraId="285355C2" w14:textId="450A9FFE" w:rsidR="00C17F9B" w:rsidRPr="00C17F9B" w:rsidRDefault="00C17F9B" w:rsidP="00C17F9B">
      <w:pPr>
        <w:pStyle w:val="EndNoteBibliography"/>
        <w:spacing w:after="0"/>
        <w:ind w:left="720" w:hanging="720"/>
      </w:pPr>
      <w:r w:rsidRPr="00C17F9B">
        <w:lastRenderedPageBreak/>
        <w:t xml:space="preserve">Darzi A, Abou-Jaoude EA, Agarwal A, Lakis C, Wiercioch W, Santesso N, Brax H, El-Jardali F, Schünemann HJ, &amp; Akl EA. (2017). A methodological survey identified eight proposed frameworks for the adaptation of health related guidelines. </w:t>
      </w:r>
      <w:r w:rsidRPr="00C17F9B">
        <w:rPr>
          <w:i/>
        </w:rPr>
        <w:t>J Clin Epidemiol</w:t>
      </w:r>
      <w:r w:rsidRPr="00C17F9B">
        <w:t>,</w:t>
      </w:r>
      <w:r w:rsidRPr="00C17F9B">
        <w:rPr>
          <w:i/>
        </w:rPr>
        <w:t xml:space="preserve"> 86</w:t>
      </w:r>
      <w:r w:rsidRPr="00C17F9B">
        <w:t xml:space="preserve">, 3-10. </w:t>
      </w:r>
      <w:hyperlink r:id="rId161" w:history="1">
        <w:r w:rsidRPr="00C17F9B">
          <w:rPr>
            <w:rStyle w:val="Hyperlink"/>
          </w:rPr>
          <w:t>https://doi.org/10.1016/j.jclinepi.2017.01.016</w:t>
        </w:r>
      </w:hyperlink>
      <w:r w:rsidRPr="00C17F9B">
        <w:t xml:space="preserve"> </w:t>
      </w:r>
    </w:p>
    <w:p w14:paraId="77AC1A5D" w14:textId="47C8F4DE" w:rsidR="00C17F9B" w:rsidRPr="00C17F9B" w:rsidRDefault="00C17F9B" w:rsidP="00C17F9B">
      <w:pPr>
        <w:pStyle w:val="EndNoteBibliography"/>
        <w:spacing w:after="0"/>
        <w:ind w:left="720" w:hanging="720"/>
      </w:pPr>
      <w:r w:rsidRPr="00C17F9B">
        <w:t xml:space="preserve">Deeks JJ, Higgins JPT, Altman DG, McKenzie JE, &amp; Veroniki AA. (2024). Chapter 10: Analysing data and undertaking meta-analyses [last updated November 2024]. In </w:t>
      </w:r>
      <w:r w:rsidRPr="00C17F9B">
        <w:rPr>
          <w:i/>
        </w:rPr>
        <w:t>Cochrane Handbook for Systematic Reviews of Interventions version 6.5</w:t>
      </w:r>
      <w:r w:rsidRPr="00C17F9B">
        <w:t xml:space="preserve">. date accessed 18 August 2025, </w:t>
      </w:r>
      <w:hyperlink r:id="rId162" w:anchor="_Ref180060260" w:history="1">
        <w:r w:rsidR="00EE7222" w:rsidRPr="00EE7222">
          <w:rPr>
            <w:rStyle w:val="Hyperlink"/>
          </w:rPr>
          <w:t>https://www.cochrane.org/authors/handbooks-and-manuals/handbook/current/chapter-10#_Ref180060260</w:t>
        </w:r>
      </w:hyperlink>
      <w:r w:rsidRPr="00C17F9B">
        <w:t xml:space="preserve"> </w:t>
      </w:r>
    </w:p>
    <w:p w14:paraId="66297797" w14:textId="5BEC9B73" w:rsidR="00C17F9B" w:rsidRPr="00C17F9B" w:rsidRDefault="00C17F9B" w:rsidP="00C17F9B">
      <w:pPr>
        <w:pStyle w:val="EndNoteBibliography"/>
        <w:spacing w:after="0"/>
        <w:ind w:left="720" w:hanging="720"/>
      </w:pPr>
      <w:r w:rsidRPr="00C17F9B">
        <w:t xml:space="preserve">Dhonukshe-Rutten RA, Bouwman J, Brown KA, Cavelaars AE, Collings R, Grammatikaki E, de Groot LC, Gurinovic M, Harvey LJ,…Van't Veer P. (2013). EURRECA-Evidence-based methodology for deriving micronutrient recommendations. </w:t>
      </w:r>
      <w:r w:rsidRPr="00C17F9B">
        <w:rPr>
          <w:i/>
        </w:rPr>
        <w:t>Crit Rev Food Sci Nutr</w:t>
      </w:r>
      <w:r w:rsidRPr="00C17F9B">
        <w:t>,</w:t>
      </w:r>
      <w:r w:rsidRPr="00C17F9B">
        <w:rPr>
          <w:i/>
        </w:rPr>
        <w:t xml:space="preserve"> 53</w:t>
      </w:r>
      <w:r w:rsidRPr="00C17F9B">
        <w:t xml:space="preserve">(10), 999-1040. </w:t>
      </w:r>
      <w:hyperlink r:id="rId163" w:history="1">
        <w:r w:rsidRPr="00C17F9B">
          <w:rPr>
            <w:rStyle w:val="Hyperlink"/>
          </w:rPr>
          <w:t>https://doi.org/10.1080/10408398.2012.749209</w:t>
        </w:r>
      </w:hyperlink>
      <w:r w:rsidRPr="00C17F9B">
        <w:t xml:space="preserve"> </w:t>
      </w:r>
    </w:p>
    <w:p w14:paraId="3F1CD33F" w14:textId="63B2C53F" w:rsidR="00FB6D95" w:rsidRPr="00FB6D95" w:rsidRDefault="00AF2674" w:rsidP="00FB6D95">
      <w:pPr>
        <w:pStyle w:val="EndNoteBibliography"/>
        <w:spacing w:after="0"/>
        <w:ind w:left="720" w:hanging="720"/>
      </w:pPr>
      <w:r w:rsidRPr="00AF2674">
        <w:t xml:space="preserve">Dietitians Association of Australia, Baghurst K, Cobiac L, Baghurst P, Magary A, &amp; Bryon A. (2011). </w:t>
      </w:r>
      <w:r w:rsidRPr="00AF2674">
        <w:rPr>
          <w:i/>
        </w:rPr>
        <w:t>A modelling system to inform the revision of the Australian Guide to Healthy Eating</w:t>
      </w:r>
      <w:r w:rsidRPr="00AF2674">
        <w:t xml:space="preserve"> (Australian Government Department of Health and Ageing and National Health and Medical Research Council, Ed.). NHMRC. date accessed 25 August 2025 </w:t>
      </w:r>
      <w:hyperlink r:id="rId164" w:history="1">
        <w:r w:rsidRPr="00AF2674">
          <w:rPr>
            <w:rStyle w:val="Hyperlink"/>
          </w:rPr>
          <w:t>https://www.eatforhealth.gov.au/sites/default/files/files/the_guidelines/n55c_dietary_guidelines_food_modelling.pdf</w:t>
        </w:r>
      </w:hyperlink>
      <w:r w:rsidR="00FB6D95" w:rsidRPr="00FB6D95">
        <w:t xml:space="preserve"> </w:t>
      </w:r>
    </w:p>
    <w:p w14:paraId="5670FB53" w14:textId="1F5F8DE8" w:rsidR="00C17F9B" w:rsidRPr="00C17F9B" w:rsidRDefault="00C17F9B" w:rsidP="00C17F9B">
      <w:pPr>
        <w:pStyle w:val="EndNoteBibliography"/>
        <w:spacing w:after="0"/>
        <w:ind w:left="720" w:hanging="720"/>
      </w:pPr>
      <w:r w:rsidRPr="00C17F9B">
        <w:t xml:space="preserve">EFSA. (2025). </w:t>
      </w:r>
      <w:r w:rsidRPr="00C17F9B">
        <w:rPr>
          <w:i/>
        </w:rPr>
        <w:t>Overview on Tolerable Upper Intake Levels as derived by the Scientific Committee on Food (SCF) and the EFSA Panel on Dietetic Products, Nutrition and Allergies (NDA), Version 11 (August 2025)</w:t>
      </w:r>
      <w:r w:rsidRPr="00C17F9B">
        <w:t xml:space="preserve">   date accessed 18 August 2025, </w:t>
      </w:r>
      <w:hyperlink r:id="rId165" w:history="1">
        <w:r w:rsidRPr="00C17F9B">
          <w:rPr>
            <w:rStyle w:val="Hyperlink"/>
          </w:rPr>
          <w:t>https://www.efsa.europa.eu/sites/default/files/2024-05/ul-summary-report.pdf</w:t>
        </w:r>
      </w:hyperlink>
      <w:r w:rsidRPr="00C17F9B">
        <w:t xml:space="preserve"> </w:t>
      </w:r>
    </w:p>
    <w:p w14:paraId="1C74C44C" w14:textId="486E50C6" w:rsidR="00C17F9B" w:rsidRPr="00C17F9B" w:rsidRDefault="00C17F9B" w:rsidP="00C17F9B">
      <w:pPr>
        <w:pStyle w:val="EndNoteBibliography"/>
        <w:spacing w:after="0"/>
        <w:ind w:left="720" w:hanging="720"/>
      </w:pPr>
      <w:r w:rsidRPr="00C17F9B">
        <w:rPr>
          <w:rFonts w:hint="eastAsia"/>
        </w:rPr>
        <w:t>EFSA, Hart A, Maxim L, Siegrist M, Von Goetz N, da Cruz C, Merten C, Mosbach</w:t>
      </w:r>
      <w:r w:rsidRPr="00C17F9B">
        <w:rPr>
          <w:rFonts w:hint="eastAsia"/>
        </w:rPr>
        <w:t>‐</w:t>
      </w:r>
      <w:r w:rsidRPr="00C17F9B">
        <w:rPr>
          <w:rFonts w:hint="eastAsia"/>
        </w:rPr>
        <w:t>Schulz O, Lahaniatis M</w:t>
      </w:r>
      <w:r w:rsidRPr="00C17F9B">
        <w:t xml:space="preserve">, &amp; Smith A. (2019). Guidance on communication of uncertainty in scientific assessments. </w:t>
      </w:r>
      <w:r w:rsidRPr="00C17F9B">
        <w:rPr>
          <w:i/>
        </w:rPr>
        <w:t>EFSA Journal</w:t>
      </w:r>
      <w:r w:rsidRPr="00C17F9B">
        <w:t>,</w:t>
      </w:r>
      <w:r w:rsidRPr="00C17F9B">
        <w:rPr>
          <w:i/>
        </w:rPr>
        <w:t xml:space="preserve"> 17</w:t>
      </w:r>
      <w:r w:rsidRPr="00C17F9B">
        <w:t xml:space="preserve">(1), e05520. </w:t>
      </w:r>
      <w:hyperlink r:id="rId166" w:history="1">
        <w:r w:rsidRPr="00C17F9B">
          <w:rPr>
            <w:rStyle w:val="Hyperlink"/>
          </w:rPr>
          <w:t>https://doi.org/10.2903/j.efsa.2019.5520</w:t>
        </w:r>
      </w:hyperlink>
      <w:r w:rsidRPr="00C17F9B">
        <w:t xml:space="preserve"> </w:t>
      </w:r>
    </w:p>
    <w:p w14:paraId="33D25408" w14:textId="541C600F" w:rsidR="00C17F9B" w:rsidRPr="00C17F9B" w:rsidRDefault="00C17F9B" w:rsidP="00C17F9B">
      <w:pPr>
        <w:pStyle w:val="EndNoteBibliography"/>
        <w:spacing w:after="0"/>
        <w:ind w:left="720" w:hanging="720"/>
      </w:pPr>
      <w:r w:rsidRPr="00C17F9B">
        <w:t xml:space="preserve">EFSA Panel on Dietetic Products Nutrition </w:t>
      </w:r>
      <w:r w:rsidR="00FD5765" w:rsidRPr="00FD5765">
        <w:t>and Allergies.</w:t>
      </w:r>
      <w:r w:rsidRPr="00C17F9B">
        <w:t xml:space="preserve"> (2010). Scientific Opinion on principles for deriving and applying Dietary Reference Values. </w:t>
      </w:r>
      <w:r w:rsidRPr="00C17F9B">
        <w:rPr>
          <w:i/>
        </w:rPr>
        <w:t>EFSA Journal</w:t>
      </w:r>
      <w:r w:rsidRPr="00C17F9B">
        <w:t>,</w:t>
      </w:r>
      <w:r w:rsidRPr="00C17F9B">
        <w:rPr>
          <w:i/>
        </w:rPr>
        <w:t xml:space="preserve"> 8</w:t>
      </w:r>
      <w:r w:rsidRPr="00C17F9B">
        <w:t xml:space="preserve">(3), 1458. </w:t>
      </w:r>
      <w:hyperlink r:id="rId167" w:history="1">
        <w:r w:rsidRPr="00C17F9B">
          <w:rPr>
            <w:rStyle w:val="Hyperlink"/>
          </w:rPr>
          <w:t>https://doi.org/10.2903/j.efsa.2010.1458</w:t>
        </w:r>
      </w:hyperlink>
      <w:r w:rsidRPr="00C17F9B">
        <w:t xml:space="preserve"> </w:t>
      </w:r>
    </w:p>
    <w:p w14:paraId="0849712C" w14:textId="64FD139E" w:rsidR="00FD5765" w:rsidRPr="00FD5765" w:rsidRDefault="00FD5765" w:rsidP="00FD5765">
      <w:pPr>
        <w:pStyle w:val="EndNoteBibliography"/>
        <w:spacing w:after="0"/>
        <w:ind w:left="720" w:hanging="720"/>
      </w:pPr>
      <w:r w:rsidRPr="00FD5765">
        <w:t xml:space="preserve">EFSA Panel on Dietetic Products Nutrition and Allergies. (2012). Scientific opinion on dietary reference values for protein. </w:t>
      </w:r>
      <w:r w:rsidRPr="00FD5765">
        <w:rPr>
          <w:i/>
        </w:rPr>
        <w:t>EFSA Journal</w:t>
      </w:r>
      <w:r w:rsidRPr="00FD5765">
        <w:t>,</w:t>
      </w:r>
      <w:r w:rsidRPr="00FD5765">
        <w:rPr>
          <w:i/>
        </w:rPr>
        <w:t xml:space="preserve"> 10</w:t>
      </w:r>
      <w:r w:rsidRPr="00FD5765">
        <w:t xml:space="preserve">(2), 2557. </w:t>
      </w:r>
      <w:hyperlink r:id="rId168" w:history="1">
        <w:r w:rsidR="00C17F9B" w:rsidRPr="00C17F9B">
          <w:rPr>
            <w:rStyle w:val="Hyperlink"/>
          </w:rPr>
          <w:t>https://doi.org/10.2903/j.efsa.2012.2557</w:t>
        </w:r>
      </w:hyperlink>
      <w:r w:rsidRPr="00FD5765">
        <w:t xml:space="preserve"> </w:t>
      </w:r>
    </w:p>
    <w:p w14:paraId="5908A524" w14:textId="66BD85A7" w:rsidR="00FD5765" w:rsidRPr="00FD5765" w:rsidRDefault="00FD5765" w:rsidP="00FD5765">
      <w:pPr>
        <w:pStyle w:val="EndNoteBibliography"/>
        <w:spacing w:after="0"/>
        <w:ind w:left="720" w:hanging="720"/>
      </w:pPr>
      <w:r w:rsidRPr="00FD5765">
        <w:t xml:space="preserve">EFSA Panel on Dietetic Products Nutrition and Allergies. (2015). Scientific opinion on dietary reference values for phosphorus. </w:t>
      </w:r>
      <w:r w:rsidRPr="00FD5765">
        <w:rPr>
          <w:i/>
        </w:rPr>
        <w:t>EFSA Journal</w:t>
      </w:r>
      <w:r w:rsidRPr="00FD5765">
        <w:t>,</w:t>
      </w:r>
      <w:r w:rsidRPr="00FD5765">
        <w:rPr>
          <w:i/>
        </w:rPr>
        <w:t xml:space="preserve"> 13</w:t>
      </w:r>
      <w:r w:rsidRPr="00FD5765">
        <w:t xml:space="preserve">(7), 4185. </w:t>
      </w:r>
      <w:hyperlink r:id="rId169" w:history="1">
        <w:r w:rsidRPr="00FD5765">
          <w:rPr>
            <w:rStyle w:val="Hyperlink"/>
          </w:rPr>
          <w:t>https://doi.org/10.2903/j.efsa.2015.4185</w:t>
        </w:r>
      </w:hyperlink>
      <w:r w:rsidRPr="00FD5765">
        <w:t xml:space="preserve"> </w:t>
      </w:r>
    </w:p>
    <w:p w14:paraId="75BEB636" w14:textId="45A78ACD" w:rsidR="00FD5765" w:rsidRPr="00FD5765" w:rsidRDefault="00FD5765" w:rsidP="00FD5765">
      <w:pPr>
        <w:pStyle w:val="EndNoteBibliography"/>
        <w:spacing w:after="0"/>
        <w:ind w:left="720" w:hanging="720"/>
      </w:pPr>
      <w:r w:rsidRPr="00FD5765">
        <w:t>EFSA Panel on Nutrition Novel Foods and Food Allergens, Turck D, Bohn T, Cámara M, Castenmi</w:t>
      </w:r>
      <w:r w:rsidRPr="00FD5765">
        <w:rPr>
          <w:rFonts w:hint="eastAsia"/>
        </w:rPr>
        <w:t>ller J, de Henauw S, Hirsch</w:t>
      </w:r>
      <w:r w:rsidRPr="00FD5765">
        <w:rPr>
          <w:rFonts w:hint="eastAsia"/>
        </w:rPr>
        <w:t>‐</w:t>
      </w:r>
      <w:r w:rsidRPr="00FD5765">
        <w:rPr>
          <w:rFonts w:hint="eastAsia"/>
        </w:rPr>
        <w:t xml:space="preserve">Ernst KI, Jos A, Maciuk A, &amp; Mangelsdorf I. (2024a). Guidance for establishing and applying tolerable upper intake levels for vitamins and essential minerals. </w:t>
      </w:r>
      <w:r w:rsidRPr="00FD5765">
        <w:rPr>
          <w:rFonts w:hint="eastAsia"/>
          <w:i/>
        </w:rPr>
        <w:t>EFSA Journal</w:t>
      </w:r>
      <w:r w:rsidRPr="00FD5765">
        <w:rPr>
          <w:rFonts w:hint="eastAsia"/>
        </w:rPr>
        <w:t>,</w:t>
      </w:r>
      <w:r w:rsidRPr="00FD5765">
        <w:rPr>
          <w:rFonts w:hint="eastAsia"/>
          <w:i/>
        </w:rPr>
        <w:t xml:space="preserve"> 22</w:t>
      </w:r>
      <w:r w:rsidRPr="00FD5765">
        <w:rPr>
          <w:rFonts w:hint="eastAsia"/>
        </w:rPr>
        <w:t xml:space="preserve">(11), e9052. </w:t>
      </w:r>
      <w:hyperlink r:id="rId170" w:history="1">
        <w:r w:rsidR="00C17F9B" w:rsidRPr="00C17F9B">
          <w:rPr>
            <w:rStyle w:val="Hyperlink"/>
          </w:rPr>
          <w:t>https://doi.org/10.2903/j.efsa.2024.9052</w:t>
        </w:r>
      </w:hyperlink>
      <w:r w:rsidRPr="00FD5765">
        <w:t xml:space="preserve"> </w:t>
      </w:r>
    </w:p>
    <w:p w14:paraId="4B447C2E" w14:textId="119BF794" w:rsidR="00FD5765" w:rsidRPr="00FD5765" w:rsidRDefault="00FD5765" w:rsidP="00FD5765">
      <w:pPr>
        <w:pStyle w:val="EndNoteBibliography"/>
        <w:spacing w:after="0"/>
        <w:ind w:left="720" w:hanging="720"/>
      </w:pPr>
      <w:r w:rsidRPr="00FD5765">
        <w:rPr>
          <w:rFonts w:hint="eastAsia"/>
        </w:rPr>
        <w:t>EFSA Panel on Nutrition Novel Foods and Food Allergens, Turck D, Bohn T, Castenmiller J, de Henauw S, Hirsch</w:t>
      </w:r>
      <w:r w:rsidRPr="00FD5765">
        <w:rPr>
          <w:rFonts w:hint="eastAsia"/>
        </w:rPr>
        <w:t>‐</w:t>
      </w:r>
      <w:r w:rsidRPr="00FD5765">
        <w:rPr>
          <w:rFonts w:hint="eastAsia"/>
        </w:rPr>
        <w:t>Ernst KI, Knutsen HK, Maciuk A, Mangelsdorf I, &amp; McArdle HJ. (2024b). Guidance on scientific principles and data requirements for the safety an</w:t>
      </w:r>
      <w:r w:rsidRPr="00FD5765">
        <w:t xml:space="preserve">d relative bioavailability assessment of new micronutrient sources. </w:t>
      </w:r>
      <w:r w:rsidRPr="00FD5765">
        <w:rPr>
          <w:i/>
        </w:rPr>
        <w:t>EFSA Journal</w:t>
      </w:r>
      <w:r w:rsidRPr="00FD5765">
        <w:t>,</w:t>
      </w:r>
      <w:r w:rsidRPr="00FD5765">
        <w:rPr>
          <w:i/>
        </w:rPr>
        <w:t xml:space="preserve"> 22</w:t>
      </w:r>
      <w:r w:rsidRPr="00FD5765">
        <w:t xml:space="preserve">(9), e8946. </w:t>
      </w:r>
      <w:hyperlink r:id="rId171" w:history="1">
        <w:r w:rsidRPr="00FD5765">
          <w:rPr>
            <w:rStyle w:val="Hyperlink"/>
          </w:rPr>
          <w:t>https://doi.org/10.2903/j.efsa.2024.8946</w:t>
        </w:r>
      </w:hyperlink>
      <w:r w:rsidRPr="00FD5765">
        <w:t xml:space="preserve"> </w:t>
      </w:r>
    </w:p>
    <w:p w14:paraId="3393FB5E" w14:textId="57FB330F" w:rsidR="00C17F9B" w:rsidRPr="00C17F9B" w:rsidRDefault="00C17F9B" w:rsidP="00C17F9B">
      <w:pPr>
        <w:pStyle w:val="EndNoteBibliography"/>
        <w:spacing w:after="0"/>
        <w:ind w:left="720" w:hanging="720"/>
      </w:pPr>
      <w:r w:rsidRPr="00C17F9B">
        <w:t xml:space="preserve">EFSA Scientific Committee. (2012). Guidance on selected default values to be used by the EFSA Scientific Committee, Scientific Panels and Units in the absence of actual measured data. </w:t>
      </w:r>
      <w:r w:rsidRPr="00C17F9B">
        <w:rPr>
          <w:i/>
        </w:rPr>
        <w:t>EFSA Journal</w:t>
      </w:r>
      <w:r w:rsidRPr="00C17F9B">
        <w:t>,</w:t>
      </w:r>
      <w:r w:rsidRPr="00C17F9B">
        <w:rPr>
          <w:i/>
        </w:rPr>
        <w:t xml:space="preserve"> 10</w:t>
      </w:r>
      <w:r w:rsidRPr="00C17F9B">
        <w:t xml:space="preserve">(3), 2579. </w:t>
      </w:r>
      <w:hyperlink r:id="rId172" w:history="1">
        <w:r w:rsidRPr="00C17F9B">
          <w:rPr>
            <w:rStyle w:val="Hyperlink"/>
          </w:rPr>
          <w:t>https://doi.org/10.2903/j.efsa.2012.2579</w:t>
        </w:r>
      </w:hyperlink>
      <w:r w:rsidRPr="00C17F9B">
        <w:t xml:space="preserve"> </w:t>
      </w:r>
    </w:p>
    <w:p w14:paraId="5436455D" w14:textId="3FDF604E" w:rsidR="00C17F9B" w:rsidRPr="00C17F9B" w:rsidRDefault="00C17F9B" w:rsidP="00C17F9B">
      <w:pPr>
        <w:pStyle w:val="EndNoteBibliography"/>
        <w:spacing w:after="0"/>
        <w:ind w:left="720" w:hanging="720"/>
      </w:pPr>
      <w:r w:rsidRPr="00C17F9B">
        <w:lastRenderedPageBreak/>
        <w:t xml:space="preserve">EFSA Scientific Committee, Benford D, Halldorsson T, Jeger MJ, Knutsen HK, More S, Naegeli H, Noteborn H, Ockleford C, &amp; Ricci A. (2018). Guidance on uncertainty analysis in scientific assessments. </w:t>
      </w:r>
      <w:r w:rsidRPr="00C17F9B">
        <w:rPr>
          <w:i/>
        </w:rPr>
        <w:t>EFSA Journal</w:t>
      </w:r>
      <w:r w:rsidRPr="00C17F9B">
        <w:t>,</w:t>
      </w:r>
      <w:r w:rsidRPr="00C17F9B">
        <w:rPr>
          <w:i/>
        </w:rPr>
        <w:t xml:space="preserve"> 16</w:t>
      </w:r>
      <w:r w:rsidRPr="00C17F9B">
        <w:t xml:space="preserve">(1), e05123. </w:t>
      </w:r>
      <w:hyperlink r:id="rId173" w:history="1">
        <w:r w:rsidRPr="00C17F9B">
          <w:rPr>
            <w:rStyle w:val="Hyperlink"/>
          </w:rPr>
          <w:t>https://doi.org/10.2903/j.efsa.2018.5123</w:t>
        </w:r>
      </w:hyperlink>
      <w:r w:rsidRPr="00C17F9B">
        <w:t xml:space="preserve"> </w:t>
      </w:r>
    </w:p>
    <w:p w14:paraId="76455DC1" w14:textId="5228A0DB" w:rsidR="00C17F9B" w:rsidRPr="00C17F9B" w:rsidRDefault="00C17F9B" w:rsidP="00C17F9B">
      <w:pPr>
        <w:pStyle w:val="EndNoteBibliography"/>
        <w:spacing w:after="0"/>
        <w:ind w:left="720" w:hanging="720"/>
      </w:pPr>
      <w:r w:rsidRPr="00C17F9B">
        <w:t xml:space="preserve">EFSA Scientific Committee, Hardy A, Benford D, Halldorsson T, Jeger MJ, Knutsen KH, More S, Mortensen A, Naegeli H, &amp; Noteborn H. (2017). Update: use of the benchmark dose approach in risk assessment. </w:t>
      </w:r>
      <w:r w:rsidRPr="00C17F9B">
        <w:rPr>
          <w:i/>
        </w:rPr>
        <w:t>EFSA Journal</w:t>
      </w:r>
      <w:r w:rsidRPr="00C17F9B">
        <w:t>,</w:t>
      </w:r>
      <w:r w:rsidRPr="00C17F9B">
        <w:rPr>
          <w:i/>
        </w:rPr>
        <w:t xml:space="preserve"> 15</w:t>
      </w:r>
      <w:r w:rsidRPr="00C17F9B">
        <w:t xml:space="preserve">(1), e04658. </w:t>
      </w:r>
      <w:hyperlink r:id="rId174" w:history="1">
        <w:r w:rsidRPr="00C17F9B">
          <w:rPr>
            <w:rStyle w:val="Hyperlink"/>
          </w:rPr>
          <w:t>https://doi.org/10.2903/j.efsa.2017.4658</w:t>
        </w:r>
      </w:hyperlink>
      <w:r w:rsidRPr="00C17F9B">
        <w:t xml:space="preserve"> </w:t>
      </w:r>
    </w:p>
    <w:p w14:paraId="496D37AB" w14:textId="5369B985" w:rsidR="00C17F9B" w:rsidRPr="00C17F9B" w:rsidRDefault="00C17F9B" w:rsidP="00C17F9B">
      <w:pPr>
        <w:pStyle w:val="EndNoteBibliography"/>
        <w:spacing w:after="0"/>
        <w:ind w:left="720" w:hanging="720"/>
      </w:pPr>
      <w:r w:rsidRPr="00C17F9B">
        <w:t xml:space="preserve">El-Harakeh A, Morsi RZ, Fadlallah R, Bou-Karroum L, Lotfi T, &amp; Akl EA. (2019). Prioritization approaches in the development of health practice guidelines: a systematic review. </w:t>
      </w:r>
      <w:r w:rsidRPr="00C17F9B">
        <w:rPr>
          <w:i/>
        </w:rPr>
        <w:t>BMC health services research</w:t>
      </w:r>
      <w:r w:rsidRPr="00C17F9B">
        <w:t>,</w:t>
      </w:r>
      <w:r w:rsidRPr="00C17F9B">
        <w:rPr>
          <w:i/>
        </w:rPr>
        <w:t xml:space="preserve"> 19</w:t>
      </w:r>
      <w:r w:rsidRPr="00C17F9B">
        <w:t xml:space="preserve">, 1-10. </w:t>
      </w:r>
      <w:hyperlink r:id="rId175" w:history="1">
        <w:r w:rsidRPr="00C17F9B">
          <w:rPr>
            <w:rStyle w:val="Hyperlink"/>
          </w:rPr>
          <w:t>https://doi.org/10.1186/s12913-019-4567-2</w:t>
        </w:r>
      </w:hyperlink>
      <w:r w:rsidRPr="00C17F9B">
        <w:t xml:space="preserve"> </w:t>
      </w:r>
    </w:p>
    <w:p w14:paraId="6694F8FF" w14:textId="2F2AEAA9" w:rsidR="00C17F9B" w:rsidRPr="00C17F9B" w:rsidRDefault="00C17F9B" w:rsidP="00C17F9B">
      <w:pPr>
        <w:pStyle w:val="EndNoteBibliography"/>
        <w:spacing w:after="0"/>
        <w:ind w:left="720" w:hanging="720"/>
      </w:pPr>
      <w:r w:rsidRPr="00C17F9B">
        <w:t xml:space="preserve">Fairweather-Tait SJ, &amp; Collings R. (2010). Estimating the bioavailability factors needed for setting dietary reference values. </w:t>
      </w:r>
      <w:r w:rsidRPr="00C17F9B">
        <w:rPr>
          <w:i/>
        </w:rPr>
        <w:t>Int J Vitam Nutr Res</w:t>
      </w:r>
      <w:r w:rsidRPr="00C17F9B">
        <w:t>,</w:t>
      </w:r>
      <w:r w:rsidRPr="00C17F9B">
        <w:rPr>
          <w:i/>
        </w:rPr>
        <w:t xml:space="preserve"> 80</w:t>
      </w:r>
      <w:r w:rsidRPr="00C17F9B">
        <w:t xml:space="preserve">(4-5), 249-256. </w:t>
      </w:r>
      <w:hyperlink r:id="rId176" w:history="1">
        <w:r w:rsidRPr="00C17F9B">
          <w:rPr>
            <w:rStyle w:val="Hyperlink"/>
          </w:rPr>
          <w:t>https://doi.org/10.1024/0300-9831/a000031</w:t>
        </w:r>
      </w:hyperlink>
      <w:r w:rsidRPr="00C17F9B">
        <w:t xml:space="preserve"> </w:t>
      </w:r>
    </w:p>
    <w:p w14:paraId="449EF828" w14:textId="07E02205" w:rsidR="00C17F9B" w:rsidRPr="00C17F9B" w:rsidRDefault="00C17F9B" w:rsidP="00C17F9B">
      <w:pPr>
        <w:pStyle w:val="EndNoteBibliography"/>
        <w:spacing w:after="0"/>
        <w:ind w:left="720" w:hanging="720"/>
      </w:pPr>
      <w:r w:rsidRPr="00C17F9B">
        <w:t xml:space="preserve">FAO. (2024). </w:t>
      </w:r>
      <w:r w:rsidRPr="00C17F9B">
        <w:rPr>
          <w:i/>
        </w:rPr>
        <w:t>Review of derivation methods for dietary intake reference values for older infants and young children – FAO request for scientific advice to develop general principles for the establishment of Codex nutrient reference values for older infants and young children.</w:t>
      </w:r>
      <w:r w:rsidRPr="00C17F9B">
        <w:t xml:space="preserve"> Food and Agriculture Organization of the United Nations. </w:t>
      </w:r>
      <w:hyperlink r:id="rId177" w:history="1">
        <w:r w:rsidRPr="00C17F9B">
          <w:rPr>
            <w:rStyle w:val="Hyperlink"/>
          </w:rPr>
          <w:t>https://doi.org/10.4060/cb9380en</w:t>
        </w:r>
      </w:hyperlink>
      <w:r w:rsidRPr="00C17F9B">
        <w:t xml:space="preserve"> </w:t>
      </w:r>
    </w:p>
    <w:p w14:paraId="04846BD3" w14:textId="17441FB6" w:rsidR="00AF2674" w:rsidRPr="00AF2674" w:rsidRDefault="00AF2674" w:rsidP="00AF2674">
      <w:pPr>
        <w:pStyle w:val="EndNoteBibliography"/>
        <w:spacing w:after="0"/>
        <w:ind w:left="720" w:hanging="720"/>
      </w:pPr>
      <w:r w:rsidRPr="00AF2674">
        <w:t xml:space="preserve">Food Standards Australia New Zealand. (2016). </w:t>
      </w:r>
      <w:r w:rsidRPr="00AF2674">
        <w:rPr>
          <w:i/>
        </w:rPr>
        <w:t>Vitamins and minerals added to food</w:t>
      </w:r>
      <w:r w:rsidRPr="00AF2674">
        <w:t xml:space="preserve">. date accessed 1 September 2025 </w:t>
      </w:r>
      <w:hyperlink r:id="rId178" w:history="1">
        <w:r w:rsidRPr="00AF2674">
          <w:rPr>
            <w:rStyle w:val="Hyperlink"/>
          </w:rPr>
          <w:t>https://www.foodstandards.gov.au/consumer/food-fortification/vitamin-added</w:t>
        </w:r>
      </w:hyperlink>
    </w:p>
    <w:p w14:paraId="52055DAB" w14:textId="13F8FC2D" w:rsidR="00FD5765" w:rsidRPr="00FD5765" w:rsidRDefault="00FD5765" w:rsidP="00FD5765">
      <w:pPr>
        <w:pStyle w:val="EndNoteBibliography"/>
        <w:spacing w:after="0"/>
        <w:ind w:left="720" w:hanging="720"/>
      </w:pPr>
      <w:r w:rsidRPr="00FD5765">
        <w:t>Foods EPoNN, and Food Allergens, Turck D, Bohn T, Cámara M, Castenmiller J, de Hena</w:t>
      </w:r>
      <w:r w:rsidRPr="00FD5765">
        <w:rPr>
          <w:rFonts w:hint="eastAsia"/>
        </w:rPr>
        <w:t>uw S, Hirsch</w:t>
      </w:r>
      <w:r w:rsidRPr="00FD5765">
        <w:rPr>
          <w:rFonts w:hint="eastAsia"/>
        </w:rPr>
        <w:t>‐</w:t>
      </w:r>
      <w:r w:rsidRPr="00FD5765">
        <w:rPr>
          <w:rFonts w:hint="eastAsia"/>
        </w:rPr>
        <w:t>Ernst KI, Jos A,</w:t>
      </w:r>
      <w:r w:rsidRPr="00FD5765">
        <w:rPr>
          <w:rFonts w:hint="eastAsia"/>
        </w:rPr>
        <w:t>…</w:t>
      </w:r>
      <w:r w:rsidRPr="00FD5765">
        <w:rPr>
          <w:rFonts w:hint="eastAsia"/>
        </w:rPr>
        <w:t>Mangelsdorf I. (2024). Workshop report on human-to-human scaling approaches for the derivation of tolerable upper intake levels, European Food Safety Authority. Annex to: Guidance for establishing and applying tolerable upper</w:t>
      </w:r>
      <w:r w:rsidRPr="00FD5765">
        <w:t xml:space="preserve"> intake levels for vitamins and essential minerals. </w:t>
      </w:r>
      <w:r w:rsidRPr="00FD5765">
        <w:rPr>
          <w:i/>
        </w:rPr>
        <w:t>EFSA Journal</w:t>
      </w:r>
      <w:r w:rsidRPr="00FD5765">
        <w:t>,</w:t>
      </w:r>
      <w:r w:rsidRPr="00FD5765">
        <w:rPr>
          <w:i/>
        </w:rPr>
        <w:t xml:space="preserve"> 22</w:t>
      </w:r>
      <w:r w:rsidRPr="00FD5765">
        <w:t xml:space="preserve">(11), e9052. </w:t>
      </w:r>
      <w:hyperlink r:id="rId179" w:history="1">
        <w:r w:rsidRPr="00FD5765">
          <w:rPr>
            <w:rStyle w:val="Hyperlink"/>
          </w:rPr>
          <w:t>https://doi.org/10.2903/j.efsa.2024.NNNN</w:t>
        </w:r>
      </w:hyperlink>
      <w:r w:rsidRPr="00FD5765">
        <w:t xml:space="preserve"> </w:t>
      </w:r>
    </w:p>
    <w:p w14:paraId="25E28F77" w14:textId="60DCC3C7" w:rsidR="00FD5765" w:rsidRPr="00FD5765" w:rsidRDefault="00FD5765" w:rsidP="00FD5765">
      <w:pPr>
        <w:pStyle w:val="EndNoteBibliography"/>
        <w:spacing w:after="0"/>
        <w:ind w:left="720" w:hanging="720"/>
      </w:pPr>
      <w:r w:rsidRPr="00FD5765">
        <w:t xml:space="preserve">Gibson R. (2024). </w:t>
      </w:r>
      <w:r w:rsidRPr="00FD5765">
        <w:rPr>
          <w:i/>
        </w:rPr>
        <w:t>Principles of Nutritional Assessment. Nutrient Reference Values</w:t>
      </w:r>
      <w:r w:rsidRPr="00FD5765">
        <w:t xml:space="preserve">   date accessed 4 September 2025  </w:t>
      </w:r>
      <w:hyperlink r:id="rId180" w:history="1">
        <w:r w:rsidRPr="00FD5765">
          <w:rPr>
            <w:rStyle w:val="Hyperlink"/>
          </w:rPr>
          <w:t>https://nutritionalassessment.org/nrv/</w:t>
        </w:r>
      </w:hyperlink>
      <w:r w:rsidRPr="00FD5765">
        <w:t xml:space="preserve"> </w:t>
      </w:r>
    </w:p>
    <w:p w14:paraId="32884D8C" w14:textId="6F292774" w:rsidR="00C17F9B" w:rsidRPr="00C17F9B" w:rsidRDefault="00C17F9B" w:rsidP="00C17F9B">
      <w:pPr>
        <w:pStyle w:val="EndNoteBibliography"/>
        <w:spacing w:after="0"/>
        <w:ind w:left="720" w:hanging="720"/>
      </w:pPr>
      <w:r w:rsidRPr="00C17F9B">
        <w:rPr>
          <w:i/>
        </w:rPr>
        <w:t>GRADE Guidance series</w:t>
      </w:r>
      <w:r w:rsidRPr="00C17F9B">
        <w:t xml:space="preserve">. (2024).  date accessed 18 August 2025, </w:t>
      </w:r>
      <w:hyperlink r:id="rId181" w:history="1">
        <w:r w:rsidRPr="00C17F9B">
          <w:rPr>
            <w:rStyle w:val="Hyperlink"/>
          </w:rPr>
          <w:t>https://www.sciencedirect.com/special-issue/10F8V3S0J7V</w:t>
        </w:r>
      </w:hyperlink>
    </w:p>
    <w:p w14:paraId="63DFF457" w14:textId="49CBEFD2" w:rsidR="00C17F9B" w:rsidRPr="00C17F9B" w:rsidRDefault="00C17F9B" w:rsidP="00C17F9B">
      <w:pPr>
        <w:pStyle w:val="EndNoteBibliography"/>
        <w:spacing w:after="0"/>
        <w:ind w:left="720" w:hanging="720"/>
      </w:pPr>
      <w:r w:rsidRPr="00C17F9B">
        <w:t xml:space="preserve">Greenland S, &amp; Longnecker MP. (1992). Methods for trend estimation from summarized dose-response data, with applications to meta-analysis. </w:t>
      </w:r>
      <w:r w:rsidRPr="00C17F9B">
        <w:rPr>
          <w:i/>
        </w:rPr>
        <w:t>American journal of epidemiology</w:t>
      </w:r>
      <w:r w:rsidRPr="00C17F9B">
        <w:t>,</w:t>
      </w:r>
      <w:r w:rsidRPr="00C17F9B">
        <w:rPr>
          <w:i/>
        </w:rPr>
        <w:t xml:space="preserve"> 135</w:t>
      </w:r>
      <w:r w:rsidRPr="00C17F9B">
        <w:t>(11), 1301-1309.</w:t>
      </w:r>
      <w:r w:rsidR="00FD5765" w:rsidRPr="00FD5765">
        <w:t xml:space="preserve"> </w:t>
      </w:r>
      <w:hyperlink r:id="rId182" w:history="1">
        <w:r w:rsidR="00FD5765" w:rsidRPr="00FD5765">
          <w:rPr>
            <w:rStyle w:val="Hyperlink"/>
          </w:rPr>
          <w:t>https://doi.org/10.1093/oxfordjournals.aje.a116237</w:t>
        </w:r>
      </w:hyperlink>
      <w:r w:rsidRPr="00C17F9B">
        <w:t xml:space="preserve"> </w:t>
      </w:r>
    </w:p>
    <w:p w14:paraId="5935CD06" w14:textId="63AD24A7" w:rsidR="00C17F9B" w:rsidRPr="00C17F9B" w:rsidRDefault="00C17F9B" w:rsidP="00C17F9B">
      <w:pPr>
        <w:pStyle w:val="EndNoteBibliography"/>
        <w:spacing w:after="0"/>
        <w:ind w:left="720" w:hanging="720"/>
      </w:pPr>
      <w:r w:rsidRPr="00C17F9B">
        <w:t xml:space="preserve">Guyatt G, Oxman AD, Akl EA, Kunz R, Vist G, Brozek J, Norris S, Falck-Ytter Y, Glasziou P,…Schünemann HJ. (2011). GRADE guidelines: 1. Introduction-GRADE evidence profiles and summary of findings tables. </w:t>
      </w:r>
      <w:r w:rsidRPr="00C17F9B">
        <w:rPr>
          <w:i/>
        </w:rPr>
        <w:t>J Clin Epidemiol</w:t>
      </w:r>
      <w:r w:rsidRPr="00C17F9B">
        <w:t>,</w:t>
      </w:r>
      <w:r w:rsidRPr="00C17F9B">
        <w:rPr>
          <w:i/>
        </w:rPr>
        <w:t xml:space="preserve"> 64</w:t>
      </w:r>
      <w:r w:rsidRPr="00C17F9B">
        <w:t xml:space="preserve">(4), 383-394. </w:t>
      </w:r>
      <w:hyperlink r:id="rId183" w:history="1">
        <w:r w:rsidRPr="00C17F9B">
          <w:rPr>
            <w:rStyle w:val="Hyperlink"/>
          </w:rPr>
          <w:t>https://doi.org/10.1016/j.jclinepi.2010.04.026</w:t>
        </w:r>
      </w:hyperlink>
      <w:r w:rsidRPr="00C17F9B">
        <w:t xml:space="preserve"> </w:t>
      </w:r>
    </w:p>
    <w:p w14:paraId="7E34C177" w14:textId="2B505236" w:rsidR="00C17F9B" w:rsidRPr="00C17F9B" w:rsidRDefault="00C17F9B" w:rsidP="00C17F9B">
      <w:pPr>
        <w:pStyle w:val="EndNoteBibliography"/>
        <w:spacing w:after="0"/>
        <w:ind w:left="720" w:hanging="720"/>
      </w:pPr>
      <w:r w:rsidRPr="00C17F9B">
        <w:t xml:space="preserve">Guyatt G, Oxman AD, Sultan S, Brozek J, Glasziou P, Alonso-Coello P, Atkins D, Kunz R, Montori V,…Schünemann HJ. (2013a). GRADE guidelines: 11. Making an overall rating of confidence in effect estimates for a single outcome and for all outcomes. </w:t>
      </w:r>
      <w:r w:rsidRPr="00C17F9B">
        <w:rPr>
          <w:i/>
        </w:rPr>
        <w:t>J Clin Epidemiol</w:t>
      </w:r>
      <w:r w:rsidRPr="00C17F9B">
        <w:t>,</w:t>
      </w:r>
      <w:r w:rsidRPr="00C17F9B">
        <w:rPr>
          <w:i/>
        </w:rPr>
        <w:t xml:space="preserve"> 66</w:t>
      </w:r>
      <w:r w:rsidRPr="00C17F9B">
        <w:t xml:space="preserve">(2), 151-157. </w:t>
      </w:r>
      <w:hyperlink r:id="rId184" w:history="1">
        <w:r w:rsidRPr="00C17F9B">
          <w:rPr>
            <w:rStyle w:val="Hyperlink"/>
          </w:rPr>
          <w:t>https://doi.org/10.1016/j.jclinepi.2012.01.006</w:t>
        </w:r>
      </w:hyperlink>
      <w:r w:rsidRPr="00C17F9B">
        <w:t xml:space="preserve"> </w:t>
      </w:r>
    </w:p>
    <w:p w14:paraId="1DF44DD6" w14:textId="06074101" w:rsidR="00C17F9B" w:rsidRPr="00C17F9B" w:rsidRDefault="00C17F9B" w:rsidP="00C17F9B">
      <w:pPr>
        <w:pStyle w:val="EndNoteBibliography"/>
        <w:spacing w:after="0"/>
        <w:ind w:left="720" w:hanging="720"/>
      </w:pPr>
      <w:r w:rsidRPr="00C17F9B">
        <w:t xml:space="preserve">Guyatt GH, Thorlund K, Oxman AD, Walter SD, Patrick D, Furukawa TA, Johnston BC, Karanicolas P, Akl EA,…Schunemann HJ. (2013b). GRADE guidelines: 13. Preparing summary of findings tables and evidence profiles-continuous outcomes. </w:t>
      </w:r>
      <w:r w:rsidRPr="00C17F9B">
        <w:rPr>
          <w:i/>
        </w:rPr>
        <w:t>J Clin Epidemiol</w:t>
      </w:r>
      <w:r w:rsidRPr="00C17F9B">
        <w:t>,</w:t>
      </w:r>
      <w:r w:rsidRPr="00C17F9B">
        <w:rPr>
          <w:i/>
        </w:rPr>
        <w:t xml:space="preserve"> 66</w:t>
      </w:r>
      <w:r w:rsidRPr="00C17F9B">
        <w:t xml:space="preserve">(2), 173-183. </w:t>
      </w:r>
      <w:hyperlink r:id="rId185" w:history="1">
        <w:r w:rsidRPr="00C17F9B">
          <w:rPr>
            <w:rStyle w:val="Hyperlink"/>
          </w:rPr>
          <w:t>https://doi.org/10.1016/j.jclinepi.2012.08.001</w:t>
        </w:r>
      </w:hyperlink>
      <w:r w:rsidRPr="00C17F9B">
        <w:t xml:space="preserve"> </w:t>
      </w:r>
    </w:p>
    <w:p w14:paraId="44DE1284" w14:textId="40607F33" w:rsidR="00C17F9B" w:rsidRPr="00C17F9B" w:rsidRDefault="00C17F9B" w:rsidP="00C17F9B">
      <w:pPr>
        <w:pStyle w:val="EndNoteBibliography"/>
        <w:spacing w:after="0"/>
        <w:ind w:left="720" w:hanging="720"/>
      </w:pPr>
      <w:r w:rsidRPr="00C17F9B">
        <w:t xml:space="preserve">Higgins J, Lasserson T, Thomas J, Flemyng E, &amp; Churchill R. (2023). </w:t>
      </w:r>
      <w:r w:rsidRPr="00C17F9B">
        <w:rPr>
          <w:i/>
        </w:rPr>
        <w:t xml:space="preserve">Methodological Expectations of Cochrane Intervention Reviews (MECIR). Standards for the conduct of new Cochrane </w:t>
      </w:r>
      <w:r w:rsidRPr="00C17F9B">
        <w:rPr>
          <w:i/>
        </w:rPr>
        <w:lastRenderedPageBreak/>
        <w:t>Intervention Reviews and the planning and conduct of updates</w:t>
      </w:r>
      <w:r w:rsidRPr="00C17F9B">
        <w:t xml:space="preserve">   date accessed 18 August 2025, </w:t>
      </w:r>
      <w:hyperlink r:id="rId186" w:history="1">
        <w:r w:rsidRPr="00C17F9B">
          <w:rPr>
            <w:rStyle w:val="Hyperlink"/>
          </w:rPr>
          <w:t>https://www.cochrane.org/authors/handbooks-and-manuals/mecir-manual</w:t>
        </w:r>
      </w:hyperlink>
      <w:r w:rsidRPr="00C17F9B">
        <w:t xml:space="preserve"> </w:t>
      </w:r>
    </w:p>
    <w:p w14:paraId="27753030" w14:textId="69CC9786" w:rsidR="00C17F9B" w:rsidRPr="00C17F9B" w:rsidRDefault="00C17F9B" w:rsidP="00C17F9B">
      <w:pPr>
        <w:pStyle w:val="EndNoteBibliography"/>
        <w:spacing w:after="0"/>
        <w:ind w:left="720" w:hanging="720"/>
      </w:pPr>
      <w:r w:rsidRPr="00C17F9B">
        <w:t xml:space="preserve">Higgins JPT, Thomas J, Chandler J, Cumpston M, Li T, Page MJ, Welch VA, &amp; Cochrane Collaboration. (2019). </w:t>
      </w:r>
      <w:r w:rsidRPr="00C17F9B">
        <w:rPr>
          <w:i/>
        </w:rPr>
        <w:t>Cochrane handbook for systematic reviews of interventions</w:t>
      </w:r>
      <w:r w:rsidRPr="00C17F9B">
        <w:t xml:space="preserve"> (Second edition. ed.). Wiley-Blackwell,. date accessed 18 August 2025, </w:t>
      </w:r>
      <w:hyperlink r:id="rId187" w:history="1">
        <w:r w:rsidRPr="00C17F9B">
          <w:rPr>
            <w:rStyle w:val="Hyperlink"/>
          </w:rPr>
          <w:t>https://ezproxy.lib.monash.edu.au/login?url=https://onlinelibrary.wiley.com/doi/book/10.1002/9781119536604</w:t>
        </w:r>
      </w:hyperlink>
      <w:r w:rsidRPr="00C17F9B">
        <w:t xml:space="preserve"> </w:t>
      </w:r>
    </w:p>
    <w:p w14:paraId="2E5A404F" w14:textId="6002435B" w:rsidR="00C17F9B" w:rsidRPr="00C17F9B" w:rsidRDefault="00C17F9B" w:rsidP="00C17F9B">
      <w:pPr>
        <w:pStyle w:val="EndNoteBibliography"/>
        <w:spacing w:after="0"/>
        <w:ind w:left="720" w:hanging="720"/>
      </w:pPr>
      <w:r w:rsidRPr="00C17F9B">
        <w:t xml:space="preserve">King JC, Vorster HH, &amp; Tome DG. (2007). Nutrient intake values (NIVs): a recommended terminology and framework for the derivation of values [Review]. </w:t>
      </w:r>
      <w:r w:rsidRPr="00C17F9B">
        <w:rPr>
          <w:i/>
        </w:rPr>
        <w:t>Food Nutr Bull</w:t>
      </w:r>
      <w:r w:rsidRPr="00C17F9B">
        <w:t>,</w:t>
      </w:r>
      <w:r w:rsidRPr="00C17F9B">
        <w:rPr>
          <w:i/>
        </w:rPr>
        <w:t xml:space="preserve"> 28</w:t>
      </w:r>
      <w:r w:rsidRPr="00C17F9B">
        <w:t xml:space="preserve">(1 Suppl International), S16-26. </w:t>
      </w:r>
      <w:hyperlink r:id="rId188" w:history="1">
        <w:r w:rsidRPr="00C17F9B">
          <w:rPr>
            <w:rStyle w:val="Hyperlink"/>
          </w:rPr>
          <w:t>https://doi.org/10.1177/15648265070281S103</w:t>
        </w:r>
      </w:hyperlink>
      <w:r w:rsidRPr="00C17F9B">
        <w:t xml:space="preserve"> </w:t>
      </w:r>
    </w:p>
    <w:p w14:paraId="2520A29A" w14:textId="02EC687A" w:rsidR="00C17F9B" w:rsidRPr="00C17F9B" w:rsidRDefault="00C17F9B" w:rsidP="00C17F9B">
      <w:pPr>
        <w:pStyle w:val="EndNoteBibliography"/>
        <w:spacing w:after="0"/>
        <w:ind w:left="720" w:hanging="720"/>
      </w:pPr>
      <w:r w:rsidRPr="00C17F9B">
        <w:t xml:space="preserve">Klugar M, Lotfi T, Darzi AJ, Reinap M, Klugarová J, Kantorová L, Xia J, Brignardello-Petersen R, Pokorná A,…Schünemann HJ. (2024). GRADE guidance 39: using GRADE-ADOLOPMENT to adopt, adapt or create contextualized recommendations from source guidelines and evidence syntheses. </w:t>
      </w:r>
      <w:r w:rsidRPr="00C17F9B">
        <w:rPr>
          <w:i/>
        </w:rPr>
        <w:t>Journal of Clinical Epidemiology</w:t>
      </w:r>
      <w:r w:rsidRPr="00C17F9B">
        <w:t>,</w:t>
      </w:r>
      <w:r w:rsidRPr="00C17F9B">
        <w:rPr>
          <w:i/>
        </w:rPr>
        <w:t xml:space="preserve"> 174</w:t>
      </w:r>
      <w:r w:rsidRPr="00C17F9B">
        <w:t xml:space="preserve">, 111494. </w:t>
      </w:r>
      <w:hyperlink r:id="rId189" w:history="1">
        <w:r w:rsidRPr="00C17F9B">
          <w:rPr>
            <w:rStyle w:val="Hyperlink"/>
          </w:rPr>
          <w:t>https://doi.org/10.1016/j.jclinepi.2024.111494</w:t>
        </w:r>
      </w:hyperlink>
      <w:r w:rsidRPr="00C17F9B">
        <w:t xml:space="preserve"> </w:t>
      </w:r>
    </w:p>
    <w:p w14:paraId="59B28697" w14:textId="6187FCAA" w:rsidR="00C17F9B" w:rsidRPr="00C17F9B" w:rsidRDefault="00C17F9B" w:rsidP="00C17F9B">
      <w:pPr>
        <w:pStyle w:val="EndNoteBibliography"/>
        <w:spacing w:after="0"/>
        <w:ind w:left="720" w:hanging="720"/>
      </w:pPr>
      <w:r w:rsidRPr="00C17F9B">
        <w:t xml:space="preserve">Matthys C, van't Veer P, Groot L, Hooper L, Cavelaars A, Berry R, Donutske-Rutten R, Harvey L, Casgrain A,…Contor L. (2011). EURRECA's approach for estimating micronutrient requirements. </w:t>
      </w:r>
      <w:r w:rsidRPr="00C17F9B">
        <w:rPr>
          <w:i/>
        </w:rPr>
        <w:t>International journal for vitamin and nutrition research.</w:t>
      </w:r>
      <w:r w:rsidRPr="00C17F9B">
        <w:t>,</w:t>
      </w:r>
      <w:r w:rsidRPr="00C17F9B">
        <w:rPr>
          <w:i/>
        </w:rPr>
        <w:t xml:space="preserve"> 81</w:t>
      </w:r>
      <w:r w:rsidRPr="00C17F9B">
        <w:t xml:space="preserve">, 256-263. </w:t>
      </w:r>
      <w:hyperlink r:id="rId190" w:history="1">
        <w:r w:rsidRPr="00C17F9B">
          <w:rPr>
            <w:rStyle w:val="Hyperlink"/>
          </w:rPr>
          <w:t>https://doi.org/10.1024/0300-9831/a000071</w:t>
        </w:r>
      </w:hyperlink>
      <w:r w:rsidRPr="00C17F9B">
        <w:t xml:space="preserve"> </w:t>
      </w:r>
    </w:p>
    <w:p w14:paraId="5CF8F51D" w14:textId="048FCDCC" w:rsidR="00C17F9B" w:rsidRPr="00C17F9B" w:rsidRDefault="00C17F9B" w:rsidP="00C17F9B">
      <w:pPr>
        <w:pStyle w:val="EndNoteBibliography"/>
        <w:spacing w:after="0"/>
        <w:ind w:left="720" w:hanging="720"/>
      </w:pPr>
      <w:r w:rsidRPr="00C17F9B">
        <w:t xml:space="preserve">Ministry of Health. (2019). </w:t>
      </w:r>
      <w:r w:rsidRPr="00C17F9B">
        <w:rPr>
          <w:i/>
        </w:rPr>
        <w:t>Annual Data Explorer 2018/19: New Zealand Health Survey</w:t>
      </w:r>
      <w:r w:rsidRPr="00C17F9B">
        <w:t xml:space="preserve"> (date accessed 13 August 2025 </w:t>
      </w:r>
      <w:hyperlink r:id="rId191" w:history="1">
        <w:r w:rsidRPr="00C17F9B">
          <w:rPr>
            <w:rStyle w:val="Hyperlink"/>
          </w:rPr>
          <w:t>https://minhealthnz.shinyapps.io/nz-health-survey-2018-19-annual-data-explorer/</w:t>
        </w:r>
      </w:hyperlink>
      <w:r w:rsidRPr="00C17F9B">
        <w:t xml:space="preserve">) </w:t>
      </w:r>
    </w:p>
    <w:p w14:paraId="7739A2A0" w14:textId="70FB07F8" w:rsidR="00C17F9B" w:rsidRPr="00C17F9B" w:rsidRDefault="00C17F9B" w:rsidP="00C17F9B">
      <w:pPr>
        <w:pStyle w:val="EndNoteBibliography"/>
        <w:spacing w:after="0"/>
        <w:ind w:left="720" w:hanging="720"/>
      </w:pPr>
      <w:r w:rsidRPr="00C17F9B">
        <w:t xml:space="preserve">Ministry of Health. (2022). </w:t>
      </w:r>
      <w:r w:rsidRPr="00C17F9B">
        <w:rPr>
          <w:i/>
        </w:rPr>
        <w:t>Annual Data Explorer 2019/20: New Zealand Health Survey</w:t>
      </w:r>
      <w:r w:rsidRPr="00C17F9B">
        <w:t xml:space="preserve"> (date accessed 13 August 2025 </w:t>
      </w:r>
      <w:hyperlink r:id="rId192" w:history="1">
        <w:r w:rsidRPr="00C17F9B">
          <w:rPr>
            <w:rStyle w:val="Hyperlink"/>
          </w:rPr>
          <w:t>https://minhealthnz.shinyapps.io/nz-health-survey-2019-20-annual-data-explorer/</w:t>
        </w:r>
      </w:hyperlink>
      <w:r w:rsidRPr="00C17F9B">
        <w:t xml:space="preserve">) </w:t>
      </w:r>
    </w:p>
    <w:p w14:paraId="4B9DBEBC" w14:textId="47043805" w:rsidR="00AF2674" w:rsidRPr="00AF2674" w:rsidRDefault="00AF2674" w:rsidP="00AF2674">
      <w:pPr>
        <w:pStyle w:val="EndNoteBibliography"/>
        <w:spacing w:after="0"/>
        <w:ind w:left="720" w:hanging="720"/>
      </w:pPr>
      <w:r w:rsidRPr="00AF2674">
        <w:t xml:space="preserve">Moberg J, Oxman AD, Rosenbaum S, Schünemann HJ, Guyatt G, Flottorp S, Glenton C, Lewin S, Morelli A, &amp; Rada G. (2018). The GRADE Evidence to Decision (EtD) framework for health system and public health decisions. </w:t>
      </w:r>
      <w:r w:rsidRPr="00AF2674">
        <w:rPr>
          <w:i/>
        </w:rPr>
        <w:t>Health research policy and systems</w:t>
      </w:r>
      <w:r w:rsidRPr="00AF2674">
        <w:t>,</w:t>
      </w:r>
      <w:r w:rsidRPr="00AF2674">
        <w:rPr>
          <w:i/>
        </w:rPr>
        <w:t xml:space="preserve"> 16</w:t>
      </w:r>
      <w:r w:rsidRPr="00AF2674">
        <w:t xml:space="preserve">(1), 45. </w:t>
      </w:r>
      <w:hyperlink r:id="rId193" w:history="1">
        <w:r w:rsidRPr="00AF2674">
          <w:rPr>
            <w:rStyle w:val="Hyperlink"/>
          </w:rPr>
          <w:t>https://doi.org/10.1186/s12961-018-0320-2</w:t>
        </w:r>
      </w:hyperlink>
      <w:r w:rsidRPr="00AF2674">
        <w:t xml:space="preserve"> </w:t>
      </w:r>
    </w:p>
    <w:p w14:paraId="007F3F51" w14:textId="1EBDB81C" w:rsidR="00C17F9B" w:rsidRPr="00C17F9B" w:rsidRDefault="00C17F9B" w:rsidP="00C17F9B">
      <w:pPr>
        <w:pStyle w:val="EndNoteBibliography"/>
        <w:spacing w:after="0"/>
        <w:ind w:left="720" w:hanging="720"/>
      </w:pPr>
      <w:r w:rsidRPr="00C17F9B">
        <w:t xml:space="preserve">NASEM. (2017). </w:t>
      </w:r>
      <w:r w:rsidRPr="00C17F9B">
        <w:rPr>
          <w:i/>
        </w:rPr>
        <w:t>Guiding Principles for Developing Dietary Reference Intakes Based on Chronic Disease</w:t>
      </w:r>
      <w:r w:rsidRPr="00C17F9B">
        <w:t xml:space="preserve">. The National Academies Press. </w:t>
      </w:r>
      <w:hyperlink r:id="rId194" w:history="1">
        <w:r w:rsidRPr="00C17F9B">
          <w:rPr>
            <w:rStyle w:val="Hyperlink"/>
          </w:rPr>
          <w:t>https://doi.org/doi:10.17226/24828</w:t>
        </w:r>
      </w:hyperlink>
      <w:r w:rsidRPr="00C17F9B">
        <w:t xml:space="preserve"> </w:t>
      </w:r>
    </w:p>
    <w:p w14:paraId="796D4433" w14:textId="1DDA0127" w:rsidR="00C17F9B" w:rsidRPr="00C17F9B" w:rsidRDefault="00C17F9B" w:rsidP="00C17F9B">
      <w:pPr>
        <w:pStyle w:val="EndNoteBibliography"/>
        <w:spacing w:after="0"/>
        <w:ind w:left="720" w:hanging="720"/>
      </w:pPr>
      <w:r w:rsidRPr="00C17F9B">
        <w:t xml:space="preserve">NASEM. (2018). </w:t>
      </w:r>
      <w:r w:rsidRPr="00C17F9B">
        <w:rPr>
          <w:i/>
        </w:rPr>
        <w:t>Harmonization of Approaches to Nutrient Reference Values: Applications to Young Children and Women of Reproductive Age</w:t>
      </w:r>
      <w:r w:rsidRPr="00C17F9B">
        <w:t xml:space="preserve">. National Academies Press (US) </w:t>
      </w:r>
      <w:hyperlink r:id="rId195" w:history="1">
        <w:r w:rsidRPr="00C17F9B">
          <w:rPr>
            <w:rStyle w:val="Hyperlink"/>
          </w:rPr>
          <w:t>https://doi.org/10.17226/25148</w:t>
        </w:r>
      </w:hyperlink>
      <w:r w:rsidRPr="00C17F9B">
        <w:t xml:space="preserve"> </w:t>
      </w:r>
    </w:p>
    <w:p w14:paraId="23A079A0" w14:textId="77DC6A33" w:rsidR="00C17F9B" w:rsidRPr="00C17F9B" w:rsidRDefault="00C17F9B" w:rsidP="00C17F9B">
      <w:pPr>
        <w:pStyle w:val="EndNoteBibliography"/>
        <w:spacing w:after="0"/>
        <w:ind w:left="720" w:hanging="720"/>
      </w:pPr>
      <w:r w:rsidRPr="00C17F9B">
        <w:t xml:space="preserve">NASEM. (2022). </w:t>
      </w:r>
      <w:r w:rsidRPr="00C17F9B">
        <w:rPr>
          <w:i/>
        </w:rPr>
        <w:t>Defining populations for Dietary Reference Intake Recommendations: a letter report</w:t>
      </w:r>
      <w:r w:rsidRPr="00C17F9B">
        <w:t xml:space="preserve">. The National Academies Press. </w:t>
      </w:r>
      <w:hyperlink r:id="rId196" w:history="1">
        <w:r w:rsidRPr="00C17F9B">
          <w:rPr>
            <w:rStyle w:val="Hyperlink"/>
          </w:rPr>
          <w:t>https://doi.org/https://doi.org/10.17226/26733</w:t>
        </w:r>
      </w:hyperlink>
      <w:r w:rsidRPr="00C17F9B">
        <w:t xml:space="preserve">. </w:t>
      </w:r>
    </w:p>
    <w:p w14:paraId="15169727" w14:textId="4DAC524B" w:rsidR="00C17F9B" w:rsidRPr="00C17F9B" w:rsidRDefault="00C17F9B" w:rsidP="00C17F9B">
      <w:pPr>
        <w:pStyle w:val="EndNoteBibliography"/>
        <w:spacing w:after="0"/>
        <w:ind w:left="720" w:hanging="720"/>
      </w:pPr>
      <w:r w:rsidRPr="00C17F9B">
        <w:t xml:space="preserve">NASEM. (2023). </w:t>
      </w:r>
      <w:r w:rsidRPr="00C17F9B">
        <w:rPr>
          <w:i/>
        </w:rPr>
        <w:t>Using Systematic Reviews to Support Future Dietary Reference Intakes: A Letter Report</w:t>
      </w:r>
      <w:r w:rsidRPr="00C17F9B">
        <w:t xml:space="preserve">. The National Academies Press. </w:t>
      </w:r>
      <w:hyperlink r:id="rId197" w:history="1">
        <w:r w:rsidRPr="00C17F9B">
          <w:rPr>
            <w:rStyle w:val="Hyperlink"/>
          </w:rPr>
          <w:t>https://doi.org/https://doi.org/10.17226/27031</w:t>
        </w:r>
      </w:hyperlink>
      <w:r w:rsidRPr="00C17F9B">
        <w:t xml:space="preserve">. </w:t>
      </w:r>
    </w:p>
    <w:p w14:paraId="196D7A94" w14:textId="6491DCDF" w:rsidR="00C17F9B" w:rsidRPr="00C17F9B" w:rsidRDefault="00C17F9B" w:rsidP="00C17F9B">
      <w:pPr>
        <w:pStyle w:val="EndNoteBibliography"/>
        <w:spacing w:after="0"/>
        <w:ind w:left="720" w:hanging="720"/>
      </w:pPr>
      <w:r w:rsidRPr="00C17F9B">
        <w:t xml:space="preserve">NASEM. (2024). Rethinking the Acceptable Macronutrient Distribution Range for the 21st Century: A Letter Report. </w:t>
      </w:r>
      <w:hyperlink r:id="rId198" w:history="1">
        <w:r w:rsidRPr="00C17F9B">
          <w:rPr>
            <w:rStyle w:val="Hyperlink"/>
          </w:rPr>
          <w:t>https://doi.org/10.17226/27957</w:t>
        </w:r>
      </w:hyperlink>
      <w:r w:rsidRPr="00C17F9B">
        <w:t xml:space="preserve"> </w:t>
      </w:r>
    </w:p>
    <w:p w14:paraId="655F66F6" w14:textId="4CF6103F" w:rsidR="00C17F9B" w:rsidRPr="00C17F9B" w:rsidRDefault="00C17F9B" w:rsidP="00C17F9B">
      <w:pPr>
        <w:pStyle w:val="EndNoteBibliography"/>
        <w:spacing w:after="0"/>
        <w:ind w:left="720" w:hanging="720"/>
      </w:pPr>
      <w:r w:rsidRPr="00C17F9B">
        <w:t xml:space="preserve">Neumann I, Brennan S, Meerpohl J, Davoli M, Coello PA, Akl E, Dahm P, Skoetz N, Xia J,…Schünemann HJ. (2025). </w:t>
      </w:r>
      <w:r w:rsidRPr="00C17F9B">
        <w:rPr>
          <w:i/>
        </w:rPr>
        <w:t>GRADE Book</w:t>
      </w:r>
      <w:r w:rsidRPr="00C17F9B">
        <w:t xml:space="preserve">   date accessed 18 August 2025, </w:t>
      </w:r>
      <w:hyperlink r:id="rId199" w:history="1">
        <w:r w:rsidRPr="00C17F9B">
          <w:rPr>
            <w:rStyle w:val="Hyperlink"/>
          </w:rPr>
          <w:t>https://book.gradepro.org/</w:t>
        </w:r>
      </w:hyperlink>
      <w:r w:rsidRPr="00C17F9B">
        <w:t xml:space="preserve"> </w:t>
      </w:r>
    </w:p>
    <w:p w14:paraId="29A30B61" w14:textId="51AF9EFD" w:rsidR="00C17F9B" w:rsidRPr="00C17F9B" w:rsidRDefault="00C17F9B" w:rsidP="00C17F9B">
      <w:pPr>
        <w:pStyle w:val="EndNoteBibliography"/>
        <w:spacing w:after="0"/>
        <w:ind w:left="720" w:hanging="720"/>
      </w:pPr>
      <w:r w:rsidRPr="00C17F9B">
        <w:t xml:space="preserve">NHMRC. (2006). </w:t>
      </w:r>
      <w:r w:rsidRPr="00C17F9B">
        <w:rPr>
          <w:i/>
        </w:rPr>
        <w:t>Nutrient Reference Values for Australia and New Zealand.</w:t>
      </w:r>
      <w:r w:rsidRPr="00C17F9B">
        <w:t xml:space="preserve">   date accessed 18 August 2025, </w:t>
      </w:r>
      <w:hyperlink r:id="rId200" w:history="1">
        <w:r w:rsidRPr="00C17F9B">
          <w:rPr>
            <w:rStyle w:val="Hyperlink"/>
          </w:rPr>
          <w:t>https://www.nhmrc.gov.au/about-us/publications/nutrient-reference-values-australia-and-new-zealand-including-recommended-dietary-intakes</w:t>
        </w:r>
      </w:hyperlink>
      <w:r w:rsidRPr="00C17F9B">
        <w:t xml:space="preserve"> </w:t>
      </w:r>
    </w:p>
    <w:p w14:paraId="48C93057" w14:textId="1B218344" w:rsidR="00C17F9B" w:rsidRPr="00C17F9B" w:rsidRDefault="00C17F9B" w:rsidP="00C17F9B">
      <w:pPr>
        <w:pStyle w:val="EndNoteBibliography"/>
        <w:spacing w:after="0"/>
        <w:ind w:left="720" w:hanging="720"/>
      </w:pPr>
      <w:r w:rsidRPr="00C17F9B">
        <w:lastRenderedPageBreak/>
        <w:t xml:space="preserve">NHMRC. (2011). </w:t>
      </w:r>
      <w:r w:rsidRPr="00C17F9B">
        <w:rPr>
          <w:i/>
        </w:rPr>
        <w:t>A modelling system to inform the revision of the Australian Guide to Healthy Eating</w:t>
      </w:r>
      <w:r w:rsidRPr="00C17F9B">
        <w:t xml:space="preserve">   date accessed 18 August 2025, </w:t>
      </w:r>
      <w:hyperlink r:id="rId201" w:history="1">
        <w:r w:rsidRPr="00C17F9B">
          <w:rPr>
            <w:rStyle w:val="Hyperlink"/>
          </w:rPr>
          <w:t>https://www.eatforhealth.gov.au/sites/default/files/files/the_guidelines/n55c_dietary_guidelines_food_modelling.pdf</w:t>
        </w:r>
      </w:hyperlink>
      <w:r w:rsidRPr="00C17F9B">
        <w:t xml:space="preserve"> </w:t>
      </w:r>
    </w:p>
    <w:p w14:paraId="5F61ED6D" w14:textId="57154E19" w:rsidR="00C17F9B" w:rsidRPr="00C17F9B" w:rsidRDefault="00C17F9B" w:rsidP="00C17F9B">
      <w:pPr>
        <w:pStyle w:val="EndNoteBibliography"/>
        <w:spacing w:after="0"/>
        <w:ind w:left="720" w:hanging="720"/>
      </w:pPr>
      <w:r w:rsidRPr="00C17F9B">
        <w:t xml:space="preserve">NHMRC. (2018). </w:t>
      </w:r>
      <w:r w:rsidRPr="00C17F9B">
        <w:rPr>
          <w:i/>
        </w:rPr>
        <w:t>Guidelines for Guidelines: Adopt, adapt or start from scratch</w:t>
      </w:r>
      <w:r w:rsidRPr="00C17F9B">
        <w:t xml:space="preserve">   date accessed 13 August 2025 </w:t>
      </w:r>
      <w:hyperlink r:id="rId202" w:history="1">
        <w:r w:rsidRPr="00C17F9B">
          <w:rPr>
            <w:rStyle w:val="Hyperlink"/>
          </w:rPr>
          <w:t>https://www.nhmrc.gov.au/guidelinesforguidelines/plan/adopt-adapt-or-start-scratch</w:t>
        </w:r>
      </w:hyperlink>
      <w:r w:rsidRPr="00C17F9B">
        <w:t xml:space="preserve"> </w:t>
      </w:r>
    </w:p>
    <w:p w14:paraId="4E7C2C1D" w14:textId="71969D24" w:rsidR="00C17F9B" w:rsidRPr="00C17F9B" w:rsidRDefault="00C17F9B" w:rsidP="00C17F9B">
      <w:pPr>
        <w:pStyle w:val="EndNoteBibliography"/>
        <w:spacing w:after="0"/>
        <w:ind w:left="720" w:hanging="720"/>
      </w:pPr>
      <w:r w:rsidRPr="00C17F9B">
        <w:t xml:space="preserve">NHMRC. (2019a). </w:t>
      </w:r>
      <w:r w:rsidRPr="00C17F9B">
        <w:rPr>
          <w:i/>
        </w:rPr>
        <w:t>Guidelines for Guidelines: Assessing certainty of evidence</w:t>
      </w:r>
      <w:r w:rsidRPr="00C17F9B">
        <w:t xml:space="preserve">   date accessed 18 August 2025, </w:t>
      </w:r>
      <w:hyperlink r:id="rId203" w:history="1">
        <w:r w:rsidRPr="00C17F9B">
          <w:rPr>
            <w:rStyle w:val="Hyperlink"/>
          </w:rPr>
          <w:t>https://www.nhmrc.gov.au/guidelinesforguidelines/develop/assessing-certainty-evidence</w:t>
        </w:r>
      </w:hyperlink>
      <w:r w:rsidRPr="00C17F9B">
        <w:t xml:space="preserve"> </w:t>
      </w:r>
    </w:p>
    <w:p w14:paraId="6903359A" w14:textId="77D55DE0" w:rsidR="00C17F9B" w:rsidRPr="00C17F9B" w:rsidRDefault="00C17F9B" w:rsidP="00C17F9B">
      <w:pPr>
        <w:pStyle w:val="EndNoteBibliography"/>
        <w:spacing w:after="0"/>
        <w:ind w:left="720" w:hanging="720"/>
      </w:pPr>
      <w:r w:rsidRPr="00C17F9B">
        <w:t xml:space="preserve">NHMRC. (2019b). </w:t>
      </w:r>
      <w:r w:rsidRPr="00C17F9B">
        <w:rPr>
          <w:i/>
        </w:rPr>
        <w:t>Guidelines for Guidelines: Assessing risk of bias</w:t>
      </w:r>
      <w:r w:rsidRPr="00C17F9B">
        <w:t xml:space="preserve">   date accessed 18 August 2025, </w:t>
      </w:r>
      <w:hyperlink r:id="rId204" w:history="1">
        <w:r w:rsidRPr="00C17F9B">
          <w:rPr>
            <w:rStyle w:val="Hyperlink"/>
          </w:rPr>
          <w:t>https://www.nhmrc.gov.au/guidelinesforguidelines/develop/assessing-risk-bias</w:t>
        </w:r>
      </w:hyperlink>
      <w:r w:rsidRPr="00C17F9B">
        <w:t xml:space="preserve"> </w:t>
      </w:r>
    </w:p>
    <w:p w14:paraId="2D0EDD5E" w14:textId="2C6F76F4" w:rsidR="00C17F9B" w:rsidRPr="00C17F9B" w:rsidRDefault="00C17F9B" w:rsidP="00C17F9B">
      <w:pPr>
        <w:pStyle w:val="EndNoteBibliography"/>
        <w:spacing w:after="0"/>
        <w:ind w:left="720" w:hanging="720"/>
      </w:pPr>
      <w:r w:rsidRPr="00C17F9B">
        <w:t xml:space="preserve">NHMRC. (2019c). </w:t>
      </w:r>
      <w:r w:rsidRPr="00C17F9B">
        <w:rPr>
          <w:i/>
        </w:rPr>
        <w:t>Guidelines for Guidelines: Forming the questions</w:t>
      </w:r>
      <w:r w:rsidRPr="00C17F9B">
        <w:t xml:space="preserve">   date accessed 18 August 2025, </w:t>
      </w:r>
      <w:hyperlink r:id="rId205" w:history="1">
        <w:r w:rsidRPr="00C17F9B">
          <w:rPr>
            <w:rStyle w:val="Hyperlink"/>
          </w:rPr>
          <w:t>https://www.nhmrc.gov.au/guidelinesforguidelines/develop/forming-questions</w:t>
        </w:r>
      </w:hyperlink>
      <w:r w:rsidRPr="00C17F9B">
        <w:t xml:space="preserve"> </w:t>
      </w:r>
    </w:p>
    <w:p w14:paraId="79911DD4" w14:textId="5085478F" w:rsidR="00C17F9B" w:rsidRPr="00C17F9B" w:rsidRDefault="00C17F9B" w:rsidP="00C17F9B">
      <w:pPr>
        <w:pStyle w:val="EndNoteBibliography"/>
        <w:spacing w:after="0"/>
        <w:ind w:left="720" w:hanging="720"/>
      </w:pPr>
      <w:r w:rsidRPr="00C17F9B">
        <w:t xml:space="preserve">NHMRC. (2019d). </w:t>
      </w:r>
      <w:r w:rsidRPr="00C17F9B">
        <w:rPr>
          <w:i/>
        </w:rPr>
        <w:t>Guidelines for Guidelines: Identifying the evidence</w:t>
      </w:r>
      <w:r w:rsidRPr="00C17F9B">
        <w:t xml:space="preserve">   date accessed 13 August 2025 </w:t>
      </w:r>
      <w:hyperlink r:id="rId206" w:history="1">
        <w:r w:rsidRPr="00C17F9B">
          <w:rPr>
            <w:rStyle w:val="Hyperlink"/>
          </w:rPr>
          <w:t>https://www.nhmrc.gov.au/guidelinesforguidelines/develop/identifying-evidence</w:t>
        </w:r>
      </w:hyperlink>
      <w:r w:rsidRPr="00C17F9B">
        <w:t xml:space="preserve"> </w:t>
      </w:r>
    </w:p>
    <w:p w14:paraId="558587D2" w14:textId="7EBEE1BF" w:rsidR="00C17F9B" w:rsidRPr="00C17F9B" w:rsidRDefault="00C17F9B" w:rsidP="00C17F9B">
      <w:pPr>
        <w:pStyle w:val="EndNoteBibliography"/>
        <w:spacing w:after="0"/>
        <w:ind w:left="720" w:hanging="720"/>
      </w:pPr>
      <w:r w:rsidRPr="00C17F9B">
        <w:t xml:space="preserve">NHMRC. (2019e). </w:t>
      </w:r>
      <w:r w:rsidRPr="00C17F9B">
        <w:rPr>
          <w:i/>
        </w:rPr>
        <w:t>Guidelines for Guidelines: Synthesising evidence</w:t>
      </w:r>
      <w:r w:rsidRPr="00C17F9B">
        <w:t xml:space="preserve">   date accessed 18 August 2025, </w:t>
      </w:r>
      <w:hyperlink r:id="rId207" w:history="1">
        <w:r w:rsidRPr="00C17F9B">
          <w:rPr>
            <w:rStyle w:val="Hyperlink"/>
          </w:rPr>
          <w:t>https://www.nhmrc.gov.au/guidelinesforguidelines/develop/synthesising-evidence</w:t>
        </w:r>
      </w:hyperlink>
      <w:r w:rsidRPr="00C17F9B">
        <w:t xml:space="preserve"> </w:t>
      </w:r>
    </w:p>
    <w:p w14:paraId="17C9D229" w14:textId="6CCB93C3" w:rsidR="00C17F9B" w:rsidRPr="00C17F9B" w:rsidRDefault="00C17F9B" w:rsidP="00C17F9B">
      <w:pPr>
        <w:pStyle w:val="EndNoteBibliography"/>
        <w:spacing w:after="0"/>
        <w:ind w:left="720" w:hanging="720"/>
      </w:pPr>
      <w:r w:rsidRPr="00C17F9B">
        <w:t xml:space="preserve">NHMRC. (2021). </w:t>
      </w:r>
      <w:r w:rsidRPr="00C17F9B">
        <w:rPr>
          <w:i/>
        </w:rPr>
        <w:t>Guidelines for Guidelines: Selecting studies and data</w:t>
      </w:r>
      <w:r w:rsidRPr="00C17F9B">
        <w:t xml:space="preserve">   date accessed 18 August 2025, </w:t>
      </w:r>
      <w:hyperlink r:id="rId208" w:history="1">
        <w:r w:rsidRPr="00C17F9B">
          <w:rPr>
            <w:rStyle w:val="Hyperlink"/>
          </w:rPr>
          <w:t>https://www.nhmrc.gov.au/guidelinesforguidelines/develop/selecting-studies-and-data-extraction</w:t>
        </w:r>
      </w:hyperlink>
      <w:r w:rsidRPr="00C17F9B">
        <w:t xml:space="preserve"> </w:t>
      </w:r>
    </w:p>
    <w:p w14:paraId="6FC86E08" w14:textId="561FE84A" w:rsidR="00C17F9B" w:rsidRPr="00C17F9B" w:rsidRDefault="00C17F9B" w:rsidP="00C17F9B">
      <w:pPr>
        <w:pStyle w:val="EndNoteBibliography"/>
        <w:spacing w:after="0"/>
        <w:ind w:left="720" w:hanging="720"/>
      </w:pPr>
      <w:r w:rsidRPr="00C17F9B">
        <w:t xml:space="preserve">NHMRC, &amp; MRFF. (2024). </w:t>
      </w:r>
      <w:r w:rsidRPr="00C17F9B">
        <w:rPr>
          <w:i/>
        </w:rPr>
        <w:t>Statement on Sex, Gender, Variations of Sex Characteristics and Sexual Orientation in Health and Medical Research</w:t>
      </w:r>
      <w:r w:rsidRPr="00C17F9B">
        <w:t xml:space="preserve">. Department of Health, Disability and Ageing. date accessed 18 August 2025, </w:t>
      </w:r>
      <w:hyperlink r:id="rId209" w:history="1">
        <w:r w:rsidRPr="00C17F9B">
          <w:rPr>
            <w:rStyle w:val="Hyperlink"/>
          </w:rPr>
          <w:t>https://www.nhmrc.gov.au/research-policy/gender-equity/statement-sex-and-gender-health-and-medical-research</w:t>
        </w:r>
      </w:hyperlink>
      <w:r w:rsidRPr="00C17F9B">
        <w:t xml:space="preserve"> </w:t>
      </w:r>
    </w:p>
    <w:p w14:paraId="139BCE00" w14:textId="6A92CB75" w:rsidR="00C17F9B" w:rsidRPr="00C17F9B" w:rsidRDefault="00C17F9B" w:rsidP="00C17F9B">
      <w:pPr>
        <w:pStyle w:val="EndNoteBibliography"/>
        <w:spacing w:after="0"/>
        <w:ind w:left="720" w:hanging="720"/>
      </w:pPr>
      <w:r w:rsidRPr="00C17F9B">
        <w:t xml:space="preserve">Page MJ, McKenzie JE, Bossuyt PM, Boutron I, Hoffmann TC, Mulrow CD, Shamseer L, Tetzlaff JM, Akl EA,…Moher D. (2021). The PRISMA 2020 statement: an updated guideline for reporting systematic reviews. </w:t>
      </w:r>
      <w:r w:rsidRPr="00C17F9B">
        <w:rPr>
          <w:i/>
        </w:rPr>
        <w:t>Bmj</w:t>
      </w:r>
      <w:r w:rsidRPr="00C17F9B">
        <w:t>,</w:t>
      </w:r>
      <w:r w:rsidRPr="00C17F9B">
        <w:rPr>
          <w:i/>
        </w:rPr>
        <w:t xml:space="preserve"> 372</w:t>
      </w:r>
      <w:r w:rsidRPr="00C17F9B">
        <w:t xml:space="preserve">, n71. </w:t>
      </w:r>
      <w:hyperlink r:id="rId210" w:history="1">
        <w:r w:rsidRPr="00C17F9B">
          <w:rPr>
            <w:rStyle w:val="Hyperlink"/>
          </w:rPr>
          <w:t>https://doi.org/10.1136/bmj.n71</w:t>
        </w:r>
      </w:hyperlink>
      <w:r w:rsidRPr="00C17F9B">
        <w:t xml:space="preserve"> </w:t>
      </w:r>
    </w:p>
    <w:p w14:paraId="245590D6" w14:textId="0C8A3BE9" w:rsidR="00C17F9B" w:rsidRPr="00C17F9B" w:rsidRDefault="00C17F9B" w:rsidP="00C17F9B">
      <w:pPr>
        <w:pStyle w:val="EndNoteBibliography"/>
        <w:spacing w:after="0"/>
        <w:ind w:left="720" w:hanging="720"/>
      </w:pPr>
      <w:r w:rsidRPr="00C17F9B">
        <w:rPr>
          <w:i/>
        </w:rPr>
        <w:t>PROSPERO. International prospective register of systematic reviews</w:t>
      </w:r>
      <w:r w:rsidRPr="00C17F9B">
        <w:t xml:space="preserve">.  National Institute for Helth and Care Research. date accessed 18 August 2025, </w:t>
      </w:r>
      <w:hyperlink r:id="rId211" w:history="1">
        <w:r w:rsidRPr="00C17F9B">
          <w:rPr>
            <w:rStyle w:val="Hyperlink"/>
          </w:rPr>
          <w:t>https://www.crd.york.ac.uk/prospero/</w:t>
        </w:r>
      </w:hyperlink>
    </w:p>
    <w:p w14:paraId="06D93EAB" w14:textId="619F5915" w:rsidR="00AF2674" w:rsidRPr="00AF2674" w:rsidRDefault="00AF2674" w:rsidP="00AF2674">
      <w:pPr>
        <w:pStyle w:val="EndNoteBibliography"/>
        <w:spacing w:after="0"/>
        <w:ind w:left="720" w:hanging="720"/>
      </w:pPr>
      <w:r w:rsidRPr="00AF2674">
        <w:t xml:space="preserve">Redlarski G, Palkowski A, &amp; Krawczuk M. (2016). Body surface area formulae: an alarming ambiguity. </w:t>
      </w:r>
      <w:r w:rsidRPr="00AF2674">
        <w:rPr>
          <w:i/>
        </w:rPr>
        <w:t>Scientific reports</w:t>
      </w:r>
      <w:r w:rsidRPr="00AF2674">
        <w:t>,</w:t>
      </w:r>
      <w:r w:rsidRPr="00AF2674">
        <w:rPr>
          <w:i/>
        </w:rPr>
        <w:t xml:space="preserve"> 6</w:t>
      </w:r>
      <w:r w:rsidRPr="00AF2674">
        <w:t xml:space="preserve">(1), 27966. </w:t>
      </w:r>
      <w:hyperlink r:id="rId212" w:history="1">
        <w:r w:rsidRPr="00AF2674">
          <w:rPr>
            <w:rStyle w:val="Hyperlink"/>
          </w:rPr>
          <w:t>https://doi.org/10.1038/srep27966</w:t>
        </w:r>
      </w:hyperlink>
      <w:r w:rsidRPr="00AF2674">
        <w:t xml:space="preserve"> </w:t>
      </w:r>
    </w:p>
    <w:p w14:paraId="68D36B48" w14:textId="759598D9" w:rsidR="00C17F9B" w:rsidRPr="00C17F9B" w:rsidRDefault="00C17F9B" w:rsidP="00C17F9B">
      <w:pPr>
        <w:pStyle w:val="EndNoteBibliography"/>
        <w:spacing w:after="0"/>
        <w:ind w:left="720" w:hanging="720"/>
      </w:pPr>
      <w:r w:rsidRPr="00C17F9B">
        <w:t xml:space="preserve">Shea BJ, Reeves BC, Wells G, Thuku M, Hamel C, Moran J, Moher D, Tugwell P, Welch V,…Henry DA. (2017). AMSTAR 2: a critical appraisal tool for systematic reviews that include randomised or non-randomised studies of healthcare interventions, or both. </w:t>
      </w:r>
      <w:r w:rsidRPr="00C17F9B">
        <w:rPr>
          <w:i/>
        </w:rPr>
        <w:t>Bmj</w:t>
      </w:r>
      <w:r w:rsidRPr="00C17F9B">
        <w:t>,</w:t>
      </w:r>
      <w:r w:rsidRPr="00C17F9B">
        <w:rPr>
          <w:i/>
        </w:rPr>
        <w:t xml:space="preserve"> 358</w:t>
      </w:r>
      <w:r w:rsidRPr="00C17F9B">
        <w:t xml:space="preserve">, j4008. </w:t>
      </w:r>
      <w:hyperlink r:id="rId213" w:history="1">
        <w:r w:rsidRPr="00C17F9B">
          <w:rPr>
            <w:rStyle w:val="Hyperlink"/>
          </w:rPr>
          <w:t>https://doi.org/10.1136/bmj.j4008</w:t>
        </w:r>
      </w:hyperlink>
      <w:r w:rsidRPr="00C17F9B">
        <w:t xml:space="preserve"> </w:t>
      </w:r>
    </w:p>
    <w:p w14:paraId="33E41E28" w14:textId="73F96E96" w:rsidR="00C17F9B" w:rsidRPr="00C17F9B" w:rsidRDefault="00C17F9B" w:rsidP="00C17F9B">
      <w:pPr>
        <w:pStyle w:val="EndNoteBibliography"/>
        <w:spacing w:after="0"/>
        <w:ind w:left="720" w:hanging="720"/>
      </w:pPr>
      <w:r w:rsidRPr="00C17F9B">
        <w:t xml:space="preserve">The ADAPTE Collaboration. (2009). </w:t>
      </w:r>
      <w:r w:rsidRPr="00C17F9B">
        <w:rPr>
          <w:i/>
        </w:rPr>
        <w:t>The ADAPTE process: Resource toolkit for Guidelines Adaptation. Version 2.0.</w:t>
      </w:r>
      <w:r w:rsidRPr="00C17F9B">
        <w:t xml:space="preserve">   date accessed 13 August 2025 </w:t>
      </w:r>
      <w:hyperlink r:id="rId214" w:history="1">
        <w:r w:rsidRPr="00C17F9B">
          <w:rPr>
            <w:rStyle w:val="Hyperlink"/>
          </w:rPr>
          <w:t>http://www.g-i-n.net</w:t>
        </w:r>
      </w:hyperlink>
      <w:r w:rsidRPr="00C17F9B">
        <w:t xml:space="preserve"> </w:t>
      </w:r>
    </w:p>
    <w:p w14:paraId="56663557" w14:textId="7DCBF2A5" w:rsidR="00C17F9B" w:rsidRPr="00C17F9B" w:rsidRDefault="00C17F9B" w:rsidP="00C17F9B">
      <w:pPr>
        <w:pStyle w:val="EndNoteBibliography"/>
        <w:spacing w:after="0"/>
        <w:ind w:left="720" w:hanging="720"/>
      </w:pPr>
      <w:r w:rsidRPr="00C17F9B">
        <w:t xml:space="preserve">The GRADE Working Group. (2024). </w:t>
      </w:r>
      <w:r w:rsidRPr="00C17F9B">
        <w:rPr>
          <w:i/>
        </w:rPr>
        <w:t>GRADE Handbook</w:t>
      </w:r>
      <w:r w:rsidRPr="00C17F9B">
        <w:t xml:space="preserve"> (Schünemann H, Brożek J, Guyatt G, &amp; Oxman A, Eds.)  date accessed 18 August 2025, </w:t>
      </w:r>
      <w:hyperlink r:id="rId215" w:history="1">
        <w:r w:rsidRPr="00C17F9B">
          <w:rPr>
            <w:rStyle w:val="Hyperlink"/>
          </w:rPr>
          <w:t>https://gdt.gradepro.org/app/handbook/handbook.html</w:t>
        </w:r>
      </w:hyperlink>
      <w:r w:rsidRPr="00C17F9B">
        <w:t xml:space="preserve"> </w:t>
      </w:r>
    </w:p>
    <w:p w14:paraId="3C7F97CD" w14:textId="2C879FAB" w:rsidR="00C17F9B" w:rsidRPr="00C17F9B" w:rsidRDefault="00C17F9B" w:rsidP="00C17F9B">
      <w:pPr>
        <w:pStyle w:val="EndNoteBibliography"/>
        <w:spacing w:after="0"/>
        <w:ind w:left="720" w:hanging="720"/>
      </w:pPr>
      <w:r w:rsidRPr="00C17F9B">
        <w:t xml:space="preserve">Van't Veer P, Grammatikaki E, Matthys C, Raats MM, &amp; Contor L. (2013). EURRECA—framework for aligning micronutrient recommendations. </w:t>
      </w:r>
      <w:r w:rsidRPr="00C17F9B">
        <w:rPr>
          <w:i/>
        </w:rPr>
        <w:t>Critical reviews in food science and nutrition</w:t>
      </w:r>
      <w:r w:rsidRPr="00C17F9B">
        <w:t>,</w:t>
      </w:r>
      <w:r w:rsidRPr="00C17F9B">
        <w:rPr>
          <w:i/>
        </w:rPr>
        <w:t xml:space="preserve"> 53</w:t>
      </w:r>
      <w:r w:rsidRPr="00C17F9B">
        <w:t xml:space="preserve">(10), 988-998. </w:t>
      </w:r>
      <w:hyperlink r:id="rId216" w:history="1">
        <w:r w:rsidRPr="00C17F9B">
          <w:rPr>
            <w:rStyle w:val="Hyperlink"/>
          </w:rPr>
          <w:t>https://doi.org/10.1080/10408398.2012.742857</w:t>
        </w:r>
      </w:hyperlink>
      <w:r w:rsidRPr="00C17F9B">
        <w:t xml:space="preserve"> </w:t>
      </w:r>
    </w:p>
    <w:p w14:paraId="4BEC4CAA" w14:textId="6B82E97A" w:rsidR="00C17F9B" w:rsidRPr="00C17F9B" w:rsidRDefault="00C17F9B" w:rsidP="00C17F9B">
      <w:pPr>
        <w:pStyle w:val="EndNoteBibliography"/>
        <w:spacing w:after="0"/>
        <w:ind w:left="720" w:hanging="720"/>
      </w:pPr>
      <w:r w:rsidRPr="00C17F9B">
        <w:lastRenderedPageBreak/>
        <w:t xml:space="preserve">Whiting P, Savović J, Higgins JP, Caldwell DM, Reeves BC, Shea B, Davies P, Kleijnen J, &amp; Churchill R. (2016). ROBIS: A new tool to assess risk of bias in systematic reviews was developed. </w:t>
      </w:r>
      <w:r w:rsidRPr="00C17F9B">
        <w:rPr>
          <w:i/>
        </w:rPr>
        <w:t>J Clin Epidemiol</w:t>
      </w:r>
      <w:r w:rsidRPr="00C17F9B">
        <w:t>,</w:t>
      </w:r>
      <w:r w:rsidRPr="00C17F9B">
        <w:rPr>
          <w:i/>
        </w:rPr>
        <w:t xml:space="preserve"> 69</w:t>
      </w:r>
      <w:r w:rsidRPr="00C17F9B">
        <w:t xml:space="preserve">, 225-234. </w:t>
      </w:r>
      <w:hyperlink r:id="rId217" w:history="1">
        <w:r w:rsidRPr="00C17F9B">
          <w:rPr>
            <w:rStyle w:val="Hyperlink"/>
          </w:rPr>
          <w:t>https://doi.org/10.1016/j.jclinepi.2015.06.005</w:t>
        </w:r>
      </w:hyperlink>
      <w:r w:rsidRPr="00C17F9B">
        <w:t xml:space="preserve"> </w:t>
      </w:r>
    </w:p>
    <w:p w14:paraId="74605FDF" w14:textId="510AACC1" w:rsidR="00C17F9B" w:rsidRPr="00C17F9B" w:rsidRDefault="00C17F9B" w:rsidP="00C17F9B">
      <w:pPr>
        <w:pStyle w:val="EndNoteBibliography"/>
        <w:spacing w:after="0"/>
        <w:ind w:left="720" w:hanging="720"/>
      </w:pPr>
      <w:r w:rsidRPr="00C17F9B">
        <w:t xml:space="preserve">WHO. </w:t>
      </w:r>
      <w:r w:rsidR="00F363AC" w:rsidRPr="00F363AC">
        <w:t xml:space="preserve">(2006). </w:t>
      </w:r>
      <w:r w:rsidRPr="00C17F9B">
        <w:rPr>
          <w:i/>
        </w:rPr>
        <w:t>WHO child growth standards, weigh-for-age</w:t>
      </w:r>
      <w:r w:rsidRPr="00C17F9B">
        <w:t xml:space="preserve">. date accessed 16 July 2025 </w:t>
      </w:r>
      <w:hyperlink r:id="rId218" w:history="1">
        <w:r w:rsidRPr="00C17F9B">
          <w:rPr>
            <w:rStyle w:val="Hyperlink"/>
          </w:rPr>
          <w:t>https://www.who.int/tools/child-growth-standards/standards/weight-for-age</w:t>
        </w:r>
      </w:hyperlink>
    </w:p>
    <w:p w14:paraId="4203EF5F" w14:textId="37008BF0" w:rsidR="00C17F9B" w:rsidRPr="00C17F9B" w:rsidRDefault="00C17F9B" w:rsidP="00C17F9B">
      <w:pPr>
        <w:pStyle w:val="EndNoteBibliography"/>
        <w:spacing w:after="0"/>
        <w:ind w:left="720" w:hanging="720"/>
      </w:pPr>
      <w:r w:rsidRPr="00C17F9B">
        <w:t xml:space="preserve">WHO. (2014). </w:t>
      </w:r>
      <w:r w:rsidRPr="00C17F9B">
        <w:rPr>
          <w:i/>
        </w:rPr>
        <w:t>WHO handbook for guideline development, 2nd Edition</w:t>
      </w:r>
      <w:r w:rsidRPr="00C17F9B">
        <w:t xml:space="preserve">   date accessed 18 August 2025, </w:t>
      </w:r>
      <w:hyperlink r:id="rId219" w:history="1">
        <w:r w:rsidRPr="00C17F9B">
          <w:rPr>
            <w:rStyle w:val="Hyperlink"/>
          </w:rPr>
          <w:t>https://www.who.int/publications/i/item/9789241548960</w:t>
        </w:r>
      </w:hyperlink>
      <w:r w:rsidRPr="00C17F9B">
        <w:t xml:space="preserve"> </w:t>
      </w:r>
    </w:p>
    <w:p w14:paraId="6AB655FC" w14:textId="1631AC72" w:rsidR="00C17F9B" w:rsidRPr="00C17F9B" w:rsidRDefault="00C17F9B" w:rsidP="00C17F9B">
      <w:pPr>
        <w:pStyle w:val="EndNoteBibliography"/>
        <w:spacing w:after="0"/>
        <w:ind w:left="720" w:hanging="720"/>
      </w:pPr>
      <w:r w:rsidRPr="00C17F9B">
        <w:t xml:space="preserve">WHO. (2023a). </w:t>
      </w:r>
      <w:r w:rsidRPr="00C17F9B">
        <w:rPr>
          <w:i/>
        </w:rPr>
        <w:t>Carbohydrate intake for adults and children: WHO guideline</w:t>
      </w:r>
      <w:r w:rsidRPr="00C17F9B">
        <w:t xml:space="preserve">. World Health Organization. date accessed 18 August 2025, </w:t>
      </w:r>
      <w:hyperlink r:id="rId220" w:history="1">
        <w:r w:rsidRPr="00C17F9B">
          <w:rPr>
            <w:rStyle w:val="Hyperlink"/>
          </w:rPr>
          <w:t>https://www.who.int/publications/i/item/9789240073593</w:t>
        </w:r>
      </w:hyperlink>
      <w:r w:rsidRPr="00C17F9B">
        <w:t xml:space="preserve"> </w:t>
      </w:r>
    </w:p>
    <w:p w14:paraId="6B75EFD5" w14:textId="50756280" w:rsidR="00C17F9B" w:rsidRPr="00C17F9B" w:rsidRDefault="00C17F9B" w:rsidP="00C17F9B">
      <w:pPr>
        <w:pStyle w:val="EndNoteBibliography"/>
        <w:spacing w:after="0"/>
        <w:ind w:left="720" w:hanging="720"/>
      </w:pPr>
      <w:r w:rsidRPr="00C17F9B">
        <w:t xml:space="preserve">WHO. (2023b). </w:t>
      </w:r>
      <w:r w:rsidRPr="00C17F9B">
        <w:rPr>
          <w:i/>
        </w:rPr>
        <w:t>Saturated fatty acid and trans-fatty acid intake for adults and children: WHO guideline</w:t>
      </w:r>
      <w:r w:rsidRPr="00C17F9B">
        <w:t xml:space="preserve">. World Health Organization. date accessed 18 August 2025, </w:t>
      </w:r>
      <w:hyperlink r:id="rId221" w:history="1">
        <w:r w:rsidRPr="00C17F9B">
          <w:rPr>
            <w:rStyle w:val="Hyperlink"/>
          </w:rPr>
          <w:t>https://www.who.int/publications/i/item/9789240073630</w:t>
        </w:r>
      </w:hyperlink>
      <w:r w:rsidRPr="00C17F9B">
        <w:t xml:space="preserve"> </w:t>
      </w:r>
    </w:p>
    <w:p w14:paraId="6270CCA2" w14:textId="173D929A" w:rsidR="00C17F9B" w:rsidRPr="00C17F9B" w:rsidRDefault="00C17F9B" w:rsidP="00C17F9B">
      <w:pPr>
        <w:pStyle w:val="EndNoteBibliography"/>
        <w:spacing w:after="0"/>
        <w:ind w:left="720" w:hanging="720"/>
      </w:pPr>
      <w:r w:rsidRPr="00C17F9B">
        <w:t xml:space="preserve">WHO. (2023c). </w:t>
      </w:r>
      <w:r w:rsidRPr="00C17F9B">
        <w:rPr>
          <w:i/>
        </w:rPr>
        <w:t>Strengthening countries’ capacities to adopt and adapt evidence-based guidelines: a handbook for guideline contextualization</w:t>
      </w:r>
      <w:r w:rsidRPr="00C17F9B">
        <w:t xml:space="preserve">. World Health Organization. date accessed 18 August 2025, </w:t>
      </w:r>
      <w:hyperlink r:id="rId222" w:history="1">
        <w:r w:rsidRPr="00C17F9B">
          <w:rPr>
            <w:rStyle w:val="Hyperlink"/>
          </w:rPr>
          <w:t>https://iris.who.int/handle/10665/372275</w:t>
        </w:r>
      </w:hyperlink>
      <w:r w:rsidRPr="00C17F9B">
        <w:t xml:space="preserve"> </w:t>
      </w:r>
    </w:p>
    <w:p w14:paraId="70037812" w14:textId="37F689C3" w:rsidR="00C17F9B" w:rsidRPr="00C17F9B" w:rsidRDefault="00C17F9B" w:rsidP="00C17F9B">
      <w:pPr>
        <w:pStyle w:val="EndNoteBibliography"/>
        <w:spacing w:after="0"/>
        <w:ind w:left="720" w:hanging="720"/>
      </w:pPr>
      <w:r w:rsidRPr="00C17F9B">
        <w:t xml:space="preserve">WHO. (2023d). </w:t>
      </w:r>
      <w:r w:rsidRPr="00C17F9B">
        <w:rPr>
          <w:i/>
        </w:rPr>
        <w:t>Total fat intake for the prevention of unhealthy weight gain in adults and children: WHO guideline</w:t>
      </w:r>
      <w:r w:rsidRPr="00C17F9B">
        <w:t xml:space="preserve">. World Health Organization. date accessed 18 August 2025, </w:t>
      </w:r>
      <w:hyperlink r:id="rId223" w:history="1">
        <w:r w:rsidRPr="00C17F9B">
          <w:rPr>
            <w:rStyle w:val="Hyperlink"/>
          </w:rPr>
          <w:t>https://www.who.int/publications/i/item/9789240073654</w:t>
        </w:r>
      </w:hyperlink>
      <w:r w:rsidRPr="00C17F9B">
        <w:t xml:space="preserve"> </w:t>
      </w:r>
    </w:p>
    <w:p w14:paraId="66BA88D5" w14:textId="3E57F0D2" w:rsidR="00FD5765" w:rsidRPr="00FD5765" w:rsidRDefault="00FD5765" w:rsidP="00FD5765">
      <w:pPr>
        <w:pStyle w:val="EndNoteBibliography"/>
        <w:spacing w:after="0"/>
        <w:ind w:left="720" w:hanging="720"/>
      </w:pPr>
      <w:r w:rsidRPr="00FD5765">
        <w:t xml:space="preserve">WHO Multicentre Growth Reference Study Group. (2006). WHO Child Growth Standards based on length/height, weight and age. </w:t>
      </w:r>
      <w:r w:rsidRPr="00FD5765">
        <w:rPr>
          <w:i/>
        </w:rPr>
        <w:t>Acta paediatrica</w:t>
      </w:r>
      <w:r w:rsidRPr="00FD5765">
        <w:t>,</w:t>
      </w:r>
      <w:r w:rsidRPr="00FD5765">
        <w:rPr>
          <w:i/>
        </w:rPr>
        <w:t xml:space="preserve"> 95</w:t>
      </w:r>
      <w:r w:rsidRPr="00FD5765">
        <w:t xml:space="preserve">, 76-85. </w:t>
      </w:r>
      <w:hyperlink r:id="rId224" w:history="1">
        <w:r w:rsidRPr="00FD5765">
          <w:rPr>
            <w:rStyle w:val="Hyperlink"/>
          </w:rPr>
          <w:t>https://doi.org/10.1111/j.1651-2227.2006.tb02378.x</w:t>
        </w:r>
      </w:hyperlink>
      <w:r w:rsidRPr="00FD5765">
        <w:t xml:space="preserve"> </w:t>
      </w:r>
    </w:p>
    <w:p w14:paraId="77DDBEB8" w14:textId="7E1D84F6" w:rsidR="00C17F9B" w:rsidRPr="00C17F9B" w:rsidRDefault="00FD5765" w:rsidP="00C17F9B">
      <w:pPr>
        <w:pStyle w:val="EndNoteBibliography"/>
        <w:spacing w:after="0"/>
        <w:ind w:left="720" w:hanging="720"/>
      </w:pPr>
      <w:r w:rsidRPr="00FD5765">
        <w:t xml:space="preserve">Yaktine AL, King JC, &amp; Allen LH. (2020). Why the derivation of nutrient reference values should be harmonized and how it can be accomplished. </w:t>
      </w:r>
      <w:r w:rsidRPr="00FD5765">
        <w:rPr>
          <w:i/>
        </w:rPr>
        <w:t>Advances in Nutrition</w:t>
      </w:r>
      <w:r w:rsidRPr="00FD5765">
        <w:t>,</w:t>
      </w:r>
      <w:r w:rsidRPr="00FD5765">
        <w:rPr>
          <w:i/>
        </w:rPr>
        <w:t xml:space="preserve"> 11</w:t>
      </w:r>
      <w:r w:rsidRPr="00FD5765">
        <w:t xml:space="preserve">(5), 1102-1107. </w:t>
      </w:r>
      <w:hyperlink r:id="rId225" w:history="1">
        <w:r w:rsidRPr="00FD5765">
          <w:rPr>
            <w:rStyle w:val="Hyperlink"/>
          </w:rPr>
          <w:t>https://doi.org/10.1093/advances/nmaa048</w:t>
        </w:r>
      </w:hyperlink>
      <w:r w:rsidR="00C17F9B" w:rsidRPr="00C17F9B">
        <w:t xml:space="preserve"> </w:t>
      </w:r>
    </w:p>
    <w:p w14:paraId="1FF7A1C8" w14:textId="28CA08E5" w:rsidR="00C17F9B" w:rsidRPr="00C17F9B" w:rsidRDefault="00C17F9B" w:rsidP="00C17F9B">
      <w:pPr>
        <w:pStyle w:val="EndNoteBibliography"/>
        <w:spacing w:after="0"/>
        <w:ind w:left="720" w:hanging="720"/>
      </w:pPr>
      <w:r w:rsidRPr="00C17F9B">
        <w:t xml:space="preserve">Yaktine AL, &amp; Ross AC. (2019). Milestones in DRI development: what does the future hold? </w:t>
      </w:r>
      <w:r w:rsidRPr="00C17F9B">
        <w:rPr>
          <w:i/>
        </w:rPr>
        <w:t>Advances in Nutrition</w:t>
      </w:r>
      <w:r w:rsidRPr="00C17F9B">
        <w:t>,</w:t>
      </w:r>
      <w:r w:rsidRPr="00C17F9B">
        <w:rPr>
          <w:i/>
        </w:rPr>
        <w:t xml:space="preserve"> 10</w:t>
      </w:r>
      <w:r w:rsidRPr="00C17F9B">
        <w:t xml:space="preserve">(3), 537-545. </w:t>
      </w:r>
      <w:hyperlink r:id="rId226" w:history="1">
        <w:r w:rsidRPr="00C17F9B">
          <w:rPr>
            <w:rStyle w:val="Hyperlink"/>
          </w:rPr>
          <w:t>https://doi.org/10.1093/advances/nmy121</w:t>
        </w:r>
      </w:hyperlink>
      <w:r w:rsidRPr="00C17F9B">
        <w:t xml:space="preserve"> </w:t>
      </w:r>
    </w:p>
    <w:p w14:paraId="2C05D214" w14:textId="30B82B59" w:rsidR="00C17F9B" w:rsidRPr="00C17F9B" w:rsidRDefault="00C17F9B" w:rsidP="00C17F9B">
      <w:pPr>
        <w:pStyle w:val="EndNoteBibliography"/>
        <w:ind w:left="720" w:hanging="720"/>
      </w:pPr>
      <w:r w:rsidRPr="00C17F9B">
        <w:t xml:space="preserve">Yetley EA, MacFarlane AJ, Greene-Finestone LS, Garza C, Ard JD, Atkinson SA, Bier DM, Carriquiry AL, Harlan WR, &amp; Hattis D. (2017). Options for basing Dietary Reference Intakes (DRIs) on chronic disease endpoints: report from a joint US-/Canadian-sponsored working group. </w:t>
      </w:r>
      <w:r w:rsidRPr="00C17F9B">
        <w:rPr>
          <w:i/>
        </w:rPr>
        <w:t>The American journal of clinical nutrition</w:t>
      </w:r>
      <w:r w:rsidRPr="00C17F9B">
        <w:t>,</w:t>
      </w:r>
      <w:r w:rsidRPr="00C17F9B">
        <w:rPr>
          <w:i/>
        </w:rPr>
        <w:t xml:space="preserve"> 105</w:t>
      </w:r>
      <w:r w:rsidRPr="00C17F9B">
        <w:t xml:space="preserve">(1), 249S-285S. </w:t>
      </w:r>
      <w:hyperlink r:id="rId227" w:history="1">
        <w:r w:rsidRPr="00C17F9B">
          <w:rPr>
            <w:rStyle w:val="Hyperlink"/>
          </w:rPr>
          <w:t>https://doi.org/10.3945/ajcn.116.139097</w:t>
        </w:r>
      </w:hyperlink>
      <w:r w:rsidRPr="00C17F9B">
        <w:t xml:space="preserve"> </w:t>
      </w:r>
    </w:p>
    <w:p w14:paraId="7B6180B8" w14:textId="37E01EAE" w:rsidR="00A72DC7" w:rsidRDefault="005B708C" w:rsidP="00412FF5">
      <w:pPr>
        <w:pStyle w:val="EndNoteBibliography"/>
        <w:spacing w:after="0"/>
      </w:pPr>
      <w:r w:rsidRPr="005E5444">
        <w:fldChar w:fldCharType="end"/>
      </w:r>
    </w:p>
    <w:p w14:paraId="5736015A" w14:textId="77777777" w:rsidR="00A72DC7" w:rsidRDefault="00A72DC7">
      <w:pPr>
        <w:spacing w:line="240" w:lineRule="atLeast"/>
        <w:rPr>
          <w:noProof/>
        </w:rPr>
      </w:pPr>
      <w:r>
        <w:br w:type="page"/>
      </w:r>
    </w:p>
    <w:p w14:paraId="578BA058" w14:textId="331E13FE" w:rsidR="00B61C37" w:rsidRDefault="00B9149D" w:rsidP="003E2E95">
      <w:pPr>
        <w:pStyle w:val="Heading2Chapter"/>
        <w:numPr>
          <w:ilvl w:val="0"/>
          <w:numId w:val="0"/>
        </w:numPr>
        <w:ind w:left="431" w:hanging="431"/>
      </w:pPr>
      <w:bookmarkStart w:id="266" w:name="_Toc207801120"/>
      <w:bookmarkStart w:id="267" w:name="_Toc207824590"/>
      <w:r>
        <w:lastRenderedPageBreak/>
        <w:t>Appendices</w:t>
      </w:r>
      <w:bookmarkEnd w:id="266"/>
      <w:bookmarkEnd w:id="267"/>
    </w:p>
    <w:p w14:paraId="6404F365" w14:textId="07B53432" w:rsidR="00F520A9" w:rsidRDefault="00441732" w:rsidP="003E2E95">
      <w:pPr>
        <w:pStyle w:val="Heading3-Appendix"/>
      </w:pPr>
      <w:r>
        <w:fldChar w:fldCharType="begin">
          <w:fldData xml:space="preserve">PEVuZE5vdGU+PENpdGUgRXhjbHVkZUF1dGg9IjEiIEV4Y2x1ZGVZZWFyPSIxIiBIaWRkZW49IjEi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</w:fldData>
        </w:fldChar>
      </w:r>
      <w:r w:rsidR="00B73A0D">
        <w:instrText xml:space="preserve"> ADDIN EN.CITE </w:instrText>
      </w:r>
      <w:r w:rsidR="00B73A0D">
        <w:fldChar w:fldCharType="begin">
          <w:fldData xml:space="preserve">PEVuZE5vdGU+PENpdGUgRXhjbHVkZUF1dGg9IjEiIEV4Y2x1ZGVZZWFyPSIxIiBIaWRkZW49IjEi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</w:fldData>
        </w:fldChar>
      </w:r>
      <w:r w:rsidR="00B73A0D">
        <w:instrText xml:space="preserve"> ADDIN EN.CITE.DATA </w:instrText>
      </w:r>
      <w:r w:rsidR="00B73A0D">
        <w:fldChar w:fldCharType="end"/>
      </w:r>
      <w:r>
        <w:fldChar w:fldCharType="separate"/>
      </w:r>
      <w:r>
        <w:fldChar w:fldCharType="end"/>
      </w:r>
      <w:bookmarkStart w:id="268" w:name="_Toc197346924"/>
      <w:bookmarkStart w:id="269" w:name="_Toc197347023"/>
      <w:bookmarkStart w:id="270" w:name="_Toc153967164"/>
      <w:bookmarkStart w:id="271" w:name="_Ref197437776"/>
      <w:bookmarkStart w:id="272" w:name="_Toc207801121"/>
      <w:bookmarkStart w:id="273" w:name="_Toc207824591"/>
      <w:bookmarkEnd w:id="268"/>
      <w:bookmarkEnd w:id="269"/>
      <w:r w:rsidR="00F520A9">
        <w:t xml:space="preserve">History of </w:t>
      </w:r>
      <w:bookmarkEnd w:id="270"/>
      <w:r w:rsidR="00F86DE7">
        <w:t>f</w:t>
      </w:r>
      <w:r w:rsidR="00F520A9">
        <w:t xml:space="preserve">ramework </w:t>
      </w:r>
      <w:r w:rsidR="00F86DE7">
        <w:t>d</w:t>
      </w:r>
      <w:r w:rsidR="00F520A9">
        <w:t>evelopment</w:t>
      </w:r>
      <w:bookmarkEnd w:id="271"/>
      <w:bookmarkEnd w:id="272"/>
      <w:bookmarkEnd w:id="273"/>
      <w:r w:rsidR="00485579">
        <w:fldChar w:fldCharType="begin"/>
      </w:r>
      <w:r w:rsidR="00FD5765">
        <w:instrText xml:space="preserve"> ADDIN EN.CITE &lt;EndNote&gt;&lt;Cite Hidden="1"&gt;&lt;Author&gt;EFSA Panel on Nutrition Novel Foods and Food Allergens&lt;/Author&gt;&lt;Year&gt;2024&lt;/Year&gt;&lt;RecNum&gt;84&lt;/RecNum&gt;&lt;record&gt;&lt;rec-number&gt;84&lt;/rec-number&gt;&lt;foreign-keys&gt;&lt;key app="EN" db-id="zxfaevvrgpsxebez5ec5vspfe2av5dtxt9xx" timestamp="1754958788"&gt;84&lt;/key&gt;&lt;/foreign-keys&gt;&lt;ref-type name="Journal Article"&gt;17&lt;/ref-type&gt;&lt;contributors&gt;&lt;authors&gt;&lt;author&gt;EFSA Panel on Nutrition Novel Foods and Food Allergens,&lt;/author&gt;&lt;author&gt;Turck, Dominique&lt;/author&gt;&lt;author&gt;Bohn, Torsten&lt;/author&gt;&lt;aut</w:instrText>
      </w:r>
      <w:r w:rsidR="00FD5765">
        <w:rPr>
          <w:rFonts w:hint="eastAsia"/>
        </w:rPr>
        <w:instrText>hor&gt;Cámara, Montaña&lt;/author&gt;&lt;author&gt;Castenmiller, Jacqueline&lt;/author&gt;&lt;author&gt;de Henauw, Stefaan&lt;/author&gt;&lt;author&gt;Hirsch</w:instrText>
      </w:r>
      <w:r w:rsidR="00FD5765">
        <w:rPr>
          <w:rFonts w:hint="eastAsia"/>
        </w:rPr>
        <w:instrText>‐</w:instrText>
      </w:r>
      <w:r w:rsidR="00FD5765">
        <w:rPr>
          <w:rFonts w:hint="eastAsia"/>
        </w:rPr>
        <w:instrText>Ernst, Karen</w:instrText>
      </w:r>
      <w:r w:rsidR="00FD5765">
        <w:rPr>
          <w:rFonts w:hint="eastAsia"/>
        </w:rPr>
        <w:instrText>‐</w:instrText>
      </w:r>
      <w:r w:rsidR="00FD5765">
        <w:rPr>
          <w:rFonts w:hint="eastAsia"/>
        </w:rPr>
        <w:instrText>Ildico&lt;/author&gt;&lt;author&gt;Jos, Angeles&lt;/author&gt;&lt;author&gt;Maciuk, Alexandre&lt;/author&gt;&lt;author&gt;Mangelsdorf, Inge&lt;/author&gt;&lt;/authors&gt;&lt;</w:instrText>
      </w:r>
      <w:r w:rsidR="00FD5765">
        <w:instrText>/contributors&gt;&lt;titles&gt;&lt;title&gt;Guidance for establishing and applying tolerable upper intake levels for vitamins and essential minerals&lt;/title&gt;&lt;secondary-title&gt;EFSA Journal&lt;/secondary-title&gt;&lt;/titles&gt;&lt;periodical&gt;&lt;full-title&gt;EFSA Journal&lt;/full-title&gt;&lt;/periodical&gt;&lt;pages&gt;e9052&lt;/pages&gt;&lt;volume&gt;22&lt;/volume&gt;&lt;number&gt;11&lt;/number&gt;&lt;dates&gt;&lt;year&gt;2024&lt;/year&gt;&lt;/dates&gt;&lt;isbn&gt;1831-4732&lt;/isbn&gt;&lt;urls&gt;&lt;/urls&gt;&lt;electronic-resource-num&gt;10.2903/j.efsa.2024.9052&lt;/electronic-resource-num&gt;&lt;/record&gt;&lt;/Cite&gt;&lt;/EndNote&gt;</w:instrText>
      </w:r>
      <w:r w:rsidR="00485579">
        <w:fldChar w:fldCharType="separate"/>
      </w:r>
      <w:r w:rsidR="00485579">
        <w:fldChar w:fldCharType="end"/>
      </w:r>
    </w:p>
    <w:p w14:paraId="473BC913" w14:textId="77777777" w:rsidR="002C0B9B" w:rsidRDefault="002C0B9B" w:rsidP="002C0B9B">
      <w:pPr>
        <w:jc w:val="center"/>
        <w:rPr>
          <w:b/>
          <w:color w:val="09002E" w:themeColor="text2"/>
        </w:rPr>
      </w:pPr>
    </w:p>
    <w:p w14:paraId="06E8DAF2" w14:textId="728100B9" w:rsidR="00F40BAC" w:rsidRDefault="00F40BAC" w:rsidP="00F40BAC">
      <w:pPr>
        <w:pStyle w:val="Caption"/>
        <w:keepNext/>
      </w:pPr>
      <w:r>
        <w:t xml:space="preserve">Table </w:t>
      </w:r>
      <w:r w:rsidR="00783DC4">
        <w:fldChar w:fldCharType="begin"/>
      </w:r>
      <w:r w:rsidR="00783DC4">
        <w:instrText xml:space="preserve"> STYLEREF 6 \s </w:instrText>
      </w:r>
      <w:r w:rsidR="00783DC4">
        <w:fldChar w:fldCharType="separate"/>
      </w:r>
      <w:r w:rsidR="00783DC4">
        <w:rPr>
          <w:noProof/>
        </w:rPr>
        <w:t>A</w:t>
      </w:r>
      <w:r w:rsidR="00783DC4">
        <w:rPr>
          <w:noProof/>
        </w:rPr>
        <w:fldChar w:fldCharType="end"/>
      </w:r>
      <w:r>
        <w:t>.</w:t>
      </w:r>
      <w:r w:rsidR="00783DC4">
        <w:fldChar w:fldCharType="begin"/>
      </w:r>
      <w:r w:rsidR="00783DC4">
        <w:instrText xml:space="preserve"> SEQ Table_A \* ARABIC \s 6 </w:instrText>
      </w:r>
      <w:r w:rsidR="00783DC4">
        <w:fldChar w:fldCharType="separate"/>
      </w:r>
      <w:r w:rsidR="00783DC4">
        <w:rPr>
          <w:noProof/>
        </w:rPr>
        <w:t>1</w:t>
      </w:r>
      <w:r w:rsidR="00783DC4">
        <w:rPr>
          <w:noProof/>
        </w:rPr>
        <w:fldChar w:fldCharType="end"/>
      </w:r>
      <w:r>
        <w:t>: NRV development in Australia and New Zealand</w:t>
      </w:r>
    </w:p>
    <w:tbl>
      <w:tblPr>
        <w:tblStyle w:val="TableGrid"/>
        <w:tblW w:w="5000" w:type="pct"/>
        <w:tblLook w:val="0620" w:firstRow="1" w:lastRow="0" w:firstColumn="0" w:lastColumn="0" w:noHBand="1" w:noVBand="1"/>
      </w:tblPr>
      <w:tblGrid>
        <w:gridCol w:w="2500"/>
        <w:gridCol w:w="7365"/>
      </w:tblGrid>
      <w:tr w:rsidR="002C0B9B" w14:paraId="4F1ABBFF" w14:textId="77777777" w:rsidTr="00930A56">
        <w:trPr>
          <w:cantSplit/>
          <w:trHeight w:val="378"/>
          <w:tblHeader/>
        </w:trPr>
        <w:tc>
          <w:tcPr>
            <w:tcW w:w="1267" w:type="pct"/>
            <w:shd w:val="clear" w:color="auto" w:fill="A0D1CB" w:themeFill="accent3"/>
            <w:vAlign w:val="center"/>
          </w:tcPr>
          <w:p w14:paraId="7F18CC07" w14:textId="5A79ACB7" w:rsidR="002C0B9B" w:rsidRPr="0047789A" w:rsidRDefault="002C0B9B" w:rsidP="0047789A">
            <w:pPr>
              <w:pStyle w:val="ListParagraph"/>
              <w:spacing w:before="0" w:after="0"/>
              <w:rPr>
                <w:b/>
                <w:bCs/>
                <w:lang w:eastAsia="en-AU"/>
              </w:rPr>
            </w:pPr>
            <w:r w:rsidRPr="0047789A">
              <w:rPr>
                <w:b/>
                <w:bCs/>
                <w:lang w:eastAsia="en-AU"/>
              </w:rPr>
              <w:t>Year</w:t>
            </w:r>
          </w:p>
        </w:tc>
        <w:tc>
          <w:tcPr>
            <w:tcW w:w="3733" w:type="pct"/>
            <w:shd w:val="clear" w:color="auto" w:fill="A0D1CB" w:themeFill="accent3"/>
            <w:vAlign w:val="center"/>
          </w:tcPr>
          <w:p w14:paraId="75581496" w14:textId="77777777" w:rsidR="002C0B9B" w:rsidRPr="0047789A" w:rsidRDefault="002C0B9B" w:rsidP="0047789A">
            <w:pPr>
              <w:pStyle w:val="ListParagraph"/>
              <w:spacing w:before="0" w:after="0"/>
              <w:ind w:left="20"/>
              <w:rPr>
                <w:b/>
                <w:bCs/>
                <w:lang w:eastAsia="en-AU"/>
              </w:rPr>
            </w:pPr>
            <w:r w:rsidRPr="0047789A">
              <w:rPr>
                <w:b/>
                <w:bCs/>
                <w:lang w:eastAsia="en-AU"/>
              </w:rPr>
              <w:t>Activity</w:t>
            </w:r>
          </w:p>
        </w:tc>
      </w:tr>
      <w:tr w:rsidR="002C0B9B" w14:paraId="6BD1A302" w14:textId="77777777" w:rsidTr="00930A56">
        <w:trPr>
          <w:cantSplit/>
        </w:trPr>
        <w:tc>
          <w:tcPr>
            <w:tcW w:w="1267" w:type="pct"/>
            <w:tcBorders>
              <w:bottom w:val="single" w:sz="4" w:space="0" w:color="auto"/>
            </w:tcBorders>
            <w:vAlign w:val="center"/>
          </w:tcPr>
          <w:p w14:paraId="4FAB0911" w14:textId="77777777" w:rsidR="002C0B9B" w:rsidRDefault="002C0B9B">
            <w:pPr>
              <w:pStyle w:val="ListParagraph"/>
              <w:rPr>
                <w:noProof/>
                <w:lang w:eastAsia="en-AU"/>
              </w:rPr>
            </w:pPr>
            <w:r w:rsidRPr="00DA0258">
              <w:t>199</w:t>
            </w:r>
            <w:r>
              <w:t>1</w:t>
            </w:r>
          </w:p>
        </w:tc>
        <w:tc>
          <w:tcPr>
            <w:tcW w:w="3733" w:type="pct"/>
            <w:tcBorders>
              <w:bottom w:val="single" w:sz="4" w:space="0" w:color="auto"/>
            </w:tcBorders>
            <w:vAlign w:val="center"/>
          </w:tcPr>
          <w:p w14:paraId="42EF27AB" w14:textId="6E01F9FF" w:rsidR="002C0B9B" w:rsidRPr="002C0B9B" w:rsidRDefault="002C0B9B" w:rsidP="002C0B9B">
            <w:pPr>
              <w:pStyle w:val="ListParagraph"/>
              <w:rPr>
                <w:i/>
                <w:noProof/>
                <w:lang w:eastAsia="en-AU"/>
              </w:rPr>
            </w:pPr>
            <w:r>
              <w:rPr>
                <w:noProof/>
                <w:lang w:eastAsia="en-AU"/>
              </w:rPr>
              <w:t xml:space="preserve">NHMRC published </w:t>
            </w:r>
            <w:r w:rsidRPr="006D2609">
              <w:rPr>
                <w:i/>
                <w:noProof/>
                <w:lang w:eastAsia="en-AU"/>
              </w:rPr>
              <w:t>Recommended Dietary Intakes for use in Australia</w:t>
            </w:r>
          </w:p>
        </w:tc>
      </w:tr>
      <w:tr w:rsidR="002C0B9B" w14:paraId="7D451616" w14:textId="77777777" w:rsidTr="00930A56">
        <w:trPr>
          <w:cantSplit/>
        </w:trPr>
        <w:tc>
          <w:tcPr>
            <w:tcW w:w="1267" w:type="pct"/>
            <w:tcBorders>
              <w:top w:val="single" w:sz="4" w:space="0" w:color="auto"/>
              <w:bottom w:val="single" w:sz="4" w:space="0" w:color="auto"/>
            </w:tcBorders>
            <w:vAlign w:val="center"/>
          </w:tcPr>
          <w:p w14:paraId="64678666" w14:textId="77777777" w:rsidR="002C0B9B" w:rsidRPr="00DA0258" w:rsidRDefault="002C0B9B">
            <w:pPr>
              <w:pStyle w:val="ListParagraph"/>
            </w:pPr>
            <w:r>
              <w:t>1997</w:t>
            </w:r>
          </w:p>
        </w:tc>
        <w:tc>
          <w:tcPr>
            <w:tcW w:w="3733" w:type="pct"/>
            <w:tcBorders>
              <w:top w:val="single" w:sz="4" w:space="0" w:color="auto"/>
              <w:bottom w:val="single" w:sz="4" w:space="0" w:color="auto"/>
            </w:tcBorders>
            <w:vAlign w:val="center"/>
          </w:tcPr>
          <w:p w14:paraId="63277F22" w14:textId="7A820B0A" w:rsidR="002C0B9B" w:rsidRPr="002C0B9B" w:rsidRDefault="002C0B9B" w:rsidP="002C0B9B">
            <w:pPr>
              <w:pStyle w:val="ListParagraph"/>
            </w:pPr>
            <w:r>
              <w:t xml:space="preserve">Need to revise </w:t>
            </w:r>
            <w:r w:rsidRPr="00B1154B">
              <w:rPr>
                <w:i/>
                <w:noProof/>
                <w:lang w:eastAsia="en-AU"/>
              </w:rPr>
              <w:t>Recommended Dietary Intakes for use in Australia</w:t>
            </w:r>
            <w:r>
              <w:t xml:space="preserve"> identified</w:t>
            </w:r>
          </w:p>
        </w:tc>
      </w:tr>
      <w:tr w:rsidR="002C0B9B" w14:paraId="792DAA50" w14:textId="77777777" w:rsidTr="00930A56">
        <w:trPr>
          <w:cantSplit/>
        </w:trPr>
        <w:tc>
          <w:tcPr>
            <w:tcW w:w="1267" w:type="pct"/>
            <w:tcBorders>
              <w:top w:val="single" w:sz="4" w:space="0" w:color="auto"/>
              <w:bottom w:val="single" w:sz="4" w:space="0" w:color="auto"/>
            </w:tcBorders>
            <w:vAlign w:val="center"/>
          </w:tcPr>
          <w:p w14:paraId="5E6D48EB" w14:textId="77777777" w:rsidR="002C0B9B" w:rsidRDefault="002C0B9B">
            <w:pPr>
              <w:pStyle w:val="ListParagraph"/>
            </w:pPr>
            <w:r>
              <w:t>1999</w:t>
            </w:r>
          </w:p>
        </w:tc>
        <w:tc>
          <w:tcPr>
            <w:tcW w:w="3733" w:type="pct"/>
            <w:tcBorders>
              <w:top w:val="single" w:sz="4" w:space="0" w:color="auto"/>
              <w:bottom w:val="single" w:sz="4" w:space="0" w:color="auto"/>
            </w:tcBorders>
            <w:vAlign w:val="center"/>
          </w:tcPr>
          <w:p w14:paraId="21935430" w14:textId="77777777" w:rsidR="002C0B9B" w:rsidRPr="00D83FC9" w:rsidRDefault="002C0B9B">
            <w:pPr>
              <w:pStyle w:val="ListParagraph"/>
            </w:pPr>
            <w:r>
              <w:t>Scope of review agreed:</w:t>
            </w:r>
          </w:p>
          <w:p w14:paraId="2C116FBC" w14:textId="08E3DA60" w:rsidR="002C0B9B" w:rsidRDefault="002C0B9B" w:rsidP="00211F4C">
            <w:pPr>
              <w:pStyle w:val="ListParagraph"/>
              <w:numPr>
                <w:ilvl w:val="0"/>
                <w:numId w:val="33"/>
              </w:numPr>
              <w:spacing w:before="0" w:after="0" w:line="240" w:lineRule="auto"/>
              <w:contextualSpacing/>
            </w:pPr>
            <w:r>
              <w:t>A</w:t>
            </w:r>
            <w:r w:rsidRPr="00D83FC9">
              <w:t xml:space="preserve"> joint review between Australia and New Zealand should be conducted</w:t>
            </w:r>
          </w:p>
          <w:p w14:paraId="33F83EE9" w14:textId="77777777" w:rsidR="002C0B9B" w:rsidRDefault="002C0B9B" w:rsidP="00211F4C">
            <w:pPr>
              <w:pStyle w:val="ListParagraph"/>
              <w:numPr>
                <w:ilvl w:val="0"/>
                <w:numId w:val="33"/>
              </w:numPr>
              <w:spacing w:before="0" w:after="0" w:line="240" w:lineRule="auto"/>
              <w:contextualSpacing/>
            </w:pPr>
            <w:r>
              <w:t>A</w:t>
            </w:r>
            <w:r w:rsidRPr="006D2609">
              <w:t xml:space="preserve"> set of nutrient recommendations should be developed using the terminology of NRVs</w:t>
            </w:r>
          </w:p>
          <w:p w14:paraId="2881B8FD" w14:textId="77777777" w:rsidR="002C0B9B" w:rsidRDefault="002C0B9B" w:rsidP="00211F4C">
            <w:pPr>
              <w:pStyle w:val="ListParagraph"/>
              <w:numPr>
                <w:ilvl w:val="0"/>
                <w:numId w:val="33"/>
              </w:numPr>
              <w:spacing w:before="0" w:after="0" w:line="240" w:lineRule="auto"/>
              <w:contextualSpacing/>
            </w:pPr>
            <w:r w:rsidRPr="00D83FC9">
              <w:t>NRVs should be based on the US-Canadian DRIs and concurrent work being conducted in these countries.</w:t>
            </w:r>
          </w:p>
          <w:p w14:paraId="69799A9F" w14:textId="6B3CCF6B" w:rsidR="002C0B9B" w:rsidRPr="002C0B9B" w:rsidRDefault="002C0B9B" w:rsidP="00A0246B">
            <w:pPr>
              <w:pStyle w:val="ListParagraph"/>
              <w:spacing w:before="0" w:after="0" w:line="240" w:lineRule="auto"/>
              <w:ind w:left="720"/>
              <w:contextualSpacing/>
            </w:pPr>
          </w:p>
        </w:tc>
      </w:tr>
      <w:tr w:rsidR="002C0B9B" w14:paraId="3C294915" w14:textId="77777777" w:rsidTr="00930A56">
        <w:trPr>
          <w:cantSplit/>
        </w:trPr>
        <w:tc>
          <w:tcPr>
            <w:tcW w:w="1267" w:type="pct"/>
            <w:tcBorders>
              <w:top w:val="single" w:sz="4" w:space="0" w:color="auto"/>
              <w:bottom w:val="single" w:sz="4" w:space="0" w:color="auto"/>
            </w:tcBorders>
            <w:vAlign w:val="center"/>
          </w:tcPr>
          <w:p w14:paraId="67EBB61F" w14:textId="77777777" w:rsidR="002C0B9B" w:rsidRPr="00DA0258" w:rsidRDefault="002C0B9B">
            <w:pPr>
              <w:pStyle w:val="ListParagraph"/>
            </w:pPr>
            <w:r>
              <w:t>2001</w:t>
            </w:r>
          </w:p>
        </w:tc>
        <w:tc>
          <w:tcPr>
            <w:tcW w:w="3733" w:type="pct"/>
            <w:tcBorders>
              <w:top w:val="single" w:sz="4" w:space="0" w:color="auto"/>
              <w:bottom w:val="single" w:sz="4" w:space="0" w:color="auto"/>
            </w:tcBorders>
            <w:vAlign w:val="center"/>
          </w:tcPr>
          <w:p w14:paraId="74535679" w14:textId="283D4BF3" w:rsidR="002C0B9B" w:rsidRPr="002C0B9B" w:rsidRDefault="002C0B9B" w:rsidP="002C0B9B">
            <w:pPr>
              <w:pStyle w:val="ListParagraph"/>
            </w:pPr>
            <w:r w:rsidRPr="00036847">
              <w:t>NHMRC commissioned to undertake a scoping study</w:t>
            </w:r>
          </w:p>
        </w:tc>
      </w:tr>
      <w:tr w:rsidR="002C0B9B" w14:paraId="5F3581CC" w14:textId="77777777" w:rsidTr="00930A56">
        <w:trPr>
          <w:cantSplit/>
        </w:trPr>
        <w:tc>
          <w:tcPr>
            <w:tcW w:w="1267" w:type="pct"/>
            <w:tcBorders>
              <w:top w:val="single" w:sz="4" w:space="0" w:color="auto"/>
              <w:bottom w:val="single" w:sz="4" w:space="0" w:color="auto"/>
            </w:tcBorders>
            <w:vAlign w:val="center"/>
          </w:tcPr>
          <w:p w14:paraId="16E57E7A" w14:textId="77777777" w:rsidR="002C0B9B" w:rsidRDefault="002C0B9B">
            <w:pPr>
              <w:pStyle w:val="ListParagraph"/>
            </w:pPr>
            <w:r>
              <w:t>2002</w:t>
            </w:r>
          </w:p>
        </w:tc>
        <w:tc>
          <w:tcPr>
            <w:tcW w:w="3733" w:type="pct"/>
            <w:tcBorders>
              <w:top w:val="single" w:sz="4" w:space="0" w:color="auto"/>
              <w:bottom w:val="single" w:sz="4" w:space="0" w:color="auto"/>
            </w:tcBorders>
            <w:vAlign w:val="center"/>
          </w:tcPr>
          <w:p w14:paraId="7A5D0FD6" w14:textId="44F8B37B" w:rsidR="002C0B9B" w:rsidRPr="00036847" w:rsidRDefault="002C0B9B">
            <w:r w:rsidRPr="003032C8">
              <w:t xml:space="preserve">NHMRC commissioned </w:t>
            </w:r>
            <w:r w:rsidRPr="006D2609">
              <w:t>to manage the joint Australian/New Zealand</w:t>
            </w:r>
            <w:r>
              <w:t xml:space="preserve"> </w:t>
            </w:r>
            <w:r w:rsidRPr="003032C8">
              <w:t>revision process.</w:t>
            </w:r>
          </w:p>
        </w:tc>
      </w:tr>
      <w:tr w:rsidR="002C0B9B" w14:paraId="17AC310D" w14:textId="77777777" w:rsidTr="00930A56">
        <w:trPr>
          <w:cantSplit/>
        </w:trPr>
        <w:tc>
          <w:tcPr>
            <w:tcW w:w="1267" w:type="pct"/>
            <w:tcBorders>
              <w:top w:val="single" w:sz="4" w:space="0" w:color="auto"/>
              <w:bottom w:val="single" w:sz="4" w:space="0" w:color="auto"/>
            </w:tcBorders>
            <w:vAlign w:val="center"/>
          </w:tcPr>
          <w:p w14:paraId="22C14F18" w14:textId="77777777" w:rsidR="002C0B9B" w:rsidRDefault="002C0B9B">
            <w:pPr>
              <w:pStyle w:val="ListParagraph"/>
            </w:pPr>
            <w:r>
              <w:t>2002 - 2004</w:t>
            </w:r>
          </w:p>
        </w:tc>
        <w:tc>
          <w:tcPr>
            <w:tcW w:w="3733" w:type="pct"/>
            <w:tcBorders>
              <w:top w:val="single" w:sz="4" w:space="0" w:color="auto"/>
              <w:bottom w:val="single" w:sz="4" w:space="0" w:color="auto"/>
            </w:tcBorders>
            <w:vAlign w:val="center"/>
          </w:tcPr>
          <w:p w14:paraId="514D25B3" w14:textId="52977029" w:rsidR="002C0B9B" w:rsidRPr="002C0B9B" w:rsidRDefault="002C0B9B" w:rsidP="002C0B9B">
            <w:pPr>
              <w:pStyle w:val="ListParagraph"/>
            </w:pPr>
            <w:r>
              <w:t>40 priority nutrients reviewed</w:t>
            </w:r>
          </w:p>
        </w:tc>
      </w:tr>
      <w:tr w:rsidR="002C0B9B" w14:paraId="4F746167" w14:textId="77777777" w:rsidTr="00930A56">
        <w:trPr>
          <w:cantSplit/>
        </w:trPr>
        <w:tc>
          <w:tcPr>
            <w:tcW w:w="1267" w:type="pct"/>
            <w:tcBorders>
              <w:top w:val="single" w:sz="4" w:space="0" w:color="auto"/>
              <w:bottom w:val="single" w:sz="4" w:space="0" w:color="auto"/>
            </w:tcBorders>
            <w:vAlign w:val="center"/>
          </w:tcPr>
          <w:p w14:paraId="43E27E37" w14:textId="77777777" w:rsidR="002C0B9B" w:rsidRDefault="002C0B9B">
            <w:pPr>
              <w:pStyle w:val="ListParagraph"/>
            </w:pPr>
            <w:r>
              <w:t>2005</w:t>
            </w:r>
          </w:p>
        </w:tc>
        <w:tc>
          <w:tcPr>
            <w:tcW w:w="3733" w:type="pct"/>
            <w:tcBorders>
              <w:top w:val="single" w:sz="4" w:space="0" w:color="auto"/>
              <w:bottom w:val="single" w:sz="4" w:space="0" w:color="auto"/>
            </w:tcBorders>
            <w:vAlign w:val="center"/>
          </w:tcPr>
          <w:p w14:paraId="162974D9" w14:textId="16B6A84B" w:rsidR="002C0B9B" w:rsidRPr="002C0B9B" w:rsidRDefault="002C0B9B" w:rsidP="002C0B9B">
            <w:pPr>
              <w:pStyle w:val="ListParagraph"/>
            </w:pPr>
            <w:r>
              <w:t>Consultation of revised NRVs</w:t>
            </w:r>
          </w:p>
        </w:tc>
      </w:tr>
      <w:tr w:rsidR="002C0B9B" w14:paraId="2B90A94A" w14:textId="77777777" w:rsidTr="00930A56">
        <w:trPr>
          <w:cantSplit/>
        </w:trPr>
        <w:tc>
          <w:tcPr>
            <w:tcW w:w="1267" w:type="pct"/>
            <w:tcBorders>
              <w:top w:val="single" w:sz="4" w:space="0" w:color="auto"/>
              <w:bottom w:val="single" w:sz="4" w:space="0" w:color="auto"/>
            </w:tcBorders>
            <w:vAlign w:val="center"/>
          </w:tcPr>
          <w:p w14:paraId="3EC98B94" w14:textId="77777777" w:rsidR="002C0B9B" w:rsidRDefault="002C0B9B">
            <w:pPr>
              <w:pStyle w:val="ListParagraph"/>
              <w:rPr>
                <w:noProof/>
                <w:lang w:eastAsia="en-AU"/>
              </w:rPr>
            </w:pPr>
            <w:r>
              <w:t>2006</w:t>
            </w:r>
          </w:p>
        </w:tc>
        <w:tc>
          <w:tcPr>
            <w:tcW w:w="3733" w:type="pct"/>
            <w:tcBorders>
              <w:top w:val="single" w:sz="4" w:space="0" w:color="auto"/>
              <w:bottom w:val="single" w:sz="4" w:space="0" w:color="auto"/>
            </w:tcBorders>
            <w:vAlign w:val="center"/>
          </w:tcPr>
          <w:p w14:paraId="74F30EEE" w14:textId="7862FF16" w:rsidR="002C0B9B" w:rsidRPr="002C0B9B" w:rsidRDefault="002C0B9B" w:rsidP="002C0B9B">
            <w:pPr>
              <w:pStyle w:val="ListParagraph"/>
            </w:pPr>
            <w:r w:rsidRPr="00DA0258">
              <w:t>Nutrient Reference Values for Australia and New Zealand (2006) released</w:t>
            </w:r>
          </w:p>
        </w:tc>
      </w:tr>
      <w:tr w:rsidR="002C0B9B" w14:paraId="388BD490" w14:textId="77777777" w:rsidTr="00930A56">
        <w:trPr>
          <w:cantSplit/>
        </w:trPr>
        <w:tc>
          <w:tcPr>
            <w:tcW w:w="1267" w:type="pct"/>
            <w:tcBorders>
              <w:top w:val="single" w:sz="4" w:space="0" w:color="auto"/>
              <w:bottom w:val="single" w:sz="4" w:space="0" w:color="auto"/>
            </w:tcBorders>
            <w:vAlign w:val="center"/>
          </w:tcPr>
          <w:p w14:paraId="67BB33DA" w14:textId="77777777" w:rsidR="002C0B9B" w:rsidRDefault="002C0B9B">
            <w:pPr>
              <w:pStyle w:val="ListParagraph"/>
              <w:rPr>
                <w:noProof/>
                <w:lang w:eastAsia="en-AU"/>
              </w:rPr>
            </w:pPr>
            <w:r>
              <w:t>2011</w:t>
            </w:r>
          </w:p>
        </w:tc>
        <w:tc>
          <w:tcPr>
            <w:tcW w:w="3733" w:type="pct"/>
            <w:tcBorders>
              <w:top w:val="single" w:sz="4" w:space="0" w:color="auto"/>
              <w:bottom w:val="single" w:sz="4" w:space="0" w:color="auto"/>
            </w:tcBorders>
            <w:vAlign w:val="center"/>
          </w:tcPr>
          <w:p w14:paraId="73E8798C" w14:textId="380BC54E" w:rsidR="002C0B9B" w:rsidRPr="002C0B9B" w:rsidRDefault="002C0B9B" w:rsidP="002C0B9B">
            <w:pPr>
              <w:pStyle w:val="ListParagraph"/>
            </w:pPr>
            <w:r w:rsidRPr="00DA0258">
              <w:t xml:space="preserve">Scoping study commissioned by </w:t>
            </w:r>
            <w:r w:rsidR="00697702">
              <w:t>the Department</w:t>
            </w:r>
            <w:r w:rsidRPr="00DA0258">
              <w:t xml:space="preserve"> for undertaking a review of the NRVs</w:t>
            </w:r>
            <w:r>
              <w:t>. Recommended targeted reviews of priority nutrients</w:t>
            </w:r>
          </w:p>
        </w:tc>
      </w:tr>
      <w:tr w:rsidR="002C0B9B" w14:paraId="2194FB57" w14:textId="77777777" w:rsidTr="00930A56">
        <w:trPr>
          <w:cantSplit/>
        </w:trPr>
        <w:tc>
          <w:tcPr>
            <w:tcW w:w="1267" w:type="pct"/>
            <w:tcBorders>
              <w:top w:val="single" w:sz="4" w:space="0" w:color="auto"/>
              <w:bottom w:val="single" w:sz="4" w:space="0" w:color="auto"/>
            </w:tcBorders>
            <w:vAlign w:val="center"/>
          </w:tcPr>
          <w:p w14:paraId="676676F2" w14:textId="77777777" w:rsidR="002C0B9B" w:rsidRDefault="002C0B9B">
            <w:pPr>
              <w:pStyle w:val="ListParagraph"/>
              <w:rPr>
                <w:noProof/>
                <w:lang w:eastAsia="en-AU"/>
              </w:rPr>
            </w:pPr>
            <w:r>
              <w:t>2015</w:t>
            </w:r>
          </w:p>
        </w:tc>
        <w:tc>
          <w:tcPr>
            <w:tcW w:w="3733" w:type="pct"/>
            <w:tcBorders>
              <w:top w:val="single" w:sz="4" w:space="0" w:color="auto"/>
              <w:bottom w:val="single" w:sz="4" w:space="0" w:color="auto"/>
            </w:tcBorders>
            <w:vAlign w:val="center"/>
          </w:tcPr>
          <w:p w14:paraId="273E7180" w14:textId="174D280B" w:rsidR="002C0B9B" w:rsidRPr="002C0B9B" w:rsidRDefault="002C0B9B" w:rsidP="002C0B9B">
            <w:pPr>
              <w:pStyle w:val="ListParagraph"/>
            </w:pPr>
            <w:r w:rsidRPr="00DA0258">
              <w:t xml:space="preserve">Methodological Framework developed to guide </w:t>
            </w:r>
            <w:r>
              <w:t xml:space="preserve">nutrient reviews. Three priority nutrients identified: </w:t>
            </w:r>
            <w:r w:rsidRPr="000B201E">
              <w:t>fluoride, sodium and iodine</w:t>
            </w:r>
            <w:r>
              <w:t>.</w:t>
            </w:r>
          </w:p>
        </w:tc>
      </w:tr>
      <w:tr w:rsidR="002C0B9B" w14:paraId="09028E6E" w14:textId="77777777" w:rsidTr="00930A56">
        <w:trPr>
          <w:cantSplit/>
        </w:trPr>
        <w:tc>
          <w:tcPr>
            <w:tcW w:w="1267" w:type="pct"/>
            <w:tcBorders>
              <w:top w:val="single" w:sz="4" w:space="0" w:color="auto"/>
              <w:bottom w:val="single" w:sz="4" w:space="0" w:color="auto"/>
            </w:tcBorders>
            <w:vAlign w:val="center"/>
          </w:tcPr>
          <w:p w14:paraId="6B7B0927" w14:textId="77777777" w:rsidR="002C0B9B" w:rsidRDefault="002C0B9B">
            <w:pPr>
              <w:pStyle w:val="ListParagraph"/>
              <w:rPr>
                <w:noProof/>
                <w:lang w:eastAsia="en-AU"/>
              </w:rPr>
            </w:pPr>
            <w:r w:rsidRPr="00DA0258">
              <w:t>2016</w:t>
            </w:r>
          </w:p>
        </w:tc>
        <w:tc>
          <w:tcPr>
            <w:tcW w:w="3733" w:type="pct"/>
            <w:tcBorders>
              <w:top w:val="single" w:sz="4" w:space="0" w:color="auto"/>
              <w:bottom w:val="single" w:sz="4" w:space="0" w:color="auto"/>
            </w:tcBorders>
            <w:vAlign w:val="center"/>
          </w:tcPr>
          <w:p w14:paraId="2906E817" w14:textId="6214047D" w:rsidR="002C0B9B" w:rsidRPr="002C0B9B" w:rsidRDefault="002C0B9B" w:rsidP="002C0B9B">
            <w:pPr>
              <w:pStyle w:val="ListParagraph"/>
            </w:pPr>
            <w:r w:rsidRPr="00DA0258">
              <w:t xml:space="preserve">Pilot nutrient review undertaken by </w:t>
            </w:r>
            <w:r w:rsidR="00697702">
              <w:t>Department</w:t>
            </w:r>
            <w:r w:rsidRPr="00DA0258">
              <w:t xml:space="preserve"> </w:t>
            </w:r>
            <w:r>
              <w:t xml:space="preserve">in consultation with </w:t>
            </w:r>
            <w:r w:rsidR="00697702">
              <w:t>NZ Ministry</w:t>
            </w:r>
            <w:r>
              <w:t xml:space="preserve"> </w:t>
            </w:r>
            <w:r w:rsidRPr="00DA0258">
              <w:t xml:space="preserve">and endorsed by the NHMRC addressing </w:t>
            </w:r>
            <w:r>
              <w:t>aspects of the</w:t>
            </w:r>
            <w:r w:rsidRPr="00DA0258">
              <w:t xml:space="preserve"> NRVs for sodium and fluoride</w:t>
            </w:r>
          </w:p>
        </w:tc>
      </w:tr>
      <w:tr w:rsidR="002C0B9B" w14:paraId="55EEA21B" w14:textId="77777777" w:rsidTr="00930A56">
        <w:trPr>
          <w:cantSplit/>
        </w:trPr>
        <w:tc>
          <w:tcPr>
            <w:tcW w:w="1267" w:type="pct"/>
            <w:tcBorders>
              <w:top w:val="single" w:sz="4" w:space="0" w:color="auto"/>
              <w:bottom w:val="single" w:sz="4" w:space="0" w:color="auto"/>
            </w:tcBorders>
            <w:vAlign w:val="center"/>
          </w:tcPr>
          <w:p w14:paraId="421EBDCB" w14:textId="77777777" w:rsidR="002C0B9B" w:rsidRDefault="002C0B9B">
            <w:pPr>
              <w:pStyle w:val="ListParagraph"/>
              <w:rPr>
                <w:noProof/>
                <w:lang w:eastAsia="en-AU"/>
              </w:rPr>
            </w:pPr>
            <w:r w:rsidRPr="00DA0258">
              <w:t>2018</w:t>
            </w:r>
          </w:p>
        </w:tc>
        <w:tc>
          <w:tcPr>
            <w:tcW w:w="3733" w:type="pct"/>
            <w:tcBorders>
              <w:top w:val="single" w:sz="4" w:space="0" w:color="auto"/>
              <w:bottom w:val="single" w:sz="4" w:space="0" w:color="auto"/>
            </w:tcBorders>
            <w:vAlign w:val="center"/>
          </w:tcPr>
          <w:p w14:paraId="064310F8" w14:textId="3CD04863" w:rsidR="002C0B9B" w:rsidRPr="002C0B9B" w:rsidRDefault="002C0B9B" w:rsidP="002C0B9B">
            <w:pPr>
              <w:pStyle w:val="ListParagraph"/>
            </w:pPr>
            <w:r w:rsidRPr="00DA0258">
              <w:t>NHMRC appointed to finalise reviews of priority nutrients</w:t>
            </w:r>
          </w:p>
        </w:tc>
      </w:tr>
      <w:tr w:rsidR="007E001A" w14:paraId="2B71C10B" w14:textId="77777777" w:rsidTr="00930A56">
        <w:trPr>
          <w:cantSplit/>
        </w:trPr>
        <w:tc>
          <w:tcPr>
            <w:tcW w:w="1267" w:type="pct"/>
            <w:tcBorders>
              <w:top w:val="single" w:sz="4" w:space="0" w:color="auto"/>
              <w:bottom w:val="single" w:sz="4" w:space="0" w:color="auto"/>
            </w:tcBorders>
            <w:vAlign w:val="center"/>
          </w:tcPr>
          <w:p w14:paraId="5E0B1254" w14:textId="56FC1553" w:rsidR="007E001A" w:rsidRPr="007E001A" w:rsidRDefault="007E001A" w:rsidP="00A0246B">
            <w:pPr>
              <w:pStyle w:val="ListParagraph"/>
              <w:rPr>
                <w:noProof/>
                <w:lang w:eastAsia="en-AU"/>
              </w:rPr>
            </w:pPr>
            <w:r w:rsidRPr="00DA0258">
              <w:lastRenderedPageBreak/>
              <w:t>2019</w:t>
            </w:r>
          </w:p>
        </w:tc>
        <w:tc>
          <w:tcPr>
            <w:tcW w:w="3733" w:type="pct"/>
            <w:tcBorders>
              <w:top w:val="single" w:sz="4" w:space="0" w:color="auto"/>
              <w:bottom w:val="single" w:sz="4" w:space="0" w:color="auto"/>
            </w:tcBorders>
            <w:vAlign w:val="center"/>
          </w:tcPr>
          <w:p w14:paraId="37BB6616" w14:textId="77777777" w:rsidR="007E001A" w:rsidRDefault="007E001A" w:rsidP="00A0246B">
            <w:pPr>
              <w:pStyle w:val="ListParagraph"/>
            </w:pPr>
            <w:r>
              <w:t>U</w:t>
            </w:r>
            <w:r w:rsidRPr="00DA0258">
              <w:t>pdate to methodological framework and governance structure post pilot including age range clarification and ideal median weight data</w:t>
            </w:r>
          </w:p>
          <w:p w14:paraId="5BFE81E5" w14:textId="77777777" w:rsidR="00F41973" w:rsidRDefault="00F41973" w:rsidP="00F41973">
            <w:pPr>
              <w:pStyle w:val="ListParagraph"/>
            </w:pPr>
            <w:r>
              <w:t>C</w:t>
            </w:r>
            <w:r w:rsidRPr="00DA0258">
              <w:t xml:space="preserve">ommencement of </w:t>
            </w:r>
            <w:r>
              <w:t>sodium and iodine</w:t>
            </w:r>
            <w:r w:rsidRPr="00DA0258">
              <w:t xml:space="preserve"> reviews</w:t>
            </w:r>
          </w:p>
          <w:p w14:paraId="69CAFDA6" w14:textId="4DCA1B70" w:rsidR="00F41973" w:rsidRPr="00DA0258" w:rsidRDefault="00F41973" w:rsidP="00F41973">
            <w:pPr>
              <w:pStyle w:val="ListParagraph"/>
            </w:pPr>
            <w:r>
              <w:t>Update to methodological framework with additional detail on scaling/ NRV derivation and adopt/adapt processes</w:t>
            </w:r>
          </w:p>
        </w:tc>
      </w:tr>
      <w:tr w:rsidR="007E001A" w14:paraId="09FA73C6" w14:textId="77777777" w:rsidTr="00930A56">
        <w:trPr>
          <w:cantSplit/>
        </w:trPr>
        <w:tc>
          <w:tcPr>
            <w:tcW w:w="1267" w:type="pct"/>
            <w:tcBorders>
              <w:top w:val="single" w:sz="4" w:space="0" w:color="auto"/>
              <w:bottom w:val="single" w:sz="4" w:space="0" w:color="auto"/>
            </w:tcBorders>
            <w:vAlign w:val="center"/>
          </w:tcPr>
          <w:p w14:paraId="143FB5D3" w14:textId="1D6B7933" w:rsidR="007E001A" w:rsidRDefault="007E001A" w:rsidP="0047789A">
            <w:pPr>
              <w:spacing w:before="0" w:after="100" w:afterAutospacing="1"/>
              <w:rPr>
                <w:noProof/>
              </w:rPr>
            </w:pPr>
            <w:r>
              <w:rPr>
                <w:noProof/>
              </w:rPr>
              <w:t>2025</w:t>
            </w:r>
          </w:p>
        </w:tc>
        <w:tc>
          <w:tcPr>
            <w:tcW w:w="3733" w:type="pct"/>
            <w:tcBorders>
              <w:top w:val="single" w:sz="4" w:space="0" w:color="auto"/>
              <w:bottom w:val="single" w:sz="4" w:space="0" w:color="auto"/>
            </w:tcBorders>
            <w:vAlign w:val="center"/>
          </w:tcPr>
          <w:p w14:paraId="6B2F2063" w14:textId="518D506A" w:rsidR="00A0246B" w:rsidRDefault="00902E0F" w:rsidP="00A0246B">
            <w:pPr>
              <w:pStyle w:val="ListParagraph"/>
            </w:pPr>
            <w:r>
              <w:t xml:space="preserve">Update to methodological framework </w:t>
            </w:r>
            <w:r w:rsidR="00FD205F">
              <w:t xml:space="preserve">methods with inclusion of GRADE, updated </w:t>
            </w:r>
            <w:r w:rsidR="00AD443E">
              <w:t xml:space="preserve">age groups, </w:t>
            </w:r>
            <w:r w:rsidR="00FD205F">
              <w:t>reference w</w:t>
            </w:r>
            <w:r w:rsidR="0030572A">
              <w:t>e</w:t>
            </w:r>
            <w:r w:rsidR="00FD205F">
              <w:t xml:space="preserve">ights, growth factors </w:t>
            </w:r>
          </w:p>
        </w:tc>
      </w:tr>
    </w:tbl>
    <w:p w14:paraId="6E9DC967" w14:textId="5EBD07E3" w:rsidR="00FB0C04" w:rsidRDefault="00FB0C04" w:rsidP="00B35D1F">
      <w:bookmarkStart w:id="274" w:name="_Ref197345619"/>
    </w:p>
    <w:p w14:paraId="45CFD46C" w14:textId="3DE34AD0" w:rsidR="00DB2727" w:rsidRDefault="00FB0C04" w:rsidP="003E2E95">
      <w:pPr>
        <w:pStyle w:val="Heading3-Appendix"/>
      </w:pPr>
      <w:r>
        <w:br w:type="page"/>
      </w:r>
      <w:bookmarkStart w:id="275" w:name="_Ref206073231"/>
      <w:bookmarkStart w:id="276" w:name="_Toc207801122"/>
      <w:bookmarkStart w:id="277" w:name="_Toc207824592"/>
      <w:r w:rsidR="007C70A8">
        <w:lastRenderedPageBreak/>
        <w:t>NRV nutrient update prioritisation framework</w:t>
      </w:r>
      <w:bookmarkStart w:id="278" w:name="_Toc153967165"/>
      <w:bookmarkEnd w:id="274"/>
      <w:bookmarkEnd w:id="275"/>
      <w:bookmarkEnd w:id="276"/>
      <w:bookmarkEnd w:id="277"/>
      <w:r w:rsidR="007C70A8">
        <w:t xml:space="preserve"> </w:t>
      </w:r>
      <w:bookmarkEnd w:id="278"/>
    </w:p>
    <w:p w14:paraId="60D6DE0F" w14:textId="77777777" w:rsidR="009F1D1A" w:rsidRDefault="009F1D1A" w:rsidP="00BD5312">
      <w:r w:rsidRPr="00F6566E">
        <w:t>I</w:t>
      </w:r>
      <w:r>
        <w:t>n</w:t>
      </w:r>
      <w:r w:rsidRPr="00F6566E">
        <w:t xml:space="preserve"> the </w:t>
      </w:r>
      <w:r>
        <w:t>February 2025</w:t>
      </w:r>
      <w:r w:rsidRPr="00F6566E">
        <w:t xml:space="preserve"> </w:t>
      </w:r>
      <w:r>
        <w:t xml:space="preserve">Steering Group Advisory Committee meeting, a draft prioritisation framework for selecting future nutrients to be updated was discussed. This document was finalised in March 2005. </w:t>
      </w:r>
    </w:p>
    <w:p w14:paraId="2E11C788" w14:textId="745A7445" w:rsidR="009F1D1A" w:rsidRPr="00E1583D" w:rsidRDefault="009F1D1A" w:rsidP="00BD5312">
      <w:pPr>
        <w:rPr>
          <w:i/>
          <w:iCs/>
        </w:rPr>
      </w:pPr>
      <w:r>
        <w:rPr>
          <w:rFonts w:cs="Arial"/>
          <w:szCs w:val="20"/>
        </w:rPr>
        <w:t xml:space="preserve">This framework is based on </w:t>
      </w:r>
      <w:r w:rsidRPr="00E1583D">
        <w:rPr>
          <w:i/>
          <w:iCs/>
        </w:rPr>
        <w:t xml:space="preserve">the </w:t>
      </w:r>
      <w:r w:rsidR="009D3F9C">
        <w:rPr>
          <w:i/>
          <w:iCs/>
        </w:rPr>
        <w:t xml:space="preserve">Australian Dietary </w:t>
      </w:r>
      <w:r w:rsidR="00C40474">
        <w:rPr>
          <w:i/>
          <w:iCs/>
        </w:rPr>
        <w:t>G</w:t>
      </w:r>
      <w:r w:rsidR="009D3F9C">
        <w:rPr>
          <w:i/>
          <w:iCs/>
        </w:rPr>
        <w:t>uidelines</w:t>
      </w:r>
      <w:r w:rsidR="00CD587B">
        <w:rPr>
          <w:i/>
          <w:iCs/>
        </w:rPr>
        <w:t xml:space="preserve"> review</w:t>
      </w:r>
      <w:r w:rsidR="009D3F9C">
        <w:rPr>
          <w:i/>
          <w:iCs/>
        </w:rPr>
        <w:t xml:space="preserve"> </w:t>
      </w:r>
      <w:hyperlink r:id="rId228" w:history="1">
        <w:r>
          <w:rPr>
            <w:rStyle w:val="Hyperlink"/>
            <w:rFonts w:eastAsia="Times New Roman"/>
            <w:i/>
            <w:iCs/>
          </w:rPr>
          <w:t>Prioritisation Process Report</w:t>
        </w:r>
      </w:hyperlink>
      <w:r>
        <w:t>.</w:t>
      </w:r>
      <w:r w:rsidRPr="00D712AC">
        <w:t xml:space="preserve"> </w:t>
      </w:r>
      <w:r w:rsidRPr="006C3A28">
        <w:t>The principles were modelled on the prioritisation pathways used for development of the Dietary Guidelines for Americans 2021-2025, the Nordic Nutrition Recommendations 2022, and Canada’s Dietary Guidelines</w:t>
      </w:r>
      <w:r>
        <w:t xml:space="preserve"> 2019</w:t>
      </w:r>
      <w:r w:rsidRPr="006C3A28">
        <w:t>.</w:t>
      </w:r>
      <w:r>
        <w:t xml:space="preserve"> </w:t>
      </w:r>
      <w:r w:rsidRPr="00937A44">
        <w:t xml:space="preserve">The principles also </w:t>
      </w:r>
      <w:r>
        <w:t>consider</w:t>
      </w:r>
      <w:r w:rsidRPr="00937A44">
        <w:t xml:space="preserve"> prioritisation criteria commonly used in the development of health practice guidelines</w:t>
      </w:r>
      <w:r w:rsidR="005754A6">
        <w:t xml:space="preserve"> </w:t>
      </w:r>
      <w:r w:rsidR="005754A6">
        <w:fldChar w:fldCharType="begin"/>
      </w:r>
      <w:r w:rsidR="00256D81">
        <w:instrText xml:space="preserve"> ADDIN EN.CITE &lt;EndNote&gt;&lt;Cite&gt;&lt;Author&gt;El-Harakeh&lt;/Author&gt;&lt;Year&gt;2019&lt;/Year&gt;&lt;RecNum&gt;26&lt;/RecNum&gt;&lt;DisplayText&gt;(El-Harakeh et al. 2019)&lt;/DisplayText&gt;&lt;record&gt;&lt;rec-number&gt;26&lt;/rec-number&gt;&lt;foreign-keys&gt;&lt;key app="EN" db-id="zxfaevvrgpsxebez5ec5vspfe2av5dtxt9xx" timestamp="1754957726"&gt;26&lt;/key&gt;&lt;/foreign-keys&gt;&lt;ref-type name="Journal Article"&gt;17&lt;/ref-type&gt;&lt;contributors&gt;&lt;authors&gt;&lt;author&gt;El-Harakeh, Amena&lt;/author&gt;&lt;author&gt;Morsi, Rami Z&lt;/author&gt;&lt;author&gt;Fadlallah, Racha&lt;/author&gt;&lt;author&gt;Bou-Karroum, Lama&lt;/author&gt;&lt;author&gt;Lotfi, Tamara&lt;/author&gt;&lt;author&gt;Akl, Elie A&lt;/author&gt;&lt;/authors&gt;&lt;/contributors&gt;&lt;titles&gt;&lt;title&gt;Prioritization approaches in the development of health practice guidelines: a systematic review&lt;/title&gt;&lt;secondary-title&gt;BMC health services research&lt;/secondary-title&gt;&lt;/titles&gt;&lt;periodical&gt;&lt;full-title&gt;BMC health services research&lt;/full-title&gt;&lt;/periodical&gt;&lt;pages&gt;1-10&lt;/pages&gt;&lt;volume&gt;19&lt;/volume&gt;&lt;dates&gt;&lt;year&gt;2019&lt;/year&gt;&lt;/dates&gt;&lt;urls&gt;&lt;/urls&gt;&lt;electronic-resource-num&gt;10.1186/s12913-019-4567-2&lt;/electronic-resource-num&gt;&lt;/record&gt;&lt;/Cite&gt;&lt;/EndNote&gt;</w:instrText>
      </w:r>
      <w:r w:rsidR="005754A6">
        <w:fldChar w:fldCharType="separate"/>
      </w:r>
      <w:r w:rsidR="00705079">
        <w:rPr>
          <w:noProof/>
        </w:rPr>
        <w:t>(El-Harakeh et al. 2019)</w:t>
      </w:r>
      <w:r w:rsidR="005754A6">
        <w:fldChar w:fldCharType="end"/>
      </w:r>
      <w:r w:rsidRPr="00937A44">
        <w:t>.</w:t>
      </w:r>
    </w:p>
    <w:p w14:paraId="7B207D53" w14:textId="77777777" w:rsidR="009F1D1A" w:rsidRDefault="009F1D1A" w:rsidP="009F1D1A">
      <w:pPr>
        <w:spacing w:after="80" w:line="180" w:lineRule="atLeast"/>
        <w:contextualSpacing/>
        <w:rPr>
          <w:rFonts w:eastAsia="Times New Roman"/>
          <w:szCs w:val="20"/>
        </w:rPr>
      </w:pPr>
    </w:p>
    <w:p w14:paraId="2874DFF3" w14:textId="77777777" w:rsidR="009F1D1A" w:rsidRDefault="009F1D1A" w:rsidP="009F1D1A">
      <w:pPr>
        <w:contextualSpacing/>
      </w:pPr>
      <w:r>
        <w:t>The Steering Group is responsible for the ongoing monitoring of triggers for a new review, decision making, resourcing and ensuring nutrient reviews are conducted in a timely manner. In selecting and prioritising NRVs for review, consideration will be given to the relative priority and resource requirements associated with potential updates, along with the available review resources at any given time.</w:t>
      </w:r>
    </w:p>
    <w:p w14:paraId="26C03E6D" w14:textId="77777777" w:rsidR="009F1D1A" w:rsidRDefault="009F1D1A" w:rsidP="009F1D1A">
      <w:pPr>
        <w:contextualSpacing/>
      </w:pPr>
    </w:p>
    <w:p w14:paraId="3827AA93" w14:textId="77777777" w:rsidR="009F1D1A" w:rsidRDefault="009F1D1A" w:rsidP="009F1D1A">
      <w:r>
        <w:t>An update of existing NRVs may be triggered via several mechanisms, including where:</w:t>
      </w:r>
    </w:p>
    <w:p w14:paraId="64C78E1C" w14:textId="77777777" w:rsidR="009F1D1A" w:rsidRDefault="009F1D1A" w:rsidP="00211F4C">
      <w:pPr>
        <w:pStyle w:val="ListParagraph"/>
        <w:numPr>
          <w:ilvl w:val="0"/>
          <w:numId w:val="29"/>
        </w:numPr>
      </w:pPr>
      <w:r>
        <w:t>an update is identified as a priority for review by the Steering Group</w:t>
      </w:r>
    </w:p>
    <w:p w14:paraId="56A3B7AA" w14:textId="77777777" w:rsidR="009F1D1A" w:rsidRDefault="009F1D1A" w:rsidP="00211F4C">
      <w:pPr>
        <w:pStyle w:val="ListParagraph"/>
        <w:numPr>
          <w:ilvl w:val="0"/>
          <w:numId w:val="29"/>
        </w:numPr>
      </w:pPr>
      <w:r>
        <w:t>a recent, high quality systematic review is published, with implications for the currency or accuracy of related NRVs</w:t>
      </w:r>
    </w:p>
    <w:p w14:paraId="61C9D963" w14:textId="5F6A3B1D" w:rsidR="009F1D1A" w:rsidRDefault="009F1D1A" w:rsidP="00211F4C">
      <w:pPr>
        <w:pStyle w:val="ListParagraph"/>
        <w:numPr>
          <w:ilvl w:val="0"/>
          <w:numId w:val="29"/>
        </w:numPr>
      </w:pPr>
      <w:r>
        <w:t xml:space="preserve">revised NRVs are set by comparable </w:t>
      </w:r>
      <w:r w:rsidR="00CE61A6">
        <w:t>international</w:t>
      </w:r>
      <w:r>
        <w:t xml:space="preserve"> jurisdictions, with implications for the currency or accuracy of related NRVs</w:t>
      </w:r>
    </w:p>
    <w:p w14:paraId="17A582A2" w14:textId="77777777" w:rsidR="009F1D1A" w:rsidRDefault="009F1D1A" w:rsidP="00211F4C">
      <w:pPr>
        <w:pStyle w:val="ListParagraph"/>
        <w:numPr>
          <w:ilvl w:val="0"/>
          <w:numId w:val="29"/>
        </w:numPr>
      </w:pPr>
      <w:r>
        <w:t>review is required to inform decisions about mandatory fortification programs.</w:t>
      </w:r>
    </w:p>
    <w:p w14:paraId="43914842" w14:textId="77777777" w:rsidR="009F1D1A" w:rsidRPr="00884F12" w:rsidRDefault="009F1D1A" w:rsidP="009F1D1A">
      <w:pPr>
        <w:spacing w:after="80" w:line="180" w:lineRule="atLeast"/>
        <w:contextualSpacing/>
        <w:rPr>
          <w:rFonts w:eastAsia="Times New Roman"/>
          <w:szCs w:val="20"/>
        </w:rPr>
      </w:pPr>
      <w:r>
        <w:t>If only one NRV for a particular nutrient is prioritised for review, consideration should be given to the impact of altering this value relative to other NRVs for that nutrient.</w:t>
      </w:r>
    </w:p>
    <w:p w14:paraId="378DE9CA" w14:textId="77777777" w:rsidR="009F1D1A" w:rsidRDefault="009F1D1A" w:rsidP="009F1D1A">
      <w:pPr>
        <w:spacing w:after="80" w:line="180" w:lineRule="atLeast"/>
        <w:contextualSpacing/>
        <w:rPr>
          <w:rFonts w:eastAsia="Times New Roman"/>
        </w:rPr>
      </w:pPr>
    </w:p>
    <w:tbl>
      <w:tblPr>
        <w:tblStyle w:val="TableGrid"/>
        <w:tblW w:w="5000" w:type="pct"/>
        <w:tblLook w:val="0620" w:firstRow="1" w:lastRow="0" w:firstColumn="0" w:lastColumn="0" w:noHBand="1" w:noVBand="1"/>
      </w:tblPr>
      <w:tblGrid>
        <w:gridCol w:w="9865"/>
      </w:tblGrid>
      <w:tr w:rsidR="009F1D1A" w:rsidRPr="003216A4" w14:paraId="176C372E" w14:textId="77777777" w:rsidTr="00930A56">
        <w:trPr>
          <w:cantSplit/>
        </w:trPr>
        <w:tc>
          <w:tcPr>
            <w:tcW w:w="5000" w:type="pct"/>
            <w:shd w:val="clear" w:color="auto" w:fill="ADD6E8" w:themeFill="accent1" w:themeFillTint="99"/>
          </w:tcPr>
          <w:p w14:paraId="5A4EADBE" w14:textId="77777777" w:rsidR="009F1D1A" w:rsidRPr="003216A4" w:rsidRDefault="009F1D1A" w:rsidP="00EF2105">
            <w:pPr>
              <w:spacing w:after="80" w:line="180" w:lineRule="atLeast"/>
              <w:contextualSpacing/>
              <w:rPr>
                <w:rFonts w:eastAsia="Times New Roman" w:cs="Times New Roman"/>
                <w:b/>
                <w:bCs/>
                <w:lang w:eastAsia="en-AU"/>
              </w:rPr>
            </w:pPr>
            <w:r w:rsidRPr="003216A4">
              <w:rPr>
                <w:rFonts w:eastAsia="Times New Roman" w:cs="Times New Roman"/>
                <w:b/>
                <w:bCs/>
                <w:lang w:eastAsia="en-AU"/>
              </w:rPr>
              <w:t>NRV update prioritisation framework</w:t>
            </w:r>
          </w:p>
        </w:tc>
      </w:tr>
      <w:tr w:rsidR="009F1D1A" w14:paraId="1E3E537A" w14:textId="77777777" w:rsidTr="00930A56">
        <w:trPr>
          <w:cantSplit/>
        </w:trPr>
        <w:tc>
          <w:tcPr>
            <w:tcW w:w="5000" w:type="pct"/>
          </w:tcPr>
          <w:p w14:paraId="2D8D9B6E" w14:textId="77777777" w:rsidR="009F1D1A" w:rsidRPr="0081794D" w:rsidRDefault="009F1D1A" w:rsidP="00EF2105">
            <w:pPr>
              <w:spacing w:after="80" w:line="180" w:lineRule="atLeast"/>
              <w:contextualSpacing/>
              <w:rPr>
                <w:rFonts w:eastAsia="Times New Roman" w:cs="Times New Roman"/>
                <w:lang w:eastAsia="en-AU"/>
              </w:rPr>
            </w:pPr>
            <w:r w:rsidRPr="0081794D">
              <w:rPr>
                <w:rFonts w:eastAsia="Times New Roman" w:cs="Times New Roman"/>
                <w:lang w:eastAsia="en-AU"/>
              </w:rPr>
              <w:t xml:space="preserve">For each nutrient: </w:t>
            </w:r>
          </w:p>
          <w:p w14:paraId="2C909BE3" w14:textId="77777777" w:rsidR="009F1D1A" w:rsidRPr="0081794D" w:rsidRDefault="009F1D1A" w:rsidP="00211F4C">
            <w:pPr>
              <w:pStyle w:val="ListParagraph"/>
              <w:numPr>
                <w:ilvl w:val="0"/>
                <w:numId w:val="54"/>
              </w:numPr>
              <w:spacing w:before="0" w:after="80" w:line="180" w:lineRule="atLeast"/>
              <w:ind w:left="714" w:hanging="357"/>
              <w:contextualSpacing/>
              <w:rPr>
                <w:rFonts w:eastAsia="Times New Roman" w:cs="Times New Roman"/>
                <w:lang w:eastAsia="en-AU"/>
              </w:rPr>
            </w:pPr>
            <w:r w:rsidRPr="0081794D">
              <w:rPr>
                <w:rFonts w:eastAsia="Times New Roman" w:cs="Times New Roman"/>
                <w:lang w:eastAsia="en-AU"/>
              </w:rPr>
              <w:t>time since last review</w:t>
            </w:r>
          </w:p>
          <w:p w14:paraId="42B90D89" w14:textId="77777777" w:rsidR="009F1D1A" w:rsidRPr="0081794D" w:rsidRDefault="009F1D1A" w:rsidP="00211F4C">
            <w:pPr>
              <w:pStyle w:val="ListParagraph"/>
              <w:numPr>
                <w:ilvl w:val="0"/>
                <w:numId w:val="54"/>
              </w:numPr>
              <w:spacing w:before="0" w:after="80" w:line="180" w:lineRule="atLeast"/>
              <w:contextualSpacing/>
              <w:rPr>
                <w:rFonts w:eastAsia="Times New Roman" w:cs="Times New Roman"/>
                <w:lang w:eastAsia="en-AU"/>
              </w:rPr>
            </w:pPr>
            <w:r w:rsidRPr="0081794D">
              <w:rPr>
                <w:rFonts w:eastAsia="Times New Roman" w:cs="Times New Roman"/>
                <w:lang w:eastAsia="en-AU"/>
              </w:rPr>
              <w:t>is there new available evidence? (what kind?)</w:t>
            </w:r>
          </w:p>
          <w:p w14:paraId="504911D7" w14:textId="77777777" w:rsidR="009F1D1A" w:rsidRPr="00A43FF0" w:rsidRDefault="009F1D1A" w:rsidP="00211F4C">
            <w:pPr>
              <w:pStyle w:val="ListParagraph"/>
              <w:numPr>
                <w:ilvl w:val="0"/>
                <w:numId w:val="54"/>
              </w:numPr>
              <w:spacing w:before="0" w:after="80" w:line="180" w:lineRule="atLeast"/>
              <w:contextualSpacing/>
              <w:rPr>
                <w:rFonts w:eastAsia="Times New Roman" w:cs="Times New Roman"/>
                <w:lang w:eastAsia="en-AU"/>
              </w:rPr>
            </w:pPr>
            <w:r w:rsidRPr="0081794D">
              <w:rPr>
                <w:rFonts w:eastAsia="Times New Roman" w:cs="Times New Roman"/>
                <w:lang w:eastAsia="en-AU"/>
              </w:rPr>
              <w:t xml:space="preserve">Have any levels for this nutrient been updated internationally recently? </w:t>
            </w:r>
          </w:p>
        </w:tc>
      </w:tr>
      <w:tr w:rsidR="009F1D1A" w14:paraId="150F5AD9" w14:textId="77777777" w:rsidTr="00930A56">
        <w:trPr>
          <w:cantSplit/>
        </w:trPr>
        <w:tc>
          <w:tcPr>
            <w:tcW w:w="5000" w:type="pct"/>
          </w:tcPr>
          <w:p w14:paraId="58153826" w14:textId="77777777" w:rsidR="009F1D1A" w:rsidRDefault="009F1D1A" w:rsidP="00EF2105">
            <w:pPr>
              <w:spacing w:after="80" w:line="180" w:lineRule="atLeast"/>
              <w:contextualSpacing/>
              <w:rPr>
                <w:rFonts w:eastAsia="Times New Roman" w:cs="Times New Roman"/>
                <w:b/>
                <w:lang w:eastAsia="en-AU"/>
              </w:rPr>
            </w:pPr>
            <w:r w:rsidRPr="006C3A28">
              <w:rPr>
                <w:rFonts w:eastAsia="Times New Roman" w:cs="Times New Roman"/>
                <w:b/>
                <w:lang w:eastAsia="en-AU"/>
              </w:rPr>
              <w:t>1. Relevance</w:t>
            </w:r>
            <w:r>
              <w:rPr>
                <w:rFonts w:eastAsia="Times New Roman" w:cs="Times New Roman"/>
                <w:b/>
                <w:lang w:eastAsia="en-AU"/>
              </w:rPr>
              <w:t xml:space="preserve"> </w:t>
            </w:r>
          </w:p>
          <w:p w14:paraId="4117F8EC" w14:textId="77777777" w:rsidR="009F1D1A" w:rsidRPr="00FC4506" w:rsidRDefault="009F1D1A" w:rsidP="00EF2105">
            <w:r>
              <w:t xml:space="preserve">NRVs prioritised for review will apply to </w:t>
            </w:r>
            <w:r w:rsidRPr="00FC4506">
              <w:t>people of all ages and backgrounds in the general population, including people with common diet-related risk factors such as being overweight.</w:t>
            </w:r>
          </w:p>
          <w:p w14:paraId="4FB55DE2" w14:textId="77777777" w:rsidR="009F1D1A" w:rsidRPr="006C3A28" w:rsidRDefault="009F1D1A" w:rsidP="00EF2105">
            <w:pPr>
              <w:rPr>
                <w:rFonts w:eastAsia="Times New Roman" w:cs="Times New Roman"/>
                <w:lang w:eastAsia="en-AU"/>
              </w:rPr>
            </w:pPr>
            <w:r>
              <w:t>Consider if the information on the NRV:</w:t>
            </w:r>
            <w:r w:rsidRPr="00FC4506">
              <w:t xml:space="preserve"> </w:t>
            </w:r>
          </w:p>
          <w:p w14:paraId="7BDF935F" w14:textId="77777777" w:rsidR="009F1D1A" w:rsidRPr="0081794D" w:rsidRDefault="009F1D1A" w:rsidP="00211F4C">
            <w:pPr>
              <w:numPr>
                <w:ilvl w:val="0"/>
                <w:numId w:val="49"/>
              </w:numPr>
              <w:spacing w:before="0" w:after="80" w:line="180" w:lineRule="atLeast"/>
              <w:contextualSpacing/>
              <w:rPr>
                <w:rFonts w:eastAsia="Times New Roman" w:cs="Times New Roman"/>
                <w:lang w:eastAsia="en-AU"/>
              </w:rPr>
            </w:pPr>
            <w:r>
              <w:rPr>
                <w:rFonts w:eastAsia="Times New Roman" w:cs="Times New Roman"/>
                <w:lang w:eastAsia="en-AU"/>
              </w:rPr>
              <w:t>relates</w:t>
            </w:r>
            <w:r w:rsidRPr="006C3A28">
              <w:rPr>
                <w:rFonts w:eastAsia="Times New Roman" w:cs="Times New Roman"/>
                <w:lang w:eastAsia="en-AU"/>
              </w:rPr>
              <w:t xml:space="preserve"> to the </w:t>
            </w:r>
            <w:r w:rsidRPr="0081794D">
              <w:rPr>
                <w:rFonts w:eastAsia="Times New Roman" w:cs="Times New Roman"/>
                <w:lang w:eastAsia="en-AU"/>
              </w:rPr>
              <w:t>Australian and New Zealand context</w:t>
            </w:r>
          </w:p>
          <w:p w14:paraId="4B258F68" w14:textId="77777777" w:rsidR="009F1D1A" w:rsidRDefault="009F1D1A" w:rsidP="00211F4C">
            <w:pPr>
              <w:numPr>
                <w:ilvl w:val="0"/>
                <w:numId w:val="49"/>
              </w:numPr>
              <w:spacing w:before="0" w:after="80" w:line="180" w:lineRule="atLeast"/>
              <w:contextualSpacing/>
              <w:rPr>
                <w:rFonts w:eastAsia="Times New Roman" w:cs="Times New Roman"/>
                <w:lang w:eastAsia="en-AU"/>
              </w:rPr>
            </w:pPr>
            <w:r>
              <w:rPr>
                <w:rFonts w:eastAsia="Times New Roman" w:cs="Times New Roman"/>
                <w:lang w:eastAsia="en-AU"/>
              </w:rPr>
              <w:t xml:space="preserve">is </w:t>
            </w:r>
            <w:r w:rsidRPr="0081794D">
              <w:rPr>
                <w:rFonts w:eastAsia="Times New Roman" w:cs="Times New Roman"/>
                <w:lang w:eastAsia="en-AU"/>
              </w:rPr>
              <w:t>applicable to the general Australian and New Zealand populations</w:t>
            </w:r>
          </w:p>
          <w:p w14:paraId="7AFB7832" w14:textId="77777777" w:rsidR="009F1D1A" w:rsidRPr="005474CB" w:rsidRDefault="009F1D1A" w:rsidP="00211F4C">
            <w:pPr>
              <w:numPr>
                <w:ilvl w:val="0"/>
                <w:numId w:val="49"/>
              </w:numPr>
              <w:spacing w:before="0" w:after="80" w:line="180" w:lineRule="atLeast"/>
              <w:contextualSpacing/>
              <w:rPr>
                <w:rFonts w:eastAsia="Times New Roman" w:cs="Times New Roman"/>
                <w:lang w:eastAsia="en-AU"/>
              </w:rPr>
            </w:pPr>
            <w:r>
              <w:rPr>
                <w:rFonts w:eastAsia="Times New Roman" w:cs="Times New Roman"/>
                <w:lang w:eastAsia="en-AU"/>
              </w:rPr>
              <w:t xml:space="preserve">is relevant to </w:t>
            </w:r>
            <w:r w:rsidRPr="00FC4506">
              <w:t>the promotion of health or prevention (rather than treatment or management) of a nutrition-related chronic disease or nutrition-related risk factors.</w:t>
            </w:r>
          </w:p>
          <w:p w14:paraId="1C3F1A31" w14:textId="77777777" w:rsidR="009F1D1A" w:rsidRPr="0081794D" w:rsidRDefault="009F1D1A" w:rsidP="00211F4C">
            <w:pPr>
              <w:numPr>
                <w:ilvl w:val="0"/>
                <w:numId w:val="49"/>
              </w:numPr>
              <w:spacing w:before="0" w:after="80" w:line="180" w:lineRule="atLeast"/>
              <w:contextualSpacing/>
              <w:rPr>
                <w:rFonts w:eastAsia="Times New Roman" w:cs="Times New Roman"/>
                <w:lang w:eastAsia="en-AU"/>
              </w:rPr>
            </w:pPr>
            <w:r>
              <w:t>suggests the current NRV may be inappropriate for the population based on</w:t>
            </w:r>
            <w:r w:rsidRPr="00A404E4">
              <w:t xml:space="preserve"> significant new evidence.</w:t>
            </w:r>
          </w:p>
          <w:p w14:paraId="3BDC7F60" w14:textId="77777777" w:rsidR="009F1D1A" w:rsidRDefault="009F1D1A" w:rsidP="00EF2105">
            <w:pPr>
              <w:spacing w:after="80" w:line="180" w:lineRule="atLeast"/>
              <w:contextualSpacing/>
              <w:rPr>
                <w:rFonts w:eastAsia="Times New Roman" w:cs="Times New Roman"/>
                <w:lang w:eastAsia="en-AU"/>
              </w:rPr>
            </w:pPr>
          </w:p>
        </w:tc>
      </w:tr>
      <w:tr w:rsidR="009F1D1A" w14:paraId="18359587" w14:textId="77777777" w:rsidTr="00930A56">
        <w:trPr>
          <w:cantSplit/>
        </w:trPr>
        <w:tc>
          <w:tcPr>
            <w:tcW w:w="5000" w:type="pct"/>
          </w:tcPr>
          <w:p w14:paraId="091CE990" w14:textId="77777777" w:rsidR="009F1D1A" w:rsidRDefault="009F1D1A" w:rsidP="00EF2105">
            <w:pPr>
              <w:spacing w:after="80" w:line="180" w:lineRule="atLeast"/>
              <w:contextualSpacing/>
              <w:rPr>
                <w:rFonts w:eastAsia="Times New Roman" w:cs="Times New Roman"/>
                <w:lang w:eastAsia="en-AU"/>
              </w:rPr>
            </w:pPr>
            <w:r w:rsidRPr="006C3A28">
              <w:rPr>
                <w:rFonts w:eastAsia="Times New Roman" w:cs="Times New Roman"/>
                <w:b/>
                <w:lang w:eastAsia="en-AU"/>
              </w:rPr>
              <w:lastRenderedPageBreak/>
              <w:t>2. Importance</w:t>
            </w:r>
            <w:r>
              <w:rPr>
                <w:rFonts w:eastAsia="Times New Roman" w:cs="Times New Roman"/>
                <w:b/>
                <w:lang w:eastAsia="en-AU"/>
              </w:rPr>
              <w:t xml:space="preserve"> – </w:t>
            </w:r>
            <w:r>
              <w:rPr>
                <w:rFonts w:eastAsia="Times New Roman" w:cs="Times New Roman"/>
                <w:lang w:eastAsia="en-AU"/>
              </w:rPr>
              <w:t>i</w:t>
            </w:r>
            <w:r w:rsidRPr="006C3A28">
              <w:rPr>
                <w:rFonts w:eastAsia="Times New Roman" w:cs="Times New Roman"/>
                <w:lang w:eastAsia="en-AU"/>
              </w:rPr>
              <w:t>mportan</w:t>
            </w:r>
            <w:r>
              <w:rPr>
                <w:rFonts w:eastAsia="Times New Roman" w:cs="Times New Roman"/>
                <w:lang w:eastAsia="en-AU"/>
              </w:rPr>
              <w:t>ce</w:t>
            </w:r>
            <w:r w:rsidRPr="006C3A28">
              <w:rPr>
                <w:rFonts w:eastAsia="Times New Roman" w:cs="Times New Roman"/>
                <w:lang w:eastAsia="en-AU"/>
              </w:rPr>
              <w:t xml:space="preserve"> to current public health priorities and to what degree. </w:t>
            </w:r>
          </w:p>
          <w:p w14:paraId="3538EBAA" w14:textId="77777777" w:rsidR="009F1D1A" w:rsidRPr="006C3A28" w:rsidRDefault="009F1D1A" w:rsidP="00EF2105">
            <w:pPr>
              <w:spacing w:after="80" w:line="180" w:lineRule="atLeast"/>
              <w:contextualSpacing/>
              <w:rPr>
                <w:rFonts w:eastAsia="Times New Roman" w:cs="Times New Roman"/>
                <w:lang w:eastAsia="en-AU"/>
              </w:rPr>
            </w:pPr>
            <w:r>
              <w:rPr>
                <w:rFonts w:eastAsia="Times New Roman" w:cs="Times New Roman"/>
                <w:lang w:eastAsia="en-AU"/>
              </w:rPr>
              <w:t>Is</w:t>
            </w:r>
            <w:r w:rsidRPr="006C3A28">
              <w:rPr>
                <w:rFonts w:eastAsia="Times New Roman" w:cs="Times New Roman"/>
                <w:lang w:eastAsia="en-AU"/>
              </w:rPr>
              <w:t xml:space="preserve"> the topic:</w:t>
            </w:r>
          </w:p>
          <w:p w14:paraId="63B5B4FE" w14:textId="77777777" w:rsidR="009F1D1A" w:rsidRDefault="009F1D1A" w:rsidP="00211F4C">
            <w:pPr>
              <w:numPr>
                <w:ilvl w:val="0"/>
                <w:numId w:val="50"/>
              </w:numPr>
              <w:spacing w:before="0" w:after="80" w:line="180" w:lineRule="atLeast"/>
              <w:contextualSpacing/>
              <w:rPr>
                <w:rFonts w:eastAsia="Times New Roman" w:cs="Times New Roman"/>
                <w:lang w:eastAsia="en-AU"/>
              </w:rPr>
            </w:pPr>
            <w:r w:rsidRPr="006C3A28">
              <w:rPr>
                <w:rFonts w:eastAsia="Times New Roman" w:cs="Times New Roman"/>
                <w:lang w:eastAsia="en-AU"/>
              </w:rPr>
              <w:t>of significant public health importance</w:t>
            </w:r>
          </w:p>
          <w:p w14:paraId="4CED651D" w14:textId="77777777" w:rsidR="009F1D1A" w:rsidRPr="006C3A28" w:rsidRDefault="009F1D1A" w:rsidP="00211F4C">
            <w:pPr>
              <w:numPr>
                <w:ilvl w:val="0"/>
                <w:numId w:val="50"/>
              </w:numPr>
              <w:spacing w:before="0" w:after="80" w:line="180" w:lineRule="atLeast"/>
              <w:contextualSpacing/>
              <w:rPr>
                <w:rFonts w:eastAsia="Times New Roman" w:cs="Times New Roman"/>
                <w:lang w:eastAsia="en-AU"/>
              </w:rPr>
            </w:pPr>
            <w:r>
              <w:rPr>
                <w:rFonts w:eastAsia="Times New Roman" w:cs="Times New Roman"/>
                <w:lang w:eastAsia="en-AU"/>
              </w:rPr>
              <w:t>an emerging public health priority</w:t>
            </w:r>
          </w:p>
          <w:p w14:paraId="4A4CF881" w14:textId="77777777" w:rsidR="009F1D1A" w:rsidRPr="006C3A28" w:rsidRDefault="009F1D1A" w:rsidP="00211F4C">
            <w:pPr>
              <w:numPr>
                <w:ilvl w:val="0"/>
                <w:numId w:val="50"/>
              </w:numPr>
              <w:spacing w:before="0" w:after="80" w:line="180" w:lineRule="atLeast"/>
              <w:contextualSpacing/>
              <w:rPr>
                <w:rFonts w:eastAsia="Times New Roman" w:cs="Times New Roman"/>
                <w:lang w:eastAsia="en-AU"/>
              </w:rPr>
            </w:pPr>
            <w:r w:rsidRPr="006C3A28">
              <w:rPr>
                <w:rFonts w:eastAsia="Times New Roman" w:cs="Times New Roman"/>
                <w:lang w:eastAsia="en-AU"/>
              </w:rPr>
              <w:t xml:space="preserve">aligned with, or addressed Australian </w:t>
            </w:r>
            <w:r w:rsidRPr="0081794D">
              <w:rPr>
                <w:rFonts w:eastAsia="Times New Roman" w:cs="Times New Roman"/>
                <w:lang w:eastAsia="en-AU"/>
              </w:rPr>
              <w:t xml:space="preserve">or New Zealand Government </w:t>
            </w:r>
            <w:r w:rsidRPr="006C3A28">
              <w:rPr>
                <w:rFonts w:eastAsia="Times New Roman" w:cs="Times New Roman"/>
                <w:lang w:eastAsia="en-AU"/>
              </w:rPr>
              <w:t>health priorities</w:t>
            </w:r>
          </w:p>
          <w:p w14:paraId="05E64715" w14:textId="77777777" w:rsidR="009F1D1A" w:rsidRPr="006C3A28" w:rsidRDefault="009F1D1A" w:rsidP="00211F4C">
            <w:pPr>
              <w:numPr>
                <w:ilvl w:val="0"/>
                <w:numId w:val="50"/>
              </w:numPr>
              <w:spacing w:before="0" w:after="80" w:line="180" w:lineRule="atLeast"/>
              <w:contextualSpacing/>
              <w:rPr>
                <w:rFonts w:eastAsia="Times New Roman" w:cs="Times New Roman"/>
                <w:lang w:eastAsia="en-AU"/>
              </w:rPr>
            </w:pPr>
            <w:r w:rsidRPr="006C3A28">
              <w:rPr>
                <w:rFonts w:eastAsia="Times New Roman" w:cs="Times New Roman"/>
                <w:lang w:eastAsia="en-AU"/>
              </w:rPr>
              <w:t>a long-standing issue or ha</w:t>
            </w:r>
            <w:r>
              <w:rPr>
                <w:rFonts w:eastAsia="Times New Roman" w:cs="Times New Roman"/>
                <w:lang w:eastAsia="en-AU"/>
              </w:rPr>
              <w:t>s</w:t>
            </w:r>
            <w:r w:rsidRPr="006C3A28">
              <w:rPr>
                <w:rFonts w:eastAsia="Times New Roman" w:cs="Times New Roman"/>
                <w:lang w:eastAsia="en-AU"/>
              </w:rPr>
              <w:t xml:space="preserve"> the potential to change existing recommendations</w:t>
            </w:r>
          </w:p>
          <w:p w14:paraId="6E41986A" w14:textId="77777777" w:rsidR="009F1D1A" w:rsidRPr="006C3A28" w:rsidRDefault="009F1D1A" w:rsidP="00211F4C">
            <w:pPr>
              <w:numPr>
                <w:ilvl w:val="0"/>
                <w:numId w:val="50"/>
              </w:numPr>
              <w:spacing w:before="0" w:after="80" w:line="180" w:lineRule="atLeast"/>
              <w:contextualSpacing/>
              <w:rPr>
                <w:rFonts w:eastAsia="Times New Roman" w:cs="Times New Roman"/>
                <w:lang w:eastAsia="en-AU"/>
              </w:rPr>
            </w:pPr>
            <w:r w:rsidRPr="006C3A28">
              <w:rPr>
                <w:rFonts w:eastAsia="Times New Roman" w:cs="Times New Roman"/>
                <w:lang w:eastAsia="en-AU"/>
              </w:rPr>
              <w:t xml:space="preserve">likely to change a recommendation and if so, would </w:t>
            </w:r>
            <w:r>
              <w:rPr>
                <w:rFonts w:eastAsia="Times New Roman" w:cs="Times New Roman"/>
                <w:lang w:eastAsia="en-AU"/>
              </w:rPr>
              <w:t xml:space="preserve">it </w:t>
            </w:r>
            <w:r w:rsidRPr="006C3A28">
              <w:rPr>
                <w:rFonts w:eastAsia="Times New Roman" w:cs="Times New Roman"/>
                <w:lang w:eastAsia="en-AU"/>
              </w:rPr>
              <w:t>result in significant public health improvement</w:t>
            </w:r>
          </w:p>
          <w:p w14:paraId="658105A7" w14:textId="77777777" w:rsidR="009F1D1A" w:rsidRPr="006C3A28" w:rsidRDefault="009F1D1A" w:rsidP="00211F4C">
            <w:pPr>
              <w:numPr>
                <w:ilvl w:val="0"/>
                <w:numId w:val="50"/>
              </w:numPr>
              <w:spacing w:before="0" w:after="80" w:line="180" w:lineRule="atLeast"/>
              <w:contextualSpacing/>
              <w:rPr>
                <w:rFonts w:eastAsia="Times New Roman" w:cs="Times New Roman"/>
                <w:lang w:eastAsia="en-AU"/>
              </w:rPr>
            </w:pPr>
            <w:r w:rsidRPr="006C3A28">
              <w:rPr>
                <w:rFonts w:eastAsia="Times New Roman" w:cs="Times New Roman"/>
                <w:lang w:eastAsia="en-AU"/>
              </w:rPr>
              <w:t>address</w:t>
            </w:r>
            <w:r>
              <w:rPr>
                <w:rFonts w:eastAsia="Times New Roman" w:cs="Times New Roman"/>
                <w:lang w:eastAsia="en-AU"/>
              </w:rPr>
              <w:t>ing</w:t>
            </w:r>
            <w:r w:rsidRPr="006C3A28">
              <w:rPr>
                <w:rFonts w:eastAsia="Times New Roman" w:cs="Times New Roman"/>
                <w:lang w:eastAsia="en-AU"/>
              </w:rPr>
              <w:t xml:space="preserve"> an area of rapidly changing evidence</w:t>
            </w:r>
          </w:p>
          <w:p w14:paraId="21C2CE48" w14:textId="77777777" w:rsidR="009F1D1A" w:rsidRPr="006C3A28" w:rsidRDefault="009F1D1A" w:rsidP="00211F4C">
            <w:pPr>
              <w:numPr>
                <w:ilvl w:val="0"/>
                <w:numId w:val="50"/>
              </w:numPr>
              <w:spacing w:before="0" w:after="80" w:line="180" w:lineRule="atLeast"/>
              <w:contextualSpacing/>
              <w:rPr>
                <w:rFonts w:eastAsia="Times New Roman" w:cs="Times New Roman"/>
                <w:lang w:eastAsia="en-AU"/>
              </w:rPr>
            </w:pPr>
            <w:r>
              <w:rPr>
                <w:rFonts w:eastAsia="Times New Roman" w:cs="Times New Roman"/>
                <w:lang w:eastAsia="en-AU"/>
              </w:rPr>
              <w:t xml:space="preserve">an area of </w:t>
            </w:r>
            <w:r w:rsidRPr="006C3A28">
              <w:rPr>
                <w:rFonts w:eastAsia="Times New Roman" w:cs="Times New Roman"/>
                <w:lang w:eastAsia="en-AU"/>
              </w:rPr>
              <w:t>significant public interest, including in media</w:t>
            </w:r>
          </w:p>
          <w:p w14:paraId="4970683D" w14:textId="77777777" w:rsidR="009F1D1A" w:rsidRPr="006C3A28" w:rsidRDefault="009F1D1A" w:rsidP="00211F4C">
            <w:pPr>
              <w:numPr>
                <w:ilvl w:val="0"/>
                <w:numId w:val="50"/>
              </w:numPr>
              <w:spacing w:before="0" w:after="80" w:line="180" w:lineRule="atLeast"/>
              <w:contextualSpacing/>
              <w:rPr>
                <w:rFonts w:eastAsia="Times New Roman" w:cs="Times New Roman"/>
                <w:lang w:eastAsia="en-AU"/>
              </w:rPr>
            </w:pPr>
            <w:r w:rsidRPr="006C3A28">
              <w:rPr>
                <w:rFonts w:eastAsia="Times New Roman" w:cs="Times New Roman"/>
                <w:lang w:eastAsia="en-AU"/>
              </w:rPr>
              <w:t>an area of potential misinformation</w:t>
            </w:r>
          </w:p>
          <w:p w14:paraId="785BBBF5" w14:textId="77777777" w:rsidR="009F1D1A" w:rsidRPr="006C3A28" w:rsidRDefault="009F1D1A" w:rsidP="00211F4C">
            <w:pPr>
              <w:numPr>
                <w:ilvl w:val="0"/>
                <w:numId w:val="50"/>
              </w:numPr>
              <w:spacing w:before="0" w:after="80" w:line="180" w:lineRule="atLeast"/>
              <w:contextualSpacing/>
              <w:rPr>
                <w:rFonts w:eastAsia="Times New Roman" w:cs="Times New Roman"/>
                <w:lang w:eastAsia="en-AU"/>
              </w:rPr>
            </w:pPr>
            <w:r>
              <w:rPr>
                <w:rFonts w:eastAsia="Times New Roman" w:cs="Times New Roman"/>
                <w:lang w:eastAsia="en-AU"/>
              </w:rPr>
              <w:t xml:space="preserve">an area that </w:t>
            </w:r>
            <w:r w:rsidRPr="006C3A28">
              <w:rPr>
                <w:rFonts w:eastAsia="Times New Roman" w:cs="Times New Roman"/>
                <w:lang w:eastAsia="en-AU"/>
              </w:rPr>
              <w:t>could inform (and to what extent) national food and health policies and programs.</w:t>
            </w:r>
          </w:p>
          <w:p w14:paraId="72469100" w14:textId="77777777" w:rsidR="009F1D1A" w:rsidRDefault="009F1D1A" w:rsidP="00EF2105">
            <w:pPr>
              <w:spacing w:after="80" w:line="180" w:lineRule="atLeast"/>
              <w:contextualSpacing/>
              <w:rPr>
                <w:rFonts w:eastAsia="Times New Roman" w:cs="Times New Roman"/>
                <w:lang w:eastAsia="en-AU"/>
              </w:rPr>
            </w:pPr>
          </w:p>
        </w:tc>
      </w:tr>
      <w:tr w:rsidR="009F1D1A" w14:paraId="205242B7" w14:textId="77777777" w:rsidTr="00930A56">
        <w:trPr>
          <w:cantSplit/>
        </w:trPr>
        <w:tc>
          <w:tcPr>
            <w:tcW w:w="5000" w:type="pct"/>
          </w:tcPr>
          <w:p w14:paraId="5AB61E81" w14:textId="77777777" w:rsidR="009F1D1A" w:rsidRPr="006C3A28" w:rsidRDefault="009F1D1A" w:rsidP="00EF2105">
            <w:pPr>
              <w:spacing w:after="80" w:line="180" w:lineRule="atLeast"/>
              <w:contextualSpacing/>
              <w:rPr>
                <w:rFonts w:eastAsia="Times New Roman" w:cs="Times New Roman"/>
                <w:lang w:eastAsia="en-AU"/>
              </w:rPr>
            </w:pPr>
            <w:r w:rsidRPr="006C3A28">
              <w:rPr>
                <w:rFonts w:eastAsia="Times New Roman" w:cs="Times New Roman"/>
                <w:b/>
                <w:lang w:eastAsia="en-AU"/>
              </w:rPr>
              <w:t>3. Type of impact</w:t>
            </w:r>
            <w:r>
              <w:rPr>
                <w:rFonts w:eastAsia="Times New Roman" w:cs="Times New Roman"/>
                <w:b/>
                <w:lang w:eastAsia="en-AU"/>
              </w:rPr>
              <w:t xml:space="preserve"> - </w:t>
            </w:r>
            <w:r w:rsidRPr="006C3A28">
              <w:rPr>
                <w:rFonts w:eastAsia="Times New Roman" w:cs="Times New Roman"/>
                <w:lang w:eastAsia="en-AU"/>
              </w:rPr>
              <w:t>on public health including broader societal, economic or environmental impacts. </w:t>
            </w:r>
          </w:p>
          <w:p w14:paraId="17BD1920" w14:textId="77777777" w:rsidR="009F1D1A" w:rsidRPr="006C3A28" w:rsidRDefault="009F1D1A" w:rsidP="00EF2105">
            <w:pPr>
              <w:spacing w:after="80" w:line="180" w:lineRule="atLeast"/>
              <w:contextualSpacing/>
              <w:rPr>
                <w:rFonts w:eastAsia="Times New Roman" w:cs="Times New Roman"/>
                <w:lang w:eastAsia="en-AU"/>
              </w:rPr>
            </w:pPr>
            <w:r>
              <w:rPr>
                <w:rFonts w:eastAsia="Times New Roman" w:cs="Times New Roman"/>
                <w:lang w:eastAsia="en-AU"/>
              </w:rPr>
              <w:t>Does the nutrient</w:t>
            </w:r>
            <w:r w:rsidRPr="006C3A28">
              <w:rPr>
                <w:rFonts w:eastAsia="Times New Roman" w:cs="Times New Roman"/>
                <w:lang w:eastAsia="en-AU"/>
              </w:rPr>
              <w:t>:</w:t>
            </w:r>
          </w:p>
          <w:p w14:paraId="4C79A76F"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Pr>
                <w:rFonts w:eastAsia="Times New Roman" w:cs="Times New Roman"/>
                <w:lang w:eastAsia="en-AU"/>
              </w:rPr>
              <w:t>have</w:t>
            </w:r>
            <w:r w:rsidRPr="006C3A28">
              <w:rPr>
                <w:rFonts w:eastAsia="Times New Roman" w:cs="Times New Roman"/>
                <w:lang w:eastAsia="en-AU"/>
              </w:rPr>
              <w:t xml:space="preserve"> an associated health burden</w:t>
            </w:r>
          </w:p>
          <w:p w14:paraId="721919C0"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Pr>
                <w:rFonts w:eastAsia="Times New Roman" w:cs="Times New Roman"/>
                <w:lang w:eastAsia="en-AU"/>
              </w:rPr>
              <w:t>have</w:t>
            </w:r>
            <w:r w:rsidRPr="006C3A28">
              <w:rPr>
                <w:rFonts w:eastAsia="Times New Roman" w:cs="Times New Roman"/>
                <w:lang w:eastAsia="en-AU"/>
              </w:rPr>
              <w:t xml:space="preserve"> the potential to impact health outcomes</w:t>
            </w:r>
          </w:p>
          <w:p w14:paraId="47FDBF14"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Pr>
                <w:rFonts w:eastAsia="Times New Roman" w:cs="Times New Roman"/>
                <w:lang w:eastAsia="en-AU"/>
              </w:rPr>
              <w:t>have</w:t>
            </w:r>
            <w:r w:rsidRPr="006C3A28">
              <w:rPr>
                <w:rFonts w:eastAsia="Times New Roman" w:cs="Times New Roman"/>
                <w:lang w:eastAsia="en-AU"/>
              </w:rPr>
              <w:t xml:space="preserve"> associated health consequences</w:t>
            </w:r>
          </w:p>
          <w:p w14:paraId="6C98447F"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sidRPr="006C3A28">
              <w:rPr>
                <w:rFonts w:eastAsia="Times New Roman" w:cs="Times New Roman"/>
                <w:lang w:eastAsia="en-AU"/>
              </w:rPr>
              <w:t>impact mortality, survival, longevity and life expectancy</w:t>
            </w:r>
          </w:p>
          <w:p w14:paraId="28889AFF"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sidRPr="006C3A28">
              <w:rPr>
                <w:rFonts w:eastAsia="Times New Roman" w:cs="Times New Roman"/>
                <w:lang w:eastAsia="en-AU"/>
              </w:rPr>
              <w:t>impact morbidity and disability</w:t>
            </w:r>
          </w:p>
          <w:p w14:paraId="1BAF00FB" w14:textId="77777777" w:rsidR="009F1D1A" w:rsidRDefault="009F1D1A" w:rsidP="00211F4C">
            <w:pPr>
              <w:numPr>
                <w:ilvl w:val="0"/>
                <w:numId w:val="51"/>
              </w:numPr>
              <w:spacing w:before="0" w:after="80" w:line="180" w:lineRule="atLeast"/>
              <w:contextualSpacing/>
              <w:rPr>
                <w:rFonts w:eastAsia="Times New Roman" w:cs="Times New Roman"/>
                <w:lang w:eastAsia="en-AU"/>
              </w:rPr>
            </w:pPr>
            <w:r w:rsidRPr="006C3A28">
              <w:rPr>
                <w:rFonts w:eastAsia="Times New Roman" w:cs="Times New Roman"/>
                <w:lang w:eastAsia="en-AU"/>
              </w:rPr>
              <w:t>impact disease burden or ha</w:t>
            </w:r>
            <w:r>
              <w:rPr>
                <w:rFonts w:eastAsia="Times New Roman" w:cs="Times New Roman"/>
                <w:lang w:eastAsia="en-AU"/>
              </w:rPr>
              <w:t>ve</w:t>
            </w:r>
            <w:r w:rsidRPr="006C3A28">
              <w:rPr>
                <w:rFonts w:eastAsia="Times New Roman" w:cs="Times New Roman"/>
                <w:lang w:eastAsia="en-AU"/>
              </w:rPr>
              <w:t xml:space="preserve"> the potential to reduce severity of disease</w:t>
            </w:r>
          </w:p>
          <w:p w14:paraId="23C55695" w14:textId="77777777" w:rsidR="009F1D1A" w:rsidRDefault="009F1D1A" w:rsidP="00211F4C">
            <w:pPr>
              <w:numPr>
                <w:ilvl w:val="0"/>
                <w:numId w:val="51"/>
              </w:numPr>
              <w:spacing w:before="0" w:after="80" w:line="180" w:lineRule="atLeast"/>
              <w:contextualSpacing/>
              <w:rPr>
                <w:rFonts w:eastAsia="Times New Roman" w:cs="Times New Roman"/>
                <w:lang w:eastAsia="en-AU"/>
              </w:rPr>
            </w:pPr>
            <w:r>
              <w:rPr>
                <w:rFonts w:eastAsia="Times New Roman" w:cs="Times New Roman"/>
                <w:lang w:eastAsia="en-AU"/>
              </w:rPr>
              <w:t>relate to health biomarkers</w:t>
            </w:r>
          </w:p>
          <w:p w14:paraId="64974AD9"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Pr>
                <w:rFonts w:eastAsia="Times New Roman" w:cs="Times New Roman"/>
                <w:lang w:eastAsia="en-AU"/>
              </w:rPr>
              <w:t>relate to food and dietary patterns</w:t>
            </w:r>
          </w:p>
          <w:p w14:paraId="1B1F53EE"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sidRPr="006C3A28">
              <w:rPr>
                <w:rFonts w:eastAsia="Times New Roman" w:cs="Times New Roman"/>
                <w:lang w:eastAsia="en-AU"/>
              </w:rPr>
              <w:t>address socioeconomic, demographic and cultural issues/needs</w:t>
            </w:r>
          </w:p>
          <w:p w14:paraId="1BE396EC"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sidRPr="006C3A28">
              <w:rPr>
                <w:rFonts w:eastAsia="Times New Roman" w:cs="Times New Roman"/>
                <w:lang w:eastAsia="en-AU"/>
              </w:rPr>
              <w:t>relate to ethical sensitivities</w:t>
            </w:r>
          </w:p>
          <w:p w14:paraId="05219DD3"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sidRPr="006C3A28">
              <w:rPr>
                <w:rFonts w:eastAsia="Times New Roman" w:cs="Times New Roman"/>
                <w:lang w:eastAsia="en-AU"/>
              </w:rPr>
              <w:t>consider equity or human rights</w:t>
            </w:r>
          </w:p>
          <w:p w14:paraId="75B06311"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sidRPr="006C3A28">
              <w:rPr>
                <w:rFonts w:eastAsia="Times New Roman" w:cs="Times New Roman"/>
                <w:lang w:eastAsia="en-AU"/>
              </w:rPr>
              <w:t>ha</w:t>
            </w:r>
            <w:r>
              <w:rPr>
                <w:rFonts w:eastAsia="Times New Roman" w:cs="Times New Roman"/>
                <w:lang w:eastAsia="en-AU"/>
              </w:rPr>
              <w:t>ve</w:t>
            </w:r>
            <w:r w:rsidRPr="006C3A28">
              <w:rPr>
                <w:rFonts w:eastAsia="Times New Roman" w:cs="Times New Roman"/>
                <w:lang w:eastAsia="en-AU"/>
              </w:rPr>
              <w:t xml:space="preserve"> societal impacts or impacts on non-health outcomes</w:t>
            </w:r>
          </w:p>
          <w:p w14:paraId="0AD584F5" w14:textId="77777777" w:rsidR="009F1D1A" w:rsidRPr="006C3A28" w:rsidRDefault="009F1D1A" w:rsidP="00211F4C">
            <w:pPr>
              <w:numPr>
                <w:ilvl w:val="0"/>
                <w:numId w:val="51"/>
              </w:numPr>
              <w:spacing w:before="0" w:after="80" w:line="180" w:lineRule="atLeast"/>
              <w:contextualSpacing/>
              <w:rPr>
                <w:rFonts w:eastAsia="Times New Roman" w:cs="Times New Roman"/>
                <w:lang w:eastAsia="en-AU"/>
              </w:rPr>
            </w:pPr>
            <w:r w:rsidRPr="006C3A28">
              <w:rPr>
                <w:rFonts w:eastAsia="Times New Roman" w:cs="Times New Roman"/>
                <w:lang w:eastAsia="en-AU"/>
              </w:rPr>
              <w:t>ha</w:t>
            </w:r>
            <w:r>
              <w:rPr>
                <w:rFonts w:eastAsia="Times New Roman" w:cs="Times New Roman"/>
                <w:lang w:eastAsia="en-AU"/>
              </w:rPr>
              <w:t>ve</w:t>
            </w:r>
            <w:r w:rsidRPr="006C3A28">
              <w:rPr>
                <w:rFonts w:eastAsia="Times New Roman" w:cs="Times New Roman"/>
                <w:lang w:eastAsia="en-AU"/>
              </w:rPr>
              <w:t xml:space="preserve"> environmental impacts</w:t>
            </w:r>
          </w:p>
          <w:p w14:paraId="3C5A4F32" w14:textId="77777777" w:rsidR="009F1D1A" w:rsidRDefault="009F1D1A" w:rsidP="00211F4C">
            <w:pPr>
              <w:numPr>
                <w:ilvl w:val="0"/>
                <w:numId w:val="51"/>
              </w:numPr>
              <w:spacing w:before="0" w:after="80" w:line="180" w:lineRule="atLeast"/>
              <w:contextualSpacing/>
              <w:rPr>
                <w:rFonts w:eastAsia="Times New Roman" w:cs="Times New Roman"/>
                <w:lang w:eastAsia="en-AU"/>
              </w:rPr>
            </w:pPr>
            <w:r w:rsidRPr="006C3A28">
              <w:rPr>
                <w:rFonts w:eastAsia="Times New Roman" w:cs="Times New Roman"/>
                <w:lang w:eastAsia="en-AU"/>
              </w:rPr>
              <w:t>ha</w:t>
            </w:r>
            <w:r>
              <w:rPr>
                <w:rFonts w:eastAsia="Times New Roman" w:cs="Times New Roman"/>
                <w:lang w:eastAsia="en-AU"/>
              </w:rPr>
              <w:t>ve</w:t>
            </w:r>
            <w:r w:rsidRPr="006C3A28">
              <w:rPr>
                <w:rFonts w:eastAsia="Times New Roman" w:cs="Times New Roman"/>
                <w:lang w:eastAsia="en-AU"/>
              </w:rPr>
              <w:t xml:space="preserve"> economic or financial impacts</w:t>
            </w:r>
          </w:p>
          <w:p w14:paraId="6F9D00BC" w14:textId="77777777" w:rsidR="009F1D1A" w:rsidRPr="0081794D" w:rsidRDefault="009F1D1A" w:rsidP="00211F4C">
            <w:pPr>
              <w:numPr>
                <w:ilvl w:val="0"/>
                <w:numId w:val="51"/>
              </w:numPr>
              <w:spacing w:before="0" w:after="80" w:line="180" w:lineRule="atLeast"/>
              <w:contextualSpacing/>
              <w:rPr>
                <w:rFonts w:eastAsia="Times New Roman" w:cs="Times New Roman"/>
                <w:lang w:eastAsia="en-AU"/>
              </w:rPr>
            </w:pPr>
            <w:r w:rsidRPr="0081794D">
              <w:rPr>
                <w:rFonts w:eastAsia="Times New Roman" w:cs="Times New Roman"/>
                <w:lang w:eastAsia="en-AU"/>
              </w:rPr>
              <w:t>affect fortification of foods (reduce, increase, begin, stop fortification).</w:t>
            </w:r>
          </w:p>
          <w:p w14:paraId="753228C0" w14:textId="77777777" w:rsidR="009F1D1A" w:rsidRDefault="009F1D1A" w:rsidP="00EF2105">
            <w:pPr>
              <w:spacing w:after="80" w:line="180" w:lineRule="atLeast"/>
              <w:contextualSpacing/>
              <w:rPr>
                <w:rFonts w:eastAsia="Times New Roman" w:cs="Times New Roman"/>
                <w:lang w:eastAsia="en-AU"/>
              </w:rPr>
            </w:pPr>
          </w:p>
        </w:tc>
      </w:tr>
      <w:tr w:rsidR="009F1D1A" w14:paraId="51311FE4" w14:textId="77777777" w:rsidTr="00930A56">
        <w:trPr>
          <w:cantSplit/>
        </w:trPr>
        <w:tc>
          <w:tcPr>
            <w:tcW w:w="5000" w:type="pct"/>
          </w:tcPr>
          <w:p w14:paraId="0ED62ECA" w14:textId="77777777" w:rsidR="009F1D1A" w:rsidRDefault="009F1D1A" w:rsidP="00211F4C">
            <w:pPr>
              <w:pStyle w:val="ListParagraph"/>
              <w:numPr>
                <w:ilvl w:val="0"/>
                <w:numId w:val="48"/>
              </w:numPr>
              <w:spacing w:before="0" w:after="80" w:line="180" w:lineRule="atLeast"/>
              <w:contextualSpacing/>
              <w:rPr>
                <w:rFonts w:eastAsia="Times New Roman" w:cs="Times New Roman"/>
                <w:lang w:eastAsia="en-AU"/>
              </w:rPr>
            </w:pPr>
            <w:r w:rsidRPr="00577D0F">
              <w:rPr>
                <w:rFonts w:eastAsia="Times New Roman" w:cs="Times New Roman"/>
                <w:b/>
                <w:lang w:eastAsia="en-AU"/>
              </w:rPr>
              <w:t xml:space="preserve">Degree of impact </w:t>
            </w:r>
            <w:r>
              <w:rPr>
                <w:rFonts w:eastAsia="Times New Roman" w:cs="Times New Roman"/>
                <w:b/>
                <w:lang w:eastAsia="en-AU"/>
              </w:rPr>
              <w:t>–</w:t>
            </w:r>
            <w:r w:rsidRPr="00577D0F">
              <w:rPr>
                <w:rFonts w:eastAsia="Times New Roman" w:cs="Times New Roman"/>
                <w:b/>
                <w:lang w:eastAsia="en-AU"/>
              </w:rPr>
              <w:t xml:space="preserve"> </w:t>
            </w:r>
            <w:r w:rsidRPr="00577D0F">
              <w:rPr>
                <w:rFonts w:eastAsia="Times New Roman" w:cs="Times New Roman"/>
                <w:lang w:eastAsia="en-AU"/>
              </w:rPr>
              <w:t>including considering the magnitude of the issue and the size of the affected populations likely to be impacted.</w:t>
            </w:r>
          </w:p>
          <w:p w14:paraId="49CDB9B9" w14:textId="77777777" w:rsidR="009F1D1A" w:rsidRPr="00A858B0" w:rsidRDefault="009F1D1A" w:rsidP="00EF2105">
            <w:pPr>
              <w:spacing w:after="80" w:line="180" w:lineRule="atLeast"/>
              <w:contextualSpacing/>
              <w:rPr>
                <w:rFonts w:eastAsia="Times New Roman" w:cs="Times New Roman"/>
                <w:lang w:eastAsia="en-AU"/>
              </w:rPr>
            </w:pPr>
            <w:r>
              <w:rPr>
                <w:rFonts w:eastAsia="Times New Roman" w:cs="Times New Roman"/>
                <w:lang w:eastAsia="en-AU"/>
              </w:rPr>
              <w:t>Consider:</w:t>
            </w:r>
          </w:p>
          <w:p w14:paraId="745ACCD7" w14:textId="77777777" w:rsidR="009F1D1A" w:rsidRPr="006C3A28" w:rsidRDefault="009F1D1A" w:rsidP="00211F4C">
            <w:pPr>
              <w:numPr>
                <w:ilvl w:val="0"/>
                <w:numId w:val="52"/>
              </w:numPr>
              <w:spacing w:before="0" w:after="80" w:line="180" w:lineRule="atLeast"/>
              <w:contextualSpacing/>
              <w:rPr>
                <w:rFonts w:eastAsia="Times New Roman" w:cs="Times New Roman"/>
                <w:lang w:eastAsia="en-AU"/>
              </w:rPr>
            </w:pPr>
            <w:r w:rsidRPr="006C3A28">
              <w:rPr>
                <w:rFonts w:eastAsia="Times New Roman" w:cs="Times New Roman"/>
                <w:lang w:eastAsia="en-AU"/>
              </w:rPr>
              <w:t>the magnitude of the health burden associated with the topic</w:t>
            </w:r>
          </w:p>
          <w:p w14:paraId="5A713DC1" w14:textId="77777777" w:rsidR="009F1D1A" w:rsidRPr="006C3A28" w:rsidRDefault="009F1D1A" w:rsidP="00211F4C">
            <w:pPr>
              <w:numPr>
                <w:ilvl w:val="0"/>
                <w:numId w:val="52"/>
              </w:numPr>
              <w:spacing w:before="0" w:after="80" w:line="180" w:lineRule="atLeast"/>
              <w:contextualSpacing/>
              <w:rPr>
                <w:rFonts w:eastAsia="Times New Roman" w:cs="Times New Roman"/>
                <w:lang w:eastAsia="en-AU"/>
              </w:rPr>
            </w:pPr>
            <w:r w:rsidRPr="006C3A28">
              <w:rPr>
                <w:rFonts w:eastAsia="Times New Roman" w:cs="Times New Roman"/>
                <w:lang w:eastAsia="en-AU"/>
              </w:rPr>
              <w:t>the magnitude of the potential impact on health outcomes</w:t>
            </w:r>
          </w:p>
          <w:p w14:paraId="455AF373" w14:textId="77777777" w:rsidR="009F1D1A" w:rsidRPr="006C3A28" w:rsidRDefault="009F1D1A" w:rsidP="00211F4C">
            <w:pPr>
              <w:numPr>
                <w:ilvl w:val="0"/>
                <w:numId w:val="52"/>
              </w:numPr>
              <w:spacing w:before="0" w:after="80" w:line="180" w:lineRule="atLeast"/>
              <w:contextualSpacing/>
              <w:rPr>
                <w:rFonts w:eastAsia="Times New Roman" w:cs="Times New Roman"/>
                <w:lang w:eastAsia="en-AU"/>
              </w:rPr>
            </w:pPr>
            <w:r w:rsidRPr="006C3A28">
              <w:rPr>
                <w:rFonts w:eastAsia="Times New Roman" w:cs="Times New Roman"/>
                <w:lang w:eastAsia="en-AU"/>
              </w:rPr>
              <w:t>the degree to which a topic would impact financial, economic, environmental or societal areas.</w:t>
            </w:r>
          </w:p>
          <w:p w14:paraId="4D3A508D" w14:textId="77777777" w:rsidR="009F1D1A" w:rsidRDefault="009F1D1A" w:rsidP="00EF2105">
            <w:pPr>
              <w:spacing w:after="80" w:line="180" w:lineRule="atLeast"/>
              <w:contextualSpacing/>
              <w:rPr>
                <w:rFonts w:eastAsia="Times New Roman" w:cs="Times New Roman"/>
                <w:lang w:eastAsia="en-AU"/>
              </w:rPr>
            </w:pPr>
          </w:p>
        </w:tc>
      </w:tr>
      <w:tr w:rsidR="009F1D1A" w14:paraId="3FCF9ACF" w14:textId="77777777" w:rsidTr="00930A56">
        <w:trPr>
          <w:cantSplit/>
        </w:trPr>
        <w:tc>
          <w:tcPr>
            <w:tcW w:w="5000" w:type="pct"/>
          </w:tcPr>
          <w:p w14:paraId="64A15288" w14:textId="77777777" w:rsidR="009F1D1A" w:rsidRPr="006C3A28" w:rsidRDefault="009F1D1A" w:rsidP="00EF2105">
            <w:pPr>
              <w:spacing w:after="80" w:line="180" w:lineRule="atLeast"/>
              <w:contextualSpacing/>
              <w:rPr>
                <w:rFonts w:eastAsia="Times New Roman" w:cs="Times New Roman"/>
                <w:b/>
                <w:lang w:eastAsia="en-AU"/>
              </w:rPr>
            </w:pPr>
            <w:r w:rsidRPr="006C3A28">
              <w:rPr>
                <w:rFonts w:eastAsia="Times New Roman" w:cs="Times New Roman"/>
                <w:b/>
                <w:lang w:eastAsia="en-AU"/>
              </w:rPr>
              <w:t>Evidence base</w:t>
            </w:r>
          </w:p>
          <w:p w14:paraId="1BE80A0B" w14:textId="77777777" w:rsidR="009F1D1A" w:rsidRPr="00AA6353" w:rsidRDefault="009F1D1A" w:rsidP="00211F4C">
            <w:pPr>
              <w:pStyle w:val="ListParagraph"/>
              <w:numPr>
                <w:ilvl w:val="0"/>
                <w:numId w:val="55"/>
              </w:numPr>
              <w:spacing w:before="0" w:after="80" w:line="180" w:lineRule="atLeast"/>
              <w:contextualSpacing/>
              <w:rPr>
                <w:rFonts w:eastAsia="Times New Roman" w:cs="Times New Roman"/>
                <w:lang w:eastAsia="en-AU"/>
              </w:rPr>
            </w:pPr>
            <w:r w:rsidRPr="00AA6353">
              <w:rPr>
                <w:rFonts w:eastAsia="Times New Roman" w:cs="Times New Roman"/>
                <w:lang w:eastAsia="en-AU"/>
              </w:rPr>
              <w:t>Is the evidence underpinning recommendations likely to have changed significantly since the previous values were derived?</w:t>
            </w:r>
          </w:p>
          <w:p w14:paraId="2FD60B48" w14:textId="77777777" w:rsidR="009F1D1A" w:rsidRPr="00AA6353" w:rsidRDefault="009F1D1A" w:rsidP="00211F4C">
            <w:pPr>
              <w:pStyle w:val="ListParagraph"/>
              <w:numPr>
                <w:ilvl w:val="0"/>
                <w:numId w:val="53"/>
              </w:numPr>
              <w:spacing w:before="0" w:after="80" w:line="180" w:lineRule="atLeast"/>
              <w:contextualSpacing/>
              <w:rPr>
                <w:rFonts w:eastAsia="Times New Roman" w:cs="Times New Roman"/>
                <w:lang w:eastAsia="en-AU"/>
              </w:rPr>
            </w:pPr>
            <w:r>
              <w:rPr>
                <w:rFonts w:eastAsia="Times New Roman" w:cs="Times New Roman"/>
                <w:lang w:eastAsia="en-AU"/>
              </w:rPr>
              <w:t>Is there new data available?</w:t>
            </w:r>
          </w:p>
          <w:p w14:paraId="417BA757" w14:textId="77777777" w:rsidR="009F1D1A" w:rsidRPr="00AD3233" w:rsidRDefault="009F1D1A" w:rsidP="00211F4C">
            <w:pPr>
              <w:pStyle w:val="ListParagraph"/>
              <w:numPr>
                <w:ilvl w:val="0"/>
                <w:numId w:val="53"/>
              </w:numPr>
              <w:spacing w:before="0" w:after="80" w:line="180" w:lineRule="atLeast"/>
              <w:contextualSpacing/>
              <w:rPr>
                <w:rFonts w:eastAsia="Times New Roman" w:cs="Times New Roman"/>
                <w:lang w:eastAsia="en-AU"/>
              </w:rPr>
            </w:pPr>
            <w:r w:rsidRPr="00977F1B">
              <w:rPr>
                <w:rFonts w:eastAsia="Times New Roman" w:cs="Times New Roman"/>
                <w:lang w:eastAsia="en-AU"/>
              </w:rPr>
              <w:t>Are there changes in food supply/dietary patterns that have the potential to significantly impact intake for this nutrient</w:t>
            </w:r>
          </w:p>
        </w:tc>
      </w:tr>
    </w:tbl>
    <w:p w14:paraId="1A72C7C0" w14:textId="0A3E6F89" w:rsidR="00930A56" w:rsidRDefault="00930A56" w:rsidP="009F1D1A">
      <w:pPr>
        <w:spacing w:after="80" w:line="180" w:lineRule="atLeast"/>
        <w:contextualSpacing/>
        <w:rPr>
          <w:rFonts w:eastAsia="Times New Roman"/>
        </w:rPr>
      </w:pPr>
    </w:p>
    <w:p w14:paraId="1849901F" w14:textId="77777777" w:rsidR="00930A56" w:rsidRDefault="00930A56">
      <w:pPr>
        <w:spacing w:line="240" w:lineRule="atLeast"/>
        <w:rPr>
          <w:rFonts w:eastAsia="Times New Roman"/>
        </w:rPr>
      </w:pPr>
      <w:r>
        <w:rPr>
          <w:rFonts w:eastAsia="Times New Roman"/>
        </w:rPr>
        <w:br w:type="page"/>
      </w:r>
    </w:p>
    <w:p w14:paraId="14332C7D" w14:textId="77777777" w:rsidR="009F1D1A" w:rsidRDefault="009F1D1A" w:rsidP="009F1D1A">
      <w:pPr>
        <w:spacing w:after="80" w:line="180" w:lineRule="atLeast"/>
        <w:contextualSpacing/>
        <w:rPr>
          <w:rFonts w:eastAsia="Times New Roman"/>
        </w:rPr>
      </w:pPr>
    </w:p>
    <w:p w14:paraId="4065CE57" w14:textId="77777777" w:rsidR="009F1D1A" w:rsidRDefault="009F1D1A" w:rsidP="009F1D1A">
      <w:pPr>
        <w:spacing w:after="80" w:line="180" w:lineRule="atLeast"/>
        <w:contextualSpacing/>
        <w:rPr>
          <w:rFonts w:eastAsia="Times New Roman"/>
        </w:rPr>
      </w:pPr>
    </w:p>
    <w:p w14:paraId="1CA9C549" w14:textId="77777777" w:rsidR="009F1D1A" w:rsidRPr="00F771F2" w:rsidRDefault="009F1D1A" w:rsidP="00930A56">
      <w:pPr>
        <w:pStyle w:val="Boxed1Bullet"/>
        <w:numPr>
          <w:ilvl w:val="0"/>
          <w:numId w:val="0"/>
        </w:numPr>
        <w:ind w:left="567" w:hanging="283"/>
        <w:rPr>
          <w:i/>
          <w:iCs/>
        </w:rPr>
      </w:pPr>
      <w:r w:rsidRPr="00B9272A">
        <w:t>Overarching questions</w:t>
      </w:r>
      <w:r w:rsidRPr="00F771F2">
        <w:rPr>
          <w:i/>
          <w:iCs/>
        </w:rPr>
        <w:t xml:space="preserve">: </w:t>
      </w:r>
    </w:p>
    <w:p w14:paraId="380247A7" w14:textId="77777777" w:rsidR="009F1D1A" w:rsidRPr="00291D3C" w:rsidRDefault="009F1D1A" w:rsidP="00930A56">
      <w:pPr>
        <w:pStyle w:val="Boxed1Bullet"/>
      </w:pPr>
      <w:r w:rsidRPr="00291D3C">
        <w:t>How often should reprioritisation happen?</w:t>
      </w:r>
    </w:p>
    <w:p w14:paraId="4A83AC1B" w14:textId="77777777" w:rsidR="009F1D1A" w:rsidRPr="00291D3C" w:rsidRDefault="009F1D1A" w:rsidP="00930A56">
      <w:pPr>
        <w:pStyle w:val="Boxed1Bullet"/>
      </w:pPr>
      <w:r w:rsidRPr="00291D3C">
        <w:t xml:space="preserve">Should we consider all nutrient reference values for each nutrient </w:t>
      </w:r>
      <w:r>
        <w:t>every</w:t>
      </w:r>
      <w:r w:rsidRPr="00291D3C">
        <w:t xml:space="preserve"> time?</w:t>
      </w:r>
    </w:p>
    <w:p w14:paraId="3745A6C3" w14:textId="5B5472E7" w:rsidR="009F1D1A" w:rsidRDefault="009F1D1A" w:rsidP="00930A56">
      <w:pPr>
        <w:pStyle w:val="Boxed1Bullet"/>
      </w:pPr>
      <w:r w:rsidRPr="00291D3C">
        <w:t>Factors such as associated health burden or health benefit should be considered relative to other potential nutrients for prioritisation (i.e. if fluoride and fibre are under consideration for prioritisation, one of these has a much higher associated health burden at a population level, so it should be prioritised above the other)</w:t>
      </w:r>
    </w:p>
    <w:p w14:paraId="261E97E5" w14:textId="77777777" w:rsidR="00930A56" w:rsidRPr="00930A56" w:rsidRDefault="00930A56" w:rsidP="00930A56"/>
    <w:p w14:paraId="22B1DEDC" w14:textId="77777777" w:rsidR="00930A56" w:rsidRPr="00930A56" w:rsidRDefault="00930A56" w:rsidP="00930A56">
      <w:pPr>
        <w:pStyle w:val="Boxed1Bullet"/>
        <w:numPr>
          <w:ilvl w:val="0"/>
          <w:numId w:val="0"/>
        </w:numPr>
        <w:ind w:left="567" w:hanging="283"/>
      </w:pPr>
      <w:r w:rsidRPr="00930A56">
        <w:t>Other potential steps/approaches for selecting priority nutrients </w:t>
      </w:r>
    </w:p>
    <w:p w14:paraId="1CBF5FC9" w14:textId="77777777" w:rsidR="00930A56" w:rsidRPr="00930A56" w:rsidRDefault="00930A56" w:rsidP="00930A56">
      <w:pPr>
        <w:pStyle w:val="Boxed1Bullet"/>
      </w:pPr>
      <w:r w:rsidRPr="00930A56">
        <w:t>mapping exercise to look at recommended intake vs current intake to identify the largest gap/need (to see where we could achieve in health gains)</w:t>
      </w:r>
    </w:p>
    <w:p w14:paraId="1FFAB50E" w14:textId="77777777" w:rsidR="00930A56" w:rsidRDefault="00930A56" w:rsidP="00930A56">
      <w:pPr>
        <w:pStyle w:val="Boxed1Bullet"/>
      </w:pPr>
      <w:r w:rsidRPr="00930A56">
        <w:t>for future NRV updates we initially consider adopting/adapting overseas values if relevant to make the most effective use of limited resources and avoid duplication of effort</w:t>
      </w:r>
    </w:p>
    <w:p w14:paraId="51151B02" w14:textId="5E7BFABD" w:rsidR="00A72DC7" w:rsidRDefault="00930A56" w:rsidP="00930A56">
      <w:pPr>
        <w:pStyle w:val="Boxed1Bullet"/>
        <w:numPr>
          <w:ilvl w:val="2"/>
          <w:numId w:val="3"/>
        </w:numPr>
      </w:pPr>
      <w:r w:rsidRPr="00930A56">
        <w:t>for example, EFSA has recently updated the ULs for </w:t>
      </w:r>
      <w:hyperlink r:id="rId229" w:history="1">
        <w:r w:rsidRPr="00BF677F">
          <w:rPr>
            <w:rStyle w:val="Hyperlink"/>
            <w:color w:val="006CBC"/>
          </w:rPr>
          <w:t>vitamin A</w:t>
        </w:r>
      </w:hyperlink>
      <w:r w:rsidRPr="00930A56">
        <w:t>, </w:t>
      </w:r>
      <w:hyperlink r:id="rId230" w:history="1">
        <w:r w:rsidRPr="00BF677F">
          <w:rPr>
            <w:rStyle w:val="Hyperlink"/>
            <w:color w:val="006CBC"/>
          </w:rPr>
          <w:t>vitamin B6</w:t>
        </w:r>
      </w:hyperlink>
      <w:r w:rsidRPr="00930A56">
        <w:t>, </w:t>
      </w:r>
      <w:hyperlink r:id="rId231" w:history="1">
        <w:r w:rsidRPr="00BF677F">
          <w:rPr>
            <w:rStyle w:val="Hyperlink"/>
            <w:color w:val="006CBC"/>
          </w:rPr>
          <w:t>vitamin D</w:t>
        </w:r>
      </w:hyperlink>
      <w:r w:rsidRPr="00930A56">
        <w:t>, </w:t>
      </w:r>
      <w:hyperlink r:id="rId232" w:history="1">
        <w:r w:rsidRPr="00BF677F">
          <w:rPr>
            <w:rStyle w:val="Hyperlink"/>
            <w:color w:val="006CBC"/>
          </w:rPr>
          <w:t>vitamin E</w:t>
        </w:r>
      </w:hyperlink>
      <w:r w:rsidRPr="00930A56">
        <w:t>, </w:t>
      </w:r>
      <w:hyperlink r:id="rId233" w:history="1">
        <w:r w:rsidRPr="00BF677F">
          <w:rPr>
            <w:rStyle w:val="Hyperlink"/>
            <w:color w:val="006CBC"/>
          </w:rPr>
          <w:t>beta-carotene</w:t>
        </w:r>
      </w:hyperlink>
      <w:r w:rsidRPr="00930A56">
        <w:t>, </w:t>
      </w:r>
      <w:hyperlink r:id="rId234" w:history="1">
        <w:r w:rsidRPr="00BF677F">
          <w:rPr>
            <w:rStyle w:val="Hyperlink"/>
            <w:color w:val="006CBC"/>
          </w:rPr>
          <w:t>iron</w:t>
        </w:r>
      </w:hyperlink>
      <w:r w:rsidRPr="00930A56">
        <w:t>, </w:t>
      </w:r>
      <w:hyperlink r:id="rId235" w:history="1">
        <w:r w:rsidRPr="00BF677F">
          <w:rPr>
            <w:rStyle w:val="Hyperlink"/>
            <w:color w:val="006CBC"/>
          </w:rPr>
          <w:t>manganese</w:t>
        </w:r>
      </w:hyperlink>
      <w:r w:rsidRPr="00930A56">
        <w:t>, </w:t>
      </w:r>
      <w:hyperlink r:id="rId236" w:history="1">
        <w:r w:rsidRPr="00BF677F">
          <w:rPr>
            <w:rStyle w:val="Hyperlink"/>
            <w:color w:val="006CBC"/>
          </w:rPr>
          <w:t>folate/folic acid</w:t>
        </w:r>
      </w:hyperlink>
      <w:r w:rsidRPr="00930A56">
        <w:t>, and </w:t>
      </w:r>
      <w:hyperlink r:id="rId237" w:history="1">
        <w:r w:rsidRPr="00BF677F">
          <w:rPr>
            <w:rStyle w:val="Hyperlink"/>
            <w:color w:val="006CBC"/>
          </w:rPr>
          <w:t>selenium</w:t>
        </w:r>
      </w:hyperlink>
      <w:r w:rsidRPr="00930A56">
        <w:t>; WHO recently updated values for trans fats, carbohydrates and proteins</w:t>
      </w:r>
      <w:r w:rsidR="00CD696A">
        <w:t>.</w:t>
      </w:r>
      <w:r w:rsidR="00A72DC7">
        <w:br w:type="page"/>
      </w:r>
    </w:p>
    <w:p w14:paraId="3DACF63E" w14:textId="1216CD01" w:rsidR="005A7A74" w:rsidRDefault="005A7A74" w:rsidP="003E2E95">
      <w:pPr>
        <w:pStyle w:val="Heading3-Appendix"/>
      </w:pPr>
      <w:bookmarkStart w:id="279" w:name="_Toc197346927"/>
      <w:bookmarkStart w:id="280" w:name="_Toc197347026"/>
      <w:bookmarkStart w:id="281" w:name="_Toc197346928"/>
      <w:bookmarkStart w:id="282" w:name="_Toc197347027"/>
      <w:bookmarkStart w:id="283" w:name="_Ref207023689"/>
      <w:bookmarkStart w:id="284" w:name="_Toc207801123"/>
      <w:bookmarkStart w:id="285" w:name="_Toc207824593"/>
      <w:bookmarkStart w:id="286" w:name="_Ref194584777"/>
      <w:bookmarkEnd w:id="279"/>
      <w:bookmarkEnd w:id="280"/>
      <w:bookmarkEnd w:id="281"/>
      <w:bookmarkEnd w:id="282"/>
      <w:r>
        <w:lastRenderedPageBreak/>
        <w:t>Standardised age, height</w:t>
      </w:r>
      <w:r w:rsidR="00F67233">
        <w:t>,</w:t>
      </w:r>
      <w:r>
        <w:t xml:space="preserve"> weight </w:t>
      </w:r>
      <w:r w:rsidR="00F67233">
        <w:t>and growth</w:t>
      </w:r>
      <w:bookmarkEnd w:id="283"/>
      <w:bookmarkEnd w:id="284"/>
      <w:bookmarkEnd w:id="285"/>
      <w:r w:rsidR="00F67233">
        <w:t xml:space="preserve"> </w:t>
      </w:r>
      <w:bookmarkEnd w:id="286"/>
    </w:p>
    <w:p w14:paraId="71070914" w14:textId="77777777" w:rsidR="005A7A74" w:rsidRDefault="005A7A74" w:rsidP="00DB2727"/>
    <w:p w14:paraId="31BA0B85" w14:textId="17350E79" w:rsidR="00DB2727" w:rsidRPr="00A468E5" w:rsidRDefault="00DB2727" w:rsidP="00561D83">
      <w:pPr>
        <w:pStyle w:val="Heading4-Appendix"/>
      </w:pPr>
      <w:bookmarkStart w:id="287" w:name="_Toc207801124"/>
      <w:bookmarkStart w:id="288" w:name="_Toc207824594"/>
      <w:r w:rsidRPr="00A468E5">
        <w:t xml:space="preserve">Age </w:t>
      </w:r>
      <w:r w:rsidR="00D36A51" w:rsidRPr="00A468E5">
        <w:t>groups</w:t>
      </w:r>
      <w:bookmarkEnd w:id="287"/>
      <w:bookmarkEnd w:id="288"/>
    </w:p>
    <w:p w14:paraId="4E203F9F" w14:textId="3F095C3E" w:rsidR="00EE6891" w:rsidRDefault="00FE7D68" w:rsidP="00FE1AA0">
      <w:r>
        <w:t xml:space="preserve">In 2025 the </w:t>
      </w:r>
      <w:r w:rsidR="00697702">
        <w:t>Department</w:t>
      </w:r>
      <w:r w:rsidR="00557D21">
        <w:t xml:space="preserve"> </w:t>
      </w:r>
      <w:r w:rsidR="00C810F6">
        <w:t>has included additional</w:t>
      </w:r>
      <w:r w:rsidR="00C810F6" w:rsidDel="009C31B6">
        <w:t xml:space="preserve"> </w:t>
      </w:r>
      <w:r>
        <w:t xml:space="preserve">age groupings to reflect </w:t>
      </w:r>
      <w:r w:rsidR="00B81FB8">
        <w:t>different educational and developmental</w:t>
      </w:r>
      <w:r>
        <w:t xml:space="preserve"> stages. These </w:t>
      </w:r>
      <w:r w:rsidR="00B81FB8">
        <w:t xml:space="preserve">groupings are the ones reported on by the </w:t>
      </w:r>
      <w:r w:rsidR="00A85DA9">
        <w:t xml:space="preserve">Australian Bureau of </w:t>
      </w:r>
      <w:r w:rsidR="00CD696A">
        <w:t>Statistics in</w:t>
      </w:r>
      <w:r w:rsidR="0022234A">
        <w:t xml:space="preserve"> the National nutrition survey</w:t>
      </w:r>
      <w:r w:rsidR="00E3586B">
        <w:t xml:space="preserve">.  NHMRC has also changed the way </w:t>
      </w:r>
      <w:r w:rsidR="00F56DC8">
        <w:t xml:space="preserve">children’s groups </w:t>
      </w:r>
      <w:r w:rsidR="000E7632">
        <w:t xml:space="preserve">are expressed to clarify that the </w:t>
      </w:r>
      <w:r w:rsidR="00F56DC8">
        <w:t xml:space="preserve">group </w:t>
      </w:r>
      <w:r w:rsidR="000E7632">
        <w:t xml:space="preserve">includes </w:t>
      </w:r>
      <w:r w:rsidR="00F56DC8">
        <w:t>up to the day before the next birthday</w:t>
      </w:r>
      <w:r w:rsidR="00C40350">
        <w:t xml:space="preserve">. </w:t>
      </w:r>
    </w:p>
    <w:p w14:paraId="764CF07A" w14:textId="042B2DBC" w:rsidR="00007376" w:rsidRDefault="00B81FB8" w:rsidP="00DB2727">
      <w:r>
        <w:t>A</w:t>
      </w:r>
      <w:r w:rsidR="00FE7D68">
        <w:t xml:space="preserve">dults </w:t>
      </w:r>
      <w:proofErr w:type="gramStart"/>
      <w:r w:rsidR="00FE7D68">
        <w:t>are considered to be</w:t>
      </w:r>
      <w:proofErr w:type="gramEnd"/>
      <w:r w:rsidR="00FE7D68">
        <w:t xml:space="preserve"> 18-years and over, (previously 19</w:t>
      </w:r>
      <w:r w:rsidR="00EE6891">
        <w:t xml:space="preserve">+ </w:t>
      </w:r>
      <w:r w:rsidR="00FE7D68">
        <w:t>years) and older adults are separated into the following groups: 5</w:t>
      </w:r>
      <w:r w:rsidR="00C5315A">
        <w:t>0</w:t>
      </w:r>
      <w:r w:rsidR="00FE7D68">
        <w:t xml:space="preserve">-64 years, 65-74 years, 75+ years (previously 51-70 years, 70+ years). There are also </w:t>
      </w:r>
      <w:r w:rsidR="00C56AAA">
        <w:t>additional</w:t>
      </w:r>
      <w:r w:rsidR="00FE7D68">
        <w:t xml:space="preserve"> children’s age groups (early years, primary school, adolescence) see </w:t>
      </w:r>
      <w:r w:rsidR="00F40D46">
        <w:fldChar w:fldCharType="begin"/>
      </w:r>
      <w:r w:rsidR="00F40D46">
        <w:instrText xml:space="preserve"> REF _Ref197343115 \h </w:instrText>
      </w:r>
      <w:r w:rsidR="00F40D46">
        <w:fldChar w:fldCharType="separate"/>
      </w:r>
      <w:r w:rsidR="00783DC4">
        <w:t xml:space="preserve">Table </w:t>
      </w:r>
      <w:r w:rsidR="00783DC4">
        <w:rPr>
          <w:noProof/>
        </w:rPr>
        <w:t>C</w:t>
      </w:r>
      <w:r w:rsidR="00783DC4">
        <w:t>.</w:t>
      </w:r>
      <w:r w:rsidR="00783DC4">
        <w:rPr>
          <w:noProof/>
        </w:rPr>
        <w:t>1</w:t>
      </w:r>
      <w:r w:rsidR="00F40D46">
        <w:fldChar w:fldCharType="end"/>
      </w:r>
      <w:r w:rsidR="00557D21">
        <w:t xml:space="preserve"> </w:t>
      </w:r>
      <w:r w:rsidR="00FE7D68">
        <w:t xml:space="preserve">for further details. </w:t>
      </w:r>
      <w:r w:rsidR="00D230D9" w:rsidRPr="002778C6">
        <w:t xml:space="preserve"> </w:t>
      </w:r>
      <w:r w:rsidR="00DC7690" w:rsidRPr="002778C6">
        <w:t xml:space="preserve"> </w:t>
      </w:r>
      <w:r w:rsidR="00007376">
        <w:rPr>
          <w:rFonts w:eastAsia="SimHei"/>
          <w:color w:val="000000"/>
        </w:rPr>
        <w:t xml:space="preserve"> </w:t>
      </w:r>
    </w:p>
    <w:p w14:paraId="0E9491EC" w14:textId="5ADAD60A" w:rsidR="00864D72" w:rsidRDefault="00864D72" w:rsidP="00F40D46"/>
    <w:p w14:paraId="36C60DD0" w14:textId="582129CA" w:rsidR="00F40D46" w:rsidRPr="00ED1D47" w:rsidRDefault="00F40D46" w:rsidP="00726D4E">
      <w:pPr>
        <w:pStyle w:val="Caption"/>
        <w:keepNext/>
        <w:rPr>
          <w:rFonts w:ascii="Gotham Book" w:hAnsi="Gotham Book"/>
        </w:rPr>
      </w:pPr>
      <w:bookmarkStart w:id="289" w:name="_Ref197343115"/>
      <w:r>
        <w:t xml:space="preserve">Table </w:t>
      </w:r>
      <w:r w:rsidR="00783DC4">
        <w:fldChar w:fldCharType="begin"/>
      </w:r>
      <w:r w:rsidR="00783DC4">
        <w:instrText xml:space="preserve"> STYLEREF 6 \s </w:instrText>
      </w:r>
      <w:r w:rsidR="00783DC4">
        <w:fldChar w:fldCharType="separate"/>
      </w:r>
      <w:r w:rsidR="00783DC4">
        <w:rPr>
          <w:noProof/>
        </w:rPr>
        <w:t>C</w:t>
      </w:r>
      <w:r w:rsidR="00783DC4">
        <w:rPr>
          <w:noProof/>
        </w:rPr>
        <w:fldChar w:fldCharType="end"/>
      </w:r>
      <w:r>
        <w:t>.</w:t>
      </w:r>
      <w:r w:rsidR="00783DC4">
        <w:fldChar w:fldCharType="begin"/>
      </w:r>
      <w:r w:rsidR="00783DC4">
        <w:instrText xml:space="preserve"> SEQ Table_A \* ARABIC \s 6 </w:instrText>
      </w:r>
      <w:r w:rsidR="00783DC4">
        <w:fldChar w:fldCharType="separate"/>
      </w:r>
      <w:r w:rsidR="00783DC4">
        <w:rPr>
          <w:noProof/>
        </w:rPr>
        <w:t>1</w:t>
      </w:r>
      <w:r w:rsidR="00783DC4">
        <w:rPr>
          <w:noProof/>
        </w:rPr>
        <w:fldChar w:fldCharType="end"/>
      </w:r>
      <w:bookmarkEnd w:id="289"/>
      <w:r w:rsidR="006250E5">
        <w:rPr>
          <w:noProof/>
        </w:rPr>
        <w:t>.1</w:t>
      </w:r>
      <w:r w:rsidR="00007376">
        <w:t xml:space="preserve"> </w:t>
      </w:r>
      <w:r w:rsidR="00007376" w:rsidRPr="0079108F">
        <w:t>Comparison age groupings</w:t>
      </w:r>
      <w:r w:rsidR="00007376" w:rsidRPr="00ED1D47">
        <w:rPr>
          <w:rFonts w:ascii="Gotham Book" w:hAnsi="Gotham Book"/>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mparison age groupings"/>
        <w:tblDescription w:val="Table comparing NRV age groupings with additional age groups for nutrition reporting across three life stages. For infants, both systems use the same age groups (0-6 months and 7-12 months). For children and adolescents, the NRV age groupings comprise four groups (1 to under 4 years, 4 to under 9 years, 9 to under 14 years, 14 to under 18 years), while additional nutrition reporting groups are broken down into a different four groupings: 12 to under 24 months, 2 to under 5 years (preschool), 5 to under 12 (primary school), and 12 to under 18 years (adolescence). For adults, both systems subdivide adults into five bands: 18 to under 30, 30 to under 50, 50 to under 65, 65 to under 75, and 75 years and over."/>
      </w:tblPr>
      <w:tblGrid>
        <w:gridCol w:w="4953"/>
        <w:gridCol w:w="4902"/>
      </w:tblGrid>
      <w:tr w:rsidR="00784695" w:rsidRPr="00623211" w14:paraId="0F31CF39" w14:textId="77777777">
        <w:trPr>
          <w:trHeight w:val="384"/>
        </w:trPr>
        <w:tc>
          <w:tcPr>
            <w:tcW w:w="2513" w:type="pct"/>
            <w:noWrap/>
            <w:vAlign w:val="center"/>
            <w:hideMark/>
          </w:tcPr>
          <w:p w14:paraId="4849952B" w14:textId="214F5588" w:rsidR="00784695" w:rsidRPr="00623211" w:rsidRDefault="00E3586B">
            <w:pPr>
              <w:spacing w:after="0" w:line="240" w:lineRule="auto"/>
              <w:jc w:val="center"/>
              <w:rPr>
                <w:rFonts w:eastAsia="Times New Roman" w:cs="Calibri"/>
                <w:b/>
                <w:bCs/>
                <w:sz w:val="19"/>
                <w:szCs w:val="19"/>
              </w:rPr>
            </w:pPr>
            <w:r>
              <w:rPr>
                <w:rFonts w:eastAsia="Times New Roman" w:cs="Calibri"/>
                <w:b/>
                <w:bCs/>
                <w:sz w:val="19"/>
                <w:szCs w:val="19"/>
              </w:rPr>
              <w:t>NRV</w:t>
            </w:r>
            <w:r w:rsidR="00784695">
              <w:rPr>
                <w:rFonts w:eastAsia="Times New Roman" w:cs="Calibri"/>
                <w:b/>
                <w:bCs/>
                <w:sz w:val="19"/>
                <w:szCs w:val="19"/>
              </w:rPr>
              <w:t xml:space="preserve"> Age Groups </w:t>
            </w:r>
          </w:p>
        </w:tc>
        <w:tc>
          <w:tcPr>
            <w:tcW w:w="2487" w:type="pct"/>
            <w:tcBorders>
              <w:bottom w:val="single" w:sz="4" w:space="0" w:color="auto"/>
            </w:tcBorders>
            <w:vAlign w:val="center"/>
          </w:tcPr>
          <w:p w14:paraId="49EC742D" w14:textId="328E9B85" w:rsidR="00784695" w:rsidRPr="00623211" w:rsidRDefault="007E2227">
            <w:pPr>
              <w:spacing w:after="0" w:line="240" w:lineRule="auto"/>
              <w:jc w:val="center"/>
              <w:rPr>
                <w:rFonts w:eastAsia="Times New Roman" w:cs="Calibri"/>
                <w:b/>
                <w:bCs/>
                <w:sz w:val="19"/>
                <w:szCs w:val="19"/>
              </w:rPr>
            </w:pPr>
            <w:r>
              <w:rPr>
                <w:rFonts w:eastAsia="Times New Roman" w:cs="Calibri"/>
                <w:b/>
                <w:bCs/>
                <w:sz w:val="19"/>
                <w:szCs w:val="19"/>
              </w:rPr>
              <w:t>Additional</w:t>
            </w:r>
            <w:r w:rsidRPr="00623211">
              <w:rPr>
                <w:rFonts w:eastAsia="Times New Roman" w:cs="Calibri"/>
                <w:b/>
                <w:bCs/>
                <w:sz w:val="19"/>
                <w:szCs w:val="19"/>
              </w:rPr>
              <w:t xml:space="preserve"> </w:t>
            </w:r>
            <w:r w:rsidR="00784695" w:rsidRPr="00623211">
              <w:rPr>
                <w:rFonts w:eastAsia="Times New Roman" w:cs="Calibri"/>
                <w:b/>
                <w:bCs/>
                <w:sz w:val="19"/>
                <w:szCs w:val="19"/>
              </w:rPr>
              <w:t>Age groups</w:t>
            </w:r>
            <w:r w:rsidR="0022234A">
              <w:rPr>
                <w:rFonts w:eastAsia="Times New Roman" w:cs="Calibri"/>
                <w:b/>
                <w:bCs/>
                <w:sz w:val="19"/>
                <w:szCs w:val="19"/>
              </w:rPr>
              <w:t xml:space="preserve"> for nutrition reporting</w:t>
            </w:r>
            <w:r w:rsidR="00784695">
              <w:rPr>
                <w:rFonts w:eastAsia="Times New Roman" w:cs="Calibri"/>
                <w:b/>
                <w:bCs/>
                <w:sz w:val="19"/>
                <w:szCs w:val="19"/>
              </w:rPr>
              <w:t xml:space="preserve"> </w:t>
            </w:r>
          </w:p>
        </w:tc>
      </w:tr>
      <w:tr w:rsidR="000135E0" w:rsidRPr="00111BC8" w14:paraId="09E517B1" w14:textId="77777777" w:rsidTr="000135E0">
        <w:trPr>
          <w:trHeight w:val="310"/>
        </w:trPr>
        <w:tc>
          <w:tcPr>
            <w:tcW w:w="5000" w:type="pct"/>
            <w:gridSpan w:val="2"/>
            <w:tcBorders>
              <w:bottom w:val="dotted" w:sz="4" w:space="0" w:color="auto"/>
            </w:tcBorders>
            <w:shd w:val="clear" w:color="auto" w:fill="000000" w:themeFill="text1"/>
            <w:vAlign w:val="center"/>
          </w:tcPr>
          <w:p w14:paraId="218F19FF" w14:textId="334DB55C" w:rsidR="000135E0" w:rsidRPr="00111BC8" w:rsidRDefault="000135E0">
            <w:pPr>
              <w:spacing w:after="0" w:line="240" w:lineRule="auto"/>
              <w:jc w:val="center"/>
              <w:rPr>
                <w:rFonts w:eastAsia="Times New Roman" w:cs="Calibri"/>
                <w:b/>
                <w:bCs/>
                <w:color w:val="FFFFFF"/>
                <w:sz w:val="16"/>
                <w:szCs w:val="16"/>
              </w:rPr>
            </w:pPr>
            <w:r>
              <w:rPr>
                <w:rFonts w:eastAsia="Times New Roman" w:cs="Calibri"/>
                <w:b/>
                <w:bCs/>
                <w:color w:val="FFFFFF"/>
                <w:sz w:val="16"/>
                <w:szCs w:val="16"/>
              </w:rPr>
              <w:t>INFANTS</w:t>
            </w:r>
          </w:p>
        </w:tc>
      </w:tr>
      <w:tr w:rsidR="00920C58" w:rsidRPr="00111BC8" w14:paraId="430A2FC7" w14:textId="77777777" w:rsidTr="00920C58">
        <w:trPr>
          <w:trHeight w:val="310"/>
        </w:trPr>
        <w:tc>
          <w:tcPr>
            <w:tcW w:w="5000" w:type="pct"/>
            <w:gridSpan w:val="2"/>
            <w:tcBorders>
              <w:bottom w:val="dotted" w:sz="4" w:space="0" w:color="auto"/>
            </w:tcBorders>
            <w:shd w:val="clear" w:color="auto" w:fill="FFFFFF" w:themeFill="background1"/>
            <w:vAlign w:val="center"/>
          </w:tcPr>
          <w:p w14:paraId="5771C7C8" w14:textId="25ADF3AB" w:rsidR="00920C58" w:rsidRPr="00FB002C" w:rsidRDefault="00920C58">
            <w:pPr>
              <w:spacing w:after="0" w:line="240" w:lineRule="auto"/>
              <w:jc w:val="center"/>
              <w:rPr>
                <w:rFonts w:eastAsia="Times New Roman" w:cs="Calibri"/>
                <w:b/>
                <w:bCs/>
                <w:color w:val="auto"/>
                <w:sz w:val="19"/>
                <w:szCs w:val="19"/>
              </w:rPr>
            </w:pPr>
            <w:r w:rsidRPr="00FB002C">
              <w:rPr>
                <w:rFonts w:eastAsia="Times New Roman" w:cs="Calibri"/>
                <w:b/>
                <w:bCs/>
                <w:color w:val="auto"/>
                <w:sz w:val="19"/>
                <w:szCs w:val="19"/>
              </w:rPr>
              <w:t xml:space="preserve">0 </w:t>
            </w:r>
            <w:r w:rsidR="009C31B6">
              <w:rPr>
                <w:rFonts w:eastAsia="Times New Roman" w:cs="Calibri"/>
                <w:b/>
                <w:bCs/>
                <w:color w:val="auto"/>
                <w:sz w:val="19"/>
                <w:szCs w:val="19"/>
              </w:rPr>
              <w:t xml:space="preserve">- 6 </w:t>
            </w:r>
            <w:r w:rsidRPr="00FB002C">
              <w:rPr>
                <w:rFonts w:eastAsia="Times New Roman" w:cs="Calibri"/>
                <w:b/>
                <w:bCs/>
                <w:color w:val="auto"/>
                <w:sz w:val="19"/>
                <w:szCs w:val="19"/>
              </w:rPr>
              <w:t>months</w:t>
            </w:r>
          </w:p>
        </w:tc>
      </w:tr>
      <w:tr w:rsidR="00B04544" w:rsidRPr="00111BC8" w14:paraId="2849D972" w14:textId="77777777" w:rsidTr="00920C58">
        <w:trPr>
          <w:trHeight w:val="310"/>
        </w:trPr>
        <w:tc>
          <w:tcPr>
            <w:tcW w:w="5000" w:type="pct"/>
            <w:gridSpan w:val="2"/>
            <w:tcBorders>
              <w:bottom w:val="dotted" w:sz="4" w:space="0" w:color="auto"/>
            </w:tcBorders>
            <w:shd w:val="clear" w:color="auto" w:fill="FFFFFF" w:themeFill="background1"/>
            <w:vAlign w:val="center"/>
          </w:tcPr>
          <w:p w14:paraId="74958CDC" w14:textId="62186D3E" w:rsidR="00B04544" w:rsidRPr="00FB002C" w:rsidRDefault="00244C79">
            <w:pPr>
              <w:spacing w:after="0" w:line="240" w:lineRule="auto"/>
              <w:jc w:val="center"/>
              <w:rPr>
                <w:rFonts w:eastAsia="Times New Roman" w:cs="Calibri"/>
                <w:b/>
                <w:bCs/>
                <w:color w:val="auto"/>
                <w:sz w:val="19"/>
                <w:szCs w:val="19"/>
              </w:rPr>
            </w:pPr>
            <w:r w:rsidRPr="00FB002C">
              <w:rPr>
                <w:rFonts w:eastAsia="Times New Roman" w:cs="Calibri"/>
                <w:b/>
                <w:bCs/>
                <w:color w:val="auto"/>
                <w:sz w:val="19"/>
                <w:szCs w:val="19"/>
              </w:rPr>
              <w:t xml:space="preserve">7 </w:t>
            </w:r>
            <w:r w:rsidR="009C31B6">
              <w:rPr>
                <w:rFonts w:eastAsia="Times New Roman" w:cs="Calibri"/>
                <w:b/>
                <w:bCs/>
                <w:color w:val="auto"/>
                <w:sz w:val="19"/>
                <w:szCs w:val="19"/>
              </w:rPr>
              <w:t>-</w:t>
            </w:r>
            <w:r w:rsidRPr="00FB002C">
              <w:rPr>
                <w:rFonts w:eastAsia="Times New Roman" w:cs="Calibri"/>
                <w:b/>
                <w:bCs/>
                <w:color w:val="auto"/>
                <w:sz w:val="19"/>
                <w:szCs w:val="19"/>
              </w:rPr>
              <w:t xml:space="preserve"> 12 months</w:t>
            </w:r>
          </w:p>
        </w:tc>
      </w:tr>
      <w:tr w:rsidR="000135E0" w:rsidRPr="00111BC8" w14:paraId="62163544" w14:textId="77777777">
        <w:trPr>
          <w:trHeight w:val="310"/>
        </w:trPr>
        <w:tc>
          <w:tcPr>
            <w:tcW w:w="5000" w:type="pct"/>
            <w:gridSpan w:val="2"/>
            <w:tcBorders>
              <w:bottom w:val="dotted" w:sz="4" w:space="0" w:color="auto"/>
            </w:tcBorders>
            <w:shd w:val="clear" w:color="auto" w:fill="000000"/>
            <w:vAlign w:val="center"/>
          </w:tcPr>
          <w:p w14:paraId="0D3FC286" w14:textId="77777777" w:rsidR="000135E0" w:rsidRPr="00111BC8" w:rsidRDefault="000135E0">
            <w:pPr>
              <w:spacing w:after="0" w:line="240" w:lineRule="auto"/>
              <w:jc w:val="center"/>
              <w:rPr>
                <w:rFonts w:eastAsia="Times New Roman" w:cs="Calibri"/>
                <w:b/>
                <w:bCs/>
                <w:color w:val="FFFFFF"/>
                <w:sz w:val="16"/>
                <w:szCs w:val="16"/>
              </w:rPr>
            </w:pPr>
          </w:p>
        </w:tc>
      </w:tr>
      <w:tr w:rsidR="00784695" w:rsidRPr="00111BC8" w14:paraId="3D7DCECA" w14:textId="77777777">
        <w:trPr>
          <w:trHeight w:val="310"/>
        </w:trPr>
        <w:tc>
          <w:tcPr>
            <w:tcW w:w="5000" w:type="pct"/>
            <w:gridSpan w:val="2"/>
            <w:tcBorders>
              <w:bottom w:val="dotted" w:sz="4" w:space="0" w:color="auto"/>
            </w:tcBorders>
            <w:shd w:val="clear" w:color="auto" w:fill="000000"/>
            <w:vAlign w:val="center"/>
          </w:tcPr>
          <w:p w14:paraId="04E76E44" w14:textId="77777777" w:rsidR="00784695" w:rsidRPr="00111BC8" w:rsidRDefault="00784695">
            <w:pPr>
              <w:spacing w:after="0" w:line="240" w:lineRule="auto"/>
              <w:jc w:val="center"/>
              <w:rPr>
                <w:rFonts w:eastAsia="Times New Roman" w:cs="Calibri"/>
                <w:b/>
                <w:bCs/>
                <w:color w:val="FFFFFF"/>
                <w:sz w:val="16"/>
                <w:szCs w:val="16"/>
              </w:rPr>
            </w:pPr>
            <w:r w:rsidRPr="00111BC8">
              <w:rPr>
                <w:rFonts w:eastAsia="Times New Roman" w:cs="Calibri"/>
                <w:b/>
                <w:bCs/>
                <w:color w:val="FFFFFF"/>
                <w:sz w:val="16"/>
                <w:szCs w:val="16"/>
              </w:rPr>
              <w:t>CHILDREN &amp; ADOLESCENTS</w:t>
            </w:r>
          </w:p>
        </w:tc>
      </w:tr>
      <w:tr w:rsidR="00E05FCD" w:rsidRPr="00623211" w14:paraId="7B5097B8" w14:textId="77777777">
        <w:trPr>
          <w:trHeight w:val="387"/>
        </w:trPr>
        <w:tc>
          <w:tcPr>
            <w:tcW w:w="2513" w:type="pct"/>
            <w:vMerge w:val="restart"/>
            <w:noWrap/>
            <w:vAlign w:val="center"/>
          </w:tcPr>
          <w:p w14:paraId="7B1EB7BD" w14:textId="39429A88" w:rsidR="00E05FCD" w:rsidRPr="00623211" w:rsidRDefault="00E05FCD">
            <w:pPr>
              <w:spacing w:after="0" w:line="240" w:lineRule="auto"/>
              <w:jc w:val="center"/>
              <w:rPr>
                <w:rFonts w:eastAsia="Times New Roman" w:cs="Calibri"/>
                <w:color w:val="000000"/>
                <w:sz w:val="19"/>
                <w:szCs w:val="19"/>
              </w:rPr>
            </w:pPr>
            <w:r w:rsidRPr="00623211">
              <w:rPr>
                <w:rFonts w:eastAsia="Times New Roman" w:cs="Calibri"/>
                <w:color w:val="000000"/>
                <w:sz w:val="19"/>
                <w:szCs w:val="19"/>
              </w:rPr>
              <w:t>1</w:t>
            </w:r>
            <w:r w:rsidR="00E3586B">
              <w:rPr>
                <w:rFonts w:eastAsia="Times New Roman" w:cs="Calibri"/>
                <w:color w:val="000000"/>
                <w:sz w:val="19"/>
                <w:szCs w:val="19"/>
              </w:rPr>
              <w:t xml:space="preserve"> to under 4</w:t>
            </w:r>
            <w:r w:rsidRPr="00623211">
              <w:rPr>
                <w:rFonts w:eastAsia="Times New Roman" w:cs="Calibri"/>
                <w:color w:val="000000"/>
                <w:sz w:val="19"/>
                <w:szCs w:val="19"/>
              </w:rPr>
              <w:t xml:space="preserve"> years</w:t>
            </w:r>
          </w:p>
        </w:tc>
        <w:tc>
          <w:tcPr>
            <w:tcW w:w="2487" w:type="pct"/>
            <w:vAlign w:val="center"/>
          </w:tcPr>
          <w:p w14:paraId="647BC565" w14:textId="380E5595" w:rsidR="00E05FCD" w:rsidRPr="00623211" w:rsidRDefault="00E05FCD">
            <w:pPr>
              <w:spacing w:after="0" w:line="240" w:lineRule="auto"/>
              <w:jc w:val="center"/>
              <w:rPr>
                <w:rFonts w:eastAsia="Times New Roman" w:cs="Calibri"/>
                <w:color w:val="000000"/>
                <w:sz w:val="19"/>
                <w:szCs w:val="19"/>
              </w:rPr>
            </w:pPr>
            <w:r>
              <w:rPr>
                <w:rFonts w:eastAsia="Times New Roman" w:cs="Calibri"/>
                <w:color w:val="000000"/>
                <w:sz w:val="19"/>
                <w:szCs w:val="19"/>
              </w:rPr>
              <w:t>12</w:t>
            </w:r>
            <w:r w:rsidR="00094373">
              <w:rPr>
                <w:rFonts w:eastAsia="Times New Roman" w:cs="Calibri"/>
                <w:color w:val="000000"/>
                <w:sz w:val="19"/>
                <w:szCs w:val="19"/>
              </w:rPr>
              <w:t xml:space="preserve"> to under 24</w:t>
            </w:r>
            <w:r>
              <w:rPr>
                <w:rFonts w:eastAsia="Times New Roman" w:cs="Calibri"/>
                <w:color w:val="000000"/>
                <w:sz w:val="19"/>
                <w:szCs w:val="19"/>
              </w:rPr>
              <w:t xml:space="preserve"> months</w:t>
            </w:r>
          </w:p>
        </w:tc>
      </w:tr>
      <w:tr w:rsidR="00E12330" w:rsidRPr="00623211" w14:paraId="62B0CFAD" w14:textId="77777777">
        <w:trPr>
          <w:trHeight w:val="424"/>
        </w:trPr>
        <w:tc>
          <w:tcPr>
            <w:tcW w:w="2513" w:type="pct"/>
            <w:vMerge/>
            <w:noWrap/>
            <w:vAlign w:val="center"/>
            <w:hideMark/>
          </w:tcPr>
          <w:p w14:paraId="1E72FC0B" w14:textId="7AF11EDF" w:rsidR="00784695" w:rsidRPr="00623211" w:rsidRDefault="00784695">
            <w:pPr>
              <w:spacing w:after="0" w:line="240" w:lineRule="auto"/>
              <w:jc w:val="center"/>
              <w:rPr>
                <w:rFonts w:eastAsia="Times New Roman" w:cs="Calibri"/>
                <w:color w:val="000000"/>
                <w:sz w:val="19"/>
                <w:szCs w:val="19"/>
                <w:highlight w:val="yellow"/>
              </w:rPr>
            </w:pPr>
          </w:p>
        </w:tc>
        <w:tc>
          <w:tcPr>
            <w:tcW w:w="2487" w:type="pct"/>
            <w:vMerge w:val="restart"/>
            <w:vAlign w:val="center"/>
          </w:tcPr>
          <w:p w14:paraId="3C3BF19C" w14:textId="33B95FD1" w:rsidR="00784695" w:rsidRPr="00623211" w:rsidRDefault="00784695">
            <w:pPr>
              <w:spacing w:after="0" w:line="240" w:lineRule="auto"/>
              <w:jc w:val="center"/>
              <w:rPr>
                <w:rFonts w:eastAsia="Times New Roman" w:cs="Calibri"/>
                <w:color w:val="000000"/>
                <w:sz w:val="19"/>
                <w:szCs w:val="19"/>
              </w:rPr>
            </w:pPr>
            <w:r w:rsidRPr="00623211">
              <w:rPr>
                <w:rFonts w:eastAsia="Times New Roman" w:cs="Calibri"/>
                <w:color w:val="000000"/>
                <w:sz w:val="19"/>
                <w:szCs w:val="19"/>
              </w:rPr>
              <w:t>2</w:t>
            </w:r>
            <w:r w:rsidR="00094373">
              <w:rPr>
                <w:rFonts w:eastAsia="Times New Roman" w:cs="Calibri"/>
                <w:color w:val="000000"/>
                <w:sz w:val="19"/>
                <w:szCs w:val="19"/>
              </w:rPr>
              <w:t xml:space="preserve"> to under 5</w:t>
            </w:r>
            <w:r w:rsidRPr="00623211">
              <w:rPr>
                <w:rFonts w:eastAsia="Times New Roman" w:cs="Calibri"/>
                <w:color w:val="000000"/>
                <w:sz w:val="19"/>
                <w:szCs w:val="19"/>
              </w:rPr>
              <w:t xml:space="preserve"> years</w:t>
            </w:r>
            <w:r w:rsidR="00094373">
              <w:rPr>
                <w:rFonts w:eastAsia="Times New Roman" w:cs="Calibri"/>
                <w:color w:val="000000"/>
                <w:sz w:val="19"/>
                <w:szCs w:val="19"/>
              </w:rPr>
              <w:t xml:space="preserve"> (preschool) </w:t>
            </w:r>
          </w:p>
        </w:tc>
      </w:tr>
      <w:tr w:rsidR="001D7431" w:rsidRPr="00623211" w14:paraId="767E7F04" w14:textId="77777777">
        <w:trPr>
          <w:trHeight w:val="387"/>
        </w:trPr>
        <w:tc>
          <w:tcPr>
            <w:tcW w:w="2513" w:type="pct"/>
            <w:vMerge w:val="restart"/>
            <w:noWrap/>
            <w:vAlign w:val="center"/>
          </w:tcPr>
          <w:p w14:paraId="25C1D4D2" w14:textId="75685CD7" w:rsidR="001D7431" w:rsidRPr="00623211" w:rsidRDefault="001D7431">
            <w:pPr>
              <w:spacing w:after="0" w:line="240" w:lineRule="auto"/>
              <w:jc w:val="center"/>
              <w:rPr>
                <w:rFonts w:eastAsia="Times New Roman" w:cs="Calibri"/>
                <w:color w:val="000000"/>
                <w:sz w:val="19"/>
                <w:szCs w:val="19"/>
                <w:highlight w:val="yellow"/>
              </w:rPr>
            </w:pPr>
            <w:r w:rsidRPr="00623211">
              <w:rPr>
                <w:rFonts w:eastAsia="Times New Roman" w:cs="Calibri"/>
                <w:color w:val="000000"/>
                <w:sz w:val="19"/>
                <w:szCs w:val="19"/>
              </w:rPr>
              <w:t>4</w:t>
            </w:r>
            <w:r w:rsidR="00E3586B">
              <w:rPr>
                <w:rFonts w:eastAsia="Times New Roman" w:cs="Calibri"/>
                <w:color w:val="000000"/>
                <w:sz w:val="19"/>
                <w:szCs w:val="19"/>
              </w:rPr>
              <w:t xml:space="preserve"> to under 9</w:t>
            </w:r>
            <w:r w:rsidRPr="00623211">
              <w:rPr>
                <w:rFonts w:eastAsia="Times New Roman" w:cs="Calibri"/>
                <w:color w:val="000000"/>
                <w:sz w:val="19"/>
                <w:szCs w:val="19"/>
              </w:rPr>
              <w:t xml:space="preserve"> years</w:t>
            </w:r>
          </w:p>
        </w:tc>
        <w:tc>
          <w:tcPr>
            <w:tcW w:w="2487" w:type="pct"/>
            <w:vMerge/>
            <w:vAlign w:val="center"/>
          </w:tcPr>
          <w:p w14:paraId="180E451F" w14:textId="77777777" w:rsidR="001D7431" w:rsidRPr="00623211" w:rsidRDefault="001D7431">
            <w:pPr>
              <w:spacing w:after="0" w:line="240" w:lineRule="auto"/>
              <w:jc w:val="center"/>
              <w:rPr>
                <w:rFonts w:eastAsia="Times New Roman" w:cs="Calibri"/>
                <w:color w:val="000000"/>
                <w:sz w:val="19"/>
                <w:szCs w:val="19"/>
              </w:rPr>
            </w:pPr>
          </w:p>
        </w:tc>
      </w:tr>
      <w:tr w:rsidR="00E12330" w:rsidRPr="00623211" w14:paraId="5BF69F42" w14:textId="77777777">
        <w:trPr>
          <w:trHeight w:val="424"/>
        </w:trPr>
        <w:tc>
          <w:tcPr>
            <w:tcW w:w="2513" w:type="pct"/>
            <w:vMerge/>
            <w:tcBorders>
              <w:bottom w:val="single" w:sz="4" w:space="0" w:color="auto"/>
            </w:tcBorders>
            <w:noWrap/>
            <w:vAlign w:val="center"/>
            <w:hideMark/>
          </w:tcPr>
          <w:p w14:paraId="341C102B" w14:textId="2950F31A" w:rsidR="00784695" w:rsidRPr="00623211" w:rsidRDefault="00784695">
            <w:pPr>
              <w:spacing w:after="0" w:line="240" w:lineRule="auto"/>
              <w:jc w:val="center"/>
              <w:rPr>
                <w:rFonts w:eastAsia="Times New Roman" w:cs="Calibri"/>
                <w:color w:val="000000"/>
                <w:sz w:val="19"/>
                <w:szCs w:val="19"/>
                <w:highlight w:val="yellow"/>
              </w:rPr>
            </w:pPr>
          </w:p>
        </w:tc>
        <w:tc>
          <w:tcPr>
            <w:tcW w:w="2487" w:type="pct"/>
            <w:vMerge w:val="restart"/>
            <w:tcBorders>
              <w:top w:val="single" w:sz="4" w:space="0" w:color="auto"/>
            </w:tcBorders>
            <w:vAlign w:val="center"/>
          </w:tcPr>
          <w:p w14:paraId="33A4FFD0" w14:textId="406A8658" w:rsidR="00784695" w:rsidRPr="00623211" w:rsidRDefault="00784695">
            <w:pPr>
              <w:spacing w:after="0" w:line="240" w:lineRule="auto"/>
              <w:jc w:val="center"/>
              <w:rPr>
                <w:rFonts w:eastAsia="Times New Roman" w:cs="Calibri"/>
                <w:color w:val="000000"/>
                <w:sz w:val="19"/>
                <w:szCs w:val="19"/>
              </w:rPr>
            </w:pPr>
            <w:r w:rsidRPr="00623211">
              <w:rPr>
                <w:rFonts w:eastAsia="Times New Roman" w:cs="Calibri"/>
                <w:color w:val="000000"/>
                <w:sz w:val="19"/>
                <w:szCs w:val="19"/>
              </w:rPr>
              <w:t>5</w:t>
            </w:r>
            <w:r w:rsidR="00094373">
              <w:rPr>
                <w:rFonts w:eastAsia="Times New Roman" w:cs="Calibri"/>
                <w:color w:val="000000"/>
                <w:sz w:val="19"/>
                <w:szCs w:val="19"/>
              </w:rPr>
              <w:t xml:space="preserve"> to under 12</w:t>
            </w:r>
            <w:r w:rsidR="00152251">
              <w:rPr>
                <w:rFonts w:eastAsia="Times New Roman" w:cs="Calibri"/>
                <w:color w:val="000000"/>
                <w:sz w:val="19"/>
                <w:szCs w:val="19"/>
              </w:rPr>
              <w:t xml:space="preserve"> </w:t>
            </w:r>
            <w:r w:rsidR="00094373">
              <w:rPr>
                <w:rFonts w:eastAsia="Times New Roman" w:cs="Calibri"/>
                <w:color w:val="000000"/>
                <w:sz w:val="19"/>
                <w:szCs w:val="19"/>
              </w:rPr>
              <w:t>(primary school)</w:t>
            </w:r>
          </w:p>
        </w:tc>
      </w:tr>
      <w:tr w:rsidR="00E12330" w:rsidRPr="00623211" w14:paraId="6415C4DF" w14:textId="77777777">
        <w:trPr>
          <w:trHeight w:val="450"/>
        </w:trPr>
        <w:tc>
          <w:tcPr>
            <w:tcW w:w="2513" w:type="pct"/>
            <w:vMerge w:val="restart"/>
            <w:tcBorders>
              <w:top w:val="single" w:sz="4" w:space="0" w:color="auto"/>
            </w:tcBorders>
            <w:noWrap/>
            <w:vAlign w:val="center"/>
            <w:hideMark/>
          </w:tcPr>
          <w:p w14:paraId="1F4898DF" w14:textId="2B482D12" w:rsidR="00784695" w:rsidRPr="00623211" w:rsidRDefault="00784695">
            <w:pPr>
              <w:spacing w:after="0" w:line="240" w:lineRule="auto"/>
              <w:jc w:val="center"/>
              <w:rPr>
                <w:rFonts w:eastAsia="Times New Roman" w:cs="Calibri"/>
                <w:color w:val="000000"/>
                <w:sz w:val="19"/>
                <w:szCs w:val="19"/>
                <w:highlight w:val="yellow"/>
              </w:rPr>
            </w:pPr>
            <w:r w:rsidRPr="00623211">
              <w:rPr>
                <w:rFonts w:eastAsia="Times New Roman" w:cs="Calibri"/>
                <w:color w:val="000000"/>
                <w:sz w:val="19"/>
                <w:szCs w:val="19"/>
              </w:rPr>
              <w:t>9</w:t>
            </w:r>
            <w:r w:rsidR="00E3586B">
              <w:rPr>
                <w:rFonts w:eastAsia="Times New Roman" w:cs="Calibri"/>
                <w:color w:val="000000"/>
                <w:sz w:val="19"/>
                <w:szCs w:val="19"/>
              </w:rPr>
              <w:t xml:space="preserve"> to under 14</w:t>
            </w:r>
            <w:r w:rsidRPr="00623211">
              <w:rPr>
                <w:rFonts w:eastAsia="Times New Roman" w:cs="Calibri"/>
                <w:color w:val="000000"/>
                <w:sz w:val="19"/>
                <w:szCs w:val="19"/>
              </w:rPr>
              <w:t>years</w:t>
            </w:r>
          </w:p>
        </w:tc>
        <w:tc>
          <w:tcPr>
            <w:tcW w:w="2487" w:type="pct"/>
            <w:vMerge/>
            <w:vAlign w:val="center"/>
          </w:tcPr>
          <w:p w14:paraId="3F1D5A16" w14:textId="77777777" w:rsidR="00784695" w:rsidRPr="00623211" w:rsidRDefault="00784695">
            <w:pPr>
              <w:spacing w:after="0" w:line="240" w:lineRule="auto"/>
              <w:jc w:val="center"/>
              <w:rPr>
                <w:rFonts w:eastAsia="Times New Roman" w:cs="Calibri"/>
                <w:color w:val="000000"/>
                <w:sz w:val="19"/>
                <w:szCs w:val="19"/>
              </w:rPr>
            </w:pPr>
          </w:p>
        </w:tc>
      </w:tr>
      <w:tr w:rsidR="00E12330" w:rsidRPr="00623211" w14:paraId="795C9775" w14:textId="77777777">
        <w:trPr>
          <w:trHeight w:val="352"/>
        </w:trPr>
        <w:tc>
          <w:tcPr>
            <w:tcW w:w="2513" w:type="pct"/>
            <w:vMerge/>
            <w:tcBorders>
              <w:bottom w:val="single" w:sz="4" w:space="0" w:color="auto"/>
            </w:tcBorders>
            <w:noWrap/>
            <w:vAlign w:val="center"/>
          </w:tcPr>
          <w:p w14:paraId="322E98C5" w14:textId="77777777" w:rsidR="00784695" w:rsidRPr="00623211" w:rsidRDefault="00784695">
            <w:pPr>
              <w:spacing w:after="0" w:line="240" w:lineRule="auto"/>
              <w:jc w:val="center"/>
              <w:rPr>
                <w:rFonts w:eastAsia="Times New Roman" w:cs="Calibri"/>
                <w:color w:val="000000"/>
                <w:sz w:val="19"/>
                <w:szCs w:val="19"/>
              </w:rPr>
            </w:pPr>
          </w:p>
        </w:tc>
        <w:tc>
          <w:tcPr>
            <w:tcW w:w="2487" w:type="pct"/>
            <w:vMerge w:val="restart"/>
            <w:vAlign w:val="center"/>
          </w:tcPr>
          <w:p w14:paraId="40A79DC6" w14:textId="33A498B8" w:rsidR="00784695" w:rsidRPr="00623211" w:rsidRDefault="00784695">
            <w:pPr>
              <w:spacing w:after="0" w:line="240" w:lineRule="auto"/>
              <w:jc w:val="center"/>
              <w:rPr>
                <w:rFonts w:eastAsia="Times New Roman" w:cs="Calibri"/>
                <w:color w:val="000000"/>
                <w:sz w:val="19"/>
                <w:szCs w:val="19"/>
              </w:rPr>
            </w:pPr>
            <w:r w:rsidRPr="00623211">
              <w:rPr>
                <w:rFonts w:eastAsia="Times New Roman" w:cs="Calibri"/>
                <w:color w:val="000000"/>
                <w:sz w:val="19"/>
                <w:szCs w:val="19"/>
              </w:rPr>
              <w:t>12</w:t>
            </w:r>
            <w:r w:rsidR="00094373">
              <w:rPr>
                <w:rFonts w:eastAsia="Times New Roman" w:cs="Calibri"/>
                <w:color w:val="000000"/>
                <w:sz w:val="19"/>
                <w:szCs w:val="19"/>
              </w:rPr>
              <w:t xml:space="preserve"> to under 18 </w:t>
            </w:r>
            <w:r w:rsidRPr="00623211">
              <w:rPr>
                <w:rFonts w:eastAsia="Arial" w:cs="Arial"/>
                <w:color w:val="000000"/>
                <w:sz w:val="19"/>
                <w:szCs w:val="19"/>
              </w:rPr>
              <w:t>years</w:t>
            </w:r>
            <w:r w:rsidR="00094373">
              <w:rPr>
                <w:rFonts w:eastAsia="Arial" w:cs="Arial"/>
                <w:color w:val="000000"/>
                <w:sz w:val="19"/>
                <w:szCs w:val="19"/>
              </w:rPr>
              <w:t xml:space="preserve"> (adolescence)</w:t>
            </w:r>
          </w:p>
        </w:tc>
      </w:tr>
      <w:tr w:rsidR="00E12330" w:rsidRPr="00623211" w14:paraId="6B7F04C8" w14:textId="77777777">
        <w:trPr>
          <w:trHeight w:val="65"/>
        </w:trPr>
        <w:tc>
          <w:tcPr>
            <w:tcW w:w="2513" w:type="pct"/>
            <w:tcBorders>
              <w:top w:val="single" w:sz="4" w:space="0" w:color="auto"/>
              <w:bottom w:val="single" w:sz="4" w:space="0" w:color="auto"/>
            </w:tcBorders>
            <w:noWrap/>
            <w:vAlign w:val="center"/>
            <w:hideMark/>
          </w:tcPr>
          <w:p w14:paraId="702B5E3C" w14:textId="38A22817" w:rsidR="00784695" w:rsidRPr="00623211" w:rsidRDefault="00784695">
            <w:pPr>
              <w:spacing w:after="0" w:line="240" w:lineRule="auto"/>
              <w:jc w:val="center"/>
              <w:rPr>
                <w:rFonts w:eastAsia="Times New Roman" w:cs="Calibri"/>
                <w:color w:val="000000"/>
                <w:sz w:val="19"/>
                <w:szCs w:val="19"/>
                <w:highlight w:val="yellow"/>
              </w:rPr>
            </w:pPr>
            <w:r w:rsidRPr="00623211">
              <w:rPr>
                <w:rFonts w:eastAsia="Arial" w:cs="Arial"/>
                <w:color w:val="000000"/>
                <w:sz w:val="19"/>
                <w:szCs w:val="19"/>
              </w:rPr>
              <w:t>14</w:t>
            </w:r>
            <w:r w:rsidR="00E3586B">
              <w:rPr>
                <w:rFonts w:eastAsia="Arial" w:cs="Arial"/>
                <w:color w:val="000000"/>
                <w:sz w:val="19"/>
                <w:szCs w:val="19"/>
              </w:rPr>
              <w:t xml:space="preserve"> to under </w:t>
            </w:r>
            <w:r w:rsidRPr="00623211">
              <w:rPr>
                <w:rFonts w:eastAsia="Arial" w:cs="Arial"/>
                <w:color w:val="000000"/>
                <w:sz w:val="19"/>
                <w:szCs w:val="19"/>
              </w:rPr>
              <w:t>18 years</w:t>
            </w:r>
          </w:p>
        </w:tc>
        <w:tc>
          <w:tcPr>
            <w:tcW w:w="2487" w:type="pct"/>
            <w:vMerge/>
            <w:tcBorders>
              <w:bottom w:val="single" w:sz="4" w:space="0" w:color="auto"/>
            </w:tcBorders>
            <w:vAlign w:val="center"/>
          </w:tcPr>
          <w:p w14:paraId="4ACB1204" w14:textId="77777777" w:rsidR="00784695" w:rsidRPr="00623211" w:rsidRDefault="00784695">
            <w:pPr>
              <w:spacing w:after="0" w:line="240" w:lineRule="auto"/>
              <w:jc w:val="center"/>
              <w:rPr>
                <w:rFonts w:eastAsia="Arial" w:cs="Segoe UI"/>
                <w:sz w:val="19"/>
                <w:szCs w:val="19"/>
              </w:rPr>
            </w:pPr>
          </w:p>
        </w:tc>
      </w:tr>
      <w:tr w:rsidR="00784695" w:rsidRPr="00111BC8" w14:paraId="030028FB" w14:textId="77777777">
        <w:trPr>
          <w:trHeight w:val="310"/>
        </w:trPr>
        <w:tc>
          <w:tcPr>
            <w:tcW w:w="5000" w:type="pct"/>
            <w:gridSpan w:val="2"/>
            <w:tcBorders>
              <w:top w:val="single" w:sz="4" w:space="0" w:color="auto"/>
              <w:bottom w:val="single" w:sz="4" w:space="0" w:color="auto"/>
            </w:tcBorders>
            <w:shd w:val="clear" w:color="auto" w:fill="000000"/>
            <w:vAlign w:val="center"/>
          </w:tcPr>
          <w:p w14:paraId="02E76AFD" w14:textId="77777777" w:rsidR="00784695" w:rsidRPr="00111BC8" w:rsidRDefault="00784695">
            <w:pPr>
              <w:spacing w:after="0" w:line="240" w:lineRule="auto"/>
              <w:jc w:val="center"/>
              <w:rPr>
                <w:rFonts w:eastAsia="Times New Roman" w:cs="Calibri"/>
                <w:b/>
                <w:bCs/>
                <w:color w:val="FFFFFF"/>
                <w:sz w:val="16"/>
                <w:szCs w:val="16"/>
              </w:rPr>
            </w:pPr>
            <w:r w:rsidRPr="00111BC8">
              <w:rPr>
                <w:rFonts w:eastAsia="Times New Roman" w:cs="Calibri"/>
                <w:b/>
                <w:bCs/>
                <w:color w:val="FFFFFF"/>
                <w:sz w:val="16"/>
                <w:szCs w:val="16"/>
              </w:rPr>
              <w:t>ADULTS</w:t>
            </w:r>
          </w:p>
        </w:tc>
      </w:tr>
      <w:tr w:rsidR="00E12330" w:rsidRPr="00623211" w14:paraId="29E694C8" w14:textId="77777777" w:rsidTr="000135E0">
        <w:trPr>
          <w:trHeight w:val="310"/>
        </w:trPr>
        <w:tc>
          <w:tcPr>
            <w:tcW w:w="5000" w:type="pct"/>
            <w:gridSpan w:val="2"/>
            <w:tcBorders>
              <w:top w:val="single" w:sz="4" w:space="0" w:color="auto"/>
              <w:bottom w:val="dotted" w:sz="4" w:space="0" w:color="auto"/>
            </w:tcBorders>
            <w:noWrap/>
            <w:vAlign w:val="center"/>
            <w:hideMark/>
          </w:tcPr>
          <w:p w14:paraId="452B519C" w14:textId="02A73735" w:rsidR="00784695" w:rsidRPr="00623211" w:rsidRDefault="00784695">
            <w:pPr>
              <w:spacing w:after="0" w:line="240" w:lineRule="auto"/>
              <w:jc w:val="center"/>
              <w:rPr>
                <w:rFonts w:eastAsia="Arial" w:cs="Segoe UI"/>
                <w:sz w:val="19"/>
                <w:szCs w:val="19"/>
              </w:rPr>
            </w:pPr>
            <w:r w:rsidRPr="00623211" w:rsidDel="00795BB5">
              <w:rPr>
                <w:rFonts w:eastAsia="Arial" w:cs="Arial"/>
                <w:color w:val="000000"/>
                <w:sz w:val="19"/>
                <w:szCs w:val="19"/>
              </w:rPr>
              <w:t>18</w:t>
            </w:r>
            <w:r w:rsidR="00920C58">
              <w:rPr>
                <w:rFonts w:eastAsia="Arial" w:cs="Arial"/>
                <w:color w:val="000000"/>
                <w:sz w:val="19"/>
                <w:szCs w:val="19"/>
              </w:rPr>
              <w:t xml:space="preserve"> to under 30</w:t>
            </w:r>
            <w:r w:rsidRPr="00623211">
              <w:rPr>
                <w:rFonts w:eastAsia="Arial" w:cs="Arial"/>
                <w:color w:val="000000"/>
                <w:sz w:val="19"/>
                <w:szCs w:val="19"/>
              </w:rPr>
              <w:t xml:space="preserve"> years</w:t>
            </w:r>
          </w:p>
        </w:tc>
      </w:tr>
      <w:tr w:rsidR="00E12330" w:rsidRPr="00623211" w14:paraId="56FF8677" w14:textId="77777777" w:rsidTr="00733CC0">
        <w:trPr>
          <w:trHeight w:val="337"/>
        </w:trPr>
        <w:tc>
          <w:tcPr>
            <w:tcW w:w="5000" w:type="pct"/>
            <w:gridSpan w:val="2"/>
            <w:tcBorders>
              <w:top w:val="dotted" w:sz="4" w:space="0" w:color="auto"/>
              <w:bottom w:val="dotted" w:sz="4" w:space="0" w:color="auto"/>
            </w:tcBorders>
            <w:noWrap/>
            <w:vAlign w:val="center"/>
          </w:tcPr>
          <w:p w14:paraId="5E936110" w14:textId="6C44A8D8" w:rsidR="00784695" w:rsidRPr="00623211" w:rsidRDefault="00795BB5">
            <w:pPr>
              <w:spacing w:after="0" w:line="240" w:lineRule="auto"/>
              <w:jc w:val="center"/>
              <w:rPr>
                <w:rFonts w:eastAsia="Times New Roman" w:cs="Calibri"/>
                <w:color w:val="000000"/>
                <w:sz w:val="19"/>
                <w:szCs w:val="19"/>
              </w:rPr>
            </w:pPr>
            <w:r>
              <w:rPr>
                <w:rFonts w:eastAsia="Times New Roman" w:cs="Calibri"/>
                <w:color w:val="000000"/>
                <w:sz w:val="19"/>
                <w:szCs w:val="19"/>
              </w:rPr>
              <w:t>30</w:t>
            </w:r>
            <w:r w:rsidR="0001241B">
              <w:rPr>
                <w:rFonts w:eastAsia="Times New Roman" w:cs="Calibri"/>
                <w:color w:val="000000"/>
                <w:sz w:val="19"/>
                <w:szCs w:val="19"/>
              </w:rPr>
              <w:t xml:space="preserve"> to under 50</w:t>
            </w:r>
            <w:r w:rsidR="00784695" w:rsidRPr="00623211">
              <w:rPr>
                <w:rFonts w:eastAsia="Times New Roman" w:cs="Calibri"/>
                <w:color w:val="000000"/>
                <w:sz w:val="19"/>
                <w:szCs w:val="19"/>
              </w:rPr>
              <w:t xml:space="preserve"> years</w:t>
            </w:r>
          </w:p>
        </w:tc>
      </w:tr>
      <w:tr w:rsidR="00E12330" w:rsidRPr="00623211" w14:paraId="643F2D6C" w14:textId="77777777" w:rsidTr="00733CC0">
        <w:trPr>
          <w:trHeight w:val="192"/>
        </w:trPr>
        <w:tc>
          <w:tcPr>
            <w:tcW w:w="5000" w:type="pct"/>
            <w:gridSpan w:val="2"/>
            <w:tcBorders>
              <w:top w:val="dotted" w:sz="4" w:space="0" w:color="auto"/>
              <w:bottom w:val="single" w:sz="4" w:space="0" w:color="auto"/>
            </w:tcBorders>
            <w:noWrap/>
            <w:vAlign w:val="center"/>
          </w:tcPr>
          <w:p w14:paraId="7515E6AB" w14:textId="041F67AF" w:rsidR="00784695" w:rsidRPr="00623211" w:rsidRDefault="00B8745A">
            <w:pPr>
              <w:spacing w:after="0" w:line="240" w:lineRule="auto"/>
              <w:jc w:val="center"/>
              <w:rPr>
                <w:rFonts w:eastAsia="Arial" w:cs="Arial"/>
                <w:color w:val="000000"/>
                <w:sz w:val="19"/>
                <w:szCs w:val="19"/>
              </w:rPr>
            </w:pPr>
            <w:r>
              <w:rPr>
                <w:rFonts w:eastAsia="Arial" w:cs="Arial"/>
                <w:color w:val="000000"/>
                <w:sz w:val="19"/>
                <w:szCs w:val="19"/>
              </w:rPr>
              <w:t>50</w:t>
            </w:r>
            <w:r w:rsidR="0001241B">
              <w:rPr>
                <w:rFonts w:eastAsia="Arial" w:cs="Arial"/>
                <w:color w:val="000000"/>
                <w:sz w:val="19"/>
                <w:szCs w:val="19"/>
              </w:rPr>
              <w:t xml:space="preserve"> to under 65</w:t>
            </w:r>
            <w:r w:rsidR="00784695" w:rsidRPr="00623211">
              <w:rPr>
                <w:rFonts w:eastAsia="Arial" w:cs="Arial"/>
                <w:color w:val="000000"/>
                <w:sz w:val="19"/>
                <w:szCs w:val="19"/>
              </w:rPr>
              <w:t xml:space="preserve"> years</w:t>
            </w:r>
          </w:p>
        </w:tc>
      </w:tr>
      <w:tr w:rsidR="00E12330" w:rsidRPr="00623211" w14:paraId="00B5A2AF" w14:textId="77777777" w:rsidTr="000135E0">
        <w:trPr>
          <w:trHeight w:val="310"/>
        </w:trPr>
        <w:tc>
          <w:tcPr>
            <w:tcW w:w="5000" w:type="pct"/>
            <w:gridSpan w:val="2"/>
            <w:tcBorders>
              <w:top w:val="single" w:sz="4" w:space="0" w:color="auto"/>
            </w:tcBorders>
            <w:noWrap/>
            <w:vAlign w:val="center"/>
          </w:tcPr>
          <w:p w14:paraId="34461C3A" w14:textId="0B23DC80" w:rsidR="00784695" w:rsidRPr="00623211" w:rsidRDefault="00784695">
            <w:pPr>
              <w:spacing w:after="0" w:line="240" w:lineRule="auto"/>
              <w:jc w:val="center"/>
              <w:rPr>
                <w:rFonts w:eastAsia="Arial" w:cs="Arial"/>
                <w:color w:val="000000"/>
                <w:sz w:val="19"/>
                <w:szCs w:val="19"/>
              </w:rPr>
            </w:pPr>
            <w:r w:rsidRPr="00623211">
              <w:rPr>
                <w:rFonts w:eastAsia="Arial" w:cs="Arial"/>
                <w:color w:val="000000"/>
                <w:sz w:val="19"/>
                <w:szCs w:val="19"/>
              </w:rPr>
              <w:t>65</w:t>
            </w:r>
            <w:r w:rsidR="0001241B">
              <w:rPr>
                <w:rFonts w:eastAsia="Arial" w:cs="Arial"/>
                <w:color w:val="000000"/>
                <w:sz w:val="19"/>
                <w:szCs w:val="19"/>
              </w:rPr>
              <w:t xml:space="preserve"> to under 75</w:t>
            </w:r>
            <w:r w:rsidRPr="00623211">
              <w:rPr>
                <w:rFonts w:eastAsia="Arial" w:cs="Arial"/>
                <w:color w:val="000000"/>
                <w:sz w:val="19"/>
                <w:szCs w:val="19"/>
              </w:rPr>
              <w:t xml:space="preserve"> years</w:t>
            </w:r>
          </w:p>
        </w:tc>
      </w:tr>
      <w:tr w:rsidR="00E12330" w:rsidRPr="00623211" w14:paraId="042E4ADF" w14:textId="77777777" w:rsidTr="005A48C4">
        <w:trPr>
          <w:trHeight w:val="310"/>
        </w:trPr>
        <w:tc>
          <w:tcPr>
            <w:tcW w:w="5000" w:type="pct"/>
            <w:gridSpan w:val="2"/>
            <w:tcBorders>
              <w:bottom w:val="single" w:sz="4" w:space="0" w:color="auto"/>
            </w:tcBorders>
            <w:noWrap/>
            <w:vAlign w:val="center"/>
          </w:tcPr>
          <w:p w14:paraId="431E8056" w14:textId="080DC6C7" w:rsidR="00784695" w:rsidRPr="00623211" w:rsidRDefault="00784695">
            <w:pPr>
              <w:spacing w:after="0" w:line="240" w:lineRule="auto"/>
              <w:jc w:val="center"/>
              <w:rPr>
                <w:rFonts w:eastAsia="Arial" w:cs="Arial"/>
                <w:color w:val="000000"/>
                <w:sz w:val="19"/>
                <w:szCs w:val="19"/>
              </w:rPr>
            </w:pPr>
            <w:r w:rsidRPr="00623211">
              <w:rPr>
                <w:rFonts w:eastAsia="Arial" w:cs="Arial"/>
                <w:color w:val="000000"/>
                <w:sz w:val="19"/>
                <w:szCs w:val="19"/>
              </w:rPr>
              <w:t>75 years</w:t>
            </w:r>
            <w:r w:rsidR="005A48C4">
              <w:rPr>
                <w:rFonts w:eastAsia="Arial" w:cs="Arial"/>
                <w:color w:val="000000"/>
                <w:sz w:val="19"/>
                <w:szCs w:val="19"/>
              </w:rPr>
              <w:t xml:space="preserve"> and over</w:t>
            </w:r>
          </w:p>
        </w:tc>
      </w:tr>
    </w:tbl>
    <w:p w14:paraId="12FAC45A" w14:textId="3733D1B5" w:rsidR="00D5267C" w:rsidRPr="002778C6" w:rsidRDefault="00D36A51" w:rsidP="00DB2727">
      <w:r>
        <w:t xml:space="preserve">The </w:t>
      </w:r>
      <w:r w:rsidR="007B7873">
        <w:t>additional</w:t>
      </w:r>
      <w:r>
        <w:t xml:space="preserve"> age groups will be </w:t>
      </w:r>
      <w:r w:rsidR="007B7873">
        <w:t>added</w:t>
      </w:r>
      <w:r>
        <w:t xml:space="preserve"> for future NRV updates. </w:t>
      </w:r>
      <w:r w:rsidR="00863F78">
        <w:t>For nutrients w</w:t>
      </w:r>
      <w:r>
        <w:t xml:space="preserve">here </w:t>
      </w:r>
      <w:r w:rsidR="00863F78">
        <w:t xml:space="preserve">not all </w:t>
      </w:r>
      <w:r w:rsidR="00F90ADD">
        <w:t>values are being updated (i.e. if only the UL is updated)</w:t>
      </w:r>
      <w:r w:rsidR="003F411F">
        <w:t xml:space="preserve">, consideration will be given to whether the age groups for the values not being updated </w:t>
      </w:r>
      <w:r w:rsidR="00F607BD">
        <w:t xml:space="preserve">can be converted to the </w:t>
      </w:r>
      <w:r w:rsidR="007B7873">
        <w:t>additional</w:t>
      </w:r>
      <w:r w:rsidR="00F607BD">
        <w:t xml:space="preserve"> age groupings without affecting the validity of the values</w:t>
      </w:r>
      <w:r w:rsidR="000241E4">
        <w:t>.</w:t>
      </w:r>
    </w:p>
    <w:p w14:paraId="6DE89AAF" w14:textId="4713C7F1" w:rsidR="00DB2727" w:rsidRPr="000A7C32" w:rsidRDefault="00DB2727" w:rsidP="00561D83">
      <w:pPr>
        <w:pStyle w:val="Heading4-Appendix"/>
      </w:pPr>
      <w:bookmarkStart w:id="290" w:name="_Toc207801125"/>
      <w:bookmarkStart w:id="291" w:name="_Toc207824595"/>
      <w:r w:rsidRPr="000A7C32">
        <w:lastRenderedPageBreak/>
        <w:t>Median heights</w:t>
      </w:r>
      <w:bookmarkEnd w:id="290"/>
      <w:bookmarkEnd w:id="291"/>
    </w:p>
    <w:p w14:paraId="0F831AD9" w14:textId="03C18D5D" w:rsidR="00DB2727" w:rsidRDefault="00657448" w:rsidP="00DB2727">
      <w:r>
        <w:t xml:space="preserve">Australian median </w:t>
      </w:r>
      <w:r w:rsidR="00DB2727">
        <w:t xml:space="preserve">height data </w:t>
      </w:r>
      <w:r w:rsidR="00BB0CB5">
        <w:t>was provided by</w:t>
      </w:r>
      <w:r w:rsidR="00DB2727">
        <w:t xml:space="preserve"> the Australian Bureau of Statistics (ABS) from the Australian </w:t>
      </w:r>
      <w:r w:rsidR="008B1EB2">
        <w:t xml:space="preserve">National </w:t>
      </w:r>
      <w:r w:rsidR="00DB2727">
        <w:t xml:space="preserve">Health Survey </w:t>
      </w:r>
      <w:r w:rsidR="008B1EB2">
        <w:t>2022</w:t>
      </w:r>
      <w:r w:rsidR="00182B94">
        <w:t>-24</w:t>
      </w:r>
      <w:r w:rsidR="0098783B">
        <w:t xml:space="preserve"> </w:t>
      </w:r>
      <w:r w:rsidR="00EC4087">
        <w:fldChar w:fldCharType="begin"/>
      </w:r>
      <w:r w:rsidR="007607BA">
        <w:instrText xml:space="preserve"> ADDIN EN.CITE &lt;EndNote&gt;&lt;Cite&gt;&lt;Author&gt;ABS&lt;/Author&gt;&lt;Year&gt;2022&lt;/Year&gt;&lt;RecNum&gt;12&lt;/RecNum&gt;&lt;DisplayText&gt;(ABS 2022)&lt;/DisplayText&gt;&lt;record&gt;&lt;rec-number&gt;12&lt;/rec-number&gt;&lt;foreign-keys&gt;&lt;key app="EN" db-id="zxfaevvrgpsxebez5ec5vspfe2av5dtxt9xx" timestamp="1754957726"&gt;12&lt;/key&gt;&lt;/foreign-keys&gt;&lt;ref-type name="Electronic Book"&gt;44&lt;/ref-type&gt;&lt;contributors&gt;&lt;authors&gt;&lt;author&gt;ABS,&lt;/author&gt;&lt;/authors&gt;&lt;/contributors&gt;&lt;titles&gt;&lt;title&gt;National Health Survey.&lt;/title&gt;&lt;/titles&gt;&lt;dates&gt;&lt;year&gt;2022&lt;/year&gt;&lt;/dates&gt;&lt;pub-location&gt;Canberra&lt;/pub-location&gt;&lt;urls&gt;&lt;related-urls&gt;&lt;url&gt;date accessed 13 August 2025, https://www.abs.gov.au/statistics/health/health-conditions-and-risks/national-health-survey/latest-release&lt;/url&gt;&lt;/related-urls&gt;&lt;/urls&gt;&lt;/record&gt;&lt;/Cite&gt;&lt;/EndNote&gt;</w:instrText>
      </w:r>
      <w:r w:rsidR="00EC4087">
        <w:fldChar w:fldCharType="separate"/>
      </w:r>
      <w:r w:rsidR="007607BA">
        <w:rPr>
          <w:noProof/>
        </w:rPr>
        <w:t>(ABS 2022)</w:t>
      </w:r>
      <w:r w:rsidR="00EC4087">
        <w:fldChar w:fldCharType="end"/>
      </w:r>
      <w:r w:rsidR="00B27B5E">
        <w:t>. This was compared to</w:t>
      </w:r>
      <w:r w:rsidR="003C69A3">
        <w:t xml:space="preserve"> </w:t>
      </w:r>
      <w:r w:rsidR="00F93D21">
        <w:t xml:space="preserve">New Zealand data from the </w:t>
      </w:r>
      <w:r>
        <w:t>2018-20</w:t>
      </w:r>
      <w:r w:rsidR="00DB2727">
        <w:t xml:space="preserve"> New Zealand Health Survey</w:t>
      </w:r>
      <w:r w:rsidR="00967A05">
        <w:t>s</w:t>
      </w:r>
      <w:r w:rsidR="0098783B">
        <w:t xml:space="preserve"> </w:t>
      </w:r>
      <w:r w:rsidR="00FE1B22">
        <w:fldChar w:fldCharType="begin"/>
      </w:r>
      <w:r w:rsidR="00DC7917">
        <w:instrText xml:space="preserve"> ADDIN EN.CITE &lt;EndNote&gt;&lt;Cite&gt;&lt;Author&gt;Ministry of Health&lt;/Author&gt;&lt;Year&gt;2019&lt;/Year&gt;&lt;RecNum&gt;39&lt;/RecNum&gt;&lt;DisplayText&gt;(Ministry of Health 2019, 2022)&lt;/DisplayText&gt;&lt;record&gt;&lt;rec-number&gt;39&lt;/rec-number&gt;&lt;foreign-keys&gt;&lt;key app="EN" db-id="zxfaevvrgpsxebez5ec5vspfe2av5dtxt9xx" timestamp="1754957726"&gt;39&lt;/key&gt;&lt;/foreign-keys&gt;&lt;ref-type name="Dataset"&gt;59&lt;/ref-type&gt;&lt;contributors&gt;&lt;authors&gt;&lt;author&gt;Ministry of Health,&lt;/author&gt;&lt;/authors&gt;&lt;/contributors&gt;&lt;titles&gt;&lt;title&gt;Annual Data Explorer 2018/19: New Zealand Health Survey&lt;/title&gt;&lt;/titles&gt;&lt;dates&gt;&lt;year&gt;2019&lt;/year&gt;&lt;/dates&gt;&lt;urls&gt;&lt;related-urls&gt;&lt;url&gt;date accessed 13 August 2025 https://minhealthnz.shinyapps.io/nz-health-survey-2018-19-annual-data-explorer/)&lt;/url&gt;&lt;/related-urls&gt;&lt;/urls&gt;&lt;/record&gt;&lt;/Cite&gt;&lt;Cite&gt;&lt;Author&gt;Ministry of Health&lt;/Author&gt;&lt;Year&gt;2022&lt;/Year&gt;&lt;RecNum&gt;40&lt;/RecNum&gt;&lt;record&gt;&lt;rec-number&gt;40&lt;/rec-number&gt;&lt;foreign-keys&gt;&lt;key app="EN" db-id="zxfaevvrgpsxebez5ec5vspfe2av5dtxt9xx" timestamp="1754957726"&gt;40&lt;/key&gt;&lt;/foreign-keys&gt;&lt;ref-type name="Dataset"&gt;59&lt;/ref-type&gt;&lt;contributors&gt;&lt;authors&gt;&lt;author&gt;Ministry of Health,&lt;/author&gt;&lt;/authors&gt;&lt;/contributors&gt;&lt;titles&gt;&lt;title&gt;Annual Data Explorer 2019/20: New Zealand Health Survey&lt;/title&gt;&lt;/titles&gt;&lt;dates&gt;&lt;year&gt;2022&lt;/year&gt;&lt;/dates&gt;&lt;urls&gt;&lt;related-urls&gt;&lt;url&gt;date accessed 13 August 2025 https://minhealthnz.shinyapps.io/nz-health-survey-2019-20-annual-data-explorer/)&lt;/url&gt;&lt;/related-urls&gt;&lt;/urls&gt;&lt;/record&gt;&lt;/Cite&gt;&lt;/EndNote&gt;</w:instrText>
      </w:r>
      <w:r w:rsidR="00FE1B22">
        <w:fldChar w:fldCharType="separate"/>
      </w:r>
      <w:r w:rsidR="00705079">
        <w:rPr>
          <w:noProof/>
        </w:rPr>
        <w:t>(Ministry of Health 2019, 2022)</w:t>
      </w:r>
      <w:r w:rsidR="00FE1B22">
        <w:fldChar w:fldCharType="end"/>
      </w:r>
      <w:r w:rsidR="002670E9">
        <w:t>.</w:t>
      </w:r>
      <w:r w:rsidR="00DB2727">
        <w:t xml:space="preserve"> </w:t>
      </w:r>
    </w:p>
    <w:p w14:paraId="4B0EC1CA" w14:textId="7A95DBB5" w:rsidR="00CE61A6" w:rsidRPr="000A7C32" w:rsidRDefault="0005083E" w:rsidP="00561D83">
      <w:pPr>
        <w:pStyle w:val="Heading4-Appendix"/>
      </w:pPr>
      <w:bookmarkStart w:id="292" w:name="_Toc207801126"/>
      <w:bookmarkStart w:id="293" w:name="_Toc207824596"/>
      <w:r w:rsidRPr="000A7C32">
        <w:t>Reference bodyweights</w:t>
      </w:r>
      <w:bookmarkEnd w:id="292"/>
      <w:bookmarkEnd w:id="293"/>
      <w:r w:rsidRPr="000A7C32">
        <w:t xml:space="preserve"> </w:t>
      </w:r>
    </w:p>
    <w:p w14:paraId="49A23DAF" w14:textId="35984F12" w:rsidR="009070BE" w:rsidRDefault="00F70544" w:rsidP="00DB2727">
      <w:r>
        <w:t xml:space="preserve">For consistency across nutrients, </w:t>
      </w:r>
      <w:r w:rsidR="00E72AB6">
        <w:t>‘</w:t>
      </w:r>
      <w:r w:rsidR="009D1452">
        <w:t>ideal</w:t>
      </w:r>
      <w:r w:rsidR="00E72AB6">
        <w:t>’</w:t>
      </w:r>
      <w:r w:rsidR="009D1452">
        <w:t xml:space="preserve"> body weight </w:t>
      </w:r>
      <w:r w:rsidR="005E1875">
        <w:t>will</w:t>
      </w:r>
      <w:r w:rsidR="00346690">
        <w:t xml:space="preserve"> </w:t>
      </w:r>
      <w:r w:rsidR="009D1452">
        <w:t>be used</w:t>
      </w:r>
      <w:r w:rsidR="005F2EC7">
        <w:t xml:space="preserve"> </w:t>
      </w:r>
      <w:r w:rsidR="00A86C37">
        <w:t>to derive reference weights</w:t>
      </w:r>
      <w:r w:rsidR="005F2EC7">
        <w:t xml:space="preserve"> for updating NRVs</w:t>
      </w:r>
      <w:r w:rsidR="003A03DE">
        <w:t xml:space="preserve"> for all nutrients</w:t>
      </w:r>
      <w:r w:rsidR="00DE3BEB">
        <w:t>, unless</w:t>
      </w:r>
      <w:r w:rsidR="005C53FD">
        <w:t xml:space="preserve"> there is evidence that adipose tissue impacts requirements for</w:t>
      </w:r>
      <w:r w:rsidR="006F58D7">
        <w:t xml:space="preserve"> </w:t>
      </w:r>
      <w:r w:rsidR="00E036F8">
        <w:t xml:space="preserve">a nutrient (i.e. </w:t>
      </w:r>
      <w:r w:rsidR="00482A0F">
        <w:t>vitamin D</w:t>
      </w:r>
      <w:r w:rsidR="009A171D">
        <w:t xml:space="preserve"> or zinc).</w:t>
      </w:r>
      <w:r w:rsidR="005C53FD">
        <w:t xml:space="preserve"> </w:t>
      </w:r>
    </w:p>
    <w:p w14:paraId="4B4A6C24" w14:textId="5F4B5B85" w:rsidR="00AB1C53" w:rsidRDefault="00542CC3" w:rsidP="00DB2727">
      <w:r>
        <w:t>Reference body</w:t>
      </w:r>
      <w:r w:rsidR="009C690B">
        <w:t xml:space="preserve"> </w:t>
      </w:r>
      <w:r>
        <w:t xml:space="preserve">weights used </w:t>
      </w:r>
      <w:r w:rsidR="00D14EA7">
        <w:t xml:space="preserve">for </w:t>
      </w:r>
      <w:r w:rsidR="009C690B">
        <w:t xml:space="preserve">deriving </w:t>
      </w:r>
      <w:r w:rsidR="00A951C4">
        <w:t xml:space="preserve">and updating </w:t>
      </w:r>
      <w:r w:rsidR="00D14EA7">
        <w:t>NRVs</w:t>
      </w:r>
      <w:r w:rsidR="00A951C4">
        <w:t xml:space="preserve"> prior to 2025 are outlined in </w:t>
      </w:r>
      <w:r w:rsidR="00B56395" w:rsidRPr="00C238B9">
        <w:t>the</w:t>
      </w:r>
      <w:r w:rsidR="00F7572D">
        <w:t xml:space="preserve"> </w:t>
      </w:r>
      <w:hyperlink r:id="rId238" w:anchor="block-views-block-file-attachments-content-block-1" w:history="1">
        <w:r w:rsidR="00F7572D" w:rsidRPr="009676A9">
          <w:rPr>
            <w:rStyle w:val="Hyperlink"/>
          </w:rPr>
          <w:t>Nutrient Reference Values for Australia and New Zealand</w:t>
        </w:r>
      </w:hyperlink>
      <w:r w:rsidR="00F7572D">
        <w:t xml:space="preserve"> </w:t>
      </w:r>
      <w:r w:rsidR="00A75A1C">
        <w:fldChar w:fldCharType="begin"/>
      </w:r>
      <w:r w:rsidR="00272AC4">
        <w:instrText xml:space="preserve"> ADDIN EN.CITE &lt;EndNote&gt;&lt;Cite&gt;&lt;Author&gt;NHMRC&lt;/Author&gt;&lt;Year&gt;2006&lt;/Year&gt;&lt;RecNum&gt;47&lt;/RecNum&gt;&lt;DisplayText&gt;(NHMRC 2006)&lt;/DisplayText&gt;&lt;record&gt;&lt;rec-number&gt;47&lt;/rec-number&gt;&lt;foreign-keys&gt;&lt;key app="EN" db-id="zxfaevvrgpsxebez5ec5vspfe2av5dtxt9xx" timestamp="1754957726"&gt;47&lt;/key&gt;&lt;/foreign-keys&gt;&lt;ref-type name="Electronic Book"&gt;44&lt;/ref-type&gt;&lt;contributors&gt;&lt;authors&gt;&lt;author&gt;NHMRC, &lt;/author&gt;&lt;/authors&gt;&lt;/contributors&gt;&lt;titles&gt;&lt;title&gt;Nutrient Reference Values for Australia and New Zealand.&lt;/title&gt;&lt;/titles&gt;&lt;dates&gt;&lt;year&gt;2006&lt;/year&gt;&lt;/dates&gt;&lt;pub-location&gt;Canberra&lt;/pub-location&gt;&lt;urls&gt;&lt;related-urls&gt;&lt;url&gt;date accessed 18 August 2025, https://www.nhmrc.gov.au/about-us/publications/nutrient-reference-values-australia-and-new-zealand-including-recommended-dietary-intakes&lt;/url&gt;&lt;/related-urls&gt;&lt;/urls&gt;&lt;/record&gt;&lt;/Cite&gt;&lt;/EndNote&gt;</w:instrText>
      </w:r>
      <w:r w:rsidR="00A75A1C">
        <w:fldChar w:fldCharType="separate"/>
      </w:r>
      <w:r w:rsidR="00A75A1C">
        <w:rPr>
          <w:noProof/>
        </w:rPr>
        <w:t>(NHMRC 2006)</w:t>
      </w:r>
      <w:r w:rsidR="00A75A1C">
        <w:fldChar w:fldCharType="end"/>
      </w:r>
      <w:r w:rsidR="00F00086" w:rsidRPr="00B52373">
        <w:t>.</w:t>
      </w:r>
      <w:r w:rsidR="00F00086">
        <w:t xml:space="preserve"> From 2025 onwards</w:t>
      </w:r>
      <w:r w:rsidR="00A958DB">
        <w:t xml:space="preserve">, </w:t>
      </w:r>
      <w:r w:rsidR="00F15842">
        <w:t>c</w:t>
      </w:r>
      <w:r w:rsidR="001E1CA3">
        <w:t xml:space="preserve">alculated </w:t>
      </w:r>
      <w:r w:rsidR="00AA69F1">
        <w:t>‘</w:t>
      </w:r>
      <w:r w:rsidR="00C84FD6">
        <w:t>ideal</w:t>
      </w:r>
      <w:r w:rsidR="00AA69F1">
        <w:t>’</w:t>
      </w:r>
      <w:r w:rsidR="00DB2727" w:rsidDel="00C84FD6">
        <w:t xml:space="preserve"> </w:t>
      </w:r>
      <w:r w:rsidR="00DB2727">
        <w:t xml:space="preserve">weight </w:t>
      </w:r>
      <w:r w:rsidR="00F15842">
        <w:t>will be used</w:t>
      </w:r>
      <w:r w:rsidR="00A203A5">
        <w:t xml:space="preserve"> for the updated reference weights</w:t>
      </w:r>
      <w:r w:rsidR="00F15842">
        <w:t xml:space="preserve">. These weights </w:t>
      </w:r>
      <w:r w:rsidR="00387419">
        <w:t>have</w:t>
      </w:r>
      <w:r w:rsidR="00DB2727">
        <w:t xml:space="preserve"> been </w:t>
      </w:r>
      <w:r w:rsidR="00C84FD6">
        <w:t>provided by</w:t>
      </w:r>
      <w:r w:rsidR="00DB2727">
        <w:t xml:space="preserve"> the ABS</w:t>
      </w:r>
      <w:r w:rsidR="00D12B8D">
        <w:t xml:space="preserve"> (Attachment 1)</w:t>
      </w:r>
      <w:r w:rsidR="00DB2727">
        <w:t xml:space="preserve">. This data </w:t>
      </w:r>
      <w:r w:rsidR="00C65CE0">
        <w:t>was</w:t>
      </w:r>
      <w:r w:rsidR="00DB2727" w:rsidDel="002255CB">
        <w:t xml:space="preserve"> </w:t>
      </w:r>
      <w:r w:rsidR="002255CB">
        <w:t xml:space="preserve">calculated </w:t>
      </w:r>
      <w:r w:rsidR="00DB2727">
        <w:t xml:space="preserve">from the Australian </w:t>
      </w:r>
      <w:r w:rsidR="00C84FD6">
        <w:t xml:space="preserve">National </w:t>
      </w:r>
      <w:r w:rsidR="00DB2727">
        <w:t xml:space="preserve">Health Survey </w:t>
      </w:r>
      <w:r w:rsidR="002255CB">
        <w:t>2022</w:t>
      </w:r>
      <w:r w:rsidR="00182B94">
        <w:t>-24</w:t>
      </w:r>
      <w:r w:rsidR="002255CB">
        <w:t xml:space="preserve"> data</w:t>
      </w:r>
      <w:r w:rsidR="00B623B9">
        <w:t xml:space="preserve"> </w:t>
      </w:r>
      <w:r w:rsidR="00B623B9">
        <w:fldChar w:fldCharType="begin"/>
      </w:r>
      <w:r w:rsidR="007607BA">
        <w:instrText xml:space="preserve"> ADDIN EN.CITE &lt;EndNote&gt;&lt;Cite&gt;&lt;Author&gt;ABS&lt;/Author&gt;&lt;Year&gt;2022&lt;/Year&gt;&lt;RecNum&gt;12&lt;/RecNum&gt;&lt;DisplayText&gt;(ABS 2022)&lt;/DisplayText&gt;&lt;record&gt;&lt;rec-number&gt;12&lt;/rec-number&gt;&lt;foreign-keys&gt;&lt;key app="EN" db-id="zxfaevvrgpsxebez5ec5vspfe2av5dtxt9xx" timestamp="1754957726"&gt;12&lt;/key&gt;&lt;/foreign-keys&gt;&lt;ref-type name="Electronic Book"&gt;44&lt;/ref-type&gt;&lt;contributors&gt;&lt;authors&gt;&lt;author&gt;ABS,&lt;/author&gt;&lt;/authors&gt;&lt;/contributors&gt;&lt;titles&gt;&lt;title&gt;National Health Survey.&lt;/title&gt;&lt;/titles&gt;&lt;dates&gt;&lt;year&gt;2022&lt;/year&gt;&lt;/dates&gt;&lt;pub-location&gt;Canberra&lt;/pub-location&gt;&lt;urls&gt;&lt;related-urls&gt;&lt;url&gt;date accessed 13 August 2025, https://www.abs.gov.au/statistics/health/health-conditions-and-risks/national-health-survey/latest-release&lt;/url&gt;&lt;/related-urls&gt;&lt;/urls&gt;&lt;/record&gt;&lt;/Cite&gt;&lt;/EndNote&gt;</w:instrText>
      </w:r>
      <w:r w:rsidR="00B623B9">
        <w:fldChar w:fldCharType="separate"/>
      </w:r>
      <w:r w:rsidR="007607BA">
        <w:rPr>
          <w:noProof/>
        </w:rPr>
        <w:t>(ABS 2022)</w:t>
      </w:r>
      <w:r w:rsidR="00B623B9">
        <w:fldChar w:fldCharType="end"/>
      </w:r>
      <w:r w:rsidR="00B623B9">
        <w:t xml:space="preserve"> </w:t>
      </w:r>
      <w:r w:rsidR="00F80934">
        <w:t>using median heights from the 2022</w:t>
      </w:r>
      <w:r w:rsidR="008737D6">
        <w:t>-24</w:t>
      </w:r>
      <w:r w:rsidR="00F80934">
        <w:t xml:space="preserve"> National Health Survey </w:t>
      </w:r>
      <w:r w:rsidR="002C5D9E">
        <w:t xml:space="preserve">and </w:t>
      </w:r>
      <w:r w:rsidR="008259CB">
        <w:t>‘</w:t>
      </w:r>
      <w:r w:rsidR="002C5D9E">
        <w:t>ideal</w:t>
      </w:r>
      <w:r w:rsidR="008259CB">
        <w:t>’</w:t>
      </w:r>
      <w:r w:rsidR="002C5D9E">
        <w:t xml:space="preserve"> BMI</w:t>
      </w:r>
      <w:r w:rsidR="00E72C8D">
        <w:t xml:space="preserve">. </w:t>
      </w:r>
      <w:r w:rsidR="000A52A7">
        <w:t>‘</w:t>
      </w:r>
      <w:r w:rsidR="008259CB">
        <w:t>Ideal</w:t>
      </w:r>
      <w:r w:rsidR="000A52A7">
        <w:t>’</w:t>
      </w:r>
      <w:r w:rsidR="008259CB">
        <w:t xml:space="preserve"> BMI was</w:t>
      </w:r>
      <w:r w:rsidR="0018457E">
        <w:t xml:space="preserve"> calculated as follows: </w:t>
      </w:r>
      <w:r w:rsidR="00911366">
        <w:t>f</w:t>
      </w:r>
      <w:r w:rsidR="00911366" w:rsidRPr="00911366">
        <w:t xml:space="preserve">or adults, take the </w:t>
      </w:r>
      <w:r w:rsidR="00B83079" w:rsidRPr="00911366">
        <w:t>midpoint</w:t>
      </w:r>
      <w:r w:rsidR="00911366" w:rsidRPr="00911366">
        <w:t xml:space="preserve"> of the normal BMI range, this gives a BMI of 21.75. For children take the </w:t>
      </w:r>
      <w:r w:rsidR="00B83079" w:rsidRPr="00911366">
        <w:t>midpoint</w:t>
      </w:r>
      <w:r w:rsidR="00911366" w:rsidRPr="00911366">
        <w:t xml:space="preserve"> of the normal BMI range for each half-year age group (by sex where appropriate) (using whole years as boundaries) and average these</w:t>
      </w:r>
      <w:r w:rsidR="004A3B3C">
        <w:t xml:space="preserve"> </w:t>
      </w:r>
      <w:r w:rsidR="000E1CEB">
        <w:fldChar w:fldCharType="begin"/>
      </w:r>
      <w:r w:rsidR="007F4D7B">
        <w:instrText xml:space="preserve"> ADDIN EN.CITE &lt;EndNote&gt;&lt;Cite&gt;&lt;Author&gt;Cole&lt;/Author&gt;&lt;Year&gt;2000&lt;/Year&gt;&lt;RecNum&gt;18&lt;/RecNum&gt;&lt;DisplayText&gt;(Cole et al. 2000; Cole et al. 2007)&lt;/DisplayText&gt;&lt;record&gt;&lt;rec-number&gt;18&lt;/rec-number&gt;&lt;foreign-keys&gt;&lt;key app="EN" db-id="zxfaevvrgpsxebez5ec5vspfe2av5dtxt9xx" timestamp="1754957726"&gt;18&lt;/key&gt;&lt;/foreign-keys&gt;&lt;ref-type name="Journal Article"&gt;17&lt;/ref-type&gt;&lt;contributors&gt;&lt;authors&gt;&lt;author&gt;Cole, Tim J&lt;/author&gt;&lt;author&gt;Bellizzi, Mary C&lt;/author&gt;&lt;author&gt;Flegal, Katherine M&lt;/author&gt;&lt;author&gt;Dietz, William H&lt;/author&gt;&lt;/authors&gt;&lt;/contributors&gt;&lt;titles&gt;&lt;title&gt;Establishing a standard definition for child overweight and obesity worldwide: international survey&lt;/title&gt;&lt;secondary-title&gt;Bmj&lt;/secondary-title&gt;&lt;/titles&gt;&lt;periodical&gt;&lt;full-title&gt;Bmj&lt;/full-title&gt;&lt;/periodical&gt;&lt;pages&gt;1240&lt;/pages&gt;&lt;volume&gt;320&lt;/volume&gt;&lt;number&gt;7244&lt;/number&gt;&lt;dates&gt;&lt;year&gt;2000&lt;/year&gt;&lt;/dates&gt;&lt;isbn&gt;0959-8138&lt;/isbn&gt;&lt;urls&gt;&lt;/urls&gt;&lt;electronic-resource-num&gt;https://doi.org/10.1136/bmj.320.7244.1240&lt;/electronic-resource-num&gt;&lt;/record&gt;&lt;/Cite&gt;&lt;Cite&gt;&lt;Author&gt;Cole&lt;/Author&gt;&lt;Year&gt;2007&lt;/Year&gt;&lt;RecNum&gt;117&lt;/RecNum&gt;&lt;record&gt;&lt;rec-number&gt;117&lt;/rec-number&gt;&lt;foreign-keys&gt;&lt;key app="EN" db-id="zxfaevvrgpsxebez5ec5vspfe2av5dtxt9xx" timestamp="1755483243"&gt;117&lt;/key&gt;&lt;/foreign-keys&gt;&lt;ref-type name="Journal Article"&gt;17&lt;/ref-type&gt;&lt;contributors&gt;&lt;authors&gt;&lt;author&gt;Cole, Tim J&lt;/author&gt;&lt;author&gt;Flegal, Katherine M&lt;/author&gt;&lt;author&gt;Nicholls, Dasha&lt;/author&gt;&lt;author&gt;Jackson, Alan A&lt;/author&gt;&lt;/authors&gt;&lt;/contributors&gt;&lt;titles&gt;&lt;title&gt;Body mass index cut offs to define thinness in children and adolescents: international survey&lt;/title&gt;&lt;secondary-title&gt;Bmj&lt;/secondary-title&gt;&lt;/titles&gt;&lt;periodical&gt;&lt;full-title&gt;Bmj&lt;/full-title&gt;&lt;/periodical&gt;&lt;pages&gt;194&lt;/pages&gt;&lt;volume&gt;335&lt;/volume&gt;&lt;number&gt;7612&lt;/number&gt;&lt;dates&gt;&lt;year&gt;2007&lt;/year&gt;&lt;/dates&gt;&lt;isbn&gt;0959-8138&lt;/isbn&gt;&lt;urls&gt;&lt;/urls&gt;&lt;electronic-resource-num&gt;10.1136/bmj.39238.399444.55&lt;/electronic-resource-num&gt;&lt;/record&gt;&lt;/Cite&gt;&lt;/EndNote&gt;</w:instrText>
      </w:r>
      <w:r w:rsidR="000E1CEB">
        <w:fldChar w:fldCharType="separate"/>
      </w:r>
      <w:r w:rsidR="000E1CEB">
        <w:rPr>
          <w:noProof/>
        </w:rPr>
        <w:t>(Cole et al. 2000; Cole et al. 2007)</w:t>
      </w:r>
      <w:r w:rsidR="000E1CEB">
        <w:fldChar w:fldCharType="end"/>
      </w:r>
      <w:r w:rsidR="00911366" w:rsidRPr="00911366">
        <w:t xml:space="preserve">. </w:t>
      </w:r>
      <w:r w:rsidR="0082126E">
        <w:t xml:space="preserve">No </w:t>
      </w:r>
      <w:r w:rsidR="006250E5">
        <w:t xml:space="preserve">adjustments were made for overweight and obesity. </w:t>
      </w:r>
      <w:r w:rsidR="00911366" w:rsidRPr="00911366">
        <w:t xml:space="preserve"> </w:t>
      </w:r>
      <w:r w:rsidR="002A6476">
        <w:t xml:space="preserve">If nutrients under review are highly metabolically active in adipose tissue further consideration should be given to the difference between calculated reference body weights and measured body weights. </w:t>
      </w:r>
    </w:p>
    <w:p w14:paraId="0D763BB4" w14:textId="15297BCA" w:rsidR="00DB2727" w:rsidRDefault="006B7BC7" w:rsidP="00DB2727">
      <w:r>
        <w:t>New</w:t>
      </w:r>
      <w:r w:rsidR="008E68DF">
        <w:t xml:space="preserve"> Zealand height and weight data </w:t>
      </w:r>
      <w:r w:rsidR="009C1176">
        <w:t xml:space="preserve">were </w:t>
      </w:r>
      <w:r w:rsidR="003A0D96">
        <w:t xml:space="preserve">provided by the </w:t>
      </w:r>
      <w:r w:rsidR="005A2DFE">
        <w:t>NZ</w:t>
      </w:r>
      <w:r w:rsidR="003B015F">
        <w:t xml:space="preserve"> </w:t>
      </w:r>
      <w:r w:rsidR="005A2DFE">
        <w:t>MoH</w:t>
      </w:r>
      <w:r w:rsidR="009C1176">
        <w:t xml:space="preserve">. Data from the </w:t>
      </w:r>
      <w:r w:rsidR="008E68DF">
        <w:t>2018-2020 Health Surveys were</w:t>
      </w:r>
      <w:r w:rsidR="009C1176">
        <w:t xml:space="preserve"> pooled to pro</w:t>
      </w:r>
      <w:r w:rsidR="005632CE">
        <w:t>duce more robust estimates</w:t>
      </w:r>
      <w:r w:rsidR="0005467F">
        <w:t xml:space="preserve">. </w:t>
      </w:r>
      <w:r w:rsidR="009A35DC">
        <w:t>‘</w:t>
      </w:r>
      <w:r w:rsidR="00BB0D12">
        <w:t>Ideal</w:t>
      </w:r>
      <w:r w:rsidR="009A35DC">
        <w:t>’</w:t>
      </w:r>
      <w:r w:rsidR="00BB0D12">
        <w:t xml:space="preserve"> weight was not calculated for the New Zealand data as height measurements </w:t>
      </w:r>
      <w:r w:rsidR="00E27BD5">
        <w:t>appeared</w:t>
      </w:r>
      <w:r w:rsidR="00BB0D12">
        <w:t xml:space="preserve"> very similar to </w:t>
      </w:r>
      <w:r w:rsidR="00E27BD5">
        <w:t xml:space="preserve">Australian height measurements. This was </w:t>
      </w:r>
      <w:r w:rsidR="00645E3A">
        <w:t xml:space="preserve">confirmed by checking with several groups </w:t>
      </w:r>
      <w:r w:rsidR="00F20C50">
        <w:t>using the equation</w:t>
      </w:r>
      <w:r w:rsidR="00901C3D">
        <w:t xml:space="preserve"> that the </w:t>
      </w:r>
      <w:r w:rsidR="001F21C0">
        <w:t>A</w:t>
      </w:r>
      <w:r w:rsidR="00901C3D">
        <w:t xml:space="preserve">BS used: </w:t>
      </w:r>
      <w:r w:rsidR="001F21C0" w:rsidRPr="001F21C0">
        <w:t>ideal weight kg = ideal BMI * height in metres squared, using sex/age specific ideal BMI from</w:t>
      </w:r>
      <w:r w:rsidR="001F21C0">
        <w:t xml:space="preserve"> ABS data</w:t>
      </w:r>
      <w:r w:rsidR="00B910CF">
        <w:t>.</w:t>
      </w:r>
      <w:r w:rsidR="00DB2727" w:rsidDel="00B910CF">
        <w:t xml:space="preserve"> </w:t>
      </w:r>
      <w:r w:rsidR="00DB2727" w:rsidRPr="00004B89">
        <w:t xml:space="preserve">This single data set will be applied to all NRV reviews. </w:t>
      </w:r>
    </w:p>
    <w:p w14:paraId="73D097E2" w14:textId="7CB2FACA" w:rsidR="005719C6" w:rsidRDefault="00BD3DDD" w:rsidP="002002B0">
      <w:r>
        <w:t xml:space="preserve">ABS will report </w:t>
      </w:r>
      <w:r w:rsidR="008B01E5">
        <w:t xml:space="preserve">nutrient intake data against </w:t>
      </w:r>
      <w:r w:rsidR="0017769D">
        <w:t>reporting</w:t>
      </w:r>
      <w:r w:rsidR="008B01E5">
        <w:t xml:space="preserve"> age groupings. For </w:t>
      </w:r>
      <w:r w:rsidR="00D621BF">
        <w:t xml:space="preserve">nutrients where age groupings have not been updated </w:t>
      </w:r>
      <w:r w:rsidR="00B93C41">
        <w:t xml:space="preserve">NRVs </w:t>
      </w:r>
      <w:r w:rsidR="00750D4B">
        <w:t>will</w:t>
      </w:r>
      <w:r w:rsidR="00B93C41">
        <w:t xml:space="preserve"> be imputed </w:t>
      </w:r>
      <w:r w:rsidR="00750D4B">
        <w:t xml:space="preserve">from existing age groupings </w:t>
      </w:r>
      <w:r w:rsidR="00B93C41">
        <w:t>with weighted means</w:t>
      </w:r>
      <w:r w:rsidR="00750D4B">
        <w:t>.</w:t>
      </w:r>
      <w:r w:rsidR="00B93C41">
        <w:t xml:space="preserve"> </w:t>
      </w:r>
    </w:p>
    <w:p w14:paraId="2B7964E1" w14:textId="497CA957" w:rsidR="00524F10" w:rsidRDefault="0039198F" w:rsidP="00ED1D47">
      <w:r>
        <w:t xml:space="preserve">As </w:t>
      </w:r>
      <w:r w:rsidR="00461107">
        <w:t xml:space="preserve">ABS </w:t>
      </w:r>
      <w:r w:rsidR="00804252">
        <w:t>does not</w:t>
      </w:r>
      <w:r w:rsidR="00582BF7">
        <w:t xml:space="preserve"> </w:t>
      </w:r>
      <w:r w:rsidR="00461107">
        <w:t xml:space="preserve">collect data for </w:t>
      </w:r>
      <w:r w:rsidR="006B7133">
        <w:t>infants</w:t>
      </w:r>
      <w:r w:rsidR="0057562F">
        <w:t xml:space="preserve"> </w:t>
      </w:r>
      <w:r w:rsidR="00804252">
        <w:t>under 2-years</w:t>
      </w:r>
      <w:r w:rsidR="00346140">
        <w:t xml:space="preserve"> of age</w:t>
      </w:r>
      <w:r>
        <w:t>,</w:t>
      </w:r>
      <w:r w:rsidR="001F36E3">
        <w:t xml:space="preserve"> f</w:t>
      </w:r>
      <w:r w:rsidR="00DA3720">
        <w:t xml:space="preserve">or </w:t>
      </w:r>
      <w:r w:rsidR="00461107">
        <w:t xml:space="preserve">the 0-6 month, 7-12 month and </w:t>
      </w:r>
      <w:r w:rsidR="000135E0">
        <w:t>12 to under 24</w:t>
      </w:r>
      <w:r w:rsidR="00461107">
        <w:t>-</w:t>
      </w:r>
      <w:r w:rsidR="00392F9D">
        <w:t xml:space="preserve"> </w:t>
      </w:r>
      <w:r w:rsidR="00472C50">
        <w:t xml:space="preserve">infant </w:t>
      </w:r>
      <w:r w:rsidR="00392F9D">
        <w:t>age groups</w:t>
      </w:r>
      <w:r w:rsidR="00E202D7">
        <w:t xml:space="preserve">, </w:t>
      </w:r>
      <w:r w:rsidR="00647B72">
        <w:t>reference</w:t>
      </w:r>
      <w:r w:rsidR="00E202D7">
        <w:t xml:space="preserve"> body weight was calculated </w:t>
      </w:r>
      <w:r w:rsidR="00622885">
        <w:t xml:space="preserve">using the </w:t>
      </w:r>
      <w:r w:rsidR="00AC6927">
        <w:t>WHO</w:t>
      </w:r>
      <w:r w:rsidR="00AC6927">
        <w:fldChar w:fldCharType="begin"/>
      </w:r>
      <w:r w:rsidR="00B0311B">
        <w:instrText xml:space="preserve"> ADDIN EN.CITE &lt;EndNote&gt;&lt;Cite Hidden="1"&gt;&lt;Author&gt;WHO&lt;/Author&gt;&lt;Year&gt;2006&lt;/Year&gt;&lt;RecNum&gt;118&lt;/RecNum&gt;&lt;record&gt;&lt;rec-number&gt;118&lt;/rec-number&gt;&lt;foreign-keys&gt;&lt;key app="EN" db-id="zxfaevvrgpsxebez5ec5vspfe2av5dtxt9xx" timestamp="1755741751"&gt;118&lt;/key&gt;&lt;/foreign-keys&gt;&lt;ref-type name="Web Page"&gt;12&lt;/ref-type&gt;&lt;contributors&gt;&lt;authors&gt;&lt;author&gt;WHO&lt;/author&gt;&lt;/authors&gt;&lt;/contributors&gt;&lt;titles&gt;&lt;title&gt;WHO child growth standards, weigh-for-age&lt;/title&gt;&lt;/titles&gt;&lt;dates&gt;&lt;year&gt;2006&lt;/year&gt;&lt;/dates&gt;&lt;urls&gt;&lt;related-urls&gt;&lt;url&gt;date accessed 16 July 2025 https://www.who.int/tools/child-growth-standards/standards/weight-for-age&lt;/url&gt;&lt;/related-urls&gt;&lt;/urls&gt;&lt;/record&gt;&lt;/Cite&gt;&lt;/EndNote&gt;</w:instrText>
      </w:r>
      <w:r w:rsidR="00AC6927">
        <w:fldChar w:fldCharType="separate"/>
      </w:r>
      <w:r w:rsidR="00AC6927">
        <w:fldChar w:fldCharType="end"/>
      </w:r>
      <w:r w:rsidR="00622885">
        <w:t xml:space="preserve"> Growth Standards</w:t>
      </w:r>
      <w:r w:rsidR="002C159A">
        <w:rPr>
          <w:noProof/>
        </w:rPr>
        <w:t xml:space="preserve"> </w:t>
      </w:r>
      <w:r w:rsidR="002C159A">
        <w:rPr>
          <w:noProof/>
        </w:rPr>
        <w:fldChar w:fldCharType="begin"/>
      </w:r>
      <w:r w:rsidR="002C159A">
        <w:rPr>
          <w:noProof/>
        </w:rPr>
        <w:instrText xml:space="preserve"> ADDIN EN.CITE &lt;EndNote&gt;&lt;Cite&gt;&lt;Author&gt;WHO Multicentre Growth Reference Study Group&lt;/Author&gt;&lt;Year&gt;2006&lt;/Year&gt;&lt;RecNum&gt;124&lt;/RecNum&gt;&lt;DisplayText&gt;(WHO Multicentre Growth Reference Study Group 2006)&lt;/DisplayText&gt;&lt;record&gt;&lt;rec-number&gt;124&lt;/rec-number&gt;&lt;foreign-keys&gt;&lt;key app="EN" db-id="zxfaevvrgpsxebez5ec5vspfe2av5dtxt9xx" timestamp="1756960432"&gt;124&lt;/key&gt;&lt;/foreign-keys&gt;&lt;ref-type name="Journal Article"&gt;17&lt;/ref-type&gt;&lt;contributors&gt;&lt;authors&gt;&lt;author&gt;WHO Multicentre Growth Reference Study Group,&lt;/author&gt;&lt;/authors&gt;&lt;/contributors&gt;&lt;titles&gt;&lt;title&gt;WHO Child Growth Standards based on length/height, weight and age&lt;/title&gt;&lt;secondary-title&gt;Acta paediatrica&lt;/secondary-title&gt;&lt;/titles&gt;&lt;periodical&gt;&lt;full-title&gt;Acta paediatrica&lt;/full-title&gt;&lt;/periodical&gt;&lt;pages&gt;76-85&lt;/pages&gt;&lt;volume&gt;95&lt;/volume&gt;&lt;dates&gt;&lt;year&gt;2006&lt;/year&gt;&lt;/dates&gt;&lt;isbn&gt;0803-5253&lt;/isbn&gt;&lt;urls&gt;&lt;/urls&gt;&lt;electronic-resource-num&gt;10.1111/j.1651-2227.2006.tb02378.x&lt;/electronic-resource-num&gt;&lt;/record&gt;&lt;/Cite&gt;&lt;/EndNote&gt;</w:instrText>
      </w:r>
      <w:r w:rsidR="002C159A">
        <w:rPr>
          <w:noProof/>
        </w:rPr>
        <w:fldChar w:fldCharType="separate"/>
      </w:r>
      <w:r w:rsidR="002C159A">
        <w:rPr>
          <w:noProof/>
        </w:rPr>
        <w:t>(WHO Multicentre Growth Reference Study Group 2006)</w:t>
      </w:r>
      <w:r w:rsidR="002C159A">
        <w:rPr>
          <w:noProof/>
        </w:rPr>
        <w:fldChar w:fldCharType="end"/>
      </w:r>
      <w:r w:rsidR="00F6182D">
        <w:t xml:space="preserve">. </w:t>
      </w:r>
      <w:r w:rsidR="00C176CE">
        <w:t xml:space="preserve">The following calculation process was used: </w:t>
      </w:r>
    </w:p>
    <w:p w14:paraId="64E34C94" w14:textId="4728D81F" w:rsidR="00570F8A" w:rsidRDefault="00AC6927" w:rsidP="00251BE4">
      <w:pPr>
        <w:pStyle w:val="ListNumber"/>
        <w:contextualSpacing w:val="0"/>
      </w:pPr>
      <w:r>
        <w:t>W</w:t>
      </w:r>
      <w:r w:rsidR="00CD2759" w:rsidRPr="00B357AC">
        <w:t xml:space="preserve">eight-for-age (percentiles) data </w:t>
      </w:r>
      <w:r>
        <w:t xml:space="preserve">was extracted </w:t>
      </w:r>
      <w:r w:rsidR="00CD2759" w:rsidRPr="00B357AC">
        <w:t>for boys and girls in each age group</w:t>
      </w:r>
      <w:r w:rsidR="00134F86" w:rsidRPr="00B357AC">
        <w:t xml:space="preserve">, </w:t>
      </w:r>
    </w:p>
    <w:p w14:paraId="1450E957" w14:textId="7E94F800" w:rsidR="00570F8A" w:rsidRDefault="00AC6927" w:rsidP="00251BE4">
      <w:pPr>
        <w:pStyle w:val="ListNumber"/>
        <w:contextualSpacing w:val="0"/>
      </w:pPr>
      <w:r>
        <w:t>M</w:t>
      </w:r>
      <w:r w:rsidR="00134F86" w:rsidRPr="00B357AC">
        <w:t>ean and median of weight values for each sex</w:t>
      </w:r>
      <w:r>
        <w:t xml:space="preserve"> was calculated</w:t>
      </w:r>
      <w:r w:rsidR="00134F86" w:rsidRPr="00B357AC">
        <w:t xml:space="preserve">, </w:t>
      </w:r>
    </w:p>
    <w:p w14:paraId="09C25A84" w14:textId="43FEFB98" w:rsidR="00570F8A" w:rsidRDefault="00AC6927" w:rsidP="00251BE4">
      <w:pPr>
        <w:pStyle w:val="ListNumber"/>
        <w:ind w:left="357" w:hanging="357"/>
        <w:contextualSpacing w:val="0"/>
      </w:pPr>
      <w:r>
        <w:t>V</w:t>
      </w:r>
      <w:r w:rsidR="00361297" w:rsidRPr="00B357AC">
        <w:t>alues calculated in step 2</w:t>
      </w:r>
      <w:r>
        <w:t xml:space="preserve"> were averaged</w:t>
      </w:r>
      <w:r w:rsidR="00C063ED" w:rsidRPr="00B357AC">
        <w:t xml:space="preserve">. </w:t>
      </w:r>
    </w:p>
    <w:p w14:paraId="03C7831C" w14:textId="0D064720" w:rsidR="00A61B17" w:rsidRPr="00B357AC" w:rsidRDefault="002002B0" w:rsidP="00251BE4">
      <w:pPr>
        <w:pStyle w:val="ListNumber"/>
        <w:numPr>
          <w:ilvl w:val="0"/>
          <w:numId w:val="0"/>
        </w:numPr>
      </w:pPr>
      <w:r>
        <w:t xml:space="preserve">Although </w:t>
      </w:r>
      <w:r w:rsidR="00A9545A">
        <w:t>t</w:t>
      </w:r>
      <w:r w:rsidR="00C063ED" w:rsidRPr="00B357AC">
        <w:t>h</w:t>
      </w:r>
      <w:r w:rsidR="00307713">
        <w:t>e resulting</w:t>
      </w:r>
      <w:r w:rsidR="00C063ED" w:rsidRPr="00B357AC">
        <w:t xml:space="preserve"> values </w:t>
      </w:r>
      <w:r w:rsidR="00C41171">
        <w:t xml:space="preserve">for infants </w:t>
      </w:r>
      <w:r w:rsidR="00A9545A">
        <w:t>are</w:t>
      </w:r>
      <w:r w:rsidR="00C063ED" w:rsidRPr="00B357AC">
        <w:t xml:space="preserve"> not calculated </w:t>
      </w:r>
      <w:r w:rsidR="00C41171">
        <w:t>from weight data collected from the Australian and New Zealand population</w:t>
      </w:r>
      <w:r w:rsidR="00050440">
        <w:t xml:space="preserve">, </w:t>
      </w:r>
      <w:r w:rsidR="00A61B17" w:rsidRPr="00B357AC">
        <w:t>this is the best available data for the purposes of NRV calculation</w:t>
      </w:r>
      <w:r w:rsidR="00251BE4">
        <w:t>.</w:t>
      </w:r>
    </w:p>
    <w:p w14:paraId="2EF05426" w14:textId="60C36528" w:rsidR="00F558D0" w:rsidRDefault="00F558D0" w:rsidP="00DB2727"/>
    <w:p w14:paraId="4BF8D866" w14:textId="77777777" w:rsidR="008737D6" w:rsidRDefault="008737D6">
      <w:r>
        <w:br w:type="page"/>
      </w:r>
    </w:p>
    <w:p w14:paraId="76A1798F" w14:textId="4E658FB5" w:rsidR="00AA3EED" w:rsidRPr="0079108F" w:rsidRDefault="005C14D6">
      <w:pPr>
        <w:rPr>
          <w:rFonts w:ascii="Gotham Medium" w:hAnsi="Gotham Medium"/>
        </w:rPr>
      </w:pPr>
      <w:r w:rsidRPr="0079108F">
        <w:rPr>
          <w:rFonts w:ascii="Gotham Medium" w:hAnsi="Gotham Medium"/>
        </w:rPr>
        <w:lastRenderedPageBreak/>
        <w:t>Table C.3.</w:t>
      </w:r>
      <w:r w:rsidR="006250E5">
        <w:rPr>
          <w:rFonts w:ascii="Gotham Medium" w:hAnsi="Gotham Medium"/>
        </w:rPr>
        <w:t>1</w:t>
      </w:r>
      <w:r w:rsidR="006250E5" w:rsidRPr="0079108F">
        <w:rPr>
          <w:rFonts w:ascii="Gotham Medium" w:hAnsi="Gotham Medium"/>
        </w:rPr>
        <w:t xml:space="preserve"> </w:t>
      </w:r>
      <w:r w:rsidR="0068517F">
        <w:rPr>
          <w:rFonts w:ascii="Gotham Medium" w:hAnsi="Gotham Medium"/>
        </w:rPr>
        <w:t>NRV r</w:t>
      </w:r>
      <w:r w:rsidRPr="0079108F">
        <w:rPr>
          <w:rFonts w:ascii="Gotham Medium" w:hAnsi="Gotham Medium"/>
        </w:rPr>
        <w:t>eference weight</w:t>
      </w:r>
      <w:r w:rsidR="008C1A62">
        <w:rPr>
          <w:rFonts w:ascii="Gotham Medium" w:hAnsi="Gotham Medium"/>
        </w:rPr>
        <w:t>s</w:t>
      </w:r>
      <w:r w:rsidR="0068517F">
        <w:rPr>
          <w:rFonts w:ascii="Gotham Medium" w:hAnsi="Gotham Medium"/>
        </w:rPr>
        <w:t xml:space="preserve"> and their derivation methods. </w:t>
      </w:r>
    </w:p>
    <w:p w14:paraId="2478348D" w14:textId="76A28652" w:rsidR="00C97A55" w:rsidRPr="0079108F" w:rsidRDefault="00C97A55">
      <w:pPr>
        <w:rPr>
          <w:rFonts w:ascii="Gotham Medium" w:hAnsi="Gotham Medium"/>
        </w:rPr>
      </w:pPr>
    </w:p>
    <w:tbl>
      <w:tblPr>
        <w:tblW w:w="9209" w:type="dxa"/>
        <w:tblLook w:val="0620" w:firstRow="1" w:lastRow="0" w:firstColumn="0" w:lastColumn="0" w:noHBand="1" w:noVBand="1"/>
      </w:tblPr>
      <w:tblGrid>
        <w:gridCol w:w="1555"/>
        <w:gridCol w:w="2126"/>
        <w:gridCol w:w="1134"/>
        <w:gridCol w:w="1134"/>
        <w:gridCol w:w="1276"/>
        <w:gridCol w:w="1984"/>
      </w:tblGrid>
      <w:tr w:rsidR="00383CA8" w:rsidRPr="009D02DF" w14:paraId="69ECEE99" w14:textId="77777777" w:rsidTr="008D6050">
        <w:trPr>
          <w:trHeight w:val="288"/>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575BC4D8" w14:textId="77777777" w:rsidR="009D02DF" w:rsidRPr="009D02DF" w:rsidRDefault="009D02DF" w:rsidP="009D02DF">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Population</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69B7153" w14:textId="77777777" w:rsidR="009D02DF" w:rsidRPr="009D02DF" w:rsidRDefault="009D02DF" w:rsidP="00596517">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Age Group</w:t>
            </w:r>
          </w:p>
        </w:tc>
        <w:tc>
          <w:tcPr>
            <w:tcW w:w="3544" w:type="dxa"/>
            <w:gridSpan w:val="3"/>
            <w:tcBorders>
              <w:top w:val="single" w:sz="4" w:space="0" w:color="auto"/>
              <w:left w:val="nil"/>
              <w:bottom w:val="single" w:sz="4" w:space="0" w:color="auto"/>
              <w:right w:val="single" w:sz="4" w:space="0" w:color="auto"/>
            </w:tcBorders>
            <w:vAlign w:val="center"/>
            <w:hideMark/>
          </w:tcPr>
          <w:p w14:paraId="44577BB5" w14:textId="77777777" w:rsidR="009D02DF" w:rsidRPr="009D02DF" w:rsidRDefault="009D02DF" w:rsidP="009D02DF">
            <w:pPr>
              <w:spacing w:before="0" w:after="0" w:line="240" w:lineRule="auto"/>
              <w:jc w:val="center"/>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Reference Weight (kg)</w:t>
            </w:r>
          </w:p>
        </w:tc>
        <w:tc>
          <w:tcPr>
            <w:tcW w:w="1984" w:type="dxa"/>
            <w:vMerge w:val="restart"/>
            <w:tcBorders>
              <w:top w:val="single" w:sz="4" w:space="0" w:color="auto"/>
              <w:left w:val="single" w:sz="4" w:space="0" w:color="auto"/>
              <w:bottom w:val="single" w:sz="4" w:space="0" w:color="auto"/>
              <w:right w:val="single" w:sz="4" w:space="0" w:color="auto"/>
            </w:tcBorders>
            <w:noWrap/>
            <w:vAlign w:val="center"/>
            <w:hideMark/>
          </w:tcPr>
          <w:p w14:paraId="6B31A0A6" w14:textId="77777777" w:rsidR="009D02DF" w:rsidRPr="009D02DF" w:rsidRDefault="009D02DF" w:rsidP="00596517">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Source</w:t>
            </w:r>
          </w:p>
        </w:tc>
      </w:tr>
      <w:tr w:rsidR="00383CA8" w:rsidRPr="009D02DF" w14:paraId="1E799F8B" w14:textId="77777777" w:rsidTr="008D6050">
        <w:trPr>
          <w:trHeight w:val="288"/>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418A4BCF" w14:textId="77777777" w:rsidR="009D02DF" w:rsidRPr="009D02DF" w:rsidRDefault="009D02DF" w:rsidP="009D02DF">
            <w:pPr>
              <w:spacing w:before="0" w:after="0" w:line="240" w:lineRule="auto"/>
              <w:rPr>
                <w:rFonts w:ascii="Aptos Narrow" w:eastAsia="Times New Roman" w:hAnsi="Aptos Narrow"/>
                <w:b/>
                <w:bCs/>
                <w:color w:val="000000"/>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18B1113" w14:textId="77777777" w:rsidR="009D02DF" w:rsidRPr="009D02DF" w:rsidRDefault="009D02DF" w:rsidP="009D02DF">
            <w:pPr>
              <w:spacing w:before="0" w:after="0" w:line="240" w:lineRule="auto"/>
              <w:rPr>
                <w:rFonts w:ascii="Aptos Narrow" w:eastAsia="Times New Roman" w:hAnsi="Aptos Narrow"/>
                <w:b/>
                <w:bCs/>
                <w:color w:val="000000"/>
                <w:sz w:val="22"/>
                <w:szCs w:val="22"/>
              </w:rPr>
            </w:pPr>
          </w:p>
        </w:tc>
        <w:tc>
          <w:tcPr>
            <w:tcW w:w="1134" w:type="dxa"/>
            <w:tcBorders>
              <w:top w:val="nil"/>
              <w:left w:val="nil"/>
              <w:bottom w:val="single" w:sz="4" w:space="0" w:color="auto"/>
              <w:right w:val="single" w:sz="4" w:space="0" w:color="auto"/>
            </w:tcBorders>
            <w:vAlign w:val="center"/>
            <w:hideMark/>
          </w:tcPr>
          <w:p w14:paraId="7F1AEDAD" w14:textId="77777777" w:rsidR="009D02DF" w:rsidRPr="009D02DF" w:rsidRDefault="009D02DF" w:rsidP="00596517">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Persons</w:t>
            </w:r>
          </w:p>
        </w:tc>
        <w:tc>
          <w:tcPr>
            <w:tcW w:w="1134" w:type="dxa"/>
            <w:tcBorders>
              <w:top w:val="nil"/>
              <w:left w:val="nil"/>
              <w:bottom w:val="single" w:sz="4" w:space="0" w:color="auto"/>
              <w:right w:val="single" w:sz="4" w:space="0" w:color="auto"/>
            </w:tcBorders>
            <w:vAlign w:val="center"/>
            <w:hideMark/>
          </w:tcPr>
          <w:p w14:paraId="471CF5B7" w14:textId="77777777" w:rsidR="009D02DF" w:rsidRPr="009D02DF" w:rsidRDefault="009D02DF" w:rsidP="00596517">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Females</w:t>
            </w:r>
          </w:p>
        </w:tc>
        <w:tc>
          <w:tcPr>
            <w:tcW w:w="1276" w:type="dxa"/>
            <w:tcBorders>
              <w:top w:val="nil"/>
              <w:left w:val="nil"/>
              <w:bottom w:val="single" w:sz="4" w:space="0" w:color="auto"/>
              <w:right w:val="single" w:sz="4" w:space="0" w:color="auto"/>
            </w:tcBorders>
            <w:vAlign w:val="center"/>
            <w:hideMark/>
          </w:tcPr>
          <w:p w14:paraId="3D0B4EAA" w14:textId="77777777" w:rsidR="009D02DF" w:rsidRPr="009D02DF" w:rsidRDefault="009D02DF" w:rsidP="00596517">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Males</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5D599C9" w14:textId="77777777" w:rsidR="009D02DF" w:rsidRPr="009D02DF" w:rsidRDefault="009D02DF" w:rsidP="009D02DF">
            <w:pPr>
              <w:spacing w:before="0" w:after="0" w:line="240" w:lineRule="auto"/>
              <w:rPr>
                <w:rFonts w:ascii="Aptos Narrow" w:eastAsia="Times New Roman" w:hAnsi="Aptos Narrow"/>
                <w:b/>
                <w:bCs/>
                <w:color w:val="000000"/>
                <w:sz w:val="22"/>
                <w:szCs w:val="22"/>
              </w:rPr>
            </w:pPr>
          </w:p>
        </w:tc>
      </w:tr>
      <w:tr w:rsidR="00383CA8" w:rsidRPr="009D02DF" w14:paraId="3437DE76" w14:textId="77777777" w:rsidTr="008D6050">
        <w:trPr>
          <w:trHeight w:val="476"/>
        </w:trPr>
        <w:tc>
          <w:tcPr>
            <w:tcW w:w="1555" w:type="dxa"/>
            <w:vMerge w:val="restart"/>
            <w:tcBorders>
              <w:top w:val="nil"/>
              <w:left w:val="single" w:sz="4" w:space="0" w:color="auto"/>
              <w:bottom w:val="single" w:sz="4" w:space="0" w:color="auto"/>
              <w:right w:val="single" w:sz="4" w:space="0" w:color="auto"/>
            </w:tcBorders>
            <w:vAlign w:val="center"/>
            <w:hideMark/>
          </w:tcPr>
          <w:p w14:paraId="3AEA6426" w14:textId="77777777" w:rsidR="009D02DF" w:rsidRPr="009D02DF" w:rsidRDefault="009D02DF" w:rsidP="009D02DF">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Infants</w:t>
            </w:r>
          </w:p>
        </w:tc>
        <w:tc>
          <w:tcPr>
            <w:tcW w:w="2126" w:type="dxa"/>
            <w:tcBorders>
              <w:top w:val="nil"/>
              <w:left w:val="nil"/>
              <w:bottom w:val="single" w:sz="4" w:space="0" w:color="auto"/>
              <w:right w:val="single" w:sz="4" w:space="0" w:color="auto"/>
            </w:tcBorders>
            <w:vAlign w:val="center"/>
            <w:hideMark/>
          </w:tcPr>
          <w:p w14:paraId="4D10D8AD" w14:textId="4C0A2FFE" w:rsidR="009D02DF" w:rsidRPr="009D02DF" w:rsidRDefault="009D02DF" w:rsidP="00596517">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0-6 months</w:t>
            </w:r>
          </w:p>
        </w:tc>
        <w:tc>
          <w:tcPr>
            <w:tcW w:w="1134" w:type="dxa"/>
            <w:tcBorders>
              <w:top w:val="nil"/>
              <w:left w:val="nil"/>
              <w:bottom w:val="single" w:sz="4" w:space="0" w:color="auto"/>
              <w:right w:val="single" w:sz="4" w:space="0" w:color="auto"/>
            </w:tcBorders>
            <w:vAlign w:val="center"/>
            <w:hideMark/>
          </w:tcPr>
          <w:p w14:paraId="1A553AA5" w14:textId="77777777"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6.1</w:t>
            </w:r>
          </w:p>
        </w:tc>
        <w:tc>
          <w:tcPr>
            <w:tcW w:w="1134" w:type="dxa"/>
            <w:tcBorders>
              <w:top w:val="nil"/>
              <w:left w:val="nil"/>
              <w:bottom w:val="single" w:sz="4" w:space="0" w:color="auto"/>
              <w:right w:val="single" w:sz="4" w:space="0" w:color="auto"/>
            </w:tcBorders>
            <w:vAlign w:val="center"/>
            <w:hideMark/>
          </w:tcPr>
          <w:p w14:paraId="52B77E98" w14:textId="77777777"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5.8</w:t>
            </w:r>
          </w:p>
        </w:tc>
        <w:tc>
          <w:tcPr>
            <w:tcW w:w="1276" w:type="dxa"/>
            <w:tcBorders>
              <w:top w:val="nil"/>
              <w:left w:val="nil"/>
              <w:bottom w:val="single" w:sz="4" w:space="0" w:color="auto"/>
              <w:right w:val="single" w:sz="4" w:space="0" w:color="auto"/>
            </w:tcBorders>
            <w:vAlign w:val="center"/>
            <w:hideMark/>
          </w:tcPr>
          <w:p w14:paraId="64805EF7" w14:textId="77777777"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6.4</w:t>
            </w:r>
          </w:p>
        </w:tc>
        <w:tc>
          <w:tcPr>
            <w:tcW w:w="1984" w:type="dxa"/>
            <w:vMerge w:val="restart"/>
            <w:tcBorders>
              <w:top w:val="nil"/>
              <w:left w:val="single" w:sz="4" w:space="0" w:color="auto"/>
              <w:right w:val="single" w:sz="4" w:space="0" w:color="auto"/>
            </w:tcBorders>
            <w:vAlign w:val="center"/>
            <w:hideMark/>
          </w:tcPr>
          <w:p w14:paraId="2BC80A17" w14:textId="77777777" w:rsidR="009D02DF" w:rsidRPr="009D02DF" w:rsidRDefault="009D02DF" w:rsidP="00596517">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Derived from WHO Child Growth Standards weight for age percentiles</w:t>
            </w:r>
          </w:p>
        </w:tc>
      </w:tr>
      <w:tr w:rsidR="00383CA8" w:rsidRPr="009D02DF" w14:paraId="6D2C4BBA" w14:textId="77777777" w:rsidTr="008D6050">
        <w:trPr>
          <w:trHeight w:val="576"/>
        </w:trPr>
        <w:tc>
          <w:tcPr>
            <w:tcW w:w="1555" w:type="dxa"/>
            <w:vMerge/>
            <w:tcBorders>
              <w:top w:val="nil"/>
              <w:left w:val="single" w:sz="4" w:space="0" w:color="auto"/>
              <w:bottom w:val="single" w:sz="4" w:space="0" w:color="auto"/>
              <w:right w:val="single" w:sz="4" w:space="0" w:color="auto"/>
            </w:tcBorders>
            <w:vAlign w:val="center"/>
            <w:hideMark/>
          </w:tcPr>
          <w:p w14:paraId="5E5E20FE" w14:textId="77777777" w:rsidR="009D02DF" w:rsidRPr="009D02DF" w:rsidRDefault="009D02DF" w:rsidP="009D02DF">
            <w:pPr>
              <w:spacing w:before="0" w:after="0" w:line="240" w:lineRule="auto"/>
              <w:rPr>
                <w:rFonts w:ascii="Aptos Narrow" w:eastAsia="Times New Roman" w:hAnsi="Aptos Narrow"/>
                <w:b/>
                <w:bCs/>
                <w:color w:val="000000"/>
                <w:sz w:val="22"/>
                <w:szCs w:val="22"/>
              </w:rPr>
            </w:pPr>
          </w:p>
        </w:tc>
        <w:tc>
          <w:tcPr>
            <w:tcW w:w="2126" w:type="dxa"/>
            <w:tcBorders>
              <w:top w:val="single" w:sz="4" w:space="0" w:color="auto"/>
              <w:left w:val="nil"/>
              <w:bottom w:val="single" w:sz="4" w:space="0" w:color="auto"/>
              <w:right w:val="single" w:sz="4" w:space="0" w:color="auto"/>
            </w:tcBorders>
            <w:vAlign w:val="center"/>
            <w:hideMark/>
          </w:tcPr>
          <w:p w14:paraId="5C249F17" w14:textId="212FD3E7" w:rsidR="009D02DF" w:rsidRPr="009D02DF" w:rsidRDefault="009D02DF" w:rsidP="00596517">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7-</w:t>
            </w:r>
            <w:r w:rsidR="00FE34E2">
              <w:rPr>
                <w:rFonts w:ascii="Aptos Narrow" w:eastAsia="Times New Roman" w:hAnsi="Aptos Narrow"/>
                <w:color w:val="000000"/>
                <w:sz w:val="22"/>
                <w:szCs w:val="22"/>
              </w:rPr>
              <w:t xml:space="preserve"> </w:t>
            </w:r>
            <w:r w:rsidRPr="009D02DF">
              <w:rPr>
                <w:rFonts w:ascii="Aptos Narrow" w:eastAsia="Times New Roman" w:hAnsi="Aptos Narrow"/>
                <w:color w:val="000000"/>
                <w:sz w:val="22"/>
                <w:szCs w:val="22"/>
              </w:rPr>
              <w:t>12 months</w:t>
            </w:r>
          </w:p>
        </w:tc>
        <w:tc>
          <w:tcPr>
            <w:tcW w:w="1134" w:type="dxa"/>
            <w:tcBorders>
              <w:top w:val="single" w:sz="4" w:space="0" w:color="auto"/>
              <w:left w:val="nil"/>
              <w:bottom w:val="single" w:sz="4" w:space="0" w:color="auto"/>
              <w:right w:val="single" w:sz="4" w:space="0" w:color="auto"/>
            </w:tcBorders>
            <w:vAlign w:val="center"/>
            <w:hideMark/>
          </w:tcPr>
          <w:p w14:paraId="03F82800" w14:textId="77777777"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8.7</w:t>
            </w:r>
          </w:p>
        </w:tc>
        <w:tc>
          <w:tcPr>
            <w:tcW w:w="1134" w:type="dxa"/>
            <w:tcBorders>
              <w:top w:val="single" w:sz="4" w:space="0" w:color="auto"/>
              <w:left w:val="nil"/>
              <w:bottom w:val="single" w:sz="4" w:space="0" w:color="auto"/>
              <w:right w:val="single" w:sz="4" w:space="0" w:color="auto"/>
            </w:tcBorders>
            <w:vAlign w:val="center"/>
            <w:hideMark/>
          </w:tcPr>
          <w:p w14:paraId="62233807" w14:textId="77777777"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8.3</w:t>
            </w:r>
          </w:p>
        </w:tc>
        <w:tc>
          <w:tcPr>
            <w:tcW w:w="1276" w:type="dxa"/>
            <w:tcBorders>
              <w:top w:val="single" w:sz="4" w:space="0" w:color="auto"/>
              <w:left w:val="nil"/>
              <w:bottom w:val="single" w:sz="4" w:space="0" w:color="auto"/>
              <w:right w:val="single" w:sz="4" w:space="0" w:color="auto"/>
            </w:tcBorders>
            <w:vAlign w:val="center"/>
            <w:hideMark/>
          </w:tcPr>
          <w:p w14:paraId="7C294EF0" w14:textId="69CBCDA5"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9</w:t>
            </w:r>
          </w:p>
        </w:tc>
        <w:tc>
          <w:tcPr>
            <w:tcW w:w="1984" w:type="dxa"/>
            <w:vMerge/>
            <w:tcBorders>
              <w:left w:val="single" w:sz="4" w:space="0" w:color="auto"/>
              <w:right w:val="single" w:sz="4" w:space="0" w:color="auto"/>
            </w:tcBorders>
            <w:vAlign w:val="center"/>
            <w:hideMark/>
          </w:tcPr>
          <w:p w14:paraId="57C64AB1" w14:textId="77777777" w:rsidR="009D02DF" w:rsidRPr="009D02DF" w:rsidRDefault="009D02DF" w:rsidP="009D02DF">
            <w:pPr>
              <w:spacing w:before="0" w:after="0" w:line="240" w:lineRule="auto"/>
              <w:rPr>
                <w:rFonts w:ascii="Aptos Narrow" w:eastAsia="Times New Roman" w:hAnsi="Aptos Narrow"/>
                <w:color w:val="000000"/>
                <w:sz w:val="22"/>
                <w:szCs w:val="22"/>
              </w:rPr>
            </w:pPr>
          </w:p>
        </w:tc>
      </w:tr>
      <w:tr w:rsidR="00113488" w:rsidRPr="009D02DF" w14:paraId="48DD4490" w14:textId="77777777" w:rsidTr="008D6050">
        <w:trPr>
          <w:trHeight w:val="288"/>
        </w:trPr>
        <w:tc>
          <w:tcPr>
            <w:tcW w:w="1555" w:type="dxa"/>
            <w:vMerge w:val="restart"/>
            <w:tcBorders>
              <w:top w:val="nil"/>
              <w:left w:val="single" w:sz="4" w:space="0" w:color="auto"/>
              <w:right w:val="single" w:sz="4" w:space="0" w:color="auto"/>
            </w:tcBorders>
            <w:vAlign w:val="center"/>
          </w:tcPr>
          <w:p w14:paraId="22BFCC4C" w14:textId="1EDCD15B" w:rsidR="00113488" w:rsidRPr="009D02DF" w:rsidRDefault="0040312C" w:rsidP="009D02DF">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Children &amp; Adolescents</w:t>
            </w:r>
          </w:p>
        </w:tc>
        <w:tc>
          <w:tcPr>
            <w:tcW w:w="2126" w:type="dxa"/>
            <w:tcBorders>
              <w:top w:val="single" w:sz="4" w:space="0" w:color="auto"/>
              <w:left w:val="nil"/>
              <w:bottom w:val="single" w:sz="4" w:space="0" w:color="auto"/>
              <w:right w:val="single" w:sz="4" w:space="0" w:color="auto"/>
            </w:tcBorders>
            <w:vAlign w:val="center"/>
          </w:tcPr>
          <w:p w14:paraId="330D4C90" w14:textId="460BC2E9" w:rsidR="00113488" w:rsidRPr="009D02DF" w:rsidRDefault="00875801" w:rsidP="00596517">
            <w:pPr>
              <w:spacing w:before="0" w:after="0" w:line="240" w:lineRule="auto"/>
              <w:rPr>
                <w:rFonts w:ascii="Aptos Narrow" w:eastAsia="Times New Roman" w:hAnsi="Aptos Narrow"/>
                <w:color w:val="000000"/>
                <w:sz w:val="22"/>
                <w:szCs w:val="22"/>
              </w:rPr>
            </w:pPr>
            <w:r>
              <w:rPr>
                <w:rFonts w:ascii="Aptos Narrow" w:eastAsia="Times New Roman" w:hAnsi="Aptos Narrow"/>
                <w:color w:val="000000"/>
                <w:sz w:val="22"/>
                <w:szCs w:val="22"/>
              </w:rPr>
              <w:t>1</w:t>
            </w:r>
            <w:r w:rsidR="0040312C">
              <w:rPr>
                <w:rFonts w:ascii="Aptos Narrow" w:eastAsia="Times New Roman" w:hAnsi="Aptos Narrow"/>
                <w:color w:val="000000"/>
                <w:sz w:val="22"/>
                <w:szCs w:val="22"/>
              </w:rPr>
              <w:t xml:space="preserve"> to under 4</w:t>
            </w:r>
            <w:r>
              <w:rPr>
                <w:rFonts w:ascii="Aptos Narrow" w:eastAsia="Times New Roman" w:hAnsi="Aptos Narrow"/>
                <w:color w:val="000000"/>
                <w:sz w:val="22"/>
                <w:szCs w:val="22"/>
              </w:rPr>
              <w:t xml:space="preserve"> years</w:t>
            </w:r>
          </w:p>
        </w:tc>
        <w:tc>
          <w:tcPr>
            <w:tcW w:w="1134" w:type="dxa"/>
            <w:tcBorders>
              <w:top w:val="single" w:sz="4" w:space="0" w:color="auto"/>
              <w:left w:val="nil"/>
              <w:bottom w:val="single" w:sz="4" w:space="0" w:color="auto"/>
              <w:right w:val="single" w:sz="4" w:space="0" w:color="auto"/>
            </w:tcBorders>
            <w:vAlign w:val="center"/>
          </w:tcPr>
          <w:p w14:paraId="203EF8B2" w14:textId="33E7F230" w:rsidR="00113488" w:rsidRPr="009D02DF" w:rsidRDefault="0040312C" w:rsidP="00596517">
            <w:pPr>
              <w:spacing w:before="0" w:after="0" w:line="240" w:lineRule="auto"/>
              <w:jc w:val="right"/>
              <w:rPr>
                <w:rFonts w:ascii="Aptos Narrow" w:eastAsia="Times New Roman" w:hAnsi="Aptos Narrow"/>
                <w:color w:val="000000"/>
                <w:sz w:val="22"/>
                <w:szCs w:val="22"/>
              </w:rPr>
            </w:pPr>
            <w:r>
              <w:rPr>
                <w:rFonts w:ascii="Aptos Narrow" w:eastAsia="Times New Roman" w:hAnsi="Aptos Narrow"/>
                <w:color w:val="000000"/>
                <w:sz w:val="22"/>
                <w:szCs w:val="22"/>
              </w:rPr>
              <w:t>13.0</w:t>
            </w:r>
          </w:p>
        </w:tc>
        <w:tc>
          <w:tcPr>
            <w:tcW w:w="1134" w:type="dxa"/>
            <w:tcBorders>
              <w:top w:val="single" w:sz="4" w:space="0" w:color="auto"/>
              <w:left w:val="nil"/>
              <w:bottom w:val="single" w:sz="4" w:space="0" w:color="auto"/>
              <w:right w:val="single" w:sz="4" w:space="0" w:color="auto"/>
            </w:tcBorders>
            <w:vAlign w:val="center"/>
          </w:tcPr>
          <w:p w14:paraId="2AD789F9" w14:textId="0D03BE28" w:rsidR="00113488" w:rsidRPr="009D02DF" w:rsidRDefault="0040312C" w:rsidP="00596517">
            <w:pPr>
              <w:spacing w:before="0" w:after="0" w:line="240" w:lineRule="auto"/>
              <w:jc w:val="right"/>
              <w:rPr>
                <w:rFonts w:ascii="Aptos Narrow" w:eastAsia="Times New Roman" w:hAnsi="Aptos Narrow"/>
                <w:color w:val="000000"/>
                <w:sz w:val="22"/>
                <w:szCs w:val="22"/>
              </w:rPr>
            </w:pPr>
            <w:r>
              <w:rPr>
                <w:rFonts w:ascii="Aptos Narrow" w:eastAsia="Times New Roman" w:hAnsi="Aptos Narrow"/>
                <w:color w:val="000000"/>
                <w:sz w:val="22"/>
                <w:szCs w:val="22"/>
              </w:rPr>
              <w:t>12.7</w:t>
            </w:r>
          </w:p>
        </w:tc>
        <w:tc>
          <w:tcPr>
            <w:tcW w:w="1276" w:type="dxa"/>
            <w:tcBorders>
              <w:top w:val="single" w:sz="4" w:space="0" w:color="auto"/>
              <w:left w:val="nil"/>
              <w:bottom w:val="single" w:sz="4" w:space="0" w:color="auto"/>
              <w:right w:val="single" w:sz="4" w:space="0" w:color="auto"/>
            </w:tcBorders>
            <w:vAlign w:val="center"/>
          </w:tcPr>
          <w:p w14:paraId="29D4EFF9" w14:textId="04567751" w:rsidR="00113488" w:rsidRPr="009D02DF" w:rsidRDefault="0040312C" w:rsidP="00596517">
            <w:pPr>
              <w:spacing w:before="0" w:after="0" w:line="240" w:lineRule="auto"/>
              <w:jc w:val="right"/>
              <w:rPr>
                <w:rFonts w:ascii="Aptos Narrow" w:eastAsia="Times New Roman" w:hAnsi="Aptos Narrow"/>
                <w:color w:val="000000"/>
                <w:sz w:val="22"/>
                <w:szCs w:val="22"/>
              </w:rPr>
            </w:pPr>
            <w:r>
              <w:rPr>
                <w:rFonts w:ascii="Aptos Narrow" w:eastAsia="Times New Roman" w:hAnsi="Aptos Narrow"/>
                <w:color w:val="000000"/>
                <w:sz w:val="22"/>
                <w:szCs w:val="22"/>
              </w:rPr>
              <w:t>13.2</w:t>
            </w:r>
          </w:p>
        </w:tc>
        <w:tc>
          <w:tcPr>
            <w:tcW w:w="1984" w:type="dxa"/>
            <w:vMerge/>
            <w:tcBorders>
              <w:left w:val="single" w:sz="4" w:space="0" w:color="auto"/>
              <w:bottom w:val="single" w:sz="4" w:space="0" w:color="000000"/>
              <w:right w:val="single" w:sz="4" w:space="0" w:color="auto"/>
            </w:tcBorders>
            <w:vAlign w:val="center"/>
          </w:tcPr>
          <w:p w14:paraId="6906E71D" w14:textId="77777777" w:rsidR="00113488" w:rsidRPr="009D02DF" w:rsidRDefault="00113488" w:rsidP="00596517">
            <w:pPr>
              <w:spacing w:before="0" w:after="0" w:line="240" w:lineRule="auto"/>
              <w:rPr>
                <w:rFonts w:ascii="Aptos Narrow" w:eastAsia="Times New Roman" w:hAnsi="Aptos Narrow"/>
                <w:color w:val="000000"/>
                <w:sz w:val="22"/>
                <w:szCs w:val="22"/>
              </w:rPr>
            </w:pPr>
          </w:p>
        </w:tc>
      </w:tr>
      <w:tr w:rsidR="00383CA8" w:rsidRPr="009D02DF" w14:paraId="0B0C4D07" w14:textId="77777777" w:rsidTr="008D6050">
        <w:trPr>
          <w:trHeight w:val="288"/>
        </w:trPr>
        <w:tc>
          <w:tcPr>
            <w:tcW w:w="1555" w:type="dxa"/>
            <w:vMerge/>
            <w:tcBorders>
              <w:left w:val="single" w:sz="4" w:space="0" w:color="auto"/>
              <w:right w:val="single" w:sz="4" w:space="0" w:color="auto"/>
            </w:tcBorders>
            <w:vAlign w:val="center"/>
            <w:hideMark/>
          </w:tcPr>
          <w:p w14:paraId="6DCF23A5" w14:textId="1988B570" w:rsidR="009D02DF" w:rsidRPr="009D02DF" w:rsidRDefault="009D02DF" w:rsidP="009D02DF">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3E9756B2" w14:textId="61134AD9" w:rsidR="009D02DF" w:rsidRPr="009D02DF" w:rsidRDefault="009D02DF" w:rsidP="00596517">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 xml:space="preserve">4 </w:t>
            </w:r>
            <w:r w:rsidR="0040312C">
              <w:rPr>
                <w:rFonts w:ascii="Aptos Narrow" w:eastAsia="Times New Roman" w:hAnsi="Aptos Narrow"/>
                <w:color w:val="000000"/>
                <w:sz w:val="22"/>
                <w:szCs w:val="22"/>
              </w:rPr>
              <w:t>to under 9</w:t>
            </w:r>
            <w:r w:rsidR="0040312C" w:rsidRPr="009D02DF">
              <w:rPr>
                <w:rFonts w:ascii="Aptos Narrow" w:eastAsia="Times New Roman" w:hAnsi="Aptos Narrow"/>
                <w:color w:val="000000"/>
                <w:sz w:val="22"/>
                <w:szCs w:val="22"/>
              </w:rPr>
              <w:t xml:space="preserve"> </w:t>
            </w:r>
            <w:r w:rsidRPr="009D02DF">
              <w:rPr>
                <w:rFonts w:ascii="Aptos Narrow" w:eastAsia="Times New Roman" w:hAnsi="Aptos Narrow"/>
                <w:color w:val="000000"/>
                <w:sz w:val="22"/>
                <w:szCs w:val="22"/>
              </w:rPr>
              <w:t>years</w:t>
            </w:r>
          </w:p>
        </w:tc>
        <w:tc>
          <w:tcPr>
            <w:tcW w:w="1134" w:type="dxa"/>
            <w:tcBorders>
              <w:top w:val="nil"/>
              <w:left w:val="nil"/>
              <w:bottom w:val="single" w:sz="4" w:space="0" w:color="auto"/>
              <w:right w:val="single" w:sz="4" w:space="0" w:color="auto"/>
            </w:tcBorders>
            <w:vAlign w:val="center"/>
            <w:hideMark/>
          </w:tcPr>
          <w:p w14:paraId="4EE5B7EA" w14:textId="184A37DF" w:rsidR="009D02DF" w:rsidRPr="009D02DF" w:rsidRDefault="0040312C" w:rsidP="00596517">
            <w:pPr>
              <w:spacing w:before="0" w:after="0" w:line="240" w:lineRule="auto"/>
              <w:jc w:val="right"/>
              <w:rPr>
                <w:rFonts w:ascii="Aptos Narrow" w:eastAsia="Times New Roman" w:hAnsi="Aptos Narrow"/>
                <w:color w:val="000000"/>
                <w:sz w:val="22"/>
                <w:szCs w:val="22"/>
              </w:rPr>
            </w:pPr>
            <w:r>
              <w:rPr>
                <w:rFonts w:ascii="Aptos Narrow" w:eastAsia="Times New Roman" w:hAnsi="Aptos Narrow"/>
                <w:color w:val="000000"/>
                <w:sz w:val="22"/>
                <w:szCs w:val="22"/>
              </w:rPr>
              <w:t>22.4</w:t>
            </w:r>
          </w:p>
        </w:tc>
        <w:tc>
          <w:tcPr>
            <w:tcW w:w="1134" w:type="dxa"/>
            <w:tcBorders>
              <w:top w:val="nil"/>
              <w:left w:val="nil"/>
              <w:bottom w:val="single" w:sz="4" w:space="0" w:color="auto"/>
              <w:right w:val="single" w:sz="4" w:space="0" w:color="auto"/>
            </w:tcBorders>
            <w:vAlign w:val="center"/>
            <w:hideMark/>
          </w:tcPr>
          <w:p w14:paraId="5DCD7043" w14:textId="01C31CCC" w:rsidR="009D02DF" w:rsidRPr="009D02DF" w:rsidRDefault="0040312C" w:rsidP="00596517">
            <w:pPr>
              <w:spacing w:before="0" w:after="0" w:line="240" w:lineRule="auto"/>
              <w:jc w:val="right"/>
              <w:rPr>
                <w:rFonts w:ascii="Aptos Narrow" w:eastAsia="Times New Roman" w:hAnsi="Aptos Narrow"/>
                <w:color w:val="000000"/>
                <w:sz w:val="22"/>
                <w:szCs w:val="22"/>
              </w:rPr>
            </w:pPr>
            <w:r>
              <w:rPr>
                <w:rFonts w:ascii="Aptos Narrow" w:eastAsia="Times New Roman" w:hAnsi="Aptos Narrow"/>
                <w:color w:val="000000"/>
                <w:sz w:val="22"/>
                <w:szCs w:val="22"/>
              </w:rPr>
              <w:t>22.3</w:t>
            </w:r>
          </w:p>
        </w:tc>
        <w:tc>
          <w:tcPr>
            <w:tcW w:w="1276" w:type="dxa"/>
            <w:tcBorders>
              <w:top w:val="nil"/>
              <w:left w:val="nil"/>
              <w:bottom w:val="single" w:sz="4" w:space="0" w:color="auto"/>
              <w:right w:val="single" w:sz="4" w:space="0" w:color="auto"/>
            </w:tcBorders>
            <w:vAlign w:val="center"/>
            <w:hideMark/>
          </w:tcPr>
          <w:p w14:paraId="2D589587" w14:textId="2C4F243F" w:rsidR="009D02DF" w:rsidRPr="009D02DF" w:rsidRDefault="0040312C" w:rsidP="00596517">
            <w:pPr>
              <w:spacing w:before="0" w:after="0" w:line="240" w:lineRule="auto"/>
              <w:jc w:val="right"/>
              <w:rPr>
                <w:rFonts w:ascii="Aptos Narrow" w:eastAsia="Times New Roman" w:hAnsi="Aptos Narrow"/>
                <w:color w:val="000000"/>
                <w:sz w:val="22"/>
                <w:szCs w:val="22"/>
              </w:rPr>
            </w:pPr>
            <w:r>
              <w:rPr>
                <w:rFonts w:ascii="Aptos Narrow" w:eastAsia="Times New Roman" w:hAnsi="Aptos Narrow"/>
                <w:color w:val="000000"/>
                <w:sz w:val="22"/>
                <w:szCs w:val="22"/>
              </w:rPr>
              <w:t>23.0</w:t>
            </w:r>
          </w:p>
        </w:tc>
        <w:tc>
          <w:tcPr>
            <w:tcW w:w="1984" w:type="dxa"/>
            <w:vMerge w:val="restart"/>
            <w:tcBorders>
              <w:top w:val="nil"/>
              <w:left w:val="single" w:sz="4" w:space="0" w:color="auto"/>
              <w:bottom w:val="single" w:sz="4" w:space="0" w:color="000000"/>
              <w:right w:val="single" w:sz="4" w:space="0" w:color="auto"/>
            </w:tcBorders>
            <w:vAlign w:val="center"/>
            <w:hideMark/>
          </w:tcPr>
          <w:p w14:paraId="3A6D380E" w14:textId="76B9CBD1" w:rsidR="009D02DF" w:rsidRPr="009D02DF" w:rsidRDefault="009D02DF" w:rsidP="00596517">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 xml:space="preserve">Australian Bureau of Statistics (ideal body </w:t>
            </w:r>
            <w:proofErr w:type="gramStart"/>
            <w:r w:rsidRPr="009D02DF">
              <w:rPr>
                <w:rFonts w:ascii="Aptos Narrow" w:eastAsia="Times New Roman" w:hAnsi="Aptos Narrow"/>
                <w:color w:val="000000"/>
                <w:sz w:val="22"/>
                <w:szCs w:val="22"/>
              </w:rPr>
              <w:t>weights)</w:t>
            </w:r>
            <w:r w:rsidR="00365D07">
              <w:rPr>
                <w:rFonts w:ascii="Aptos Narrow" w:eastAsia="Times New Roman" w:hAnsi="Aptos Narrow"/>
                <w:color w:val="000000"/>
                <w:sz w:val="22"/>
                <w:szCs w:val="22"/>
              </w:rPr>
              <w:t>*</w:t>
            </w:r>
            <w:proofErr w:type="gramEnd"/>
          </w:p>
        </w:tc>
      </w:tr>
      <w:tr w:rsidR="00383CA8" w:rsidRPr="009D02DF" w14:paraId="34E93710" w14:textId="77777777" w:rsidTr="008D6050">
        <w:trPr>
          <w:trHeight w:val="288"/>
        </w:trPr>
        <w:tc>
          <w:tcPr>
            <w:tcW w:w="1555" w:type="dxa"/>
            <w:vMerge/>
            <w:tcBorders>
              <w:left w:val="single" w:sz="4" w:space="0" w:color="auto"/>
              <w:right w:val="single" w:sz="4" w:space="0" w:color="auto"/>
            </w:tcBorders>
            <w:vAlign w:val="center"/>
            <w:hideMark/>
          </w:tcPr>
          <w:p w14:paraId="71F3B425" w14:textId="77777777" w:rsidR="009D02DF" w:rsidRPr="009D02DF" w:rsidRDefault="009D02DF" w:rsidP="009D02DF">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2D52EEE5" w14:textId="1515CFCC" w:rsidR="009D02DF" w:rsidRPr="009D02DF" w:rsidRDefault="0040312C" w:rsidP="00596517">
            <w:pPr>
              <w:spacing w:before="0" w:after="0" w:line="240" w:lineRule="auto"/>
              <w:rPr>
                <w:rFonts w:ascii="Aptos Narrow" w:eastAsia="Times New Roman" w:hAnsi="Aptos Narrow"/>
                <w:color w:val="000000"/>
                <w:sz w:val="22"/>
                <w:szCs w:val="22"/>
              </w:rPr>
            </w:pPr>
            <w:r>
              <w:rPr>
                <w:rFonts w:ascii="Aptos Narrow" w:eastAsia="Times New Roman" w:hAnsi="Aptos Narrow"/>
                <w:color w:val="000000"/>
                <w:sz w:val="22"/>
                <w:szCs w:val="22"/>
              </w:rPr>
              <w:t>9 to under 14</w:t>
            </w:r>
            <w:r w:rsidRPr="009D02DF">
              <w:rPr>
                <w:rFonts w:ascii="Aptos Narrow" w:eastAsia="Times New Roman" w:hAnsi="Aptos Narrow"/>
                <w:color w:val="000000"/>
                <w:sz w:val="22"/>
                <w:szCs w:val="22"/>
              </w:rPr>
              <w:t xml:space="preserve"> years</w:t>
            </w:r>
            <w:r w:rsidDel="00E93FCB">
              <w:rPr>
                <w:rFonts w:ascii="Aptos Narrow" w:eastAsia="Times New Roman" w:hAnsi="Aptos Narrow"/>
                <w:color w:val="000000"/>
                <w:sz w:val="22"/>
                <w:szCs w:val="22"/>
              </w:rPr>
              <w:t xml:space="preserve"> </w:t>
            </w:r>
          </w:p>
        </w:tc>
        <w:tc>
          <w:tcPr>
            <w:tcW w:w="1134" w:type="dxa"/>
            <w:tcBorders>
              <w:top w:val="nil"/>
              <w:left w:val="nil"/>
              <w:bottom w:val="single" w:sz="4" w:space="0" w:color="auto"/>
              <w:right w:val="single" w:sz="4" w:space="0" w:color="auto"/>
            </w:tcBorders>
            <w:vAlign w:val="center"/>
            <w:hideMark/>
          </w:tcPr>
          <w:p w14:paraId="61A39FFB" w14:textId="08ABED50" w:rsidR="009D02DF" w:rsidRPr="009D02DF" w:rsidRDefault="0040312C" w:rsidP="00596517">
            <w:pPr>
              <w:spacing w:before="0" w:after="0" w:line="240" w:lineRule="auto"/>
              <w:jc w:val="right"/>
              <w:rPr>
                <w:rFonts w:ascii="Aptos Narrow" w:eastAsia="Times New Roman" w:hAnsi="Aptos Narrow"/>
                <w:color w:val="000000"/>
                <w:sz w:val="22"/>
                <w:szCs w:val="22"/>
              </w:rPr>
            </w:pPr>
            <w:r>
              <w:rPr>
                <w:rFonts w:ascii="Aptos Narrow" w:eastAsia="Times New Roman" w:hAnsi="Aptos Narrow"/>
                <w:color w:val="000000"/>
                <w:sz w:val="22"/>
                <w:szCs w:val="22"/>
              </w:rPr>
              <w:t>40.7</w:t>
            </w:r>
          </w:p>
        </w:tc>
        <w:tc>
          <w:tcPr>
            <w:tcW w:w="1134" w:type="dxa"/>
            <w:tcBorders>
              <w:top w:val="nil"/>
              <w:left w:val="nil"/>
              <w:bottom w:val="single" w:sz="4" w:space="0" w:color="auto"/>
              <w:right w:val="single" w:sz="4" w:space="0" w:color="auto"/>
            </w:tcBorders>
            <w:vAlign w:val="center"/>
            <w:hideMark/>
          </w:tcPr>
          <w:p w14:paraId="5D3D4363" w14:textId="1B621CE4" w:rsidR="009D02DF" w:rsidRPr="009D02DF" w:rsidRDefault="0040312C" w:rsidP="00596517">
            <w:pPr>
              <w:spacing w:before="0" w:after="0" w:line="240" w:lineRule="auto"/>
              <w:jc w:val="right"/>
              <w:rPr>
                <w:rFonts w:ascii="Aptos Narrow" w:eastAsia="Times New Roman" w:hAnsi="Aptos Narrow"/>
                <w:color w:val="000000"/>
                <w:sz w:val="22"/>
                <w:szCs w:val="22"/>
              </w:rPr>
            </w:pPr>
            <w:r>
              <w:rPr>
                <w:rFonts w:ascii="Aptos Narrow" w:eastAsia="Times New Roman" w:hAnsi="Aptos Narrow"/>
                <w:color w:val="000000"/>
                <w:sz w:val="22"/>
                <w:szCs w:val="22"/>
              </w:rPr>
              <w:t>4</w:t>
            </w:r>
            <w:r w:rsidR="00FE34E2">
              <w:rPr>
                <w:rFonts w:ascii="Aptos Narrow" w:eastAsia="Times New Roman" w:hAnsi="Aptos Narrow"/>
                <w:color w:val="000000"/>
                <w:sz w:val="22"/>
                <w:szCs w:val="22"/>
              </w:rPr>
              <w:t>0.4</w:t>
            </w:r>
          </w:p>
        </w:tc>
        <w:tc>
          <w:tcPr>
            <w:tcW w:w="1276" w:type="dxa"/>
            <w:tcBorders>
              <w:top w:val="nil"/>
              <w:left w:val="nil"/>
              <w:bottom w:val="single" w:sz="4" w:space="0" w:color="auto"/>
              <w:right w:val="single" w:sz="4" w:space="0" w:color="auto"/>
            </w:tcBorders>
            <w:vAlign w:val="center"/>
            <w:hideMark/>
          </w:tcPr>
          <w:p w14:paraId="124F19B0" w14:textId="707031D6" w:rsidR="009D02DF" w:rsidRPr="009D02DF" w:rsidRDefault="00FE34E2" w:rsidP="00596517">
            <w:pPr>
              <w:spacing w:before="0" w:after="0" w:line="240" w:lineRule="auto"/>
              <w:jc w:val="right"/>
              <w:rPr>
                <w:rFonts w:ascii="Aptos Narrow" w:eastAsia="Times New Roman" w:hAnsi="Aptos Narrow"/>
                <w:color w:val="000000"/>
                <w:sz w:val="22"/>
                <w:szCs w:val="22"/>
              </w:rPr>
            </w:pPr>
            <w:r>
              <w:rPr>
                <w:rFonts w:ascii="Aptos Narrow" w:eastAsia="Times New Roman" w:hAnsi="Aptos Narrow"/>
                <w:color w:val="000000"/>
                <w:sz w:val="22"/>
                <w:szCs w:val="22"/>
              </w:rPr>
              <w:t>41.1</w:t>
            </w:r>
          </w:p>
        </w:tc>
        <w:tc>
          <w:tcPr>
            <w:tcW w:w="1984" w:type="dxa"/>
            <w:vMerge/>
            <w:tcBorders>
              <w:top w:val="nil"/>
              <w:left w:val="single" w:sz="4" w:space="0" w:color="auto"/>
              <w:bottom w:val="single" w:sz="4" w:space="0" w:color="000000"/>
              <w:right w:val="single" w:sz="4" w:space="0" w:color="auto"/>
            </w:tcBorders>
            <w:vAlign w:val="center"/>
            <w:hideMark/>
          </w:tcPr>
          <w:p w14:paraId="7F993DEA" w14:textId="77777777" w:rsidR="009D02DF" w:rsidRPr="009D02DF" w:rsidRDefault="009D02DF" w:rsidP="009D02DF">
            <w:pPr>
              <w:spacing w:before="0" w:after="0" w:line="240" w:lineRule="auto"/>
              <w:rPr>
                <w:rFonts w:ascii="Aptos Narrow" w:eastAsia="Times New Roman" w:hAnsi="Aptos Narrow"/>
                <w:color w:val="000000"/>
                <w:sz w:val="22"/>
                <w:szCs w:val="22"/>
              </w:rPr>
            </w:pPr>
          </w:p>
        </w:tc>
      </w:tr>
      <w:tr w:rsidR="00383CA8" w:rsidRPr="009D02DF" w14:paraId="071DB951" w14:textId="77777777" w:rsidTr="008D6050">
        <w:trPr>
          <w:trHeight w:val="288"/>
        </w:trPr>
        <w:tc>
          <w:tcPr>
            <w:tcW w:w="1555" w:type="dxa"/>
            <w:vMerge/>
            <w:tcBorders>
              <w:left w:val="single" w:sz="4" w:space="0" w:color="auto"/>
              <w:bottom w:val="single" w:sz="4" w:space="0" w:color="auto"/>
              <w:right w:val="single" w:sz="4" w:space="0" w:color="auto"/>
            </w:tcBorders>
            <w:vAlign w:val="center"/>
            <w:hideMark/>
          </w:tcPr>
          <w:p w14:paraId="71F240CB" w14:textId="77777777" w:rsidR="009D02DF" w:rsidRPr="009D02DF" w:rsidRDefault="009D02DF" w:rsidP="009D02DF">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75AC9FBB" w14:textId="7A53B002" w:rsidR="009D02DF" w:rsidRPr="009D02DF" w:rsidRDefault="0040312C" w:rsidP="00596517">
            <w:pPr>
              <w:spacing w:before="0" w:after="0" w:line="240" w:lineRule="auto"/>
              <w:rPr>
                <w:rFonts w:ascii="Aptos Narrow" w:eastAsia="Times New Roman" w:hAnsi="Aptos Narrow"/>
                <w:color w:val="000000"/>
                <w:sz w:val="22"/>
                <w:szCs w:val="22"/>
              </w:rPr>
            </w:pPr>
            <w:r>
              <w:rPr>
                <w:rFonts w:ascii="Aptos Narrow" w:eastAsia="Times New Roman" w:hAnsi="Aptos Narrow"/>
                <w:color w:val="000000"/>
                <w:sz w:val="22"/>
                <w:szCs w:val="22"/>
              </w:rPr>
              <w:t>14 to under 18</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7A78D007" w14:textId="061555D3" w:rsidR="009D02DF" w:rsidRPr="009D02DF" w:rsidRDefault="00711211" w:rsidP="00596517">
            <w:pPr>
              <w:spacing w:before="0" w:after="0" w:line="240" w:lineRule="auto"/>
              <w:jc w:val="right"/>
              <w:rPr>
                <w:rFonts w:ascii="Aptos Narrow" w:eastAsia="Times New Roman" w:hAnsi="Aptos Narrow"/>
                <w:color w:val="000000"/>
                <w:sz w:val="22"/>
                <w:szCs w:val="22"/>
              </w:rPr>
            </w:pPr>
            <w:r>
              <w:rPr>
                <w:rFonts w:ascii="Aptos Narrow" w:eastAsia="Times New Roman" w:hAnsi="Aptos Narrow"/>
                <w:color w:val="000000"/>
                <w:sz w:val="22"/>
                <w:szCs w:val="22"/>
              </w:rPr>
              <w:t>57.6</w:t>
            </w:r>
          </w:p>
        </w:tc>
        <w:tc>
          <w:tcPr>
            <w:tcW w:w="1134" w:type="dxa"/>
            <w:tcBorders>
              <w:top w:val="nil"/>
              <w:left w:val="nil"/>
              <w:bottom w:val="single" w:sz="4" w:space="0" w:color="auto"/>
              <w:right w:val="single" w:sz="4" w:space="0" w:color="auto"/>
            </w:tcBorders>
            <w:vAlign w:val="center"/>
            <w:hideMark/>
          </w:tcPr>
          <w:p w14:paraId="07D18991" w14:textId="6DD48E53" w:rsidR="009D02DF" w:rsidRPr="009D02DF" w:rsidRDefault="00711211" w:rsidP="00596517">
            <w:pPr>
              <w:spacing w:before="0" w:after="0" w:line="240" w:lineRule="auto"/>
              <w:jc w:val="right"/>
              <w:rPr>
                <w:rFonts w:ascii="Aptos Narrow" w:eastAsia="Times New Roman" w:hAnsi="Aptos Narrow"/>
                <w:color w:val="09002E"/>
                <w:sz w:val="22"/>
                <w:szCs w:val="22"/>
              </w:rPr>
            </w:pPr>
            <w:r>
              <w:rPr>
                <w:rFonts w:ascii="Aptos Narrow" w:eastAsia="Times New Roman" w:hAnsi="Aptos Narrow"/>
                <w:color w:val="09002E"/>
                <w:sz w:val="22"/>
                <w:szCs w:val="22"/>
              </w:rPr>
              <w:t>54.8</w:t>
            </w:r>
          </w:p>
        </w:tc>
        <w:tc>
          <w:tcPr>
            <w:tcW w:w="1276" w:type="dxa"/>
            <w:tcBorders>
              <w:top w:val="nil"/>
              <w:left w:val="nil"/>
              <w:bottom w:val="single" w:sz="4" w:space="0" w:color="auto"/>
              <w:right w:val="single" w:sz="4" w:space="0" w:color="auto"/>
            </w:tcBorders>
            <w:vAlign w:val="center"/>
            <w:hideMark/>
          </w:tcPr>
          <w:p w14:paraId="0C973E3F" w14:textId="30B6C79F" w:rsidR="009D02DF" w:rsidRPr="009D02DF" w:rsidRDefault="00711211" w:rsidP="00596517">
            <w:pPr>
              <w:spacing w:before="0" w:after="0" w:line="240" w:lineRule="auto"/>
              <w:jc w:val="right"/>
              <w:rPr>
                <w:rFonts w:ascii="Aptos Narrow" w:eastAsia="Times New Roman" w:hAnsi="Aptos Narrow"/>
                <w:color w:val="09002E"/>
                <w:sz w:val="22"/>
                <w:szCs w:val="22"/>
              </w:rPr>
            </w:pPr>
            <w:r>
              <w:rPr>
                <w:rFonts w:ascii="Aptos Narrow" w:eastAsia="Times New Roman" w:hAnsi="Aptos Narrow"/>
                <w:color w:val="09002E"/>
                <w:sz w:val="22"/>
                <w:szCs w:val="22"/>
              </w:rPr>
              <w:t>61.8</w:t>
            </w:r>
          </w:p>
        </w:tc>
        <w:tc>
          <w:tcPr>
            <w:tcW w:w="1984" w:type="dxa"/>
            <w:vMerge/>
            <w:tcBorders>
              <w:top w:val="nil"/>
              <w:left w:val="single" w:sz="4" w:space="0" w:color="auto"/>
              <w:bottom w:val="single" w:sz="4" w:space="0" w:color="000000"/>
              <w:right w:val="single" w:sz="4" w:space="0" w:color="auto"/>
            </w:tcBorders>
            <w:vAlign w:val="center"/>
            <w:hideMark/>
          </w:tcPr>
          <w:p w14:paraId="213B9DB4" w14:textId="77777777" w:rsidR="009D02DF" w:rsidRPr="009D02DF" w:rsidRDefault="009D02DF" w:rsidP="009D02DF">
            <w:pPr>
              <w:spacing w:before="0" w:after="0" w:line="240" w:lineRule="auto"/>
              <w:rPr>
                <w:rFonts w:ascii="Aptos Narrow" w:eastAsia="Times New Roman" w:hAnsi="Aptos Narrow"/>
                <w:color w:val="000000"/>
                <w:sz w:val="22"/>
                <w:szCs w:val="22"/>
              </w:rPr>
            </w:pPr>
          </w:p>
        </w:tc>
      </w:tr>
      <w:tr w:rsidR="00383CA8" w:rsidRPr="009D02DF" w14:paraId="1450AD15" w14:textId="77777777" w:rsidTr="008D6050">
        <w:trPr>
          <w:trHeight w:val="288"/>
        </w:trPr>
        <w:tc>
          <w:tcPr>
            <w:tcW w:w="1555" w:type="dxa"/>
            <w:vMerge w:val="restart"/>
            <w:tcBorders>
              <w:top w:val="nil"/>
              <w:left w:val="single" w:sz="4" w:space="0" w:color="auto"/>
              <w:bottom w:val="single" w:sz="4" w:space="0" w:color="auto"/>
              <w:right w:val="single" w:sz="4" w:space="0" w:color="auto"/>
            </w:tcBorders>
            <w:vAlign w:val="center"/>
            <w:hideMark/>
          </w:tcPr>
          <w:p w14:paraId="1A5B1160" w14:textId="77777777" w:rsidR="009D02DF" w:rsidRPr="009D02DF" w:rsidRDefault="009D02DF" w:rsidP="009D02DF">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Adults</w:t>
            </w:r>
          </w:p>
        </w:tc>
        <w:tc>
          <w:tcPr>
            <w:tcW w:w="2126" w:type="dxa"/>
            <w:tcBorders>
              <w:top w:val="nil"/>
              <w:left w:val="nil"/>
              <w:bottom w:val="single" w:sz="4" w:space="0" w:color="auto"/>
              <w:right w:val="single" w:sz="4" w:space="0" w:color="auto"/>
            </w:tcBorders>
            <w:vAlign w:val="center"/>
            <w:hideMark/>
          </w:tcPr>
          <w:p w14:paraId="32B64526" w14:textId="55078736" w:rsidR="009D02DF" w:rsidRPr="009D02DF" w:rsidRDefault="009D02DF" w:rsidP="00596517">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18</w:t>
            </w:r>
            <w:r w:rsidR="00254403">
              <w:rPr>
                <w:rFonts w:ascii="Aptos Narrow" w:eastAsia="Times New Roman" w:hAnsi="Aptos Narrow"/>
                <w:color w:val="000000"/>
                <w:sz w:val="22"/>
                <w:szCs w:val="22"/>
              </w:rPr>
              <w:t xml:space="preserve"> to under 30</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1587A244" w14:textId="77777777"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62.9</w:t>
            </w:r>
          </w:p>
        </w:tc>
        <w:tc>
          <w:tcPr>
            <w:tcW w:w="1134" w:type="dxa"/>
            <w:tcBorders>
              <w:top w:val="nil"/>
              <w:left w:val="nil"/>
              <w:bottom w:val="single" w:sz="4" w:space="0" w:color="auto"/>
              <w:right w:val="single" w:sz="4" w:space="0" w:color="auto"/>
            </w:tcBorders>
            <w:vAlign w:val="center"/>
            <w:hideMark/>
          </w:tcPr>
          <w:p w14:paraId="0F68CDEB" w14:textId="77777777" w:rsidR="009D02DF" w:rsidRPr="009D02DF" w:rsidRDefault="009D02DF" w:rsidP="00596517">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57.8</w:t>
            </w:r>
          </w:p>
        </w:tc>
        <w:tc>
          <w:tcPr>
            <w:tcW w:w="1276" w:type="dxa"/>
            <w:tcBorders>
              <w:top w:val="nil"/>
              <w:left w:val="nil"/>
              <w:bottom w:val="single" w:sz="4" w:space="0" w:color="auto"/>
              <w:right w:val="single" w:sz="4" w:space="0" w:color="auto"/>
            </w:tcBorders>
            <w:vAlign w:val="center"/>
            <w:hideMark/>
          </w:tcPr>
          <w:p w14:paraId="42B06139" w14:textId="77777777" w:rsidR="009D02DF" w:rsidRPr="009D02DF" w:rsidRDefault="009D02DF" w:rsidP="00596517">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68.9</w:t>
            </w:r>
          </w:p>
        </w:tc>
        <w:tc>
          <w:tcPr>
            <w:tcW w:w="1984" w:type="dxa"/>
            <w:vMerge/>
            <w:tcBorders>
              <w:top w:val="nil"/>
              <w:left w:val="single" w:sz="4" w:space="0" w:color="auto"/>
              <w:bottom w:val="single" w:sz="4" w:space="0" w:color="000000"/>
              <w:right w:val="single" w:sz="4" w:space="0" w:color="auto"/>
            </w:tcBorders>
            <w:vAlign w:val="center"/>
            <w:hideMark/>
          </w:tcPr>
          <w:p w14:paraId="038EB209" w14:textId="77777777" w:rsidR="009D02DF" w:rsidRPr="009D02DF" w:rsidRDefault="009D02DF" w:rsidP="009D02DF">
            <w:pPr>
              <w:spacing w:before="0" w:after="0" w:line="240" w:lineRule="auto"/>
              <w:rPr>
                <w:rFonts w:ascii="Aptos Narrow" w:eastAsia="Times New Roman" w:hAnsi="Aptos Narrow"/>
                <w:color w:val="000000"/>
                <w:sz w:val="22"/>
                <w:szCs w:val="22"/>
              </w:rPr>
            </w:pPr>
          </w:p>
        </w:tc>
      </w:tr>
      <w:tr w:rsidR="00383CA8" w:rsidRPr="009D02DF" w14:paraId="1090D8DE" w14:textId="77777777" w:rsidTr="008D6050">
        <w:trPr>
          <w:trHeight w:val="288"/>
        </w:trPr>
        <w:tc>
          <w:tcPr>
            <w:tcW w:w="1555" w:type="dxa"/>
            <w:vMerge/>
            <w:tcBorders>
              <w:top w:val="nil"/>
              <w:left w:val="single" w:sz="4" w:space="0" w:color="auto"/>
              <w:bottom w:val="single" w:sz="4" w:space="0" w:color="auto"/>
              <w:right w:val="single" w:sz="4" w:space="0" w:color="auto"/>
            </w:tcBorders>
            <w:vAlign w:val="center"/>
            <w:hideMark/>
          </w:tcPr>
          <w:p w14:paraId="760CBFBD" w14:textId="77777777" w:rsidR="009D02DF" w:rsidRPr="009D02DF" w:rsidRDefault="009D02DF" w:rsidP="009D02DF">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6224AFF1" w14:textId="7739690C" w:rsidR="009D02DF" w:rsidRPr="009D02DF" w:rsidRDefault="009D02DF" w:rsidP="00596517">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30</w:t>
            </w:r>
            <w:r w:rsidR="00254403">
              <w:rPr>
                <w:rFonts w:ascii="Aptos Narrow" w:eastAsia="Times New Roman" w:hAnsi="Aptos Narrow"/>
                <w:color w:val="000000"/>
                <w:sz w:val="22"/>
                <w:szCs w:val="22"/>
              </w:rPr>
              <w:t xml:space="preserve"> to under 50</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347E9B2D" w14:textId="77777777"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62.1</w:t>
            </w:r>
          </w:p>
        </w:tc>
        <w:tc>
          <w:tcPr>
            <w:tcW w:w="1134" w:type="dxa"/>
            <w:tcBorders>
              <w:top w:val="nil"/>
              <w:left w:val="nil"/>
              <w:bottom w:val="single" w:sz="4" w:space="0" w:color="auto"/>
              <w:right w:val="single" w:sz="4" w:space="0" w:color="auto"/>
            </w:tcBorders>
            <w:vAlign w:val="center"/>
            <w:hideMark/>
          </w:tcPr>
          <w:p w14:paraId="7813D307" w14:textId="77777777" w:rsidR="009D02DF" w:rsidRPr="009D02DF" w:rsidRDefault="009D02DF" w:rsidP="00596517">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57.8</w:t>
            </w:r>
          </w:p>
        </w:tc>
        <w:tc>
          <w:tcPr>
            <w:tcW w:w="1276" w:type="dxa"/>
            <w:tcBorders>
              <w:top w:val="nil"/>
              <w:left w:val="nil"/>
              <w:bottom w:val="single" w:sz="4" w:space="0" w:color="auto"/>
              <w:right w:val="single" w:sz="4" w:space="0" w:color="auto"/>
            </w:tcBorders>
            <w:vAlign w:val="center"/>
            <w:hideMark/>
          </w:tcPr>
          <w:p w14:paraId="2B93B0E6" w14:textId="77777777" w:rsidR="009D02DF" w:rsidRPr="009D02DF" w:rsidRDefault="009D02DF" w:rsidP="00596517">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67.4</w:t>
            </w:r>
          </w:p>
        </w:tc>
        <w:tc>
          <w:tcPr>
            <w:tcW w:w="1984" w:type="dxa"/>
            <w:vMerge/>
            <w:tcBorders>
              <w:top w:val="nil"/>
              <w:left w:val="single" w:sz="4" w:space="0" w:color="auto"/>
              <w:bottom w:val="single" w:sz="4" w:space="0" w:color="000000"/>
              <w:right w:val="single" w:sz="4" w:space="0" w:color="auto"/>
            </w:tcBorders>
            <w:vAlign w:val="center"/>
            <w:hideMark/>
          </w:tcPr>
          <w:p w14:paraId="5BF63D0C" w14:textId="77777777" w:rsidR="009D02DF" w:rsidRPr="009D02DF" w:rsidRDefault="009D02DF" w:rsidP="009D02DF">
            <w:pPr>
              <w:spacing w:before="0" w:after="0" w:line="240" w:lineRule="auto"/>
              <w:rPr>
                <w:rFonts w:ascii="Aptos Narrow" w:eastAsia="Times New Roman" w:hAnsi="Aptos Narrow"/>
                <w:color w:val="000000"/>
                <w:sz w:val="22"/>
                <w:szCs w:val="22"/>
              </w:rPr>
            </w:pPr>
          </w:p>
        </w:tc>
      </w:tr>
      <w:tr w:rsidR="00383CA8" w:rsidRPr="009D02DF" w14:paraId="7D280CAB" w14:textId="77777777" w:rsidTr="008D6050">
        <w:trPr>
          <w:trHeight w:val="288"/>
        </w:trPr>
        <w:tc>
          <w:tcPr>
            <w:tcW w:w="1555" w:type="dxa"/>
            <w:vMerge/>
            <w:tcBorders>
              <w:top w:val="nil"/>
              <w:left w:val="single" w:sz="4" w:space="0" w:color="auto"/>
              <w:bottom w:val="single" w:sz="4" w:space="0" w:color="auto"/>
              <w:right w:val="single" w:sz="4" w:space="0" w:color="auto"/>
            </w:tcBorders>
            <w:vAlign w:val="center"/>
            <w:hideMark/>
          </w:tcPr>
          <w:p w14:paraId="1FDC7885" w14:textId="77777777" w:rsidR="009D02DF" w:rsidRPr="009D02DF" w:rsidRDefault="009D02DF" w:rsidP="009D02DF">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68083ECF" w14:textId="3B599028" w:rsidR="009D02DF" w:rsidRPr="009D02DF" w:rsidRDefault="009D02DF" w:rsidP="00596517">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50</w:t>
            </w:r>
            <w:r w:rsidR="00254403">
              <w:rPr>
                <w:rFonts w:ascii="Aptos Narrow" w:eastAsia="Times New Roman" w:hAnsi="Aptos Narrow"/>
                <w:color w:val="000000"/>
                <w:sz w:val="22"/>
                <w:szCs w:val="22"/>
              </w:rPr>
              <w:t xml:space="preserve"> to under 65</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1F5E89C1" w14:textId="77777777"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60.7</w:t>
            </w:r>
          </w:p>
        </w:tc>
        <w:tc>
          <w:tcPr>
            <w:tcW w:w="1134" w:type="dxa"/>
            <w:tcBorders>
              <w:top w:val="nil"/>
              <w:left w:val="nil"/>
              <w:bottom w:val="single" w:sz="4" w:space="0" w:color="auto"/>
              <w:right w:val="single" w:sz="4" w:space="0" w:color="auto"/>
            </w:tcBorders>
            <w:vAlign w:val="center"/>
            <w:hideMark/>
          </w:tcPr>
          <w:p w14:paraId="08D782F0" w14:textId="77777777" w:rsidR="009D02DF" w:rsidRPr="009D02DF" w:rsidRDefault="009D02DF" w:rsidP="00596517">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56.4</w:t>
            </w:r>
          </w:p>
        </w:tc>
        <w:tc>
          <w:tcPr>
            <w:tcW w:w="1276" w:type="dxa"/>
            <w:tcBorders>
              <w:top w:val="nil"/>
              <w:left w:val="nil"/>
              <w:bottom w:val="single" w:sz="4" w:space="0" w:color="auto"/>
              <w:right w:val="single" w:sz="4" w:space="0" w:color="auto"/>
            </w:tcBorders>
            <w:vAlign w:val="center"/>
            <w:hideMark/>
          </w:tcPr>
          <w:p w14:paraId="4EC6F226" w14:textId="77777777" w:rsidR="009D02DF" w:rsidRPr="009D02DF" w:rsidRDefault="009D02DF" w:rsidP="00596517">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65.9</w:t>
            </w:r>
          </w:p>
        </w:tc>
        <w:tc>
          <w:tcPr>
            <w:tcW w:w="1984" w:type="dxa"/>
            <w:vMerge/>
            <w:tcBorders>
              <w:top w:val="nil"/>
              <w:left w:val="single" w:sz="4" w:space="0" w:color="auto"/>
              <w:bottom w:val="single" w:sz="4" w:space="0" w:color="000000"/>
              <w:right w:val="single" w:sz="4" w:space="0" w:color="auto"/>
            </w:tcBorders>
            <w:vAlign w:val="center"/>
            <w:hideMark/>
          </w:tcPr>
          <w:p w14:paraId="41448827" w14:textId="77777777" w:rsidR="009D02DF" w:rsidRPr="009D02DF" w:rsidRDefault="009D02DF" w:rsidP="009D02DF">
            <w:pPr>
              <w:spacing w:before="0" w:after="0" w:line="240" w:lineRule="auto"/>
              <w:rPr>
                <w:rFonts w:ascii="Aptos Narrow" w:eastAsia="Times New Roman" w:hAnsi="Aptos Narrow"/>
                <w:color w:val="000000"/>
                <w:sz w:val="22"/>
                <w:szCs w:val="22"/>
              </w:rPr>
            </w:pPr>
          </w:p>
        </w:tc>
      </w:tr>
      <w:tr w:rsidR="00383CA8" w:rsidRPr="009D02DF" w14:paraId="26F351AA" w14:textId="77777777" w:rsidTr="008D6050">
        <w:trPr>
          <w:trHeight w:val="288"/>
        </w:trPr>
        <w:tc>
          <w:tcPr>
            <w:tcW w:w="1555" w:type="dxa"/>
            <w:vMerge/>
            <w:tcBorders>
              <w:top w:val="nil"/>
              <w:left w:val="single" w:sz="4" w:space="0" w:color="auto"/>
              <w:bottom w:val="single" w:sz="4" w:space="0" w:color="auto"/>
              <w:right w:val="single" w:sz="4" w:space="0" w:color="auto"/>
            </w:tcBorders>
            <w:vAlign w:val="center"/>
            <w:hideMark/>
          </w:tcPr>
          <w:p w14:paraId="047AE76C" w14:textId="77777777" w:rsidR="009D02DF" w:rsidRPr="009D02DF" w:rsidRDefault="009D02DF" w:rsidP="009D02DF">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7A0CD1E7" w14:textId="780110F5" w:rsidR="009D02DF" w:rsidRPr="009D02DF" w:rsidRDefault="009D02DF" w:rsidP="00596517">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65</w:t>
            </w:r>
            <w:r w:rsidR="00254403">
              <w:rPr>
                <w:rFonts w:ascii="Aptos Narrow" w:eastAsia="Times New Roman" w:hAnsi="Aptos Narrow"/>
                <w:color w:val="000000"/>
                <w:sz w:val="22"/>
                <w:szCs w:val="22"/>
              </w:rPr>
              <w:t xml:space="preserve"> to under </w:t>
            </w:r>
            <w:r w:rsidR="00885227">
              <w:rPr>
                <w:rFonts w:ascii="Aptos Narrow" w:eastAsia="Times New Roman" w:hAnsi="Aptos Narrow"/>
                <w:color w:val="000000"/>
                <w:sz w:val="22"/>
                <w:szCs w:val="22"/>
              </w:rPr>
              <w:t>75</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58DD898C" w14:textId="77777777"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59.2</w:t>
            </w:r>
          </w:p>
        </w:tc>
        <w:tc>
          <w:tcPr>
            <w:tcW w:w="1134" w:type="dxa"/>
            <w:tcBorders>
              <w:top w:val="nil"/>
              <w:left w:val="nil"/>
              <w:bottom w:val="single" w:sz="4" w:space="0" w:color="auto"/>
              <w:right w:val="single" w:sz="4" w:space="0" w:color="auto"/>
            </w:tcBorders>
            <w:vAlign w:val="center"/>
            <w:hideMark/>
          </w:tcPr>
          <w:p w14:paraId="45F298CD" w14:textId="77777777" w:rsidR="009D02DF" w:rsidRPr="009D02DF" w:rsidRDefault="009D02DF" w:rsidP="00596517">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55</w:t>
            </w:r>
          </w:p>
        </w:tc>
        <w:tc>
          <w:tcPr>
            <w:tcW w:w="1276" w:type="dxa"/>
            <w:tcBorders>
              <w:top w:val="nil"/>
              <w:left w:val="nil"/>
              <w:bottom w:val="single" w:sz="4" w:space="0" w:color="auto"/>
              <w:right w:val="single" w:sz="4" w:space="0" w:color="auto"/>
            </w:tcBorders>
            <w:vAlign w:val="center"/>
            <w:hideMark/>
          </w:tcPr>
          <w:p w14:paraId="06DCBB41" w14:textId="77777777" w:rsidR="009D02DF" w:rsidRPr="009D02DF" w:rsidRDefault="009D02DF" w:rsidP="00596517">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64.3</w:t>
            </w:r>
          </w:p>
        </w:tc>
        <w:tc>
          <w:tcPr>
            <w:tcW w:w="1984" w:type="dxa"/>
            <w:vMerge/>
            <w:tcBorders>
              <w:top w:val="nil"/>
              <w:left w:val="single" w:sz="4" w:space="0" w:color="auto"/>
              <w:bottom w:val="single" w:sz="4" w:space="0" w:color="000000"/>
              <w:right w:val="single" w:sz="4" w:space="0" w:color="auto"/>
            </w:tcBorders>
            <w:vAlign w:val="center"/>
            <w:hideMark/>
          </w:tcPr>
          <w:p w14:paraId="5D086ABA" w14:textId="77777777" w:rsidR="009D02DF" w:rsidRPr="009D02DF" w:rsidRDefault="009D02DF" w:rsidP="009D02DF">
            <w:pPr>
              <w:spacing w:before="0" w:after="0" w:line="240" w:lineRule="auto"/>
              <w:rPr>
                <w:rFonts w:ascii="Aptos Narrow" w:eastAsia="Times New Roman" w:hAnsi="Aptos Narrow"/>
                <w:color w:val="000000"/>
                <w:sz w:val="22"/>
                <w:szCs w:val="22"/>
              </w:rPr>
            </w:pPr>
          </w:p>
        </w:tc>
      </w:tr>
      <w:tr w:rsidR="00383CA8" w:rsidRPr="009D02DF" w14:paraId="35EBF20D" w14:textId="77777777" w:rsidTr="008D6050">
        <w:trPr>
          <w:trHeight w:val="288"/>
        </w:trPr>
        <w:tc>
          <w:tcPr>
            <w:tcW w:w="1555" w:type="dxa"/>
            <w:vMerge/>
            <w:tcBorders>
              <w:top w:val="nil"/>
              <w:left w:val="single" w:sz="4" w:space="0" w:color="auto"/>
              <w:bottom w:val="single" w:sz="4" w:space="0" w:color="auto"/>
              <w:right w:val="single" w:sz="4" w:space="0" w:color="auto"/>
            </w:tcBorders>
            <w:vAlign w:val="center"/>
            <w:hideMark/>
          </w:tcPr>
          <w:p w14:paraId="5F90B668" w14:textId="77777777" w:rsidR="009D02DF" w:rsidRPr="009D02DF" w:rsidRDefault="009D02DF" w:rsidP="009D02DF">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4DB290D7" w14:textId="77777777" w:rsidR="009D02DF" w:rsidRPr="009D02DF" w:rsidRDefault="009D02DF" w:rsidP="00596517">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75+ years</w:t>
            </w:r>
          </w:p>
        </w:tc>
        <w:tc>
          <w:tcPr>
            <w:tcW w:w="1134" w:type="dxa"/>
            <w:tcBorders>
              <w:top w:val="nil"/>
              <w:left w:val="nil"/>
              <w:bottom w:val="single" w:sz="4" w:space="0" w:color="auto"/>
              <w:right w:val="single" w:sz="4" w:space="0" w:color="auto"/>
            </w:tcBorders>
            <w:vAlign w:val="center"/>
            <w:hideMark/>
          </w:tcPr>
          <w:p w14:paraId="566B78DF" w14:textId="77777777" w:rsidR="009D02DF" w:rsidRPr="009D02DF" w:rsidRDefault="009D02DF" w:rsidP="00596517">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57.8</w:t>
            </w:r>
          </w:p>
        </w:tc>
        <w:tc>
          <w:tcPr>
            <w:tcW w:w="1134" w:type="dxa"/>
            <w:tcBorders>
              <w:top w:val="nil"/>
              <w:left w:val="nil"/>
              <w:bottom w:val="single" w:sz="4" w:space="0" w:color="auto"/>
              <w:right w:val="single" w:sz="4" w:space="0" w:color="auto"/>
            </w:tcBorders>
            <w:vAlign w:val="center"/>
            <w:hideMark/>
          </w:tcPr>
          <w:p w14:paraId="7408EB02" w14:textId="77777777" w:rsidR="009D02DF" w:rsidRPr="009D02DF" w:rsidRDefault="009D02DF" w:rsidP="00596517">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52.9</w:t>
            </w:r>
          </w:p>
        </w:tc>
        <w:tc>
          <w:tcPr>
            <w:tcW w:w="1276" w:type="dxa"/>
            <w:tcBorders>
              <w:top w:val="nil"/>
              <w:left w:val="nil"/>
              <w:bottom w:val="single" w:sz="4" w:space="0" w:color="auto"/>
              <w:right w:val="single" w:sz="4" w:space="0" w:color="auto"/>
            </w:tcBorders>
            <w:vAlign w:val="center"/>
            <w:hideMark/>
          </w:tcPr>
          <w:p w14:paraId="152CB06D" w14:textId="77777777" w:rsidR="009D02DF" w:rsidRPr="009D02DF" w:rsidRDefault="009D02DF" w:rsidP="00596517">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62.9</w:t>
            </w:r>
          </w:p>
        </w:tc>
        <w:tc>
          <w:tcPr>
            <w:tcW w:w="1984" w:type="dxa"/>
            <w:vMerge/>
            <w:tcBorders>
              <w:top w:val="nil"/>
              <w:left w:val="single" w:sz="4" w:space="0" w:color="auto"/>
              <w:bottom w:val="single" w:sz="4" w:space="0" w:color="000000"/>
              <w:right w:val="single" w:sz="4" w:space="0" w:color="auto"/>
            </w:tcBorders>
            <w:vAlign w:val="center"/>
            <w:hideMark/>
          </w:tcPr>
          <w:p w14:paraId="6E791372" w14:textId="77777777" w:rsidR="009D02DF" w:rsidRPr="009D02DF" w:rsidRDefault="009D02DF" w:rsidP="009D02DF">
            <w:pPr>
              <w:spacing w:before="0" w:after="0" w:line="240" w:lineRule="auto"/>
              <w:rPr>
                <w:rFonts w:ascii="Aptos Narrow" w:eastAsia="Times New Roman" w:hAnsi="Aptos Narrow"/>
                <w:color w:val="000000"/>
                <w:sz w:val="22"/>
                <w:szCs w:val="22"/>
              </w:rPr>
            </w:pPr>
          </w:p>
        </w:tc>
      </w:tr>
    </w:tbl>
    <w:p w14:paraId="2C396615" w14:textId="5091B2CF" w:rsidR="00073EFB" w:rsidRPr="00365D07" w:rsidRDefault="00365D07">
      <w:pPr>
        <w:rPr>
          <w:sz w:val="18"/>
        </w:rPr>
      </w:pPr>
      <w:r>
        <w:rPr>
          <w:sz w:val="18"/>
        </w:rPr>
        <w:t>*</w:t>
      </w:r>
      <w:r w:rsidRPr="00365D07">
        <w:rPr>
          <w:sz w:val="18"/>
        </w:rPr>
        <w:t xml:space="preserve">Attachment </w:t>
      </w:r>
      <w:proofErr w:type="gramStart"/>
      <w:r w:rsidRPr="00365D07">
        <w:rPr>
          <w:sz w:val="18"/>
        </w:rPr>
        <w:t>1  Australian</w:t>
      </w:r>
      <w:proofErr w:type="gramEnd"/>
      <w:r w:rsidRPr="00365D07">
        <w:rPr>
          <w:sz w:val="18"/>
        </w:rPr>
        <w:t xml:space="preserve"> Ideal Bodyweight Dataset 2022 supplied by the ABS.</w:t>
      </w:r>
    </w:p>
    <w:p w14:paraId="0705665C" w14:textId="7876EE55" w:rsidR="008C1A62" w:rsidRPr="00365D07" w:rsidRDefault="0040312C">
      <w:pPr>
        <w:rPr>
          <w:sz w:val="18"/>
        </w:rPr>
      </w:pPr>
      <w:r>
        <w:rPr>
          <w:sz w:val="18"/>
        </w:rPr>
        <w:t xml:space="preserve">Alternate </w:t>
      </w:r>
      <w:r w:rsidR="00B87F66">
        <w:rPr>
          <w:sz w:val="18"/>
        </w:rPr>
        <w:t>reporting</w:t>
      </w:r>
      <w:r>
        <w:rPr>
          <w:sz w:val="18"/>
        </w:rPr>
        <w:t xml:space="preserve"> age groupings</w:t>
      </w:r>
    </w:p>
    <w:tbl>
      <w:tblPr>
        <w:tblW w:w="9209" w:type="dxa"/>
        <w:tblLook w:val="0620" w:firstRow="1" w:lastRow="0" w:firstColumn="0" w:lastColumn="0" w:noHBand="1" w:noVBand="1"/>
      </w:tblPr>
      <w:tblGrid>
        <w:gridCol w:w="1555"/>
        <w:gridCol w:w="2126"/>
        <w:gridCol w:w="1134"/>
        <w:gridCol w:w="1134"/>
        <w:gridCol w:w="1276"/>
        <w:gridCol w:w="1984"/>
      </w:tblGrid>
      <w:tr w:rsidR="00C97A55" w:rsidRPr="009D02DF" w14:paraId="36199CFF" w14:textId="77777777" w:rsidTr="008D6050">
        <w:trPr>
          <w:trHeight w:val="288"/>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6178C108" w14:textId="77777777" w:rsidR="00C97A55" w:rsidRPr="009D02DF" w:rsidRDefault="00C97A55">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Population</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09244A4" w14:textId="77777777" w:rsidR="00C97A55" w:rsidRPr="009D02DF" w:rsidRDefault="00C97A55">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Age Group</w:t>
            </w:r>
          </w:p>
        </w:tc>
        <w:tc>
          <w:tcPr>
            <w:tcW w:w="3544" w:type="dxa"/>
            <w:gridSpan w:val="3"/>
            <w:tcBorders>
              <w:top w:val="single" w:sz="4" w:space="0" w:color="auto"/>
              <w:left w:val="nil"/>
              <w:bottom w:val="single" w:sz="4" w:space="0" w:color="auto"/>
              <w:right w:val="single" w:sz="4" w:space="0" w:color="auto"/>
            </w:tcBorders>
            <w:vAlign w:val="center"/>
            <w:hideMark/>
          </w:tcPr>
          <w:p w14:paraId="366047A2" w14:textId="77777777" w:rsidR="00C97A55" w:rsidRPr="009D02DF" w:rsidRDefault="00C97A55">
            <w:pPr>
              <w:spacing w:before="0" w:after="0" w:line="240" w:lineRule="auto"/>
              <w:jc w:val="center"/>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Reference Weight (kg)</w:t>
            </w:r>
          </w:p>
        </w:tc>
        <w:tc>
          <w:tcPr>
            <w:tcW w:w="1984" w:type="dxa"/>
            <w:vMerge w:val="restart"/>
            <w:tcBorders>
              <w:top w:val="single" w:sz="4" w:space="0" w:color="auto"/>
              <w:left w:val="single" w:sz="4" w:space="0" w:color="auto"/>
              <w:bottom w:val="single" w:sz="4" w:space="0" w:color="auto"/>
              <w:right w:val="single" w:sz="4" w:space="0" w:color="auto"/>
            </w:tcBorders>
            <w:noWrap/>
            <w:vAlign w:val="center"/>
            <w:hideMark/>
          </w:tcPr>
          <w:p w14:paraId="26A8D5AA" w14:textId="77777777" w:rsidR="00C97A55" w:rsidRPr="009D02DF" w:rsidRDefault="00C97A55">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Source</w:t>
            </w:r>
          </w:p>
        </w:tc>
      </w:tr>
      <w:tr w:rsidR="00C97A55" w:rsidRPr="009D02DF" w14:paraId="29FD6E2E" w14:textId="77777777" w:rsidTr="008D6050">
        <w:trPr>
          <w:trHeight w:val="288"/>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FA8ABFF" w14:textId="77777777" w:rsidR="00C97A55" w:rsidRPr="009D02DF" w:rsidRDefault="00C97A55">
            <w:pPr>
              <w:spacing w:before="0" w:after="0" w:line="240" w:lineRule="auto"/>
              <w:rPr>
                <w:rFonts w:ascii="Aptos Narrow" w:eastAsia="Times New Roman" w:hAnsi="Aptos Narrow"/>
                <w:b/>
                <w:bCs/>
                <w:color w:val="000000"/>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4DB0271" w14:textId="77777777" w:rsidR="00C97A55" w:rsidRPr="009D02DF" w:rsidRDefault="00C97A55">
            <w:pPr>
              <w:spacing w:before="0" w:after="0" w:line="240" w:lineRule="auto"/>
              <w:rPr>
                <w:rFonts w:ascii="Aptos Narrow" w:eastAsia="Times New Roman" w:hAnsi="Aptos Narrow"/>
                <w:b/>
                <w:bCs/>
                <w:color w:val="000000"/>
                <w:sz w:val="22"/>
                <w:szCs w:val="22"/>
              </w:rPr>
            </w:pPr>
          </w:p>
        </w:tc>
        <w:tc>
          <w:tcPr>
            <w:tcW w:w="1134" w:type="dxa"/>
            <w:tcBorders>
              <w:top w:val="nil"/>
              <w:left w:val="nil"/>
              <w:bottom w:val="single" w:sz="4" w:space="0" w:color="auto"/>
              <w:right w:val="single" w:sz="4" w:space="0" w:color="auto"/>
            </w:tcBorders>
            <w:vAlign w:val="center"/>
            <w:hideMark/>
          </w:tcPr>
          <w:p w14:paraId="70F99AB7" w14:textId="77777777" w:rsidR="00C97A55" w:rsidRPr="009D02DF" w:rsidRDefault="00C97A55">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Persons</w:t>
            </w:r>
          </w:p>
        </w:tc>
        <w:tc>
          <w:tcPr>
            <w:tcW w:w="1134" w:type="dxa"/>
            <w:tcBorders>
              <w:top w:val="nil"/>
              <w:left w:val="nil"/>
              <w:bottom w:val="single" w:sz="4" w:space="0" w:color="auto"/>
              <w:right w:val="single" w:sz="4" w:space="0" w:color="auto"/>
            </w:tcBorders>
            <w:vAlign w:val="center"/>
            <w:hideMark/>
          </w:tcPr>
          <w:p w14:paraId="32B14D60" w14:textId="77777777" w:rsidR="00C97A55" w:rsidRPr="009D02DF" w:rsidRDefault="00C97A55">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Females</w:t>
            </w:r>
          </w:p>
        </w:tc>
        <w:tc>
          <w:tcPr>
            <w:tcW w:w="1276" w:type="dxa"/>
            <w:tcBorders>
              <w:top w:val="nil"/>
              <w:left w:val="nil"/>
              <w:bottom w:val="single" w:sz="4" w:space="0" w:color="auto"/>
              <w:right w:val="single" w:sz="4" w:space="0" w:color="auto"/>
            </w:tcBorders>
            <w:vAlign w:val="center"/>
            <w:hideMark/>
          </w:tcPr>
          <w:p w14:paraId="56F22F1F" w14:textId="77777777" w:rsidR="00C97A55" w:rsidRPr="009D02DF" w:rsidRDefault="00C97A55">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Males</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4068A89" w14:textId="77777777" w:rsidR="00C97A55" w:rsidRPr="009D02DF" w:rsidRDefault="00C97A55">
            <w:pPr>
              <w:spacing w:before="0" w:after="0" w:line="240" w:lineRule="auto"/>
              <w:rPr>
                <w:rFonts w:ascii="Aptos Narrow" w:eastAsia="Times New Roman" w:hAnsi="Aptos Narrow"/>
                <w:b/>
                <w:bCs/>
                <w:color w:val="000000"/>
                <w:sz w:val="22"/>
                <w:szCs w:val="22"/>
              </w:rPr>
            </w:pPr>
          </w:p>
        </w:tc>
      </w:tr>
      <w:tr w:rsidR="00790C48" w:rsidRPr="009D02DF" w14:paraId="3AE7C100" w14:textId="77777777" w:rsidTr="008D6050">
        <w:trPr>
          <w:trHeight w:val="476"/>
        </w:trPr>
        <w:tc>
          <w:tcPr>
            <w:tcW w:w="1555" w:type="dxa"/>
            <w:vMerge w:val="restart"/>
            <w:tcBorders>
              <w:top w:val="nil"/>
              <w:left w:val="single" w:sz="4" w:space="0" w:color="auto"/>
              <w:right w:val="single" w:sz="4" w:space="0" w:color="auto"/>
            </w:tcBorders>
            <w:vAlign w:val="center"/>
            <w:hideMark/>
          </w:tcPr>
          <w:p w14:paraId="7A78AE54" w14:textId="77777777" w:rsidR="00790C48" w:rsidRPr="009D02DF" w:rsidRDefault="00790C48">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Infants</w:t>
            </w:r>
          </w:p>
        </w:tc>
        <w:tc>
          <w:tcPr>
            <w:tcW w:w="2126" w:type="dxa"/>
            <w:tcBorders>
              <w:top w:val="nil"/>
              <w:left w:val="nil"/>
              <w:bottom w:val="single" w:sz="4" w:space="0" w:color="auto"/>
              <w:right w:val="single" w:sz="4" w:space="0" w:color="auto"/>
            </w:tcBorders>
            <w:vAlign w:val="center"/>
            <w:hideMark/>
          </w:tcPr>
          <w:p w14:paraId="02C4C1A2" w14:textId="55F9C527" w:rsidR="00790C48" w:rsidRPr="009D02DF" w:rsidRDefault="00790C48">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0-6 months</w:t>
            </w:r>
          </w:p>
        </w:tc>
        <w:tc>
          <w:tcPr>
            <w:tcW w:w="1134" w:type="dxa"/>
            <w:tcBorders>
              <w:top w:val="nil"/>
              <w:left w:val="nil"/>
              <w:bottom w:val="single" w:sz="4" w:space="0" w:color="auto"/>
              <w:right w:val="single" w:sz="4" w:space="0" w:color="auto"/>
            </w:tcBorders>
            <w:vAlign w:val="center"/>
            <w:hideMark/>
          </w:tcPr>
          <w:p w14:paraId="514513BB"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6.1</w:t>
            </w:r>
          </w:p>
        </w:tc>
        <w:tc>
          <w:tcPr>
            <w:tcW w:w="1134" w:type="dxa"/>
            <w:tcBorders>
              <w:top w:val="nil"/>
              <w:left w:val="nil"/>
              <w:bottom w:val="single" w:sz="4" w:space="0" w:color="auto"/>
              <w:right w:val="single" w:sz="4" w:space="0" w:color="auto"/>
            </w:tcBorders>
            <w:vAlign w:val="center"/>
            <w:hideMark/>
          </w:tcPr>
          <w:p w14:paraId="6212C965"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5.8</w:t>
            </w:r>
          </w:p>
        </w:tc>
        <w:tc>
          <w:tcPr>
            <w:tcW w:w="1276" w:type="dxa"/>
            <w:tcBorders>
              <w:top w:val="nil"/>
              <w:left w:val="nil"/>
              <w:bottom w:val="single" w:sz="4" w:space="0" w:color="auto"/>
              <w:right w:val="single" w:sz="4" w:space="0" w:color="auto"/>
            </w:tcBorders>
            <w:vAlign w:val="center"/>
            <w:hideMark/>
          </w:tcPr>
          <w:p w14:paraId="05C51E15"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6.4</w:t>
            </w:r>
          </w:p>
        </w:tc>
        <w:tc>
          <w:tcPr>
            <w:tcW w:w="1984" w:type="dxa"/>
            <w:vMerge w:val="restart"/>
            <w:tcBorders>
              <w:top w:val="nil"/>
              <w:left w:val="single" w:sz="4" w:space="0" w:color="auto"/>
              <w:bottom w:val="single" w:sz="4" w:space="0" w:color="000000"/>
              <w:right w:val="single" w:sz="4" w:space="0" w:color="auto"/>
            </w:tcBorders>
            <w:vAlign w:val="center"/>
            <w:hideMark/>
          </w:tcPr>
          <w:p w14:paraId="761FBECD" w14:textId="77777777" w:rsidR="00790C48" w:rsidRPr="009D02DF" w:rsidRDefault="00790C48">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Derived from WHO Child Growth Standards weight for age percentiles</w:t>
            </w:r>
          </w:p>
        </w:tc>
      </w:tr>
      <w:tr w:rsidR="00790C48" w:rsidRPr="009D02DF" w14:paraId="4B59A5AC" w14:textId="77777777" w:rsidTr="008D6050">
        <w:trPr>
          <w:trHeight w:val="288"/>
        </w:trPr>
        <w:tc>
          <w:tcPr>
            <w:tcW w:w="1555" w:type="dxa"/>
            <w:vMerge/>
            <w:tcBorders>
              <w:left w:val="single" w:sz="4" w:space="0" w:color="auto"/>
              <w:bottom w:val="single" w:sz="4" w:space="0" w:color="auto"/>
              <w:right w:val="single" w:sz="4" w:space="0" w:color="auto"/>
            </w:tcBorders>
            <w:vAlign w:val="center"/>
            <w:hideMark/>
          </w:tcPr>
          <w:p w14:paraId="67E3E0A8" w14:textId="77777777" w:rsidR="00790C48" w:rsidRPr="009D02DF" w:rsidRDefault="00790C48">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2C2E8E0F" w14:textId="7135F275" w:rsidR="00790C48" w:rsidRPr="009D02DF" w:rsidRDefault="00790C48">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7-12 months</w:t>
            </w:r>
          </w:p>
        </w:tc>
        <w:tc>
          <w:tcPr>
            <w:tcW w:w="1134" w:type="dxa"/>
            <w:tcBorders>
              <w:top w:val="nil"/>
              <w:left w:val="nil"/>
              <w:bottom w:val="single" w:sz="4" w:space="0" w:color="auto"/>
              <w:right w:val="single" w:sz="4" w:space="0" w:color="auto"/>
            </w:tcBorders>
            <w:vAlign w:val="center"/>
            <w:hideMark/>
          </w:tcPr>
          <w:p w14:paraId="110CA70D"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8.7</w:t>
            </w:r>
          </w:p>
        </w:tc>
        <w:tc>
          <w:tcPr>
            <w:tcW w:w="1134" w:type="dxa"/>
            <w:tcBorders>
              <w:top w:val="nil"/>
              <w:left w:val="nil"/>
              <w:bottom w:val="single" w:sz="4" w:space="0" w:color="auto"/>
              <w:right w:val="single" w:sz="4" w:space="0" w:color="auto"/>
            </w:tcBorders>
            <w:vAlign w:val="center"/>
            <w:hideMark/>
          </w:tcPr>
          <w:p w14:paraId="2D7149C8"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8.3</w:t>
            </w:r>
          </w:p>
        </w:tc>
        <w:tc>
          <w:tcPr>
            <w:tcW w:w="1276" w:type="dxa"/>
            <w:tcBorders>
              <w:top w:val="nil"/>
              <w:left w:val="nil"/>
              <w:bottom w:val="single" w:sz="4" w:space="0" w:color="auto"/>
              <w:right w:val="single" w:sz="4" w:space="0" w:color="auto"/>
            </w:tcBorders>
            <w:vAlign w:val="center"/>
            <w:hideMark/>
          </w:tcPr>
          <w:p w14:paraId="6E285000" w14:textId="26D6A831"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9</w:t>
            </w:r>
          </w:p>
        </w:tc>
        <w:tc>
          <w:tcPr>
            <w:tcW w:w="1984" w:type="dxa"/>
            <w:vMerge/>
            <w:tcBorders>
              <w:top w:val="nil"/>
              <w:left w:val="single" w:sz="4" w:space="0" w:color="auto"/>
              <w:bottom w:val="single" w:sz="4" w:space="0" w:color="000000"/>
              <w:right w:val="single" w:sz="4" w:space="0" w:color="auto"/>
            </w:tcBorders>
            <w:vAlign w:val="center"/>
            <w:hideMark/>
          </w:tcPr>
          <w:p w14:paraId="1B9201BE" w14:textId="77777777" w:rsidR="00790C48" w:rsidRPr="009D02DF" w:rsidRDefault="00790C48">
            <w:pPr>
              <w:spacing w:before="0" w:after="0" w:line="240" w:lineRule="auto"/>
              <w:rPr>
                <w:rFonts w:ascii="Aptos Narrow" w:eastAsia="Times New Roman" w:hAnsi="Aptos Narrow"/>
                <w:color w:val="000000"/>
                <w:sz w:val="22"/>
                <w:szCs w:val="22"/>
              </w:rPr>
            </w:pPr>
          </w:p>
        </w:tc>
      </w:tr>
      <w:tr w:rsidR="00790C48" w:rsidRPr="009D02DF" w14:paraId="170359E3" w14:textId="77777777" w:rsidTr="008D6050">
        <w:trPr>
          <w:trHeight w:val="288"/>
        </w:trPr>
        <w:tc>
          <w:tcPr>
            <w:tcW w:w="1555" w:type="dxa"/>
            <w:vMerge w:val="restart"/>
            <w:tcBorders>
              <w:top w:val="nil"/>
              <w:left w:val="single" w:sz="4" w:space="0" w:color="auto"/>
              <w:right w:val="single" w:sz="4" w:space="0" w:color="auto"/>
            </w:tcBorders>
            <w:vAlign w:val="center"/>
            <w:hideMark/>
          </w:tcPr>
          <w:p w14:paraId="4935948C" w14:textId="5B3BAEBC" w:rsidR="00790C48" w:rsidRPr="009D02DF" w:rsidRDefault="00790C48">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Children &amp; Adolescents</w:t>
            </w:r>
          </w:p>
        </w:tc>
        <w:tc>
          <w:tcPr>
            <w:tcW w:w="2126" w:type="dxa"/>
            <w:tcBorders>
              <w:top w:val="nil"/>
              <w:left w:val="nil"/>
              <w:bottom w:val="single" w:sz="4" w:space="0" w:color="auto"/>
              <w:right w:val="single" w:sz="4" w:space="0" w:color="auto"/>
            </w:tcBorders>
            <w:vAlign w:val="center"/>
            <w:hideMark/>
          </w:tcPr>
          <w:p w14:paraId="27908944" w14:textId="12045F54" w:rsidR="00790C48" w:rsidRPr="009D02DF" w:rsidRDefault="00790C48">
            <w:pPr>
              <w:spacing w:before="0" w:after="0" w:line="240" w:lineRule="auto"/>
              <w:rPr>
                <w:rFonts w:ascii="Aptos Narrow" w:eastAsia="Times New Roman" w:hAnsi="Aptos Narrow"/>
                <w:color w:val="auto"/>
                <w:sz w:val="22"/>
                <w:szCs w:val="22"/>
              </w:rPr>
            </w:pPr>
            <w:r w:rsidRPr="009D02DF">
              <w:rPr>
                <w:rFonts w:ascii="Aptos Narrow" w:eastAsia="Times New Roman" w:hAnsi="Aptos Narrow"/>
                <w:iCs/>
                <w:color w:val="auto"/>
                <w:sz w:val="22"/>
                <w:szCs w:val="22"/>
              </w:rPr>
              <w:t>1</w:t>
            </w:r>
            <w:r>
              <w:rPr>
                <w:rFonts w:ascii="Aptos Narrow" w:eastAsia="Times New Roman" w:hAnsi="Aptos Narrow"/>
                <w:iCs/>
                <w:color w:val="auto"/>
                <w:sz w:val="22"/>
                <w:szCs w:val="22"/>
              </w:rPr>
              <w:t>2 to under 24</w:t>
            </w:r>
          </w:p>
        </w:tc>
        <w:tc>
          <w:tcPr>
            <w:tcW w:w="1134" w:type="dxa"/>
            <w:tcBorders>
              <w:top w:val="nil"/>
              <w:left w:val="nil"/>
              <w:bottom w:val="single" w:sz="4" w:space="0" w:color="auto"/>
              <w:right w:val="single" w:sz="4" w:space="0" w:color="auto"/>
            </w:tcBorders>
            <w:vAlign w:val="center"/>
            <w:hideMark/>
          </w:tcPr>
          <w:p w14:paraId="6EEEB756"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10.6</w:t>
            </w:r>
          </w:p>
        </w:tc>
        <w:tc>
          <w:tcPr>
            <w:tcW w:w="1134" w:type="dxa"/>
            <w:tcBorders>
              <w:top w:val="nil"/>
              <w:left w:val="nil"/>
              <w:bottom w:val="single" w:sz="4" w:space="0" w:color="auto"/>
              <w:right w:val="single" w:sz="4" w:space="0" w:color="auto"/>
            </w:tcBorders>
            <w:vAlign w:val="center"/>
            <w:hideMark/>
          </w:tcPr>
          <w:p w14:paraId="56FC62F0"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10.2</w:t>
            </w:r>
          </w:p>
        </w:tc>
        <w:tc>
          <w:tcPr>
            <w:tcW w:w="1276" w:type="dxa"/>
            <w:tcBorders>
              <w:top w:val="nil"/>
              <w:left w:val="nil"/>
              <w:bottom w:val="single" w:sz="4" w:space="0" w:color="auto"/>
              <w:right w:val="single" w:sz="4" w:space="0" w:color="auto"/>
            </w:tcBorders>
            <w:vAlign w:val="center"/>
            <w:hideMark/>
          </w:tcPr>
          <w:p w14:paraId="2B6C8567"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10.9</w:t>
            </w:r>
          </w:p>
        </w:tc>
        <w:tc>
          <w:tcPr>
            <w:tcW w:w="1984" w:type="dxa"/>
            <w:vMerge/>
            <w:tcBorders>
              <w:top w:val="nil"/>
              <w:left w:val="single" w:sz="4" w:space="0" w:color="auto"/>
              <w:bottom w:val="single" w:sz="4" w:space="0" w:color="000000"/>
              <w:right w:val="single" w:sz="4" w:space="0" w:color="auto"/>
            </w:tcBorders>
            <w:vAlign w:val="center"/>
            <w:hideMark/>
          </w:tcPr>
          <w:p w14:paraId="7D468FB0" w14:textId="77777777" w:rsidR="00790C48" w:rsidRPr="009D02DF" w:rsidRDefault="00790C48">
            <w:pPr>
              <w:spacing w:before="0" w:after="0" w:line="240" w:lineRule="auto"/>
              <w:rPr>
                <w:rFonts w:ascii="Aptos Narrow" w:eastAsia="Times New Roman" w:hAnsi="Aptos Narrow"/>
                <w:color w:val="000000"/>
                <w:sz w:val="22"/>
                <w:szCs w:val="22"/>
              </w:rPr>
            </w:pPr>
          </w:p>
        </w:tc>
      </w:tr>
      <w:tr w:rsidR="00790C48" w:rsidRPr="009D02DF" w14:paraId="1A372071" w14:textId="77777777" w:rsidTr="008D6050">
        <w:trPr>
          <w:trHeight w:val="288"/>
        </w:trPr>
        <w:tc>
          <w:tcPr>
            <w:tcW w:w="1555" w:type="dxa"/>
            <w:vMerge/>
            <w:tcBorders>
              <w:left w:val="single" w:sz="4" w:space="0" w:color="auto"/>
              <w:right w:val="single" w:sz="4" w:space="0" w:color="auto"/>
            </w:tcBorders>
            <w:vAlign w:val="center"/>
            <w:hideMark/>
          </w:tcPr>
          <w:p w14:paraId="42CB4EAF" w14:textId="410B097F" w:rsidR="00790C48" w:rsidRPr="009D02DF" w:rsidRDefault="00790C48">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0C96661F" w14:textId="3989A531" w:rsidR="00790C48" w:rsidRPr="009D02DF" w:rsidRDefault="00790C48">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2</w:t>
            </w:r>
            <w:r>
              <w:rPr>
                <w:rFonts w:ascii="Aptos Narrow" w:eastAsia="Times New Roman" w:hAnsi="Aptos Narrow"/>
                <w:color w:val="000000"/>
                <w:sz w:val="22"/>
                <w:szCs w:val="22"/>
              </w:rPr>
              <w:t xml:space="preserve"> to under 5</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00D85EE0"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15.9</w:t>
            </w:r>
          </w:p>
        </w:tc>
        <w:tc>
          <w:tcPr>
            <w:tcW w:w="1134" w:type="dxa"/>
            <w:tcBorders>
              <w:top w:val="nil"/>
              <w:left w:val="nil"/>
              <w:bottom w:val="single" w:sz="4" w:space="0" w:color="auto"/>
              <w:right w:val="single" w:sz="4" w:space="0" w:color="auto"/>
            </w:tcBorders>
            <w:vAlign w:val="center"/>
            <w:hideMark/>
          </w:tcPr>
          <w:p w14:paraId="07BC5FEA"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15.7</w:t>
            </w:r>
          </w:p>
        </w:tc>
        <w:tc>
          <w:tcPr>
            <w:tcW w:w="1276" w:type="dxa"/>
            <w:tcBorders>
              <w:top w:val="nil"/>
              <w:left w:val="nil"/>
              <w:bottom w:val="single" w:sz="4" w:space="0" w:color="auto"/>
              <w:right w:val="single" w:sz="4" w:space="0" w:color="auto"/>
            </w:tcBorders>
            <w:vAlign w:val="center"/>
            <w:hideMark/>
          </w:tcPr>
          <w:p w14:paraId="60B851C0"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16.1</w:t>
            </w:r>
          </w:p>
        </w:tc>
        <w:tc>
          <w:tcPr>
            <w:tcW w:w="1984" w:type="dxa"/>
            <w:vMerge w:val="restart"/>
            <w:tcBorders>
              <w:top w:val="nil"/>
              <w:left w:val="single" w:sz="4" w:space="0" w:color="auto"/>
              <w:bottom w:val="single" w:sz="4" w:space="0" w:color="000000"/>
              <w:right w:val="single" w:sz="4" w:space="0" w:color="auto"/>
            </w:tcBorders>
            <w:vAlign w:val="center"/>
            <w:hideMark/>
          </w:tcPr>
          <w:p w14:paraId="1A250B81" w14:textId="77777777" w:rsidR="00790C48" w:rsidRPr="009D02DF" w:rsidRDefault="00790C48">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 xml:space="preserve">Australian Bureau of Statistics (ideal body </w:t>
            </w:r>
            <w:proofErr w:type="gramStart"/>
            <w:r w:rsidRPr="009D02DF">
              <w:rPr>
                <w:rFonts w:ascii="Aptos Narrow" w:eastAsia="Times New Roman" w:hAnsi="Aptos Narrow"/>
                <w:color w:val="000000"/>
                <w:sz w:val="22"/>
                <w:szCs w:val="22"/>
              </w:rPr>
              <w:t>weights)</w:t>
            </w:r>
            <w:r>
              <w:rPr>
                <w:rFonts w:ascii="Aptos Narrow" w:eastAsia="Times New Roman" w:hAnsi="Aptos Narrow"/>
                <w:color w:val="000000"/>
                <w:sz w:val="22"/>
                <w:szCs w:val="22"/>
              </w:rPr>
              <w:t>*</w:t>
            </w:r>
            <w:proofErr w:type="gramEnd"/>
          </w:p>
        </w:tc>
      </w:tr>
      <w:tr w:rsidR="00790C48" w:rsidRPr="009D02DF" w14:paraId="4FBAE9C8" w14:textId="77777777" w:rsidTr="008D6050">
        <w:trPr>
          <w:trHeight w:val="288"/>
        </w:trPr>
        <w:tc>
          <w:tcPr>
            <w:tcW w:w="1555" w:type="dxa"/>
            <w:vMerge/>
            <w:tcBorders>
              <w:left w:val="single" w:sz="4" w:space="0" w:color="auto"/>
              <w:right w:val="single" w:sz="4" w:space="0" w:color="auto"/>
            </w:tcBorders>
            <w:vAlign w:val="center"/>
            <w:hideMark/>
          </w:tcPr>
          <w:p w14:paraId="4FE45AF4" w14:textId="77777777" w:rsidR="00790C48" w:rsidRPr="009D02DF" w:rsidRDefault="00790C48">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06821C8F" w14:textId="2591931D" w:rsidR="00790C48" w:rsidRPr="009D02DF" w:rsidRDefault="00790C48">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5</w:t>
            </w:r>
            <w:r>
              <w:rPr>
                <w:rFonts w:ascii="Aptos Narrow" w:eastAsia="Times New Roman" w:hAnsi="Aptos Narrow"/>
                <w:color w:val="000000"/>
                <w:sz w:val="22"/>
                <w:szCs w:val="22"/>
              </w:rPr>
              <w:t xml:space="preserve"> to under 12</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488E4C3A"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28.6</w:t>
            </w:r>
          </w:p>
        </w:tc>
        <w:tc>
          <w:tcPr>
            <w:tcW w:w="1134" w:type="dxa"/>
            <w:tcBorders>
              <w:top w:val="nil"/>
              <w:left w:val="nil"/>
              <w:bottom w:val="single" w:sz="4" w:space="0" w:color="auto"/>
              <w:right w:val="single" w:sz="4" w:space="0" w:color="auto"/>
            </w:tcBorders>
            <w:vAlign w:val="center"/>
            <w:hideMark/>
          </w:tcPr>
          <w:p w14:paraId="160F2257"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29</w:t>
            </w:r>
          </w:p>
        </w:tc>
        <w:tc>
          <w:tcPr>
            <w:tcW w:w="1276" w:type="dxa"/>
            <w:tcBorders>
              <w:top w:val="nil"/>
              <w:left w:val="nil"/>
              <w:bottom w:val="single" w:sz="4" w:space="0" w:color="auto"/>
              <w:right w:val="single" w:sz="4" w:space="0" w:color="auto"/>
            </w:tcBorders>
            <w:vAlign w:val="center"/>
            <w:hideMark/>
          </w:tcPr>
          <w:p w14:paraId="5DA53234"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28.7</w:t>
            </w:r>
          </w:p>
        </w:tc>
        <w:tc>
          <w:tcPr>
            <w:tcW w:w="1984" w:type="dxa"/>
            <w:vMerge/>
            <w:tcBorders>
              <w:top w:val="nil"/>
              <w:left w:val="single" w:sz="4" w:space="0" w:color="auto"/>
              <w:bottom w:val="single" w:sz="4" w:space="0" w:color="000000"/>
              <w:right w:val="single" w:sz="4" w:space="0" w:color="auto"/>
            </w:tcBorders>
            <w:vAlign w:val="center"/>
            <w:hideMark/>
          </w:tcPr>
          <w:p w14:paraId="2583E37D" w14:textId="77777777" w:rsidR="00790C48" w:rsidRPr="009D02DF" w:rsidRDefault="00790C48">
            <w:pPr>
              <w:spacing w:before="0" w:after="0" w:line="240" w:lineRule="auto"/>
              <w:rPr>
                <w:rFonts w:ascii="Aptos Narrow" w:eastAsia="Times New Roman" w:hAnsi="Aptos Narrow"/>
                <w:color w:val="000000"/>
                <w:sz w:val="22"/>
                <w:szCs w:val="22"/>
              </w:rPr>
            </w:pPr>
          </w:p>
        </w:tc>
      </w:tr>
      <w:tr w:rsidR="00790C48" w:rsidRPr="009D02DF" w14:paraId="1CE53608" w14:textId="77777777" w:rsidTr="008D6050">
        <w:trPr>
          <w:trHeight w:val="288"/>
        </w:trPr>
        <w:tc>
          <w:tcPr>
            <w:tcW w:w="1555" w:type="dxa"/>
            <w:vMerge/>
            <w:tcBorders>
              <w:left w:val="single" w:sz="4" w:space="0" w:color="auto"/>
              <w:bottom w:val="single" w:sz="4" w:space="0" w:color="auto"/>
              <w:right w:val="single" w:sz="4" w:space="0" w:color="auto"/>
            </w:tcBorders>
            <w:vAlign w:val="center"/>
            <w:hideMark/>
          </w:tcPr>
          <w:p w14:paraId="50A78069" w14:textId="77777777" w:rsidR="00790C48" w:rsidRPr="009D02DF" w:rsidRDefault="00790C48">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44F6256B" w14:textId="300B6691" w:rsidR="00790C48" w:rsidRPr="009D02DF" w:rsidRDefault="00790C48">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12</w:t>
            </w:r>
            <w:r>
              <w:rPr>
                <w:rFonts w:ascii="Aptos Narrow" w:eastAsia="Times New Roman" w:hAnsi="Aptos Narrow"/>
                <w:color w:val="000000"/>
                <w:sz w:val="22"/>
                <w:szCs w:val="22"/>
              </w:rPr>
              <w:t xml:space="preserve"> to under </w:t>
            </w:r>
            <w:r w:rsidR="00152251">
              <w:rPr>
                <w:rFonts w:ascii="Aptos Narrow" w:eastAsia="Times New Roman" w:hAnsi="Aptos Narrow"/>
                <w:color w:val="000000"/>
                <w:sz w:val="22"/>
                <w:szCs w:val="22"/>
              </w:rPr>
              <w:t xml:space="preserve">18 </w:t>
            </w:r>
            <w:r w:rsidRPr="009D02DF">
              <w:rPr>
                <w:rFonts w:ascii="Aptos Narrow" w:eastAsia="Times New Roman" w:hAnsi="Aptos Narrow"/>
                <w:color w:val="000000"/>
                <w:sz w:val="22"/>
                <w:szCs w:val="22"/>
              </w:rPr>
              <w:t>years</w:t>
            </w:r>
          </w:p>
        </w:tc>
        <w:tc>
          <w:tcPr>
            <w:tcW w:w="1134" w:type="dxa"/>
            <w:tcBorders>
              <w:top w:val="nil"/>
              <w:left w:val="nil"/>
              <w:bottom w:val="single" w:sz="4" w:space="0" w:color="auto"/>
              <w:right w:val="single" w:sz="4" w:space="0" w:color="auto"/>
            </w:tcBorders>
            <w:vAlign w:val="center"/>
            <w:hideMark/>
          </w:tcPr>
          <w:p w14:paraId="32065B94" w14:textId="77777777" w:rsidR="00790C48" w:rsidRPr="009D02DF" w:rsidRDefault="00790C48">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54.5</w:t>
            </w:r>
          </w:p>
        </w:tc>
        <w:tc>
          <w:tcPr>
            <w:tcW w:w="1134" w:type="dxa"/>
            <w:tcBorders>
              <w:top w:val="nil"/>
              <w:left w:val="nil"/>
              <w:bottom w:val="single" w:sz="4" w:space="0" w:color="auto"/>
              <w:right w:val="single" w:sz="4" w:space="0" w:color="auto"/>
            </w:tcBorders>
            <w:vAlign w:val="center"/>
            <w:hideMark/>
          </w:tcPr>
          <w:p w14:paraId="38F41136" w14:textId="77777777" w:rsidR="00790C48" w:rsidRPr="009D02DF" w:rsidRDefault="00790C48">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52.5</w:t>
            </w:r>
          </w:p>
        </w:tc>
        <w:tc>
          <w:tcPr>
            <w:tcW w:w="1276" w:type="dxa"/>
            <w:tcBorders>
              <w:top w:val="nil"/>
              <w:left w:val="nil"/>
              <w:bottom w:val="single" w:sz="4" w:space="0" w:color="auto"/>
              <w:right w:val="single" w:sz="4" w:space="0" w:color="auto"/>
            </w:tcBorders>
            <w:vAlign w:val="center"/>
            <w:hideMark/>
          </w:tcPr>
          <w:p w14:paraId="0645134C" w14:textId="77777777" w:rsidR="00790C48" w:rsidRPr="009D02DF" w:rsidRDefault="00790C48">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57.9</w:t>
            </w:r>
          </w:p>
        </w:tc>
        <w:tc>
          <w:tcPr>
            <w:tcW w:w="1984" w:type="dxa"/>
            <w:vMerge/>
            <w:tcBorders>
              <w:top w:val="nil"/>
              <w:left w:val="single" w:sz="4" w:space="0" w:color="auto"/>
              <w:bottom w:val="single" w:sz="4" w:space="0" w:color="000000"/>
              <w:right w:val="single" w:sz="4" w:space="0" w:color="auto"/>
            </w:tcBorders>
            <w:vAlign w:val="center"/>
            <w:hideMark/>
          </w:tcPr>
          <w:p w14:paraId="2301F373" w14:textId="77777777" w:rsidR="00790C48" w:rsidRPr="009D02DF" w:rsidRDefault="00790C48">
            <w:pPr>
              <w:spacing w:before="0" w:after="0" w:line="240" w:lineRule="auto"/>
              <w:rPr>
                <w:rFonts w:ascii="Aptos Narrow" w:eastAsia="Times New Roman" w:hAnsi="Aptos Narrow"/>
                <w:color w:val="000000"/>
                <w:sz w:val="22"/>
                <w:szCs w:val="22"/>
              </w:rPr>
            </w:pPr>
          </w:p>
        </w:tc>
      </w:tr>
      <w:tr w:rsidR="00C97A55" w:rsidRPr="009D02DF" w14:paraId="1CCCA91F" w14:textId="77777777" w:rsidTr="008D6050">
        <w:trPr>
          <w:trHeight w:val="288"/>
        </w:trPr>
        <w:tc>
          <w:tcPr>
            <w:tcW w:w="1555" w:type="dxa"/>
            <w:vMerge w:val="restart"/>
            <w:tcBorders>
              <w:top w:val="nil"/>
              <w:left w:val="single" w:sz="4" w:space="0" w:color="auto"/>
              <w:bottom w:val="single" w:sz="4" w:space="0" w:color="auto"/>
              <w:right w:val="single" w:sz="4" w:space="0" w:color="auto"/>
            </w:tcBorders>
            <w:vAlign w:val="center"/>
            <w:hideMark/>
          </w:tcPr>
          <w:p w14:paraId="20568DAD" w14:textId="77777777" w:rsidR="00C97A55" w:rsidRPr="009D02DF" w:rsidRDefault="00C97A55">
            <w:pPr>
              <w:spacing w:before="0" w:after="0" w:line="240" w:lineRule="auto"/>
              <w:rPr>
                <w:rFonts w:ascii="Aptos Narrow" w:eastAsia="Times New Roman" w:hAnsi="Aptos Narrow"/>
                <w:b/>
                <w:bCs/>
                <w:color w:val="000000"/>
                <w:sz w:val="22"/>
                <w:szCs w:val="22"/>
              </w:rPr>
            </w:pPr>
            <w:r w:rsidRPr="009D02DF">
              <w:rPr>
                <w:rFonts w:ascii="Aptos Narrow" w:eastAsia="Times New Roman" w:hAnsi="Aptos Narrow"/>
                <w:b/>
                <w:bCs/>
                <w:color w:val="000000"/>
                <w:sz w:val="22"/>
                <w:szCs w:val="22"/>
              </w:rPr>
              <w:t>Adults</w:t>
            </w:r>
          </w:p>
        </w:tc>
        <w:tc>
          <w:tcPr>
            <w:tcW w:w="2126" w:type="dxa"/>
            <w:tcBorders>
              <w:top w:val="nil"/>
              <w:left w:val="nil"/>
              <w:bottom w:val="single" w:sz="4" w:space="0" w:color="auto"/>
              <w:right w:val="single" w:sz="4" w:space="0" w:color="auto"/>
            </w:tcBorders>
            <w:vAlign w:val="center"/>
            <w:hideMark/>
          </w:tcPr>
          <w:p w14:paraId="3385E53D" w14:textId="0FAED071" w:rsidR="00C97A55" w:rsidRPr="009D02DF" w:rsidRDefault="00C97A55">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18</w:t>
            </w:r>
            <w:r>
              <w:rPr>
                <w:rFonts w:ascii="Aptos Narrow" w:eastAsia="Times New Roman" w:hAnsi="Aptos Narrow"/>
                <w:color w:val="000000"/>
                <w:sz w:val="22"/>
                <w:szCs w:val="22"/>
              </w:rPr>
              <w:t xml:space="preserve"> to under 30</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32B82243" w14:textId="77777777" w:rsidR="00C97A55" w:rsidRPr="009D02DF" w:rsidRDefault="00C97A55">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62.9</w:t>
            </w:r>
          </w:p>
        </w:tc>
        <w:tc>
          <w:tcPr>
            <w:tcW w:w="1134" w:type="dxa"/>
            <w:tcBorders>
              <w:top w:val="nil"/>
              <w:left w:val="nil"/>
              <w:bottom w:val="single" w:sz="4" w:space="0" w:color="auto"/>
              <w:right w:val="single" w:sz="4" w:space="0" w:color="auto"/>
            </w:tcBorders>
            <w:vAlign w:val="center"/>
            <w:hideMark/>
          </w:tcPr>
          <w:p w14:paraId="5D073AA8" w14:textId="77777777" w:rsidR="00C97A55" w:rsidRPr="009D02DF" w:rsidRDefault="00C97A55">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57.8</w:t>
            </w:r>
          </w:p>
        </w:tc>
        <w:tc>
          <w:tcPr>
            <w:tcW w:w="1276" w:type="dxa"/>
            <w:tcBorders>
              <w:top w:val="nil"/>
              <w:left w:val="nil"/>
              <w:bottom w:val="single" w:sz="4" w:space="0" w:color="auto"/>
              <w:right w:val="single" w:sz="4" w:space="0" w:color="auto"/>
            </w:tcBorders>
            <w:vAlign w:val="center"/>
            <w:hideMark/>
          </w:tcPr>
          <w:p w14:paraId="79622275" w14:textId="77777777" w:rsidR="00C97A55" w:rsidRPr="009D02DF" w:rsidRDefault="00C97A55">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68.9</w:t>
            </w:r>
          </w:p>
        </w:tc>
        <w:tc>
          <w:tcPr>
            <w:tcW w:w="1984" w:type="dxa"/>
            <w:vMerge/>
            <w:tcBorders>
              <w:top w:val="nil"/>
              <w:left w:val="single" w:sz="4" w:space="0" w:color="auto"/>
              <w:bottom w:val="single" w:sz="4" w:space="0" w:color="000000"/>
              <w:right w:val="single" w:sz="4" w:space="0" w:color="auto"/>
            </w:tcBorders>
            <w:vAlign w:val="center"/>
            <w:hideMark/>
          </w:tcPr>
          <w:p w14:paraId="44D0E421" w14:textId="77777777" w:rsidR="00C97A55" w:rsidRPr="009D02DF" w:rsidRDefault="00C97A55">
            <w:pPr>
              <w:spacing w:before="0" w:after="0" w:line="240" w:lineRule="auto"/>
              <w:rPr>
                <w:rFonts w:ascii="Aptos Narrow" w:eastAsia="Times New Roman" w:hAnsi="Aptos Narrow"/>
                <w:color w:val="000000"/>
                <w:sz w:val="22"/>
                <w:szCs w:val="22"/>
              </w:rPr>
            </w:pPr>
          </w:p>
        </w:tc>
      </w:tr>
      <w:tr w:rsidR="00C97A55" w:rsidRPr="009D02DF" w14:paraId="1C472F81" w14:textId="77777777" w:rsidTr="008D6050">
        <w:trPr>
          <w:trHeight w:val="288"/>
        </w:trPr>
        <w:tc>
          <w:tcPr>
            <w:tcW w:w="1555" w:type="dxa"/>
            <w:vMerge/>
            <w:tcBorders>
              <w:top w:val="nil"/>
              <w:left w:val="single" w:sz="4" w:space="0" w:color="auto"/>
              <w:bottom w:val="single" w:sz="4" w:space="0" w:color="auto"/>
              <w:right w:val="single" w:sz="4" w:space="0" w:color="auto"/>
            </w:tcBorders>
            <w:vAlign w:val="center"/>
            <w:hideMark/>
          </w:tcPr>
          <w:p w14:paraId="7280C9A6" w14:textId="77777777" w:rsidR="00C97A55" w:rsidRPr="009D02DF" w:rsidRDefault="00C97A55">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51C4D8C5" w14:textId="22944FBD" w:rsidR="00C97A55" w:rsidRPr="009D02DF" w:rsidRDefault="00C97A55">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30</w:t>
            </w:r>
            <w:r>
              <w:rPr>
                <w:rFonts w:ascii="Aptos Narrow" w:eastAsia="Times New Roman" w:hAnsi="Aptos Narrow"/>
                <w:color w:val="000000"/>
                <w:sz w:val="22"/>
                <w:szCs w:val="22"/>
              </w:rPr>
              <w:t xml:space="preserve"> to under 50</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07BCD3F6" w14:textId="77777777" w:rsidR="00C97A55" w:rsidRPr="009D02DF" w:rsidRDefault="00C97A55">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62.1</w:t>
            </w:r>
          </w:p>
        </w:tc>
        <w:tc>
          <w:tcPr>
            <w:tcW w:w="1134" w:type="dxa"/>
            <w:tcBorders>
              <w:top w:val="nil"/>
              <w:left w:val="nil"/>
              <w:bottom w:val="single" w:sz="4" w:space="0" w:color="auto"/>
              <w:right w:val="single" w:sz="4" w:space="0" w:color="auto"/>
            </w:tcBorders>
            <w:vAlign w:val="center"/>
            <w:hideMark/>
          </w:tcPr>
          <w:p w14:paraId="721C4866" w14:textId="77777777" w:rsidR="00C97A55" w:rsidRPr="009D02DF" w:rsidRDefault="00C97A55">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57.8</w:t>
            </w:r>
          </w:p>
        </w:tc>
        <w:tc>
          <w:tcPr>
            <w:tcW w:w="1276" w:type="dxa"/>
            <w:tcBorders>
              <w:top w:val="nil"/>
              <w:left w:val="nil"/>
              <w:bottom w:val="single" w:sz="4" w:space="0" w:color="auto"/>
              <w:right w:val="single" w:sz="4" w:space="0" w:color="auto"/>
            </w:tcBorders>
            <w:vAlign w:val="center"/>
            <w:hideMark/>
          </w:tcPr>
          <w:p w14:paraId="42126E8F" w14:textId="77777777" w:rsidR="00C97A55" w:rsidRPr="009D02DF" w:rsidRDefault="00C97A55">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67.4</w:t>
            </w:r>
          </w:p>
        </w:tc>
        <w:tc>
          <w:tcPr>
            <w:tcW w:w="1984" w:type="dxa"/>
            <w:vMerge/>
            <w:tcBorders>
              <w:top w:val="nil"/>
              <w:left w:val="single" w:sz="4" w:space="0" w:color="auto"/>
              <w:bottom w:val="single" w:sz="4" w:space="0" w:color="000000"/>
              <w:right w:val="single" w:sz="4" w:space="0" w:color="auto"/>
            </w:tcBorders>
            <w:vAlign w:val="center"/>
            <w:hideMark/>
          </w:tcPr>
          <w:p w14:paraId="58284761" w14:textId="77777777" w:rsidR="00C97A55" w:rsidRPr="009D02DF" w:rsidRDefault="00C97A55">
            <w:pPr>
              <w:spacing w:before="0" w:after="0" w:line="240" w:lineRule="auto"/>
              <w:rPr>
                <w:rFonts w:ascii="Aptos Narrow" w:eastAsia="Times New Roman" w:hAnsi="Aptos Narrow"/>
                <w:color w:val="000000"/>
                <w:sz w:val="22"/>
                <w:szCs w:val="22"/>
              </w:rPr>
            </w:pPr>
          </w:p>
        </w:tc>
      </w:tr>
      <w:tr w:rsidR="00C97A55" w:rsidRPr="009D02DF" w14:paraId="7328F695" w14:textId="77777777" w:rsidTr="008D6050">
        <w:trPr>
          <w:trHeight w:val="288"/>
        </w:trPr>
        <w:tc>
          <w:tcPr>
            <w:tcW w:w="1555" w:type="dxa"/>
            <w:vMerge/>
            <w:tcBorders>
              <w:top w:val="nil"/>
              <w:left w:val="single" w:sz="4" w:space="0" w:color="auto"/>
              <w:bottom w:val="single" w:sz="4" w:space="0" w:color="auto"/>
              <w:right w:val="single" w:sz="4" w:space="0" w:color="auto"/>
            </w:tcBorders>
            <w:vAlign w:val="center"/>
            <w:hideMark/>
          </w:tcPr>
          <w:p w14:paraId="71F6247A" w14:textId="77777777" w:rsidR="00C97A55" w:rsidRPr="009D02DF" w:rsidRDefault="00C97A55">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0AE25A81" w14:textId="026A78EE" w:rsidR="00C97A55" w:rsidRPr="009D02DF" w:rsidRDefault="00C97A55">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50</w:t>
            </w:r>
            <w:r>
              <w:rPr>
                <w:rFonts w:ascii="Aptos Narrow" w:eastAsia="Times New Roman" w:hAnsi="Aptos Narrow"/>
                <w:color w:val="000000"/>
                <w:sz w:val="22"/>
                <w:szCs w:val="22"/>
              </w:rPr>
              <w:t xml:space="preserve"> to under 65</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28B6B5D8" w14:textId="77777777" w:rsidR="00C97A55" w:rsidRPr="009D02DF" w:rsidRDefault="00C97A55">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60.7</w:t>
            </w:r>
          </w:p>
        </w:tc>
        <w:tc>
          <w:tcPr>
            <w:tcW w:w="1134" w:type="dxa"/>
            <w:tcBorders>
              <w:top w:val="nil"/>
              <w:left w:val="nil"/>
              <w:bottom w:val="single" w:sz="4" w:space="0" w:color="auto"/>
              <w:right w:val="single" w:sz="4" w:space="0" w:color="auto"/>
            </w:tcBorders>
            <w:vAlign w:val="center"/>
            <w:hideMark/>
          </w:tcPr>
          <w:p w14:paraId="046AF50A" w14:textId="77777777" w:rsidR="00C97A55" w:rsidRPr="009D02DF" w:rsidRDefault="00C97A55">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56.4</w:t>
            </w:r>
          </w:p>
        </w:tc>
        <w:tc>
          <w:tcPr>
            <w:tcW w:w="1276" w:type="dxa"/>
            <w:tcBorders>
              <w:top w:val="nil"/>
              <w:left w:val="nil"/>
              <w:bottom w:val="single" w:sz="4" w:space="0" w:color="auto"/>
              <w:right w:val="single" w:sz="4" w:space="0" w:color="auto"/>
            </w:tcBorders>
            <w:vAlign w:val="center"/>
            <w:hideMark/>
          </w:tcPr>
          <w:p w14:paraId="164744BF" w14:textId="77777777" w:rsidR="00C97A55" w:rsidRPr="009D02DF" w:rsidRDefault="00C97A55">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65.9</w:t>
            </w:r>
          </w:p>
        </w:tc>
        <w:tc>
          <w:tcPr>
            <w:tcW w:w="1984" w:type="dxa"/>
            <w:vMerge/>
            <w:tcBorders>
              <w:top w:val="nil"/>
              <w:left w:val="single" w:sz="4" w:space="0" w:color="auto"/>
              <w:bottom w:val="single" w:sz="4" w:space="0" w:color="000000"/>
              <w:right w:val="single" w:sz="4" w:space="0" w:color="auto"/>
            </w:tcBorders>
            <w:vAlign w:val="center"/>
            <w:hideMark/>
          </w:tcPr>
          <w:p w14:paraId="47250B22" w14:textId="77777777" w:rsidR="00C97A55" w:rsidRPr="009D02DF" w:rsidRDefault="00C97A55">
            <w:pPr>
              <w:spacing w:before="0" w:after="0" w:line="240" w:lineRule="auto"/>
              <w:rPr>
                <w:rFonts w:ascii="Aptos Narrow" w:eastAsia="Times New Roman" w:hAnsi="Aptos Narrow"/>
                <w:color w:val="000000"/>
                <w:sz w:val="22"/>
                <w:szCs w:val="22"/>
              </w:rPr>
            </w:pPr>
          </w:p>
        </w:tc>
      </w:tr>
      <w:tr w:rsidR="00C97A55" w:rsidRPr="009D02DF" w14:paraId="0D6F3DB5" w14:textId="77777777" w:rsidTr="008D6050">
        <w:trPr>
          <w:trHeight w:val="288"/>
        </w:trPr>
        <w:tc>
          <w:tcPr>
            <w:tcW w:w="1555" w:type="dxa"/>
            <w:vMerge/>
            <w:tcBorders>
              <w:top w:val="nil"/>
              <w:left w:val="single" w:sz="4" w:space="0" w:color="auto"/>
              <w:bottom w:val="single" w:sz="4" w:space="0" w:color="auto"/>
              <w:right w:val="single" w:sz="4" w:space="0" w:color="auto"/>
            </w:tcBorders>
            <w:vAlign w:val="center"/>
            <w:hideMark/>
          </w:tcPr>
          <w:p w14:paraId="0588AD2A" w14:textId="77777777" w:rsidR="00C97A55" w:rsidRPr="009D02DF" w:rsidRDefault="00C97A55">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6767E19F" w14:textId="42BB873B" w:rsidR="00C97A55" w:rsidRPr="009D02DF" w:rsidRDefault="00C97A55">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65</w:t>
            </w:r>
            <w:r>
              <w:rPr>
                <w:rFonts w:ascii="Aptos Narrow" w:eastAsia="Times New Roman" w:hAnsi="Aptos Narrow"/>
                <w:color w:val="000000"/>
                <w:sz w:val="22"/>
                <w:szCs w:val="22"/>
              </w:rPr>
              <w:t xml:space="preserve"> to under 75</w:t>
            </w:r>
            <w:r w:rsidRPr="009D02DF">
              <w:rPr>
                <w:rFonts w:ascii="Aptos Narrow" w:eastAsia="Times New Roman" w:hAnsi="Aptos Narrow"/>
                <w:color w:val="000000"/>
                <w:sz w:val="22"/>
                <w:szCs w:val="22"/>
              </w:rPr>
              <w:t xml:space="preserve"> years</w:t>
            </w:r>
          </w:p>
        </w:tc>
        <w:tc>
          <w:tcPr>
            <w:tcW w:w="1134" w:type="dxa"/>
            <w:tcBorders>
              <w:top w:val="nil"/>
              <w:left w:val="nil"/>
              <w:bottom w:val="single" w:sz="4" w:space="0" w:color="auto"/>
              <w:right w:val="single" w:sz="4" w:space="0" w:color="auto"/>
            </w:tcBorders>
            <w:vAlign w:val="center"/>
            <w:hideMark/>
          </w:tcPr>
          <w:p w14:paraId="174787E7" w14:textId="77777777" w:rsidR="00C97A55" w:rsidRPr="009D02DF" w:rsidRDefault="00C97A55">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59.2</w:t>
            </w:r>
          </w:p>
        </w:tc>
        <w:tc>
          <w:tcPr>
            <w:tcW w:w="1134" w:type="dxa"/>
            <w:tcBorders>
              <w:top w:val="nil"/>
              <w:left w:val="nil"/>
              <w:bottom w:val="single" w:sz="4" w:space="0" w:color="auto"/>
              <w:right w:val="single" w:sz="4" w:space="0" w:color="auto"/>
            </w:tcBorders>
            <w:vAlign w:val="center"/>
            <w:hideMark/>
          </w:tcPr>
          <w:p w14:paraId="2E35550D" w14:textId="77777777" w:rsidR="00C97A55" w:rsidRPr="009D02DF" w:rsidRDefault="00C97A55">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55</w:t>
            </w:r>
          </w:p>
        </w:tc>
        <w:tc>
          <w:tcPr>
            <w:tcW w:w="1276" w:type="dxa"/>
            <w:tcBorders>
              <w:top w:val="nil"/>
              <w:left w:val="nil"/>
              <w:bottom w:val="single" w:sz="4" w:space="0" w:color="auto"/>
              <w:right w:val="single" w:sz="4" w:space="0" w:color="auto"/>
            </w:tcBorders>
            <w:vAlign w:val="center"/>
            <w:hideMark/>
          </w:tcPr>
          <w:p w14:paraId="4F0CAD09" w14:textId="77777777" w:rsidR="00C97A55" w:rsidRPr="009D02DF" w:rsidRDefault="00C97A55">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64.3</w:t>
            </w:r>
          </w:p>
        </w:tc>
        <w:tc>
          <w:tcPr>
            <w:tcW w:w="1984" w:type="dxa"/>
            <w:vMerge/>
            <w:tcBorders>
              <w:top w:val="nil"/>
              <w:left w:val="single" w:sz="4" w:space="0" w:color="auto"/>
              <w:bottom w:val="single" w:sz="4" w:space="0" w:color="000000"/>
              <w:right w:val="single" w:sz="4" w:space="0" w:color="auto"/>
            </w:tcBorders>
            <w:vAlign w:val="center"/>
            <w:hideMark/>
          </w:tcPr>
          <w:p w14:paraId="34571FE4" w14:textId="77777777" w:rsidR="00C97A55" w:rsidRPr="009D02DF" w:rsidRDefault="00C97A55">
            <w:pPr>
              <w:spacing w:before="0" w:after="0" w:line="240" w:lineRule="auto"/>
              <w:rPr>
                <w:rFonts w:ascii="Aptos Narrow" w:eastAsia="Times New Roman" w:hAnsi="Aptos Narrow"/>
                <w:color w:val="000000"/>
                <w:sz w:val="22"/>
                <w:szCs w:val="22"/>
              </w:rPr>
            </w:pPr>
          </w:p>
        </w:tc>
      </w:tr>
      <w:tr w:rsidR="00C97A55" w:rsidRPr="009D02DF" w14:paraId="0489FCAA" w14:textId="77777777" w:rsidTr="008D6050">
        <w:trPr>
          <w:trHeight w:val="288"/>
        </w:trPr>
        <w:tc>
          <w:tcPr>
            <w:tcW w:w="1555" w:type="dxa"/>
            <w:vMerge/>
            <w:tcBorders>
              <w:top w:val="nil"/>
              <w:left w:val="single" w:sz="4" w:space="0" w:color="auto"/>
              <w:bottom w:val="single" w:sz="4" w:space="0" w:color="auto"/>
              <w:right w:val="single" w:sz="4" w:space="0" w:color="auto"/>
            </w:tcBorders>
            <w:vAlign w:val="center"/>
            <w:hideMark/>
          </w:tcPr>
          <w:p w14:paraId="7F9EEDFD" w14:textId="77777777" w:rsidR="00C97A55" w:rsidRPr="009D02DF" w:rsidRDefault="00C97A55">
            <w:pPr>
              <w:spacing w:before="0" w:after="0" w:line="240" w:lineRule="auto"/>
              <w:rPr>
                <w:rFonts w:ascii="Aptos Narrow" w:eastAsia="Times New Roman" w:hAnsi="Aptos Narrow"/>
                <w:b/>
                <w:bCs/>
                <w:color w:val="000000"/>
                <w:sz w:val="22"/>
                <w:szCs w:val="22"/>
              </w:rPr>
            </w:pPr>
          </w:p>
        </w:tc>
        <w:tc>
          <w:tcPr>
            <w:tcW w:w="2126" w:type="dxa"/>
            <w:tcBorders>
              <w:top w:val="nil"/>
              <w:left w:val="nil"/>
              <w:bottom w:val="single" w:sz="4" w:space="0" w:color="auto"/>
              <w:right w:val="single" w:sz="4" w:space="0" w:color="auto"/>
            </w:tcBorders>
            <w:vAlign w:val="center"/>
            <w:hideMark/>
          </w:tcPr>
          <w:p w14:paraId="0F1D0DAE" w14:textId="77777777" w:rsidR="00C97A55" w:rsidRPr="009D02DF" w:rsidRDefault="00C97A55">
            <w:pPr>
              <w:spacing w:before="0" w:after="0" w:line="240" w:lineRule="auto"/>
              <w:rPr>
                <w:rFonts w:ascii="Aptos Narrow" w:eastAsia="Times New Roman" w:hAnsi="Aptos Narrow"/>
                <w:color w:val="000000"/>
                <w:sz w:val="22"/>
                <w:szCs w:val="22"/>
              </w:rPr>
            </w:pPr>
            <w:r w:rsidRPr="009D02DF">
              <w:rPr>
                <w:rFonts w:ascii="Aptos Narrow" w:eastAsia="Times New Roman" w:hAnsi="Aptos Narrow"/>
                <w:color w:val="000000"/>
                <w:sz w:val="22"/>
                <w:szCs w:val="22"/>
              </w:rPr>
              <w:t>75+ years</w:t>
            </w:r>
          </w:p>
        </w:tc>
        <w:tc>
          <w:tcPr>
            <w:tcW w:w="1134" w:type="dxa"/>
            <w:tcBorders>
              <w:top w:val="nil"/>
              <w:left w:val="nil"/>
              <w:bottom w:val="single" w:sz="4" w:space="0" w:color="auto"/>
              <w:right w:val="single" w:sz="4" w:space="0" w:color="auto"/>
            </w:tcBorders>
            <w:vAlign w:val="center"/>
            <w:hideMark/>
          </w:tcPr>
          <w:p w14:paraId="68A28EF8" w14:textId="77777777" w:rsidR="00C97A55" w:rsidRPr="009D02DF" w:rsidRDefault="00C97A55">
            <w:pPr>
              <w:spacing w:before="0" w:after="0" w:line="240" w:lineRule="auto"/>
              <w:jc w:val="right"/>
              <w:rPr>
                <w:rFonts w:ascii="Aptos Narrow" w:eastAsia="Times New Roman" w:hAnsi="Aptos Narrow"/>
                <w:color w:val="000000"/>
                <w:sz w:val="22"/>
                <w:szCs w:val="22"/>
              </w:rPr>
            </w:pPr>
            <w:r w:rsidRPr="009D02DF">
              <w:rPr>
                <w:rFonts w:ascii="Aptos Narrow" w:eastAsia="Times New Roman" w:hAnsi="Aptos Narrow"/>
                <w:color w:val="000000"/>
                <w:sz w:val="22"/>
                <w:szCs w:val="22"/>
              </w:rPr>
              <w:t>57.8</w:t>
            </w:r>
          </w:p>
        </w:tc>
        <w:tc>
          <w:tcPr>
            <w:tcW w:w="1134" w:type="dxa"/>
            <w:tcBorders>
              <w:top w:val="nil"/>
              <w:left w:val="nil"/>
              <w:bottom w:val="single" w:sz="4" w:space="0" w:color="auto"/>
              <w:right w:val="single" w:sz="4" w:space="0" w:color="auto"/>
            </w:tcBorders>
            <w:vAlign w:val="center"/>
            <w:hideMark/>
          </w:tcPr>
          <w:p w14:paraId="3F53BA3A" w14:textId="77777777" w:rsidR="00C97A55" w:rsidRPr="009D02DF" w:rsidRDefault="00C97A55">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52.9</w:t>
            </w:r>
          </w:p>
        </w:tc>
        <w:tc>
          <w:tcPr>
            <w:tcW w:w="1276" w:type="dxa"/>
            <w:tcBorders>
              <w:top w:val="nil"/>
              <w:left w:val="nil"/>
              <w:bottom w:val="single" w:sz="4" w:space="0" w:color="auto"/>
              <w:right w:val="single" w:sz="4" w:space="0" w:color="auto"/>
            </w:tcBorders>
            <w:vAlign w:val="center"/>
            <w:hideMark/>
          </w:tcPr>
          <w:p w14:paraId="0A1C1FC3" w14:textId="77777777" w:rsidR="00C97A55" w:rsidRPr="009D02DF" w:rsidRDefault="00C97A55">
            <w:pPr>
              <w:spacing w:before="0" w:after="0" w:line="240" w:lineRule="auto"/>
              <w:jc w:val="right"/>
              <w:rPr>
                <w:rFonts w:ascii="Aptos Narrow" w:eastAsia="Times New Roman" w:hAnsi="Aptos Narrow"/>
                <w:color w:val="09002E"/>
                <w:sz w:val="22"/>
                <w:szCs w:val="22"/>
              </w:rPr>
            </w:pPr>
            <w:r w:rsidRPr="009D02DF">
              <w:rPr>
                <w:rFonts w:ascii="Aptos Narrow" w:eastAsia="Times New Roman" w:hAnsi="Aptos Narrow"/>
                <w:color w:val="09002E"/>
                <w:sz w:val="22"/>
                <w:szCs w:val="22"/>
              </w:rPr>
              <w:t>62.9</w:t>
            </w:r>
          </w:p>
        </w:tc>
        <w:tc>
          <w:tcPr>
            <w:tcW w:w="1984" w:type="dxa"/>
            <w:vMerge/>
            <w:tcBorders>
              <w:top w:val="nil"/>
              <w:left w:val="single" w:sz="4" w:space="0" w:color="auto"/>
              <w:bottom w:val="single" w:sz="4" w:space="0" w:color="000000"/>
              <w:right w:val="single" w:sz="4" w:space="0" w:color="auto"/>
            </w:tcBorders>
            <w:vAlign w:val="center"/>
            <w:hideMark/>
          </w:tcPr>
          <w:p w14:paraId="73FB2366" w14:textId="77777777" w:rsidR="00C97A55" w:rsidRPr="009D02DF" w:rsidRDefault="00C97A55">
            <w:pPr>
              <w:spacing w:before="0" w:after="0" w:line="240" w:lineRule="auto"/>
              <w:rPr>
                <w:rFonts w:ascii="Aptos Narrow" w:eastAsia="Times New Roman" w:hAnsi="Aptos Narrow"/>
                <w:color w:val="000000"/>
                <w:sz w:val="22"/>
                <w:szCs w:val="22"/>
              </w:rPr>
            </w:pPr>
          </w:p>
        </w:tc>
      </w:tr>
    </w:tbl>
    <w:p w14:paraId="3CAEBBEE" w14:textId="346145A4" w:rsidR="00C97A55" w:rsidRPr="00365D07" w:rsidRDefault="00C97A55" w:rsidP="00C97A55">
      <w:pPr>
        <w:rPr>
          <w:sz w:val="18"/>
        </w:rPr>
      </w:pPr>
      <w:r>
        <w:rPr>
          <w:sz w:val="18"/>
        </w:rPr>
        <w:t>*</w:t>
      </w:r>
      <w:r w:rsidRPr="00365D07">
        <w:rPr>
          <w:sz w:val="18"/>
        </w:rPr>
        <w:t xml:space="preserve">Attachment </w:t>
      </w:r>
      <w:proofErr w:type="gramStart"/>
      <w:r w:rsidRPr="00365D07">
        <w:rPr>
          <w:sz w:val="18"/>
        </w:rPr>
        <w:t>1  Australian</w:t>
      </w:r>
      <w:proofErr w:type="gramEnd"/>
      <w:r w:rsidRPr="00365D07">
        <w:rPr>
          <w:sz w:val="18"/>
        </w:rPr>
        <w:t xml:space="preserve"> Ideal Bodyweight Dataset 2022-24 supplied by the ABS.</w:t>
      </w:r>
    </w:p>
    <w:p w14:paraId="12AB4C9F" w14:textId="77777777" w:rsidR="002A21B0" w:rsidRDefault="002A21B0" w:rsidP="008E7B4D">
      <w:pPr>
        <w:pStyle w:val="Caption"/>
        <w:keepNext/>
      </w:pPr>
    </w:p>
    <w:p w14:paraId="7DF5D1E7" w14:textId="77777777" w:rsidR="00CD696A" w:rsidRDefault="00CD696A">
      <w:pPr>
        <w:spacing w:line="240" w:lineRule="atLeast"/>
        <w:rPr>
          <w:rFonts w:ascii="Gotham Medium" w:hAnsi="Gotham Medium"/>
          <w:iCs/>
        </w:rPr>
      </w:pPr>
      <w:r>
        <w:br w:type="page"/>
      </w:r>
    </w:p>
    <w:p w14:paraId="0BA67472" w14:textId="091822A5" w:rsidR="008E7B4D" w:rsidRDefault="005541A3" w:rsidP="008E7B4D">
      <w:pPr>
        <w:pStyle w:val="Caption"/>
        <w:keepNext/>
        <w:rPr>
          <w:i/>
          <w:iCs w:val="0"/>
        </w:rPr>
      </w:pPr>
      <w:r>
        <w:lastRenderedPageBreak/>
        <w:t>Table C.3.</w:t>
      </w:r>
      <w:r w:rsidR="002A6476">
        <w:t>2</w:t>
      </w:r>
      <w:r w:rsidR="00B60C24" w:rsidRPr="00B60C24">
        <w:t xml:space="preserve"> Weight-for-age percentiles derived from the World Health Organization (WHO) Child Growth Standards, u</w:t>
      </w:r>
      <w:r w:rsidR="00365D07">
        <w:t>sed</w:t>
      </w:r>
      <w:r w:rsidR="00B60C24" w:rsidRPr="00B60C24">
        <w:t xml:space="preserve"> to calculate reference weights for children under two years of age.</w:t>
      </w:r>
      <w:r w:rsidR="00B60C24" w:rsidRPr="00B60C24" w:rsidDel="00B60C24">
        <w:rPr>
          <w:highlight w:val="yellow"/>
        </w:rPr>
        <w:t xml:space="preserve"> </w:t>
      </w:r>
    </w:p>
    <w:tbl>
      <w:tblPr>
        <w:tblStyle w:val="TableGrid"/>
        <w:tblW w:w="0" w:type="auto"/>
        <w:tblLook w:val="0620" w:firstRow="1" w:lastRow="0" w:firstColumn="0" w:lastColumn="0" w:noHBand="1" w:noVBand="1"/>
      </w:tblPr>
      <w:tblGrid>
        <w:gridCol w:w="1413"/>
        <w:gridCol w:w="970"/>
        <w:gridCol w:w="1369"/>
        <w:gridCol w:w="1488"/>
      </w:tblGrid>
      <w:tr w:rsidR="00967481" w14:paraId="64E19E08" w14:textId="77777777" w:rsidTr="008D6050">
        <w:tc>
          <w:tcPr>
            <w:tcW w:w="1413" w:type="dxa"/>
            <w:vMerge w:val="restart"/>
            <w:vAlign w:val="center"/>
          </w:tcPr>
          <w:p w14:paraId="5CB37BFC" w14:textId="69BFDDAB" w:rsidR="00967481" w:rsidRPr="001D3902" w:rsidRDefault="00967481" w:rsidP="007F3EA9">
            <w:pPr>
              <w:spacing w:before="0" w:after="0"/>
              <w:rPr>
                <w:rFonts w:ascii="Aptos" w:hAnsi="Aptos"/>
                <w:b/>
                <w:sz w:val="22"/>
                <w:szCs w:val="22"/>
              </w:rPr>
            </w:pPr>
            <w:proofErr w:type="spellStart"/>
            <w:proofErr w:type="gramStart"/>
            <w:r w:rsidRPr="001D3902">
              <w:rPr>
                <w:rFonts w:ascii="Aptos" w:hAnsi="Aptos"/>
                <w:b/>
                <w:sz w:val="22"/>
                <w:szCs w:val="22"/>
              </w:rPr>
              <w:t>Year:Month</w:t>
            </w:r>
            <w:proofErr w:type="spellEnd"/>
            <w:proofErr w:type="gramEnd"/>
          </w:p>
        </w:tc>
        <w:tc>
          <w:tcPr>
            <w:tcW w:w="970" w:type="dxa"/>
            <w:vMerge w:val="restart"/>
            <w:vAlign w:val="center"/>
          </w:tcPr>
          <w:p w14:paraId="6CA862C9" w14:textId="12B7D67E" w:rsidR="00967481" w:rsidRPr="001D3902" w:rsidRDefault="00967481" w:rsidP="007F3EA9">
            <w:pPr>
              <w:spacing w:before="0" w:after="0"/>
              <w:rPr>
                <w:rFonts w:ascii="Aptos" w:hAnsi="Aptos"/>
                <w:b/>
                <w:sz w:val="22"/>
                <w:szCs w:val="22"/>
              </w:rPr>
            </w:pPr>
            <w:r w:rsidRPr="001D3902">
              <w:rPr>
                <w:rFonts w:ascii="Aptos" w:hAnsi="Aptos"/>
                <w:b/>
                <w:sz w:val="22"/>
                <w:szCs w:val="22"/>
              </w:rPr>
              <w:t>Months</w:t>
            </w:r>
          </w:p>
        </w:tc>
        <w:tc>
          <w:tcPr>
            <w:tcW w:w="2857" w:type="dxa"/>
            <w:gridSpan w:val="2"/>
            <w:vAlign w:val="center"/>
          </w:tcPr>
          <w:p w14:paraId="1F784AFD" w14:textId="64873F80" w:rsidR="00967481" w:rsidRPr="001D3902" w:rsidRDefault="00967481" w:rsidP="007F3EA9">
            <w:pPr>
              <w:spacing w:before="0" w:after="0"/>
              <w:jc w:val="center"/>
              <w:rPr>
                <w:rFonts w:ascii="Aptos" w:hAnsi="Aptos"/>
                <w:b/>
                <w:sz w:val="22"/>
                <w:szCs w:val="22"/>
              </w:rPr>
            </w:pPr>
            <w:r w:rsidRPr="001D3902">
              <w:rPr>
                <w:rFonts w:ascii="Aptos" w:hAnsi="Aptos"/>
                <w:b/>
                <w:sz w:val="22"/>
                <w:szCs w:val="22"/>
              </w:rPr>
              <w:t>Median Weight</w:t>
            </w:r>
          </w:p>
        </w:tc>
      </w:tr>
      <w:tr w:rsidR="00967481" w14:paraId="23ED3810" w14:textId="7933C270" w:rsidTr="008D6050">
        <w:tc>
          <w:tcPr>
            <w:tcW w:w="1413" w:type="dxa"/>
            <w:vMerge/>
            <w:vAlign w:val="center"/>
          </w:tcPr>
          <w:p w14:paraId="5C91CDD3" w14:textId="5E72313E" w:rsidR="00967481" w:rsidRPr="001D3902" w:rsidRDefault="00967481" w:rsidP="007F3EA9">
            <w:pPr>
              <w:spacing w:before="0" w:after="0"/>
              <w:rPr>
                <w:rFonts w:ascii="Aptos" w:hAnsi="Aptos"/>
                <w:b/>
                <w:sz w:val="22"/>
                <w:szCs w:val="22"/>
              </w:rPr>
            </w:pPr>
          </w:p>
        </w:tc>
        <w:tc>
          <w:tcPr>
            <w:tcW w:w="970" w:type="dxa"/>
            <w:vMerge/>
            <w:vAlign w:val="center"/>
          </w:tcPr>
          <w:p w14:paraId="60920113" w14:textId="68B7C401" w:rsidR="00967481" w:rsidRPr="001D3902" w:rsidRDefault="00967481" w:rsidP="007F3EA9">
            <w:pPr>
              <w:spacing w:before="0" w:after="0"/>
              <w:rPr>
                <w:rFonts w:ascii="Aptos" w:hAnsi="Aptos"/>
                <w:b/>
                <w:sz w:val="22"/>
                <w:szCs w:val="22"/>
              </w:rPr>
            </w:pPr>
          </w:p>
        </w:tc>
        <w:tc>
          <w:tcPr>
            <w:tcW w:w="1369" w:type="dxa"/>
            <w:vAlign w:val="center"/>
          </w:tcPr>
          <w:p w14:paraId="5C40258B" w14:textId="601ECF2F" w:rsidR="00967481" w:rsidRPr="001D3902" w:rsidRDefault="00967481" w:rsidP="007F3EA9">
            <w:pPr>
              <w:spacing w:before="0" w:after="0"/>
              <w:rPr>
                <w:rFonts w:ascii="Aptos" w:hAnsi="Aptos"/>
                <w:b/>
                <w:sz w:val="22"/>
                <w:szCs w:val="22"/>
              </w:rPr>
            </w:pPr>
            <w:r w:rsidRPr="001D3902">
              <w:rPr>
                <w:rFonts w:ascii="Aptos" w:hAnsi="Aptos"/>
                <w:b/>
                <w:sz w:val="22"/>
                <w:szCs w:val="22"/>
              </w:rPr>
              <w:t>Girls</w:t>
            </w:r>
          </w:p>
        </w:tc>
        <w:tc>
          <w:tcPr>
            <w:tcW w:w="1488" w:type="dxa"/>
            <w:vAlign w:val="center"/>
          </w:tcPr>
          <w:p w14:paraId="51B73D92" w14:textId="1DEE8257" w:rsidR="00967481" w:rsidRPr="001D3902" w:rsidRDefault="00967481" w:rsidP="007F3EA9">
            <w:pPr>
              <w:spacing w:before="0" w:after="0"/>
              <w:rPr>
                <w:rFonts w:ascii="Aptos" w:hAnsi="Aptos"/>
                <w:b/>
                <w:sz w:val="22"/>
                <w:szCs w:val="22"/>
              </w:rPr>
            </w:pPr>
            <w:r w:rsidRPr="001D3902">
              <w:rPr>
                <w:rFonts w:ascii="Aptos" w:hAnsi="Aptos"/>
                <w:b/>
                <w:sz w:val="22"/>
                <w:szCs w:val="22"/>
              </w:rPr>
              <w:t>Boys</w:t>
            </w:r>
          </w:p>
        </w:tc>
      </w:tr>
      <w:tr w:rsidR="0046468E" w14:paraId="0D9C1DAE" w14:textId="02C56BD0" w:rsidTr="008D6050">
        <w:tc>
          <w:tcPr>
            <w:tcW w:w="1413" w:type="dxa"/>
            <w:vAlign w:val="center"/>
          </w:tcPr>
          <w:p w14:paraId="5E8C8D3C" w14:textId="74C37E05" w:rsidR="0046468E" w:rsidRPr="001D3902" w:rsidRDefault="0046468E" w:rsidP="007F3EA9">
            <w:pPr>
              <w:spacing w:before="0" w:after="0"/>
              <w:jc w:val="right"/>
              <w:rPr>
                <w:rFonts w:ascii="Aptos" w:hAnsi="Aptos"/>
                <w:sz w:val="22"/>
                <w:szCs w:val="22"/>
              </w:rPr>
            </w:pPr>
            <w:r w:rsidRPr="001D3902">
              <w:rPr>
                <w:rFonts w:ascii="Aptos" w:hAnsi="Aptos"/>
                <w:sz w:val="22"/>
                <w:szCs w:val="22"/>
              </w:rPr>
              <w:t>0:0</w:t>
            </w:r>
          </w:p>
        </w:tc>
        <w:tc>
          <w:tcPr>
            <w:tcW w:w="970" w:type="dxa"/>
            <w:vAlign w:val="center"/>
          </w:tcPr>
          <w:p w14:paraId="51132551" w14:textId="3B172880" w:rsidR="0046468E" w:rsidRPr="001D3902" w:rsidRDefault="0046468E" w:rsidP="007F3EA9">
            <w:pPr>
              <w:spacing w:before="0" w:after="0"/>
              <w:jc w:val="right"/>
              <w:rPr>
                <w:rFonts w:ascii="Aptos" w:hAnsi="Aptos"/>
                <w:sz w:val="22"/>
                <w:szCs w:val="22"/>
              </w:rPr>
            </w:pPr>
            <w:r w:rsidRPr="001D3902">
              <w:rPr>
                <w:rFonts w:ascii="Aptos" w:hAnsi="Aptos"/>
                <w:sz w:val="22"/>
                <w:szCs w:val="22"/>
              </w:rPr>
              <w:t>0</w:t>
            </w:r>
          </w:p>
        </w:tc>
        <w:tc>
          <w:tcPr>
            <w:tcW w:w="1369" w:type="dxa"/>
            <w:vAlign w:val="center"/>
          </w:tcPr>
          <w:p w14:paraId="668B6B31" w14:textId="5AB342FA"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3.2</w:t>
            </w:r>
          </w:p>
        </w:tc>
        <w:tc>
          <w:tcPr>
            <w:tcW w:w="1488" w:type="dxa"/>
            <w:vAlign w:val="center"/>
          </w:tcPr>
          <w:p w14:paraId="6AC5AB61" w14:textId="7F004802"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3.3</w:t>
            </w:r>
          </w:p>
        </w:tc>
      </w:tr>
      <w:tr w:rsidR="0046468E" w14:paraId="4F4242CB" w14:textId="50F8379A" w:rsidTr="008D6050">
        <w:tc>
          <w:tcPr>
            <w:tcW w:w="1413" w:type="dxa"/>
            <w:vAlign w:val="center"/>
          </w:tcPr>
          <w:p w14:paraId="392B5EBF" w14:textId="51F942BC" w:rsidR="0046468E" w:rsidRPr="001D3902" w:rsidRDefault="0046468E" w:rsidP="007F3EA9">
            <w:pPr>
              <w:spacing w:before="0" w:after="0"/>
              <w:jc w:val="right"/>
              <w:rPr>
                <w:rFonts w:ascii="Aptos" w:hAnsi="Aptos"/>
                <w:sz w:val="22"/>
                <w:szCs w:val="22"/>
              </w:rPr>
            </w:pPr>
            <w:r w:rsidRPr="001D3902">
              <w:rPr>
                <w:rFonts w:ascii="Aptos" w:hAnsi="Aptos"/>
                <w:sz w:val="22"/>
                <w:szCs w:val="22"/>
              </w:rPr>
              <w:t>0:1</w:t>
            </w:r>
          </w:p>
        </w:tc>
        <w:tc>
          <w:tcPr>
            <w:tcW w:w="970" w:type="dxa"/>
            <w:vAlign w:val="center"/>
          </w:tcPr>
          <w:p w14:paraId="4FDEAA9D" w14:textId="7CA1F67D" w:rsidR="0046468E" w:rsidRPr="001D3902" w:rsidRDefault="0046468E" w:rsidP="007F3EA9">
            <w:pPr>
              <w:spacing w:before="0" w:after="0"/>
              <w:jc w:val="right"/>
              <w:rPr>
                <w:rFonts w:ascii="Aptos" w:hAnsi="Aptos"/>
                <w:sz w:val="22"/>
                <w:szCs w:val="22"/>
              </w:rPr>
            </w:pPr>
            <w:r w:rsidRPr="001D3902">
              <w:rPr>
                <w:rFonts w:ascii="Aptos" w:hAnsi="Aptos"/>
                <w:sz w:val="22"/>
                <w:szCs w:val="22"/>
              </w:rPr>
              <w:t>1</w:t>
            </w:r>
          </w:p>
        </w:tc>
        <w:tc>
          <w:tcPr>
            <w:tcW w:w="1369" w:type="dxa"/>
            <w:vAlign w:val="center"/>
          </w:tcPr>
          <w:p w14:paraId="2C443216" w14:textId="2A1D49B0"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4.2</w:t>
            </w:r>
          </w:p>
        </w:tc>
        <w:tc>
          <w:tcPr>
            <w:tcW w:w="1488" w:type="dxa"/>
            <w:vAlign w:val="center"/>
          </w:tcPr>
          <w:p w14:paraId="5D79FC6A" w14:textId="48D76006"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4.5</w:t>
            </w:r>
          </w:p>
        </w:tc>
      </w:tr>
      <w:tr w:rsidR="0046468E" w14:paraId="5F63CC63" w14:textId="1130E4A7" w:rsidTr="008D6050">
        <w:trPr>
          <w:trHeight w:val="358"/>
        </w:trPr>
        <w:tc>
          <w:tcPr>
            <w:tcW w:w="1413" w:type="dxa"/>
            <w:vAlign w:val="center"/>
          </w:tcPr>
          <w:p w14:paraId="3C09468E" w14:textId="202876FB" w:rsidR="0046468E" w:rsidRPr="001D3902" w:rsidRDefault="0046468E" w:rsidP="007F3EA9">
            <w:pPr>
              <w:spacing w:before="0" w:after="0"/>
              <w:jc w:val="right"/>
              <w:rPr>
                <w:rFonts w:ascii="Aptos" w:hAnsi="Aptos"/>
                <w:sz w:val="22"/>
                <w:szCs w:val="22"/>
              </w:rPr>
            </w:pPr>
            <w:r w:rsidRPr="001D3902">
              <w:rPr>
                <w:rFonts w:ascii="Aptos" w:hAnsi="Aptos"/>
                <w:sz w:val="22"/>
                <w:szCs w:val="22"/>
              </w:rPr>
              <w:t>0:2</w:t>
            </w:r>
          </w:p>
        </w:tc>
        <w:tc>
          <w:tcPr>
            <w:tcW w:w="970" w:type="dxa"/>
            <w:vAlign w:val="center"/>
          </w:tcPr>
          <w:p w14:paraId="4AE48323" w14:textId="3614F3D4" w:rsidR="0046468E" w:rsidRPr="001D3902" w:rsidRDefault="0046468E" w:rsidP="007F3EA9">
            <w:pPr>
              <w:spacing w:before="0" w:after="0"/>
              <w:jc w:val="right"/>
              <w:rPr>
                <w:rFonts w:ascii="Aptos" w:hAnsi="Aptos"/>
                <w:sz w:val="22"/>
                <w:szCs w:val="22"/>
              </w:rPr>
            </w:pPr>
            <w:r w:rsidRPr="001D3902">
              <w:rPr>
                <w:rFonts w:ascii="Aptos" w:hAnsi="Aptos"/>
                <w:sz w:val="22"/>
                <w:szCs w:val="22"/>
              </w:rPr>
              <w:t>2</w:t>
            </w:r>
          </w:p>
        </w:tc>
        <w:tc>
          <w:tcPr>
            <w:tcW w:w="1369" w:type="dxa"/>
            <w:vAlign w:val="center"/>
          </w:tcPr>
          <w:p w14:paraId="3B87AF7B" w14:textId="40A0A8BF"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5.1</w:t>
            </w:r>
          </w:p>
        </w:tc>
        <w:tc>
          <w:tcPr>
            <w:tcW w:w="1488" w:type="dxa"/>
            <w:vAlign w:val="center"/>
          </w:tcPr>
          <w:p w14:paraId="1BC0A47A" w14:textId="098BA438"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5.6</w:t>
            </w:r>
          </w:p>
        </w:tc>
      </w:tr>
      <w:tr w:rsidR="0046468E" w14:paraId="3703808F" w14:textId="0B5146C0" w:rsidTr="008D6050">
        <w:tc>
          <w:tcPr>
            <w:tcW w:w="1413" w:type="dxa"/>
            <w:vAlign w:val="center"/>
          </w:tcPr>
          <w:p w14:paraId="12A4CF7A" w14:textId="3C1738F7" w:rsidR="0046468E" w:rsidRPr="001D3902" w:rsidRDefault="0046468E" w:rsidP="007F3EA9">
            <w:pPr>
              <w:spacing w:before="0" w:after="0"/>
              <w:jc w:val="right"/>
              <w:rPr>
                <w:rFonts w:ascii="Aptos" w:hAnsi="Aptos"/>
                <w:sz w:val="22"/>
                <w:szCs w:val="22"/>
              </w:rPr>
            </w:pPr>
            <w:r w:rsidRPr="001D3902">
              <w:rPr>
                <w:rFonts w:ascii="Aptos" w:hAnsi="Aptos"/>
                <w:sz w:val="22"/>
                <w:szCs w:val="22"/>
              </w:rPr>
              <w:t>0:3</w:t>
            </w:r>
          </w:p>
        </w:tc>
        <w:tc>
          <w:tcPr>
            <w:tcW w:w="970" w:type="dxa"/>
            <w:vAlign w:val="center"/>
          </w:tcPr>
          <w:p w14:paraId="57B8492B" w14:textId="632B0EF6" w:rsidR="0046468E" w:rsidRPr="001D3902" w:rsidRDefault="0046468E" w:rsidP="007F3EA9">
            <w:pPr>
              <w:spacing w:before="0" w:after="0"/>
              <w:jc w:val="right"/>
              <w:rPr>
                <w:rFonts w:ascii="Aptos" w:hAnsi="Aptos"/>
                <w:sz w:val="22"/>
                <w:szCs w:val="22"/>
              </w:rPr>
            </w:pPr>
            <w:r w:rsidRPr="001D3902">
              <w:rPr>
                <w:rFonts w:ascii="Aptos" w:hAnsi="Aptos"/>
                <w:sz w:val="22"/>
                <w:szCs w:val="22"/>
              </w:rPr>
              <w:t>3</w:t>
            </w:r>
          </w:p>
        </w:tc>
        <w:tc>
          <w:tcPr>
            <w:tcW w:w="1369" w:type="dxa"/>
            <w:vAlign w:val="center"/>
          </w:tcPr>
          <w:p w14:paraId="53DBEC42" w14:textId="6E768FFC"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5.8</w:t>
            </w:r>
          </w:p>
        </w:tc>
        <w:tc>
          <w:tcPr>
            <w:tcW w:w="1488" w:type="dxa"/>
            <w:vAlign w:val="center"/>
          </w:tcPr>
          <w:p w14:paraId="4813F204" w14:textId="4D27AA3F"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6.4</w:t>
            </w:r>
          </w:p>
        </w:tc>
      </w:tr>
      <w:tr w:rsidR="0046468E" w14:paraId="483BD94F" w14:textId="72F12CEE" w:rsidTr="008D6050">
        <w:tc>
          <w:tcPr>
            <w:tcW w:w="1413" w:type="dxa"/>
            <w:vAlign w:val="center"/>
          </w:tcPr>
          <w:p w14:paraId="5C41BDD9" w14:textId="45DABE0F" w:rsidR="0046468E" w:rsidRPr="001D3902" w:rsidRDefault="0046468E" w:rsidP="007F3EA9">
            <w:pPr>
              <w:spacing w:before="0" w:after="0"/>
              <w:jc w:val="right"/>
              <w:rPr>
                <w:rFonts w:ascii="Aptos" w:hAnsi="Aptos"/>
                <w:sz w:val="22"/>
                <w:szCs w:val="22"/>
              </w:rPr>
            </w:pPr>
            <w:r w:rsidRPr="001D3902">
              <w:rPr>
                <w:rFonts w:ascii="Aptos" w:hAnsi="Aptos"/>
                <w:sz w:val="22"/>
                <w:szCs w:val="22"/>
              </w:rPr>
              <w:t>0:4</w:t>
            </w:r>
          </w:p>
        </w:tc>
        <w:tc>
          <w:tcPr>
            <w:tcW w:w="970" w:type="dxa"/>
            <w:vAlign w:val="center"/>
          </w:tcPr>
          <w:p w14:paraId="611D2172" w14:textId="35E5B283" w:rsidR="0046468E" w:rsidRPr="001D3902" w:rsidRDefault="0046468E" w:rsidP="007F3EA9">
            <w:pPr>
              <w:spacing w:before="0" w:after="0"/>
              <w:jc w:val="right"/>
              <w:rPr>
                <w:rFonts w:ascii="Aptos" w:hAnsi="Aptos"/>
                <w:sz w:val="22"/>
                <w:szCs w:val="22"/>
              </w:rPr>
            </w:pPr>
            <w:r w:rsidRPr="001D3902">
              <w:rPr>
                <w:rFonts w:ascii="Aptos" w:hAnsi="Aptos"/>
                <w:sz w:val="22"/>
                <w:szCs w:val="22"/>
              </w:rPr>
              <w:t>4</w:t>
            </w:r>
          </w:p>
        </w:tc>
        <w:tc>
          <w:tcPr>
            <w:tcW w:w="1369" w:type="dxa"/>
            <w:vAlign w:val="center"/>
          </w:tcPr>
          <w:p w14:paraId="3598F6AB" w14:textId="557EA644"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6.4</w:t>
            </w:r>
          </w:p>
        </w:tc>
        <w:tc>
          <w:tcPr>
            <w:tcW w:w="1488" w:type="dxa"/>
            <w:vAlign w:val="center"/>
          </w:tcPr>
          <w:p w14:paraId="29559030" w14:textId="05BB0BAE"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7</w:t>
            </w:r>
          </w:p>
        </w:tc>
      </w:tr>
      <w:tr w:rsidR="0046468E" w14:paraId="2E22BD2D" w14:textId="7604B9FA" w:rsidTr="008D6050">
        <w:tc>
          <w:tcPr>
            <w:tcW w:w="1413" w:type="dxa"/>
            <w:vAlign w:val="center"/>
          </w:tcPr>
          <w:p w14:paraId="3B0C87B6" w14:textId="103E1C62" w:rsidR="0046468E" w:rsidRPr="001D3902" w:rsidRDefault="0046468E" w:rsidP="007F3EA9">
            <w:pPr>
              <w:spacing w:before="0" w:after="0"/>
              <w:jc w:val="right"/>
              <w:rPr>
                <w:rFonts w:ascii="Aptos" w:hAnsi="Aptos"/>
                <w:sz w:val="22"/>
                <w:szCs w:val="22"/>
              </w:rPr>
            </w:pPr>
            <w:r w:rsidRPr="001D3902">
              <w:rPr>
                <w:rFonts w:ascii="Aptos" w:hAnsi="Aptos"/>
                <w:sz w:val="22"/>
                <w:szCs w:val="22"/>
              </w:rPr>
              <w:t>0:5</w:t>
            </w:r>
          </w:p>
        </w:tc>
        <w:tc>
          <w:tcPr>
            <w:tcW w:w="970" w:type="dxa"/>
            <w:vAlign w:val="center"/>
          </w:tcPr>
          <w:p w14:paraId="6ABF2D0D" w14:textId="2AF9BFFD" w:rsidR="0046468E" w:rsidRPr="001D3902" w:rsidRDefault="0046468E" w:rsidP="007F3EA9">
            <w:pPr>
              <w:spacing w:before="0" w:after="0"/>
              <w:jc w:val="right"/>
              <w:rPr>
                <w:rFonts w:ascii="Aptos" w:hAnsi="Aptos"/>
                <w:sz w:val="22"/>
                <w:szCs w:val="22"/>
              </w:rPr>
            </w:pPr>
            <w:r w:rsidRPr="001D3902">
              <w:rPr>
                <w:rFonts w:ascii="Aptos" w:hAnsi="Aptos"/>
                <w:sz w:val="22"/>
                <w:szCs w:val="22"/>
              </w:rPr>
              <w:t>5</w:t>
            </w:r>
          </w:p>
        </w:tc>
        <w:tc>
          <w:tcPr>
            <w:tcW w:w="1369" w:type="dxa"/>
            <w:vAlign w:val="center"/>
          </w:tcPr>
          <w:p w14:paraId="4330470E" w14:textId="76BD51F2"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6.9</w:t>
            </w:r>
          </w:p>
        </w:tc>
        <w:tc>
          <w:tcPr>
            <w:tcW w:w="1488" w:type="dxa"/>
            <w:vAlign w:val="center"/>
          </w:tcPr>
          <w:p w14:paraId="2E5FB311" w14:textId="73BBCF0D"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7.5</w:t>
            </w:r>
          </w:p>
        </w:tc>
      </w:tr>
      <w:tr w:rsidR="0046468E" w14:paraId="6EF34E7E" w14:textId="31AE24AB" w:rsidTr="008D6050">
        <w:tc>
          <w:tcPr>
            <w:tcW w:w="1413" w:type="dxa"/>
            <w:vAlign w:val="center"/>
          </w:tcPr>
          <w:p w14:paraId="05C04011" w14:textId="02308D2B" w:rsidR="0046468E" w:rsidRPr="001D3902" w:rsidRDefault="0046468E" w:rsidP="007F3EA9">
            <w:pPr>
              <w:spacing w:before="0" w:after="0"/>
              <w:jc w:val="right"/>
              <w:rPr>
                <w:rFonts w:ascii="Aptos" w:hAnsi="Aptos"/>
                <w:sz w:val="22"/>
                <w:szCs w:val="22"/>
              </w:rPr>
            </w:pPr>
            <w:r w:rsidRPr="001D3902">
              <w:rPr>
                <w:rFonts w:ascii="Aptos" w:hAnsi="Aptos"/>
                <w:sz w:val="22"/>
                <w:szCs w:val="22"/>
              </w:rPr>
              <w:t>0:6</w:t>
            </w:r>
          </w:p>
        </w:tc>
        <w:tc>
          <w:tcPr>
            <w:tcW w:w="970" w:type="dxa"/>
            <w:vAlign w:val="center"/>
          </w:tcPr>
          <w:p w14:paraId="3B66820D" w14:textId="5DD31876" w:rsidR="0046468E" w:rsidRPr="001D3902" w:rsidRDefault="0046468E" w:rsidP="007F3EA9">
            <w:pPr>
              <w:spacing w:before="0" w:after="0"/>
              <w:jc w:val="right"/>
              <w:rPr>
                <w:rFonts w:ascii="Aptos" w:hAnsi="Aptos"/>
                <w:sz w:val="22"/>
                <w:szCs w:val="22"/>
              </w:rPr>
            </w:pPr>
            <w:r w:rsidRPr="001D3902">
              <w:rPr>
                <w:rFonts w:ascii="Aptos" w:hAnsi="Aptos"/>
                <w:sz w:val="22"/>
                <w:szCs w:val="22"/>
              </w:rPr>
              <w:t>6</w:t>
            </w:r>
          </w:p>
        </w:tc>
        <w:tc>
          <w:tcPr>
            <w:tcW w:w="1369" w:type="dxa"/>
            <w:vAlign w:val="center"/>
          </w:tcPr>
          <w:p w14:paraId="6697F733" w14:textId="57FDA98C"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7.3</w:t>
            </w:r>
          </w:p>
        </w:tc>
        <w:tc>
          <w:tcPr>
            <w:tcW w:w="1488" w:type="dxa"/>
            <w:vAlign w:val="center"/>
          </w:tcPr>
          <w:p w14:paraId="00C18E7D" w14:textId="07031273" w:rsidR="0046468E" w:rsidRPr="001D3902" w:rsidRDefault="0046468E" w:rsidP="007F3EA9">
            <w:pPr>
              <w:spacing w:before="0" w:after="0"/>
              <w:jc w:val="right"/>
              <w:rPr>
                <w:rFonts w:ascii="Aptos" w:hAnsi="Aptos"/>
                <w:sz w:val="22"/>
                <w:szCs w:val="22"/>
              </w:rPr>
            </w:pPr>
            <w:r w:rsidRPr="001D3902">
              <w:rPr>
                <w:rFonts w:ascii="Aptos" w:hAnsi="Aptos"/>
                <w:color w:val="000000"/>
                <w:sz w:val="22"/>
                <w:szCs w:val="22"/>
              </w:rPr>
              <w:t>7.9</w:t>
            </w:r>
          </w:p>
        </w:tc>
      </w:tr>
      <w:tr w:rsidR="00F31F40" w14:paraId="7F599088" w14:textId="31B56E54" w:rsidTr="008D6050">
        <w:tc>
          <w:tcPr>
            <w:tcW w:w="1413" w:type="dxa"/>
            <w:vAlign w:val="center"/>
          </w:tcPr>
          <w:p w14:paraId="1C67CCF6" w14:textId="55DD78D3" w:rsidR="00F31F40" w:rsidRPr="001D3902" w:rsidRDefault="00F31F40" w:rsidP="007F3EA9">
            <w:pPr>
              <w:spacing w:before="0" w:after="0"/>
              <w:jc w:val="right"/>
              <w:rPr>
                <w:rFonts w:ascii="Aptos" w:hAnsi="Aptos"/>
                <w:sz w:val="22"/>
                <w:szCs w:val="22"/>
              </w:rPr>
            </w:pPr>
            <w:r w:rsidRPr="001D3902">
              <w:rPr>
                <w:rFonts w:ascii="Aptos" w:hAnsi="Aptos"/>
                <w:sz w:val="22"/>
                <w:szCs w:val="22"/>
              </w:rPr>
              <w:t>0:7</w:t>
            </w:r>
          </w:p>
        </w:tc>
        <w:tc>
          <w:tcPr>
            <w:tcW w:w="970" w:type="dxa"/>
            <w:vAlign w:val="center"/>
          </w:tcPr>
          <w:p w14:paraId="552EB921" w14:textId="65702922" w:rsidR="00F31F40" w:rsidRPr="001D3902" w:rsidRDefault="00F31F40" w:rsidP="007F3EA9">
            <w:pPr>
              <w:spacing w:before="0" w:after="0"/>
              <w:jc w:val="right"/>
              <w:rPr>
                <w:rFonts w:ascii="Aptos" w:hAnsi="Aptos"/>
                <w:sz w:val="22"/>
                <w:szCs w:val="22"/>
              </w:rPr>
            </w:pPr>
            <w:r w:rsidRPr="001D3902">
              <w:rPr>
                <w:rFonts w:ascii="Aptos" w:hAnsi="Aptos"/>
                <w:sz w:val="22"/>
                <w:szCs w:val="22"/>
              </w:rPr>
              <w:t>7</w:t>
            </w:r>
          </w:p>
        </w:tc>
        <w:tc>
          <w:tcPr>
            <w:tcW w:w="1369" w:type="dxa"/>
            <w:vAlign w:val="center"/>
          </w:tcPr>
          <w:p w14:paraId="7C8116EE" w14:textId="11F201A8"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7.6</w:t>
            </w:r>
          </w:p>
        </w:tc>
        <w:tc>
          <w:tcPr>
            <w:tcW w:w="1488" w:type="dxa"/>
            <w:vAlign w:val="center"/>
          </w:tcPr>
          <w:p w14:paraId="18564E45" w14:textId="00570B40"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8.3</w:t>
            </w:r>
          </w:p>
        </w:tc>
      </w:tr>
      <w:tr w:rsidR="00F31F40" w14:paraId="40EBE8CD" w14:textId="0C7E9A27" w:rsidTr="008D6050">
        <w:tc>
          <w:tcPr>
            <w:tcW w:w="1413" w:type="dxa"/>
            <w:vAlign w:val="center"/>
          </w:tcPr>
          <w:p w14:paraId="351D7630" w14:textId="16FE0C40" w:rsidR="00F31F40" w:rsidRPr="001D3902" w:rsidRDefault="00F31F40" w:rsidP="007F3EA9">
            <w:pPr>
              <w:spacing w:before="0" w:after="0"/>
              <w:jc w:val="right"/>
              <w:rPr>
                <w:rFonts w:ascii="Aptos" w:hAnsi="Aptos"/>
                <w:sz w:val="22"/>
                <w:szCs w:val="22"/>
              </w:rPr>
            </w:pPr>
            <w:r w:rsidRPr="001D3902">
              <w:rPr>
                <w:rFonts w:ascii="Aptos" w:hAnsi="Aptos"/>
                <w:sz w:val="22"/>
                <w:szCs w:val="22"/>
              </w:rPr>
              <w:t>0:8</w:t>
            </w:r>
          </w:p>
        </w:tc>
        <w:tc>
          <w:tcPr>
            <w:tcW w:w="970" w:type="dxa"/>
            <w:vAlign w:val="center"/>
          </w:tcPr>
          <w:p w14:paraId="464BDE30" w14:textId="4306EA11" w:rsidR="00F31F40" w:rsidRPr="001D3902" w:rsidRDefault="00F31F40" w:rsidP="007F3EA9">
            <w:pPr>
              <w:spacing w:before="0" w:after="0"/>
              <w:jc w:val="right"/>
              <w:rPr>
                <w:rFonts w:ascii="Aptos" w:hAnsi="Aptos"/>
                <w:sz w:val="22"/>
                <w:szCs w:val="22"/>
              </w:rPr>
            </w:pPr>
            <w:r w:rsidRPr="001D3902">
              <w:rPr>
                <w:rFonts w:ascii="Aptos" w:hAnsi="Aptos"/>
                <w:sz w:val="22"/>
                <w:szCs w:val="22"/>
              </w:rPr>
              <w:t>8</w:t>
            </w:r>
          </w:p>
        </w:tc>
        <w:tc>
          <w:tcPr>
            <w:tcW w:w="1369" w:type="dxa"/>
            <w:vAlign w:val="center"/>
          </w:tcPr>
          <w:p w14:paraId="6797AD9A" w14:textId="0C3648C0"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7.9</w:t>
            </w:r>
          </w:p>
        </w:tc>
        <w:tc>
          <w:tcPr>
            <w:tcW w:w="1488" w:type="dxa"/>
            <w:vAlign w:val="center"/>
          </w:tcPr>
          <w:p w14:paraId="6FEC92EC" w14:textId="26574276"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8.6</w:t>
            </w:r>
          </w:p>
        </w:tc>
      </w:tr>
      <w:tr w:rsidR="00F31F40" w14:paraId="4B379FB6" w14:textId="3BA25127" w:rsidTr="008D6050">
        <w:tc>
          <w:tcPr>
            <w:tcW w:w="1413" w:type="dxa"/>
            <w:vAlign w:val="center"/>
          </w:tcPr>
          <w:p w14:paraId="22DDFD14" w14:textId="4812839D" w:rsidR="00F31F40" w:rsidRPr="001D3902" w:rsidRDefault="00F31F40" w:rsidP="007F3EA9">
            <w:pPr>
              <w:spacing w:before="0" w:after="0"/>
              <w:jc w:val="right"/>
              <w:rPr>
                <w:rFonts w:ascii="Aptos" w:hAnsi="Aptos"/>
                <w:sz w:val="22"/>
                <w:szCs w:val="22"/>
              </w:rPr>
            </w:pPr>
            <w:r w:rsidRPr="001D3902">
              <w:rPr>
                <w:rFonts w:ascii="Aptos" w:hAnsi="Aptos"/>
                <w:sz w:val="22"/>
                <w:szCs w:val="22"/>
              </w:rPr>
              <w:t>0:9</w:t>
            </w:r>
          </w:p>
        </w:tc>
        <w:tc>
          <w:tcPr>
            <w:tcW w:w="970" w:type="dxa"/>
            <w:vAlign w:val="center"/>
          </w:tcPr>
          <w:p w14:paraId="39429B4B" w14:textId="6DA80230" w:rsidR="00F31F40" w:rsidRPr="001D3902" w:rsidRDefault="00F31F40" w:rsidP="007F3EA9">
            <w:pPr>
              <w:spacing w:before="0" w:after="0"/>
              <w:jc w:val="right"/>
              <w:rPr>
                <w:rFonts w:ascii="Aptos" w:hAnsi="Aptos"/>
                <w:sz w:val="22"/>
                <w:szCs w:val="22"/>
              </w:rPr>
            </w:pPr>
            <w:r w:rsidRPr="001D3902">
              <w:rPr>
                <w:rFonts w:ascii="Aptos" w:hAnsi="Aptos"/>
                <w:sz w:val="22"/>
                <w:szCs w:val="22"/>
              </w:rPr>
              <w:t>9</w:t>
            </w:r>
          </w:p>
        </w:tc>
        <w:tc>
          <w:tcPr>
            <w:tcW w:w="1369" w:type="dxa"/>
            <w:vAlign w:val="center"/>
          </w:tcPr>
          <w:p w14:paraId="4B4C5A79" w14:textId="1991A281"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8.2</w:t>
            </w:r>
          </w:p>
        </w:tc>
        <w:tc>
          <w:tcPr>
            <w:tcW w:w="1488" w:type="dxa"/>
            <w:vAlign w:val="center"/>
          </w:tcPr>
          <w:p w14:paraId="5D1005FB" w14:textId="7C9D62C9"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8.9</w:t>
            </w:r>
          </w:p>
        </w:tc>
      </w:tr>
      <w:tr w:rsidR="00F31F40" w14:paraId="05248D34" w14:textId="18CCC2EB" w:rsidTr="008D6050">
        <w:tc>
          <w:tcPr>
            <w:tcW w:w="1413" w:type="dxa"/>
            <w:vAlign w:val="center"/>
          </w:tcPr>
          <w:p w14:paraId="166D7ECE" w14:textId="6BCF0B39" w:rsidR="00F31F40" w:rsidRPr="001D3902" w:rsidRDefault="00F31F40" w:rsidP="007F3EA9">
            <w:pPr>
              <w:spacing w:before="0" w:after="0"/>
              <w:jc w:val="right"/>
              <w:rPr>
                <w:rFonts w:ascii="Aptos" w:hAnsi="Aptos"/>
                <w:sz w:val="22"/>
                <w:szCs w:val="22"/>
              </w:rPr>
            </w:pPr>
            <w:r w:rsidRPr="001D3902">
              <w:rPr>
                <w:rFonts w:ascii="Aptos" w:hAnsi="Aptos"/>
                <w:sz w:val="22"/>
                <w:szCs w:val="22"/>
              </w:rPr>
              <w:t>0:10</w:t>
            </w:r>
          </w:p>
        </w:tc>
        <w:tc>
          <w:tcPr>
            <w:tcW w:w="970" w:type="dxa"/>
            <w:vAlign w:val="center"/>
          </w:tcPr>
          <w:p w14:paraId="01A672B1" w14:textId="6F9D6A39" w:rsidR="00F31F40" w:rsidRPr="001D3902" w:rsidRDefault="00F31F40" w:rsidP="007F3EA9">
            <w:pPr>
              <w:spacing w:before="0" w:after="0"/>
              <w:jc w:val="right"/>
              <w:rPr>
                <w:rFonts w:ascii="Aptos" w:hAnsi="Aptos"/>
                <w:sz w:val="22"/>
                <w:szCs w:val="22"/>
              </w:rPr>
            </w:pPr>
            <w:r w:rsidRPr="001D3902">
              <w:rPr>
                <w:rFonts w:ascii="Aptos" w:hAnsi="Aptos"/>
                <w:sz w:val="22"/>
                <w:szCs w:val="22"/>
              </w:rPr>
              <w:t>10</w:t>
            </w:r>
          </w:p>
        </w:tc>
        <w:tc>
          <w:tcPr>
            <w:tcW w:w="1369" w:type="dxa"/>
            <w:vAlign w:val="center"/>
          </w:tcPr>
          <w:p w14:paraId="698A9936" w14:textId="0313DD8C"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8.5</w:t>
            </w:r>
          </w:p>
        </w:tc>
        <w:tc>
          <w:tcPr>
            <w:tcW w:w="1488" w:type="dxa"/>
            <w:vAlign w:val="center"/>
          </w:tcPr>
          <w:p w14:paraId="025E7017" w14:textId="3CE3B0E8"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9.2</w:t>
            </w:r>
          </w:p>
        </w:tc>
      </w:tr>
      <w:tr w:rsidR="00F31F40" w14:paraId="5386CD73" w14:textId="5A60D141" w:rsidTr="008D6050">
        <w:tc>
          <w:tcPr>
            <w:tcW w:w="1413" w:type="dxa"/>
            <w:vAlign w:val="center"/>
          </w:tcPr>
          <w:p w14:paraId="6649C800" w14:textId="175595B6" w:rsidR="00F31F40" w:rsidRPr="001D3902" w:rsidRDefault="00F31F40" w:rsidP="007F3EA9">
            <w:pPr>
              <w:spacing w:before="0" w:after="0"/>
              <w:jc w:val="right"/>
              <w:rPr>
                <w:rFonts w:ascii="Aptos" w:hAnsi="Aptos"/>
                <w:sz w:val="22"/>
                <w:szCs w:val="22"/>
              </w:rPr>
            </w:pPr>
            <w:r w:rsidRPr="001D3902">
              <w:rPr>
                <w:rFonts w:ascii="Aptos" w:hAnsi="Aptos"/>
                <w:sz w:val="22"/>
                <w:szCs w:val="22"/>
              </w:rPr>
              <w:t>0:11</w:t>
            </w:r>
          </w:p>
        </w:tc>
        <w:tc>
          <w:tcPr>
            <w:tcW w:w="970" w:type="dxa"/>
            <w:vAlign w:val="center"/>
          </w:tcPr>
          <w:p w14:paraId="378A861C" w14:textId="02325080" w:rsidR="00F31F40" w:rsidRPr="001D3902" w:rsidRDefault="00F31F40" w:rsidP="007F3EA9">
            <w:pPr>
              <w:spacing w:before="0" w:after="0"/>
              <w:jc w:val="right"/>
              <w:rPr>
                <w:rFonts w:ascii="Aptos" w:hAnsi="Aptos"/>
                <w:sz w:val="22"/>
                <w:szCs w:val="22"/>
              </w:rPr>
            </w:pPr>
            <w:r w:rsidRPr="001D3902">
              <w:rPr>
                <w:rFonts w:ascii="Aptos" w:hAnsi="Aptos"/>
                <w:sz w:val="22"/>
                <w:szCs w:val="22"/>
              </w:rPr>
              <w:t>11</w:t>
            </w:r>
          </w:p>
        </w:tc>
        <w:tc>
          <w:tcPr>
            <w:tcW w:w="1369" w:type="dxa"/>
            <w:vAlign w:val="center"/>
          </w:tcPr>
          <w:p w14:paraId="5847BF68" w14:textId="2C26FD8E"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8.7</w:t>
            </w:r>
          </w:p>
        </w:tc>
        <w:tc>
          <w:tcPr>
            <w:tcW w:w="1488" w:type="dxa"/>
            <w:vAlign w:val="center"/>
          </w:tcPr>
          <w:p w14:paraId="4F489C94" w14:textId="06067FBD"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9.4</w:t>
            </w:r>
          </w:p>
        </w:tc>
      </w:tr>
      <w:tr w:rsidR="00F31F40" w14:paraId="522A2F1F" w14:textId="4BAB5328" w:rsidTr="008D6050">
        <w:tc>
          <w:tcPr>
            <w:tcW w:w="1413" w:type="dxa"/>
            <w:vAlign w:val="center"/>
          </w:tcPr>
          <w:p w14:paraId="7584985B" w14:textId="7C24E5EC" w:rsidR="00F31F40" w:rsidRPr="001D3902" w:rsidRDefault="00F31F40" w:rsidP="007F3EA9">
            <w:pPr>
              <w:spacing w:before="0" w:after="0"/>
              <w:jc w:val="right"/>
              <w:rPr>
                <w:rFonts w:ascii="Aptos" w:hAnsi="Aptos"/>
                <w:sz w:val="22"/>
                <w:szCs w:val="22"/>
              </w:rPr>
            </w:pPr>
            <w:r w:rsidRPr="001D3902">
              <w:rPr>
                <w:rFonts w:ascii="Aptos" w:hAnsi="Aptos"/>
                <w:sz w:val="22"/>
                <w:szCs w:val="22"/>
              </w:rPr>
              <w:t>0:12</w:t>
            </w:r>
          </w:p>
        </w:tc>
        <w:tc>
          <w:tcPr>
            <w:tcW w:w="970" w:type="dxa"/>
            <w:vAlign w:val="center"/>
          </w:tcPr>
          <w:p w14:paraId="7AD5C441" w14:textId="28398C08" w:rsidR="00F31F40" w:rsidRPr="001D3902" w:rsidRDefault="00F31F40" w:rsidP="007F3EA9">
            <w:pPr>
              <w:spacing w:before="0" w:after="0"/>
              <w:jc w:val="right"/>
              <w:rPr>
                <w:rFonts w:ascii="Aptos" w:hAnsi="Aptos"/>
                <w:sz w:val="22"/>
                <w:szCs w:val="22"/>
              </w:rPr>
            </w:pPr>
            <w:r w:rsidRPr="001D3902">
              <w:rPr>
                <w:rFonts w:ascii="Aptos" w:hAnsi="Aptos"/>
                <w:sz w:val="22"/>
                <w:szCs w:val="22"/>
              </w:rPr>
              <w:t>12</w:t>
            </w:r>
          </w:p>
        </w:tc>
        <w:tc>
          <w:tcPr>
            <w:tcW w:w="1369" w:type="dxa"/>
            <w:vAlign w:val="center"/>
          </w:tcPr>
          <w:p w14:paraId="75D6F2B6" w14:textId="6EDA052E"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8.9</w:t>
            </w:r>
          </w:p>
        </w:tc>
        <w:tc>
          <w:tcPr>
            <w:tcW w:w="1488" w:type="dxa"/>
            <w:vAlign w:val="center"/>
          </w:tcPr>
          <w:p w14:paraId="06A20239" w14:textId="425F25C4" w:rsidR="00F31F40" w:rsidRPr="001D3902" w:rsidRDefault="00F31F40" w:rsidP="007F3EA9">
            <w:pPr>
              <w:spacing w:before="0" w:after="0"/>
              <w:jc w:val="right"/>
              <w:rPr>
                <w:rFonts w:ascii="Aptos" w:hAnsi="Aptos"/>
                <w:sz w:val="22"/>
                <w:szCs w:val="22"/>
              </w:rPr>
            </w:pPr>
            <w:r w:rsidRPr="001D3902">
              <w:rPr>
                <w:rFonts w:ascii="Aptos" w:hAnsi="Aptos"/>
                <w:color w:val="000000"/>
                <w:sz w:val="22"/>
                <w:szCs w:val="22"/>
              </w:rPr>
              <w:t>9.6</w:t>
            </w:r>
          </w:p>
        </w:tc>
      </w:tr>
      <w:tr w:rsidR="00AE3C49" w14:paraId="2AB599F2" w14:textId="737A5828" w:rsidTr="008D6050">
        <w:tc>
          <w:tcPr>
            <w:tcW w:w="1413" w:type="dxa"/>
            <w:vAlign w:val="center"/>
          </w:tcPr>
          <w:p w14:paraId="375E8D9B" w14:textId="606905B3" w:rsidR="00AE3C49" w:rsidRPr="001D3902" w:rsidRDefault="00AE3C49" w:rsidP="007F3EA9">
            <w:pPr>
              <w:spacing w:before="0" w:after="0"/>
              <w:jc w:val="right"/>
              <w:rPr>
                <w:rFonts w:ascii="Aptos" w:hAnsi="Aptos"/>
                <w:sz w:val="22"/>
                <w:szCs w:val="22"/>
              </w:rPr>
            </w:pPr>
            <w:r w:rsidRPr="001D3902">
              <w:rPr>
                <w:rFonts w:ascii="Aptos" w:hAnsi="Aptos"/>
                <w:sz w:val="22"/>
                <w:szCs w:val="22"/>
              </w:rPr>
              <w:t>1:1</w:t>
            </w:r>
          </w:p>
        </w:tc>
        <w:tc>
          <w:tcPr>
            <w:tcW w:w="970" w:type="dxa"/>
            <w:vAlign w:val="center"/>
          </w:tcPr>
          <w:p w14:paraId="416B48E0" w14:textId="3C3F039E" w:rsidR="00AE3C49" w:rsidRPr="001D3902" w:rsidRDefault="00AE3C49" w:rsidP="007F3EA9">
            <w:pPr>
              <w:spacing w:before="0" w:after="0"/>
              <w:jc w:val="right"/>
              <w:rPr>
                <w:rFonts w:ascii="Aptos" w:hAnsi="Aptos"/>
                <w:sz w:val="22"/>
                <w:szCs w:val="22"/>
              </w:rPr>
            </w:pPr>
            <w:r w:rsidRPr="001D3902">
              <w:rPr>
                <w:rFonts w:ascii="Aptos" w:hAnsi="Aptos"/>
                <w:sz w:val="22"/>
                <w:szCs w:val="22"/>
              </w:rPr>
              <w:t>13</w:t>
            </w:r>
          </w:p>
        </w:tc>
        <w:tc>
          <w:tcPr>
            <w:tcW w:w="1369" w:type="dxa"/>
            <w:vAlign w:val="center"/>
          </w:tcPr>
          <w:p w14:paraId="4BD7A3D9" w14:textId="6E260F36"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9.2</w:t>
            </w:r>
          </w:p>
        </w:tc>
        <w:tc>
          <w:tcPr>
            <w:tcW w:w="1488" w:type="dxa"/>
            <w:vAlign w:val="center"/>
          </w:tcPr>
          <w:p w14:paraId="3794FC47" w14:textId="4AA7FDC2"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9.9</w:t>
            </w:r>
          </w:p>
        </w:tc>
      </w:tr>
      <w:tr w:rsidR="00AE3C49" w14:paraId="331BA828" w14:textId="5C22862A" w:rsidTr="008D6050">
        <w:tc>
          <w:tcPr>
            <w:tcW w:w="1413" w:type="dxa"/>
            <w:vAlign w:val="center"/>
          </w:tcPr>
          <w:p w14:paraId="13DF91CA" w14:textId="0384FBFC" w:rsidR="00AE3C49" w:rsidRPr="001D3902" w:rsidRDefault="00AE3C49" w:rsidP="007F3EA9">
            <w:pPr>
              <w:spacing w:before="0" w:after="0"/>
              <w:jc w:val="right"/>
              <w:rPr>
                <w:rFonts w:ascii="Aptos" w:hAnsi="Aptos"/>
                <w:sz w:val="22"/>
                <w:szCs w:val="22"/>
              </w:rPr>
            </w:pPr>
            <w:r w:rsidRPr="001D3902">
              <w:rPr>
                <w:rFonts w:ascii="Aptos" w:hAnsi="Aptos"/>
                <w:sz w:val="22"/>
                <w:szCs w:val="22"/>
              </w:rPr>
              <w:t>1:2</w:t>
            </w:r>
          </w:p>
        </w:tc>
        <w:tc>
          <w:tcPr>
            <w:tcW w:w="970" w:type="dxa"/>
            <w:vAlign w:val="center"/>
          </w:tcPr>
          <w:p w14:paraId="02E8A0B1" w14:textId="5D552A82" w:rsidR="00AE3C49" w:rsidRPr="001D3902" w:rsidRDefault="00AE3C49" w:rsidP="007F3EA9">
            <w:pPr>
              <w:spacing w:before="0" w:after="0"/>
              <w:jc w:val="right"/>
              <w:rPr>
                <w:rFonts w:ascii="Aptos" w:hAnsi="Aptos"/>
                <w:sz w:val="22"/>
                <w:szCs w:val="22"/>
              </w:rPr>
            </w:pPr>
            <w:r w:rsidRPr="001D3902">
              <w:rPr>
                <w:rFonts w:ascii="Aptos" w:hAnsi="Aptos"/>
                <w:sz w:val="22"/>
                <w:szCs w:val="22"/>
              </w:rPr>
              <w:t>14</w:t>
            </w:r>
          </w:p>
        </w:tc>
        <w:tc>
          <w:tcPr>
            <w:tcW w:w="1369" w:type="dxa"/>
            <w:vAlign w:val="center"/>
          </w:tcPr>
          <w:p w14:paraId="31696385" w14:textId="45228799"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9.4</w:t>
            </w:r>
          </w:p>
        </w:tc>
        <w:tc>
          <w:tcPr>
            <w:tcW w:w="1488" w:type="dxa"/>
            <w:vAlign w:val="center"/>
          </w:tcPr>
          <w:p w14:paraId="3381F3B1" w14:textId="29BEC7D5"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10.1</w:t>
            </w:r>
          </w:p>
        </w:tc>
      </w:tr>
      <w:tr w:rsidR="00AE3C49" w14:paraId="17C52D7B" w14:textId="08E92B4C" w:rsidTr="008D6050">
        <w:tc>
          <w:tcPr>
            <w:tcW w:w="1413" w:type="dxa"/>
            <w:vAlign w:val="center"/>
          </w:tcPr>
          <w:p w14:paraId="5B9E533E" w14:textId="401504F0" w:rsidR="00AE3C49" w:rsidRPr="001D3902" w:rsidRDefault="00AE3C49" w:rsidP="007F3EA9">
            <w:pPr>
              <w:spacing w:before="0" w:after="0"/>
              <w:jc w:val="right"/>
              <w:rPr>
                <w:rFonts w:ascii="Aptos" w:hAnsi="Aptos"/>
                <w:sz w:val="22"/>
                <w:szCs w:val="22"/>
              </w:rPr>
            </w:pPr>
            <w:r w:rsidRPr="001D3902">
              <w:rPr>
                <w:rFonts w:ascii="Aptos" w:hAnsi="Aptos"/>
                <w:sz w:val="22"/>
                <w:szCs w:val="22"/>
              </w:rPr>
              <w:t>1:3</w:t>
            </w:r>
          </w:p>
        </w:tc>
        <w:tc>
          <w:tcPr>
            <w:tcW w:w="970" w:type="dxa"/>
            <w:vAlign w:val="center"/>
          </w:tcPr>
          <w:p w14:paraId="63EC5AB9" w14:textId="601710E7" w:rsidR="00AE3C49" w:rsidRPr="001D3902" w:rsidRDefault="00AE3C49" w:rsidP="007F3EA9">
            <w:pPr>
              <w:spacing w:before="0" w:after="0"/>
              <w:jc w:val="right"/>
              <w:rPr>
                <w:rFonts w:ascii="Aptos" w:hAnsi="Aptos"/>
                <w:sz w:val="22"/>
                <w:szCs w:val="22"/>
              </w:rPr>
            </w:pPr>
            <w:r w:rsidRPr="001D3902">
              <w:rPr>
                <w:rFonts w:ascii="Aptos" w:hAnsi="Aptos"/>
                <w:sz w:val="22"/>
                <w:szCs w:val="22"/>
              </w:rPr>
              <w:t>15</w:t>
            </w:r>
          </w:p>
        </w:tc>
        <w:tc>
          <w:tcPr>
            <w:tcW w:w="1369" w:type="dxa"/>
            <w:vAlign w:val="center"/>
          </w:tcPr>
          <w:p w14:paraId="7D6145F1" w14:textId="58B8D185"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9.6</w:t>
            </w:r>
          </w:p>
        </w:tc>
        <w:tc>
          <w:tcPr>
            <w:tcW w:w="1488" w:type="dxa"/>
            <w:vAlign w:val="center"/>
          </w:tcPr>
          <w:p w14:paraId="742EAAB1" w14:textId="1704ED61"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10.3</w:t>
            </w:r>
          </w:p>
        </w:tc>
      </w:tr>
      <w:tr w:rsidR="00AE3C49" w14:paraId="44A98B66" w14:textId="40301AF3" w:rsidTr="008D6050">
        <w:tc>
          <w:tcPr>
            <w:tcW w:w="1413" w:type="dxa"/>
            <w:vAlign w:val="center"/>
          </w:tcPr>
          <w:p w14:paraId="026E9623" w14:textId="50014045" w:rsidR="00AE3C49" w:rsidRPr="001D3902" w:rsidRDefault="00AE3C49" w:rsidP="007F3EA9">
            <w:pPr>
              <w:spacing w:before="0" w:after="0"/>
              <w:jc w:val="right"/>
              <w:rPr>
                <w:rFonts w:ascii="Aptos" w:hAnsi="Aptos"/>
                <w:sz w:val="22"/>
                <w:szCs w:val="22"/>
              </w:rPr>
            </w:pPr>
            <w:r w:rsidRPr="001D3902">
              <w:rPr>
                <w:rFonts w:ascii="Aptos" w:hAnsi="Aptos"/>
                <w:sz w:val="22"/>
                <w:szCs w:val="22"/>
              </w:rPr>
              <w:t>1:4</w:t>
            </w:r>
          </w:p>
        </w:tc>
        <w:tc>
          <w:tcPr>
            <w:tcW w:w="970" w:type="dxa"/>
            <w:vAlign w:val="center"/>
          </w:tcPr>
          <w:p w14:paraId="67827702" w14:textId="25EB05EF" w:rsidR="00AE3C49" w:rsidRPr="001D3902" w:rsidRDefault="00AE3C49" w:rsidP="007F3EA9">
            <w:pPr>
              <w:spacing w:before="0" w:after="0"/>
              <w:jc w:val="right"/>
              <w:rPr>
                <w:rFonts w:ascii="Aptos" w:hAnsi="Aptos"/>
                <w:sz w:val="22"/>
                <w:szCs w:val="22"/>
              </w:rPr>
            </w:pPr>
            <w:r w:rsidRPr="001D3902">
              <w:rPr>
                <w:rFonts w:ascii="Aptos" w:hAnsi="Aptos"/>
                <w:sz w:val="22"/>
                <w:szCs w:val="22"/>
              </w:rPr>
              <w:t>16</w:t>
            </w:r>
          </w:p>
        </w:tc>
        <w:tc>
          <w:tcPr>
            <w:tcW w:w="1369" w:type="dxa"/>
            <w:vAlign w:val="center"/>
          </w:tcPr>
          <w:p w14:paraId="131C6DB6" w14:textId="454ACC75"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9.8</w:t>
            </w:r>
          </w:p>
        </w:tc>
        <w:tc>
          <w:tcPr>
            <w:tcW w:w="1488" w:type="dxa"/>
            <w:vAlign w:val="center"/>
          </w:tcPr>
          <w:p w14:paraId="1086C45B" w14:textId="33136227"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10.5</w:t>
            </w:r>
          </w:p>
        </w:tc>
      </w:tr>
      <w:tr w:rsidR="00AE3C49" w14:paraId="4B6F615E" w14:textId="5C73C0B6" w:rsidTr="008D6050">
        <w:tc>
          <w:tcPr>
            <w:tcW w:w="1413" w:type="dxa"/>
            <w:vAlign w:val="center"/>
          </w:tcPr>
          <w:p w14:paraId="3755AF4F" w14:textId="5EC5269D" w:rsidR="00AE3C49" w:rsidRPr="001D3902" w:rsidRDefault="00AE3C49" w:rsidP="007F3EA9">
            <w:pPr>
              <w:spacing w:before="0" w:after="0"/>
              <w:jc w:val="right"/>
              <w:rPr>
                <w:rFonts w:ascii="Aptos" w:hAnsi="Aptos"/>
                <w:sz w:val="22"/>
                <w:szCs w:val="22"/>
              </w:rPr>
            </w:pPr>
            <w:r w:rsidRPr="001D3902">
              <w:rPr>
                <w:rFonts w:ascii="Aptos" w:hAnsi="Aptos"/>
                <w:sz w:val="22"/>
                <w:szCs w:val="22"/>
              </w:rPr>
              <w:t>1:5</w:t>
            </w:r>
          </w:p>
        </w:tc>
        <w:tc>
          <w:tcPr>
            <w:tcW w:w="970" w:type="dxa"/>
            <w:vAlign w:val="center"/>
          </w:tcPr>
          <w:p w14:paraId="6D3328B6" w14:textId="78BAD749" w:rsidR="00AE3C49" w:rsidRPr="001D3902" w:rsidRDefault="00AE3C49" w:rsidP="007F3EA9">
            <w:pPr>
              <w:spacing w:before="0" w:after="0"/>
              <w:jc w:val="right"/>
              <w:rPr>
                <w:rFonts w:ascii="Aptos" w:hAnsi="Aptos"/>
                <w:sz w:val="22"/>
                <w:szCs w:val="22"/>
              </w:rPr>
            </w:pPr>
            <w:r w:rsidRPr="001D3902">
              <w:rPr>
                <w:rFonts w:ascii="Aptos" w:hAnsi="Aptos"/>
                <w:sz w:val="22"/>
                <w:szCs w:val="22"/>
              </w:rPr>
              <w:t>17</w:t>
            </w:r>
          </w:p>
        </w:tc>
        <w:tc>
          <w:tcPr>
            <w:tcW w:w="1369" w:type="dxa"/>
            <w:vAlign w:val="center"/>
          </w:tcPr>
          <w:p w14:paraId="5EADC51A" w14:textId="619288FB"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10</w:t>
            </w:r>
          </w:p>
        </w:tc>
        <w:tc>
          <w:tcPr>
            <w:tcW w:w="1488" w:type="dxa"/>
            <w:vAlign w:val="center"/>
          </w:tcPr>
          <w:p w14:paraId="5FB4E74C" w14:textId="09A949B0"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10.7</w:t>
            </w:r>
          </w:p>
        </w:tc>
      </w:tr>
      <w:tr w:rsidR="00AE3C49" w14:paraId="6C62096D" w14:textId="59D2B741" w:rsidTr="008D6050">
        <w:tc>
          <w:tcPr>
            <w:tcW w:w="1413" w:type="dxa"/>
            <w:vAlign w:val="center"/>
          </w:tcPr>
          <w:p w14:paraId="0AF734B5" w14:textId="0D119C35" w:rsidR="00AE3C49" w:rsidRPr="001D3902" w:rsidRDefault="00AE3C49" w:rsidP="007F3EA9">
            <w:pPr>
              <w:spacing w:before="0" w:after="0"/>
              <w:jc w:val="right"/>
              <w:rPr>
                <w:rFonts w:ascii="Aptos" w:hAnsi="Aptos"/>
                <w:sz w:val="22"/>
                <w:szCs w:val="22"/>
              </w:rPr>
            </w:pPr>
            <w:r w:rsidRPr="001D3902">
              <w:rPr>
                <w:rFonts w:ascii="Aptos" w:hAnsi="Aptos"/>
                <w:sz w:val="22"/>
                <w:szCs w:val="22"/>
              </w:rPr>
              <w:t>1:6</w:t>
            </w:r>
          </w:p>
        </w:tc>
        <w:tc>
          <w:tcPr>
            <w:tcW w:w="970" w:type="dxa"/>
            <w:vAlign w:val="center"/>
          </w:tcPr>
          <w:p w14:paraId="48ADCA43" w14:textId="55773171" w:rsidR="00AE3C49" w:rsidRPr="001D3902" w:rsidRDefault="00AE3C49" w:rsidP="007F3EA9">
            <w:pPr>
              <w:spacing w:before="0" w:after="0"/>
              <w:jc w:val="right"/>
              <w:rPr>
                <w:rFonts w:ascii="Aptos" w:hAnsi="Aptos"/>
                <w:sz w:val="22"/>
                <w:szCs w:val="22"/>
              </w:rPr>
            </w:pPr>
            <w:r w:rsidRPr="001D3902">
              <w:rPr>
                <w:rFonts w:ascii="Aptos" w:hAnsi="Aptos"/>
                <w:sz w:val="22"/>
                <w:szCs w:val="22"/>
              </w:rPr>
              <w:t>18</w:t>
            </w:r>
          </w:p>
        </w:tc>
        <w:tc>
          <w:tcPr>
            <w:tcW w:w="1369" w:type="dxa"/>
            <w:vAlign w:val="center"/>
          </w:tcPr>
          <w:p w14:paraId="4E354342" w14:textId="4D9DF547"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10.2</w:t>
            </w:r>
          </w:p>
        </w:tc>
        <w:tc>
          <w:tcPr>
            <w:tcW w:w="1488" w:type="dxa"/>
            <w:vAlign w:val="center"/>
          </w:tcPr>
          <w:p w14:paraId="03CD2AE2" w14:textId="3E7C9E68"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10.9</w:t>
            </w:r>
          </w:p>
        </w:tc>
      </w:tr>
      <w:tr w:rsidR="00AE3C49" w14:paraId="1A74582C" w14:textId="78635A0A" w:rsidTr="008D6050">
        <w:tc>
          <w:tcPr>
            <w:tcW w:w="1413" w:type="dxa"/>
            <w:vAlign w:val="center"/>
          </w:tcPr>
          <w:p w14:paraId="08107B42" w14:textId="69779425" w:rsidR="00AE3C49" w:rsidRPr="001D3902" w:rsidRDefault="00AE3C49" w:rsidP="007F3EA9">
            <w:pPr>
              <w:spacing w:before="0" w:after="0"/>
              <w:jc w:val="right"/>
              <w:rPr>
                <w:rFonts w:ascii="Aptos" w:hAnsi="Aptos"/>
                <w:sz w:val="22"/>
                <w:szCs w:val="22"/>
              </w:rPr>
            </w:pPr>
            <w:r w:rsidRPr="001D3902">
              <w:rPr>
                <w:rFonts w:ascii="Aptos" w:hAnsi="Aptos"/>
                <w:sz w:val="22"/>
                <w:szCs w:val="22"/>
              </w:rPr>
              <w:t>1:7</w:t>
            </w:r>
          </w:p>
        </w:tc>
        <w:tc>
          <w:tcPr>
            <w:tcW w:w="970" w:type="dxa"/>
            <w:vAlign w:val="center"/>
          </w:tcPr>
          <w:p w14:paraId="7B5552BD" w14:textId="2EA552A8" w:rsidR="00AE3C49" w:rsidRPr="001D3902" w:rsidRDefault="00AE3C49" w:rsidP="007F3EA9">
            <w:pPr>
              <w:spacing w:before="0" w:after="0"/>
              <w:jc w:val="right"/>
              <w:rPr>
                <w:rFonts w:ascii="Aptos" w:hAnsi="Aptos"/>
                <w:sz w:val="22"/>
                <w:szCs w:val="22"/>
              </w:rPr>
            </w:pPr>
            <w:r w:rsidRPr="001D3902">
              <w:rPr>
                <w:rFonts w:ascii="Aptos" w:hAnsi="Aptos"/>
                <w:sz w:val="22"/>
                <w:szCs w:val="22"/>
              </w:rPr>
              <w:t>19</w:t>
            </w:r>
          </w:p>
        </w:tc>
        <w:tc>
          <w:tcPr>
            <w:tcW w:w="1369" w:type="dxa"/>
            <w:vAlign w:val="center"/>
          </w:tcPr>
          <w:p w14:paraId="13540C9B" w14:textId="3FD77471"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10.4</w:t>
            </w:r>
          </w:p>
        </w:tc>
        <w:tc>
          <w:tcPr>
            <w:tcW w:w="1488" w:type="dxa"/>
            <w:vAlign w:val="center"/>
          </w:tcPr>
          <w:p w14:paraId="16822D91" w14:textId="4DD5E1D5"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11.1</w:t>
            </w:r>
          </w:p>
        </w:tc>
      </w:tr>
      <w:tr w:rsidR="00AE3C49" w14:paraId="68385BF1" w14:textId="39985D01" w:rsidTr="008D6050">
        <w:tc>
          <w:tcPr>
            <w:tcW w:w="1413" w:type="dxa"/>
            <w:vAlign w:val="center"/>
          </w:tcPr>
          <w:p w14:paraId="651CE5E8" w14:textId="0EC94627" w:rsidR="00AE3C49" w:rsidRPr="001D3902" w:rsidRDefault="00AE3C49" w:rsidP="007F3EA9">
            <w:pPr>
              <w:spacing w:before="0" w:after="0"/>
              <w:jc w:val="right"/>
              <w:rPr>
                <w:rFonts w:ascii="Aptos" w:hAnsi="Aptos"/>
                <w:sz w:val="22"/>
                <w:szCs w:val="22"/>
              </w:rPr>
            </w:pPr>
            <w:r w:rsidRPr="001D3902">
              <w:rPr>
                <w:rFonts w:ascii="Aptos" w:hAnsi="Aptos"/>
                <w:sz w:val="22"/>
                <w:szCs w:val="22"/>
              </w:rPr>
              <w:t>1:8</w:t>
            </w:r>
          </w:p>
        </w:tc>
        <w:tc>
          <w:tcPr>
            <w:tcW w:w="970" w:type="dxa"/>
            <w:vAlign w:val="center"/>
          </w:tcPr>
          <w:p w14:paraId="20ACE48D" w14:textId="5E1A3B8D" w:rsidR="00AE3C49" w:rsidRPr="001D3902" w:rsidRDefault="00AE3C49" w:rsidP="007F3EA9">
            <w:pPr>
              <w:spacing w:before="0" w:after="0"/>
              <w:jc w:val="right"/>
              <w:rPr>
                <w:rFonts w:ascii="Aptos" w:hAnsi="Aptos"/>
                <w:sz w:val="22"/>
                <w:szCs w:val="22"/>
              </w:rPr>
            </w:pPr>
            <w:r w:rsidRPr="001D3902">
              <w:rPr>
                <w:rFonts w:ascii="Aptos" w:hAnsi="Aptos"/>
                <w:sz w:val="22"/>
                <w:szCs w:val="22"/>
              </w:rPr>
              <w:t>20</w:t>
            </w:r>
          </w:p>
        </w:tc>
        <w:tc>
          <w:tcPr>
            <w:tcW w:w="1369" w:type="dxa"/>
            <w:vAlign w:val="center"/>
          </w:tcPr>
          <w:p w14:paraId="23C8C4F3" w14:textId="479AF01D"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10.6</w:t>
            </w:r>
          </w:p>
        </w:tc>
        <w:tc>
          <w:tcPr>
            <w:tcW w:w="1488" w:type="dxa"/>
            <w:vAlign w:val="center"/>
          </w:tcPr>
          <w:p w14:paraId="2534C4DC" w14:textId="2145915B"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11.3</w:t>
            </w:r>
          </w:p>
        </w:tc>
      </w:tr>
      <w:tr w:rsidR="00AE3C49" w14:paraId="15461E73" w14:textId="53F79DEE" w:rsidTr="008D6050">
        <w:tc>
          <w:tcPr>
            <w:tcW w:w="1413" w:type="dxa"/>
            <w:vAlign w:val="center"/>
          </w:tcPr>
          <w:p w14:paraId="552C1932" w14:textId="1EBB2C52" w:rsidR="00AE3C49" w:rsidRPr="001D3902" w:rsidRDefault="00AE3C49" w:rsidP="007F3EA9">
            <w:pPr>
              <w:spacing w:before="0" w:after="0"/>
              <w:jc w:val="right"/>
              <w:rPr>
                <w:rFonts w:ascii="Aptos" w:hAnsi="Aptos"/>
                <w:sz w:val="22"/>
                <w:szCs w:val="22"/>
              </w:rPr>
            </w:pPr>
            <w:r w:rsidRPr="001D3902">
              <w:rPr>
                <w:rFonts w:ascii="Aptos" w:hAnsi="Aptos"/>
                <w:sz w:val="22"/>
                <w:szCs w:val="22"/>
              </w:rPr>
              <w:t>1:9</w:t>
            </w:r>
          </w:p>
        </w:tc>
        <w:tc>
          <w:tcPr>
            <w:tcW w:w="970" w:type="dxa"/>
            <w:vAlign w:val="center"/>
          </w:tcPr>
          <w:p w14:paraId="17CF7B8B" w14:textId="3B79F7D5" w:rsidR="00AE3C49" w:rsidRPr="001D3902" w:rsidRDefault="00AE3C49" w:rsidP="007F3EA9">
            <w:pPr>
              <w:spacing w:before="0" w:after="0"/>
              <w:jc w:val="right"/>
              <w:rPr>
                <w:rFonts w:ascii="Aptos" w:hAnsi="Aptos"/>
                <w:sz w:val="22"/>
                <w:szCs w:val="22"/>
              </w:rPr>
            </w:pPr>
            <w:r w:rsidRPr="001D3902">
              <w:rPr>
                <w:rFonts w:ascii="Aptos" w:hAnsi="Aptos"/>
                <w:sz w:val="22"/>
                <w:szCs w:val="22"/>
              </w:rPr>
              <w:t>21</w:t>
            </w:r>
          </w:p>
        </w:tc>
        <w:tc>
          <w:tcPr>
            <w:tcW w:w="1369" w:type="dxa"/>
            <w:vAlign w:val="center"/>
          </w:tcPr>
          <w:p w14:paraId="0DC337F3" w14:textId="1DFA52F1"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10.9</w:t>
            </w:r>
          </w:p>
        </w:tc>
        <w:tc>
          <w:tcPr>
            <w:tcW w:w="1488" w:type="dxa"/>
            <w:vAlign w:val="center"/>
          </w:tcPr>
          <w:p w14:paraId="5D72929E" w14:textId="04E615E5"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11.5</w:t>
            </w:r>
          </w:p>
        </w:tc>
      </w:tr>
      <w:tr w:rsidR="00AE3C49" w14:paraId="21E7969D" w14:textId="246F6481" w:rsidTr="008D6050">
        <w:tc>
          <w:tcPr>
            <w:tcW w:w="1413" w:type="dxa"/>
            <w:vAlign w:val="center"/>
          </w:tcPr>
          <w:p w14:paraId="05623A5D" w14:textId="50640983" w:rsidR="00AE3C49" w:rsidRPr="001D3902" w:rsidRDefault="00AE3C49" w:rsidP="007F3EA9">
            <w:pPr>
              <w:spacing w:before="0" w:after="0"/>
              <w:jc w:val="right"/>
              <w:rPr>
                <w:rFonts w:ascii="Aptos" w:hAnsi="Aptos"/>
                <w:sz w:val="22"/>
                <w:szCs w:val="22"/>
              </w:rPr>
            </w:pPr>
            <w:r w:rsidRPr="001D3902">
              <w:rPr>
                <w:rFonts w:ascii="Aptos" w:hAnsi="Aptos"/>
                <w:sz w:val="22"/>
                <w:szCs w:val="22"/>
              </w:rPr>
              <w:t>1:10</w:t>
            </w:r>
          </w:p>
        </w:tc>
        <w:tc>
          <w:tcPr>
            <w:tcW w:w="970" w:type="dxa"/>
            <w:vAlign w:val="center"/>
          </w:tcPr>
          <w:p w14:paraId="2465BF74" w14:textId="0E0C7793" w:rsidR="00AE3C49" w:rsidRPr="001D3902" w:rsidRDefault="00AE3C49" w:rsidP="007F3EA9">
            <w:pPr>
              <w:spacing w:before="0" w:after="0"/>
              <w:jc w:val="right"/>
              <w:rPr>
                <w:rFonts w:ascii="Aptos" w:hAnsi="Aptos"/>
                <w:sz w:val="22"/>
                <w:szCs w:val="22"/>
              </w:rPr>
            </w:pPr>
            <w:r w:rsidRPr="001D3902">
              <w:rPr>
                <w:rFonts w:ascii="Aptos" w:hAnsi="Aptos"/>
                <w:sz w:val="22"/>
                <w:szCs w:val="22"/>
              </w:rPr>
              <w:t>22</w:t>
            </w:r>
          </w:p>
        </w:tc>
        <w:tc>
          <w:tcPr>
            <w:tcW w:w="1369" w:type="dxa"/>
            <w:vAlign w:val="center"/>
          </w:tcPr>
          <w:p w14:paraId="6E6E8B6C" w14:textId="274CA931"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11.1</w:t>
            </w:r>
          </w:p>
        </w:tc>
        <w:tc>
          <w:tcPr>
            <w:tcW w:w="1488" w:type="dxa"/>
            <w:vAlign w:val="center"/>
          </w:tcPr>
          <w:p w14:paraId="606F60C2" w14:textId="09E2B0C3"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11.8</w:t>
            </w:r>
          </w:p>
        </w:tc>
      </w:tr>
      <w:tr w:rsidR="00AE3C49" w14:paraId="1E0D4840" w14:textId="2AC97D44" w:rsidTr="008D6050">
        <w:tc>
          <w:tcPr>
            <w:tcW w:w="1413" w:type="dxa"/>
            <w:vAlign w:val="center"/>
          </w:tcPr>
          <w:p w14:paraId="07764432" w14:textId="38740AC4" w:rsidR="00AE3C49" w:rsidRPr="001D3902" w:rsidRDefault="00AE3C49" w:rsidP="007F3EA9">
            <w:pPr>
              <w:spacing w:before="0" w:after="0"/>
              <w:jc w:val="right"/>
              <w:rPr>
                <w:rFonts w:ascii="Aptos" w:hAnsi="Aptos"/>
                <w:sz w:val="22"/>
                <w:szCs w:val="22"/>
              </w:rPr>
            </w:pPr>
            <w:r w:rsidRPr="001D3902">
              <w:rPr>
                <w:rFonts w:ascii="Aptos" w:hAnsi="Aptos"/>
                <w:sz w:val="22"/>
                <w:szCs w:val="22"/>
              </w:rPr>
              <w:t>1:11</w:t>
            </w:r>
          </w:p>
        </w:tc>
        <w:tc>
          <w:tcPr>
            <w:tcW w:w="970" w:type="dxa"/>
            <w:vAlign w:val="center"/>
          </w:tcPr>
          <w:p w14:paraId="5F22E32A" w14:textId="7C260665" w:rsidR="00AE3C49" w:rsidRPr="001D3902" w:rsidRDefault="00AE3C49" w:rsidP="007F3EA9">
            <w:pPr>
              <w:spacing w:before="0" w:after="0"/>
              <w:jc w:val="right"/>
              <w:rPr>
                <w:rFonts w:ascii="Aptos" w:hAnsi="Aptos"/>
                <w:sz w:val="22"/>
                <w:szCs w:val="22"/>
              </w:rPr>
            </w:pPr>
            <w:r w:rsidRPr="001D3902">
              <w:rPr>
                <w:rFonts w:ascii="Aptos" w:hAnsi="Aptos"/>
                <w:sz w:val="22"/>
                <w:szCs w:val="22"/>
              </w:rPr>
              <w:t>23</w:t>
            </w:r>
          </w:p>
        </w:tc>
        <w:tc>
          <w:tcPr>
            <w:tcW w:w="1369" w:type="dxa"/>
            <w:vAlign w:val="center"/>
          </w:tcPr>
          <w:p w14:paraId="5871BA84" w14:textId="430374C6"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11.3</w:t>
            </w:r>
          </w:p>
        </w:tc>
        <w:tc>
          <w:tcPr>
            <w:tcW w:w="1488" w:type="dxa"/>
            <w:vAlign w:val="center"/>
          </w:tcPr>
          <w:p w14:paraId="0ED75580" w14:textId="58A3CFA7" w:rsidR="00AE3C49" w:rsidRPr="001D3902" w:rsidRDefault="00AE3C49" w:rsidP="007F3EA9">
            <w:pPr>
              <w:spacing w:before="0" w:after="0"/>
              <w:jc w:val="right"/>
              <w:rPr>
                <w:rFonts w:ascii="Aptos" w:hAnsi="Aptos"/>
                <w:sz w:val="22"/>
                <w:szCs w:val="22"/>
              </w:rPr>
            </w:pPr>
            <w:r w:rsidRPr="001D3902">
              <w:rPr>
                <w:rFonts w:ascii="Aptos" w:hAnsi="Aptos"/>
                <w:color w:val="000000"/>
                <w:sz w:val="22"/>
                <w:szCs w:val="22"/>
              </w:rPr>
              <w:t>12</w:t>
            </w:r>
          </w:p>
        </w:tc>
      </w:tr>
    </w:tbl>
    <w:p w14:paraId="3069EA06" w14:textId="3D4BB0CA" w:rsidR="00721BA2" w:rsidRPr="000A7C32" w:rsidRDefault="00721BA2" w:rsidP="00CD696A">
      <w:pPr>
        <w:pStyle w:val="Heading4-Appendix"/>
        <w:spacing w:before="240"/>
      </w:pPr>
      <w:bookmarkStart w:id="294" w:name="_Toc207801127"/>
      <w:bookmarkStart w:id="295" w:name="_Toc207824597"/>
      <w:r>
        <w:t>Growth factors</w:t>
      </w:r>
      <w:bookmarkEnd w:id="294"/>
      <w:bookmarkEnd w:id="295"/>
      <w:r>
        <w:t xml:space="preserve"> </w:t>
      </w:r>
    </w:p>
    <w:p w14:paraId="6C76BDD3" w14:textId="2CF4FC68" w:rsidR="00327F02" w:rsidRDefault="00C60D4F" w:rsidP="00327F02">
      <w:r>
        <w:t>Growth</w:t>
      </w:r>
      <w:r w:rsidR="007B103C">
        <w:t xml:space="preserve"> f</w:t>
      </w:r>
      <w:r>
        <w:t>acto</w:t>
      </w:r>
      <w:r w:rsidR="007B103C">
        <w:t xml:space="preserve">rs </w:t>
      </w:r>
      <w:r w:rsidR="00851543" w:rsidRPr="00851543">
        <w:t xml:space="preserve">were calculated as the proportional increase in protein requirement for growth relative to the maintenance requirement at the different ages </w:t>
      </w:r>
      <w:r w:rsidR="00FD6274">
        <w:fldChar w:fldCharType="begin">
          <w:fldData xml:space="preserve">PEVuZE5vdGU+PENpdGU+PEF1dGhvcj5OQVNFTTwvQXV0aG9yPjxZZWFyPjIwMTg8L1llYXI+PFJl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</w:fldData>
        </w:fldChar>
      </w:r>
      <w:r w:rsidR="009A4E8E">
        <w:instrText xml:space="preserve"> ADDIN EN.CITE </w:instrText>
      </w:r>
      <w:r w:rsidR="009A4E8E">
        <w:fldChar w:fldCharType="begin">
          <w:fldData xml:space="preserve">PEVuZE5vdGU+PENpdGU+PEF1dGhvcj5OQVNFTTwvQXV0aG9yPjxZZWFyPjIwMTg8L1llYXI+PFJl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</w:fldData>
        </w:fldChar>
      </w:r>
      <w:r w:rsidR="009A4E8E">
        <w:instrText xml:space="preserve"> ADDIN EN.CITE.DATA </w:instrText>
      </w:r>
      <w:r w:rsidR="009A4E8E">
        <w:fldChar w:fldCharType="end"/>
      </w:r>
      <w:r w:rsidR="00FD6274">
        <w:fldChar w:fldCharType="separate"/>
      </w:r>
      <w:r w:rsidR="009A4E8E">
        <w:rPr>
          <w:noProof/>
        </w:rPr>
        <w:t xml:space="preserve">(EFSA Panel on Dietetic Products Nutrition </w:t>
      </w:r>
      <w:r w:rsidR="00FD5765">
        <w:rPr>
          <w:noProof/>
        </w:rPr>
        <w:t xml:space="preserve">and </w:t>
      </w:r>
      <w:r w:rsidR="009A4E8E">
        <w:rPr>
          <w:noProof/>
        </w:rPr>
        <w:t>Allergies 2012; NASEM 2018)</w:t>
      </w:r>
      <w:r w:rsidR="00FD6274">
        <w:fldChar w:fldCharType="end"/>
      </w:r>
      <w:r w:rsidR="00851543" w:rsidRPr="00851543">
        <w:t>. The value for each age group corresponds to the mean of values for the years included</w:t>
      </w:r>
    </w:p>
    <w:p w14:paraId="61CBA72F" w14:textId="77777777" w:rsidR="00CD696A" w:rsidRDefault="00CD696A">
      <w:pPr>
        <w:spacing w:line="240" w:lineRule="atLeast"/>
        <w:rPr>
          <w:rFonts w:ascii="Gotham Medium" w:hAnsi="Gotham Medium"/>
        </w:rPr>
      </w:pPr>
      <w:r>
        <w:rPr>
          <w:rFonts w:ascii="Gotham Medium" w:hAnsi="Gotham Medium"/>
        </w:rPr>
        <w:br w:type="page"/>
      </w:r>
    </w:p>
    <w:p w14:paraId="4E6DB364" w14:textId="389C5DEA" w:rsidR="00327F02" w:rsidRDefault="009061A1" w:rsidP="00327F02">
      <w:r w:rsidRPr="0079108F">
        <w:rPr>
          <w:rFonts w:ascii="Gotham Medium" w:hAnsi="Gotham Medium"/>
        </w:rPr>
        <w:lastRenderedPageBreak/>
        <w:t>Table C.4.1 Growth Factor calculations</w:t>
      </w:r>
      <w:r>
        <w:t xml:space="preserve"> </w:t>
      </w:r>
    </w:p>
    <w:p w14:paraId="314E608D" w14:textId="232FAEEF" w:rsidR="00211597" w:rsidRDefault="00211597" w:rsidP="00327F02">
      <w:r>
        <w:t>NRV Age Groupings</w:t>
      </w:r>
    </w:p>
    <w:tbl>
      <w:tblPr>
        <w:tblStyle w:val="DefaultTable1"/>
        <w:tblW w:w="4529" w:type="pct"/>
        <w:tblLook w:val="04A0" w:firstRow="1" w:lastRow="0" w:firstColumn="1" w:lastColumn="0" w:noHBand="0" w:noVBand="1"/>
      </w:tblPr>
      <w:tblGrid>
        <w:gridCol w:w="3800"/>
        <w:gridCol w:w="1396"/>
        <w:gridCol w:w="1819"/>
        <w:gridCol w:w="1912"/>
      </w:tblGrid>
      <w:tr w:rsidR="00BC5DD3" w14:paraId="50EE6EFF" w14:textId="77777777" w:rsidTr="00BC5D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pct"/>
          </w:tcPr>
          <w:p w14:paraId="6DAEC107" w14:textId="77777777" w:rsidR="00BC5DD3" w:rsidRPr="00211597" w:rsidRDefault="00BC5DD3" w:rsidP="0086581C">
            <w:pPr>
              <w:jc w:val="center"/>
              <w:rPr>
                <w:rFonts w:ascii="Aptos" w:hAnsi="Aptos"/>
                <w:bCs w:val="0"/>
              </w:rPr>
            </w:pPr>
            <w:r w:rsidRPr="00211597">
              <w:rPr>
                <w:rFonts w:ascii="Aptos" w:hAnsi="Aptos"/>
                <w:b w:val="0"/>
              </w:rPr>
              <w:t>Age group (yrs)</w:t>
            </w:r>
          </w:p>
        </w:tc>
        <w:tc>
          <w:tcPr>
            <w:tcW w:w="2872" w:type="pct"/>
            <w:gridSpan w:val="3"/>
          </w:tcPr>
          <w:p w14:paraId="76B30695" w14:textId="51B4F052" w:rsidR="00BC5DD3" w:rsidRDefault="00BC5DD3" w:rsidP="0072551F">
            <w:pPr>
              <w:jc w:val="center"/>
              <w:cnfStyle w:val="100000000000" w:firstRow="1" w:lastRow="0" w:firstColumn="0" w:lastColumn="0" w:oddVBand="0" w:evenVBand="0" w:oddHBand="0" w:evenHBand="0" w:firstRowFirstColumn="0" w:firstRowLastColumn="0" w:lastRowFirstColumn="0" w:lastRowLastColumn="0"/>
              <w:rPr>
                <w:rFonts w:ascii="Aptos" w:hAnsi="Aptos"/>
              </w:rPr>
            </w:pPr>
            <w:r>
              <w:rPr>
                <w:rFonts w:ascii="Aptos" w:hAnsi="Aptos"/>
              </w:rPr>
              <w:t>Growth Factors</w:t>
            </w:r>
          </w:p>
        </w:tc>
      </w:tr>
      <w:tr w:rsidR="0004631C" w14:paraId="2E97A2FD" w14:textId="77777777" w:rsidTr="00BC5D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pct"/>
          </w:tcPr>
          <w:p w14:paraId="6D6092E3" w14:textId="77777777" w:rsidR="001924CB" w:rsidRPr="00211597" w:rsidRDefault="001924CB" w:rsidP="002A6476">
            <w:pPr>
              <w:jc w:val="center"/>
              <w:rPr>
                <w:rFonts w:ascii="Aptos" w:hAnsi="Aptos"/>
                <w:b w:val="0"/>
              </w:rPr>
            </w:pPr>
          </w:p>
        </w:tc>
        <w:tc>
          <w:tcPr>
            <w:tcW w:w="782" w:type="pct"/>
          </w:tcPr>
          <w:p w14:paraId="33BD2769" w14:textId="685E2E14"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b/>
                <w:bCs/>
              </w:rPr>
            </w:pPr>
            <w:r w:rsidRPr="00211597">
              <w:rPr>
                <w:rFonts w:ascii="Aptos" w:hAnsi="Aptos"/>
                <w:b/>
                <w:bCs/>
              </w:rPr>
              <w:t>Girls</w:t>
            </w:r>
            <w:r w:rsidRPr="00211597">
              <w:rPr>
                <w:rFonts w:ascii="Aptos" w:hAnsi="Aptos"/>
                <w:vertAlign w:val="superscript"/>
              </w:rPr>
              <w:t>(a)</w:t>
            </w:r>
          </w:p>
        </w:tc>
        <w:tc>
          <w:tcPr>
            <w:tcW w:w="1019" w:type="pct"/>
          </w:tcPr>
          <w:p w14:paraId="2CF0121E" w14:textId="41DC1923" w:rsidR="001924CB" w:rsidRPr="00211597" w:rsidRDefault="001924CB" w:rsidP="002A6476">
            <w:pPr>
              <w:jc w:val="center"/>
              <w:cnfStyle w:val="000000100000" w:firstRow="0" w:lastRow="0" w:firstColumn="0" w:lastColumn="0" w:oddVBand="0" w:evenVBand="0" w:oddHBand="1" w:evenHBand="0" w:firstRowFirstColumn="0" w:firstRowLastColumn="0" w:lastRowFirstColumn="0" w:lastRowLastColumn="0"/>
              <w:rPr>
                <w:rFonts w:ascii="Aptos" w:hAnsi="Aptos"/>
                <w:b/>
              </w:rPr>
            </w:pPr>
            <w:r w:rsidRPr="00211597">
              <w:rPr>
                <w:rFonts w:ascii="Aptos" w:hAnsi="Aptos"/>
                <w:b/>
              </w:rPr>
              <w:t>Boys</w:t>
            </w:r>
            <w:r w:rsidR="001F48F7" w:rsidRPr="00211597">
              <w:rPr>
                <w:rFonts w:ascii="Aptos" w:hAnsi="Aptos"/>
                <w:vertAlign w:val="superscript"/>
              </w:rPr>
              <w:t>(a)</w:t>
            </w:r>
          </w:p>
        </w:tc>
        <w:tc>
          <w:tcPr>
            <w:tcW w:w="1071" w:type="pct"/>
          </w:tcPr>
          <w:p w14:paraId="726336F9" w14:textId="65EB1813" w:rsidR="001924CB" w:rsidRPr="00211597" w:rsidRDefault="001924CB" w:rsidP="002A6476">
            <w:pPr>
              <w:jc w:val="center"/>
              <w:cnfStyle w:val="000000100000" w:firstRow="0" w:lastRow="0" w:firstColumn="0" w:lastColumn="0" w:oddVBand="0" w:evenVBand="0" w:oddHBand="1" w:evenHBand="0" w:firstRowFirstColumn="0" w:firstRowLastColumn="0" w:lastRowFirstColumn="0" w:lastRowLastColumn="0"/>
              <w:rPr>
                <w:rFonts w:ascii="Aptos" w:hAnsi="Aptos"/>
                <w:b/>
              </w:rPr>
            </w:pPr>
            <w:r w:rsidRPr="00211597">
              <w:rPr>
                <w:rFonts w:ascii="Aptos" w:hAnsi="Aptos"/>
                <w:b/>
              </w:rPr>
              <w:t>Persons</w:t>
            </w:r>
            <w:r w:rsidR="001F48F7" w:rsidRPr="00211597">
              <w:rPr>
                <w:rFonts w:ascii="Aptos" w:hAnsi="Aptos"/>
                <w:vertAlign w:val="superscript"/>
              </w:rPr>
              <w:t>(b)</w:t>
            </w:r>
          </w:p>
        </w:tc>
      </w:tr>
      <w:tr w:rsidR="0004631C" w14:paraId="4ABFF183" w14:textId="77777777" w:rsidTr="00BC5D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pct"/>
          </w:tcPr>
          <w:p w14:paraId="4D4A188E" w14:textId="2946975F" w:rsidR="001924CB" w:rsidRPr="00211597" w:rsidRDefault="0072551F" w:rsidP="001924CB">
            <w:pPr>
              <w:rPr>
                <w:rFonts w:ascii="Aptos" w:hAnsi="Aptos"/>
              </w:rPr>
            </w:pPr>
            <w:r w:rsidRPr="00211597">
              <w:rPr>
                <w:rFonts w:ascii="Aptos" w:hAnsi="Aptos"/>
              </w:rPr>
              <w:t xml:space="preserve">0 </w:t>
            </w:r>
            <w:r>
              <w:rPr>
                <w:rFonts w:ascii="Aptos" w:hAnsi="Aptos"/>
              </w:rPr>
              <w:t>-</w:t>
            </w:r>
            <w:r w:rsidRPr="00211597">
              <w:rPr>
                <w:rFonts w:ascii="Aptos" w:hAnsi="Aptos"/>
              </w:rPr>
              <w:t xml:space="preserve"> </w:t>
            </w:r>
            <w:r w:rsidR="009061A1" w:rsidRPr="00211597">
              <w:rPr>
                <w:rFonts w:ascii="Aptos" w:hAnsi="Aptos"/>
              </w:rPr>
              <w:t xml:space="preserve">12 months </w:t>
            </w:r>
          </w:p>
        </w:tc>
        <w:tc>
          <w:tcPr>
            <w:tcW w:w="782" w:type="pct"/>
          </w:tcPr>
          <w:p w14:paraId="2458853E" w14:textId="001A9EB2"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0.57</w:t>
            </w:r>
          </w:p>
        </w:tc>
        <w:tc>
          <w:tcPr>
            <w:tcW w:w="1019" w:type="pct"/>
          </w:tcPr>
          <w:p w14:paraId="2E9CDA40" w14:textId="4A0E5ED2" w:rsidR="001924CB" w:rsidRPr="00211597" w:rsidRDefault="001F48F7" w:rsidP="0086581C">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0.57</w:t>
            </w:r>
          </w:p>
        </w:tc>
        <w:tc>
          <w:tcPr>
            <w:tcW w:w="1071" w:type="pct"/>
          </w:tcPr>
          <w:p w14:paraId="51DA4941" w14:textId="4CE47CCB" w:rsidR="001924CB" w:rsidRPr="00211597" w:rsidRDefault="001F48F7" w:rsidP="0086581C">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0.57</w:t>
            </w:r>
          </w:p>
        </w:tc>
      </w:tr>
      <w:tr w:rsidR="0004631C" w14:paraId="1EFE97E3" w14:textId="77777777" w:rsidTr="00BC5D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pct"/>
          </w:tcPr>
          <w:p w14:paraId="2EE5ECBF" w14:textId="5ABEEC93" w:rsidR="001924CB" w:rsidRPr="00211597" w:rsidRDefault="0072551F" w:rsidP="001924CB">
            <w:pPr>
              <w:rPr>
                <w:rFonts w:ascii="Aptos" w:hAnsi="Aptos"/>
              </w:rPr>
            </w:pPr>
            <w:r w:rsidRPr="00211597">
              <w:rPr>
                <w:rFonts w:ascii="Aptos" w:hAnsi="Aptos"/>
              </w:rPr>
              <w:t xml:space="preserve">1 to under 4 </w:t>
            </w:r>
            <w:r>
              <w:rPr>
                <w:rFonts w:ascii="Aptos" w:hAnsi="Aptos"/>
              </w:rPr>
              <w:t>years</w:t>
            </w:r>
            <w:r w:rsidRPr="00211597">
              <w:rPr>
                <w:rFonts w:ascii="Aptos" w:hAnsi="Aptos"/>
              </w:rPr>
              <w:t xml:space="preserve"> </w:t>
            </w:r>
          </w:p>
        </w:tc>
        <w:tc>
          <w:tcPr>
            <w:tcW w:w="782" w:type="pct"/>
          </w:tcPr>
          <w:p w14:paraId="1976E237" w14:textId="1846B595"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w:t>
            </w:r>
            <w:r>
              <w:rPr>
                <w:rFonts w:ascii="Aptos" w:hAnsi="Aptos"/>
              </w:rPr>
              <w:t>20</w:t>
            </w:r>
          </w:p>
        </w:tc>
        <w:tc>
          <w:tcPr>
            <w:tcW w:w="1019" w:type="pct"/>
          </w:tcPr>
          <w:p w14:paraId="45B82AE3" w14:textId="7A1F2FBA" w:rsidR="001924CB" w:rsidRPr="00211597" w:rsidRDefault="001F48F7" w:rsidP="0086581C">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w:t>
            </w:r>
            <w:r w:rsidR="0072551F">
              <w:rPr>
                <w:rFonts w:ascii="Aptos" w:hAnsi="Aptos"/>
              </w:rPr>
              <w:t>25</w:t>
            </w:r>
          </w:p>
        </w:tc>
        <w:tc>
          <w:tcPr>
            <w:tcW w:w="1071" w:type="pct"/>
          </w:tcPr>
          <w:p w14:paraId="79131480" w14:textId="2AA565B6" w:rsidR="001924CB" w:rsidRPr="00211597" w:rsidRDefault="001F48F7" w:rsidP="0086581C">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w:t>
            </w:r>
            <w:r w:rsidR="0072551F">
              <w:rPr>
                <w:rFonts w:ascii="Aptos" w:hAnsi="Aptos"/>
              </w:rPr>
              <w:t>23</w:t>
            </w:r>
          </w:p>
        </w:tc>
      </w:tr>
      <w:tr w:rsidR="0004631C" w14:paraId="05B518CD" w14:textId="77777777" w:rsidTr="00BC5D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pct"/>
          </w:tcPr>
          <w:p w14:paraId="4AAE0047" w14:textId="662B05C2" w:rsidR="001924CB" w:rsidRPr="00211597" w:rsidRDefault="009061A1" w:rsidP="001924CB">
            <w:pPr>
              <w:rPr>
                <w:rFonts w:ascii="Aptos" w:hAnsi="Aptos"/>
              </w:rPr>
            </w:pPr>
            <w:r>
              <w:rPr>
                <w:rFonts w:ascii="Aptos" w:hAnsi="Aptos"/>
              </w:rPr>
              <w:t>4</w:t>
            </w:r>
            <w:r w:rsidRPr="00211597">
              <w:rPr>
                <w:rFonts w:ascii="Aptos" w:hAnsi="Aptos"/>
              </w:rPr>
              <w:t xml:space="preserve"> </w:t>
            </w:r>
            <w:r w:rsidR="0072551F" w:rsidRPr="00211597">
              <w:rPr>
                <w:rFonts w:ascii="Aptos" w:hAnsi="Aptos"/>
              </w:rPr>
              <w:t xml:space="preserve">to under </w:t>
            </w:r>
            <w:r w:rsidR="0072551F">
              <w:rPr>
                <w:rFonts w:ascii="Aptos" w:hAnsi="Aptos"/>
              </w:rPr>
              <w:t>9</w:t>
            </w:r>
            <w:r w:rsidR="0072551F" w:rsidRPr="00211597">
              <w:rPr>
                <w:rFonts w:ascii="Aptos" w:hAnsi="Aptos"/>
              </w:rPr>
              <w:t xml:space="preserve"> </w:t>
            </w:r>
            <w:r w:rsidRPr="00211597">
              <w:rPr>
                <w:rFonts w:ascii="Aptos" w:hAnsi="Aptos"/>
              </w:rPr>
              <w:t>years</w:t>
            </w:r>
          </w:p>
        </w:tc>
        <w:tc>
          <w:tcPr>
            <w:tcW w:w="782" w:type="pct"/>
          </w:tcPr>
          <w:p w14:paraId="5F9CEBD1" w14:textId="6BB0E155"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w:t>
            </w:r>
            <w:r>
              <w:rPr>
                <w:rFonts w:ascii="Aptos" w:hAnsi="Aptos"/>
              </w:rPr>
              <w:t>08</w:t>
            </w:r>
          </w:p>
        </w:tc>
        <w:tc>
          <w:tcPr>
            <w:tcW w:w="1019" w:type="pct"/>
          </w:tcPr>
          <w:p w14:paraId="104D826E" w14:textId="28084071" w:rsidR="001924CB" w:rsidRPr="00211597" w:rsidRDefault="001F48F7" w:rsidP="0086581C">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w:t>
            </w:r>
            <w:r w:rsidR="0072551F">
              <w:rPr>
                <w:rFonts w:ascii="Aptos" w:hAnsi="Aptos"/>
              </w:rPr>
              <w:t>09</w:t>
            </w:r>
          </w:p>
        </w:tc>
        <w:tc>
          <w:tcPr>
            <w:tcW w:w="1071" w:type="pct"/>
          </w:tcPr>
          <w:p w14:paraId="4FE54412" w14:textId="306A1702" w:rsidR="001924CB" w:rsidRPr="00211597" w:rsidRDefault="001F48F7" w:rsidP="0086581C">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w:t>
            </w:r>
            <w:r w:rsidR="0072551F">
              <w:rPr>
                <w:rFonts w:ascii="Aptos" w:hAnsi="Aptos"/>
              </w:rPr>
              <w:t>09</w:t>
            </w:r>
          </w:p>
        </w:tc>
      </w:tr>
      <w:tr w:rsidR="0004631C" w14:paraId="04EA1F37" w14:textId="77777777" w:rsidTr="00BC5D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pct"/>
          </w:tcPr>
          <w:p w14:paraId="7A99E591" w14:textId="65139547" w:rsidR="001924CB" w:rsidRPr="00211597" w:rsidRDefault="0072551F" w:rsidP="001924CB">
            <w:pPr>
              <w:rPr>
                <w:rFonts w:ascii="Aptos" w:hAnsi="Aptos"/>
              </w:rPr>
            </w:pPr>
            <w:r>
              <w:rPr>
                <w:rFonts w:ascii="Aptos" w:hAnsi="Aptos"/>
              </w:rPr>
              <w:t>9</w:t>
            </w:r>
            <w:r w:rsidRPr="00211597">
              <w:rPr>
                <w:rFonts w:ascii="Aptos" w:hAnsi="Aptos"/>
              </w:rPr>
              <w:t xml:space="preserve"> to under 1</w:t>
            </w:r>
            <w:r>
              <w:rPr>
                <w:rFonts w:ascii="Aptos" w:hAnsi="Aptos"/>
              </w:rPr>
              <w:t>4</w:t>
            </w:r>
            <w:r w:rsidRPr="00211597">
              <w:rPr>
                <w:rFonts w:ascii="Aptos" w:hAnsi="Aptos"/>
              </w:rPr>
              <w:t xml:space="preserve"> years</w:t>
            </w:r>
          </w:p>
        </w:tc>
        <w:tc>
          <w:tcPr>
            <w:tcW w:w="782" w:type="pct"/>
          </w:tcPr>
          <w:p w14:paraId="40D5E1AB" w14:textId="7BC157AB"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0.11</w:t>
            </w:r>
          </w:p>
        </w:tc>
        <w:tc>
          <w:tcPr>
            <w:tcW w:w="1019" w:type="pct"/>
          </w:tcPr>
          <w:p w14:paraId="7D08F5FD" w14:textId="6772F961" w:rsidR="001924CB" w:rsidRPr="00211597" w:rsidRDefault="001F48F7" w:rsidP="001A5FFC">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w:t>
            </w:r>
            <w:r w:rsidR="0072551F" w:rsidRPr="00211597">
              <w:rPr>
                <w:rFonts w:ascii="Aptos" w:hAnsi="Aptos"/>
              </w:rPr>
              <w:t>1</w:t>
            </w:r>
            <w:r w:rsidR="0072551F">
              <w:rPr>
                <w:rFonts w:ascii="Aptos" w:hAnsi="Aptos"/>
              </w:rPr>
              <w:t>1</w:t>
            </w:r>
          </w:p>
        </w:tc>
        <w:tc>
          <w:tcPr>
            <w:tcW w:w="1071" w:type="pct"/>
          </w:tcPr>
          <w:p w14:paraId="21017498" w14:textId="698E672D" w:rsidR="001924CB" w:rsidRPr="00211597" w:rsidRDefault="001F48F7" w:rsidP="001A5FFC">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0.12</w:t>
            </w:r>
          </w:p>
        </w:tc>
      </w:tr>
      <w:tr w:rsidR="0004631C" w14:paraId="09554DE5" w14:textId="77777777" w:rsidTr="00BC5DD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pct"/>
          </w:tcPr>
          <w:p w14:paraId="15A2C5CC" w14:textId="026E9660" w:rsidR="009061A1" w:rsidRPr="00211597" w:rsidRDefault="0072551F" w:rsidP="001924CB">
            <w:pPr>
              <w:rPr>
                <w:rFonts w:ascii="Aptos" w:hAnsi="Aptos"/>
              </w:rPr>
            </w:pPr>
            <w:r w:rsidRPr="00211597">
              <w:rPr>
                <w:rFonts w:ascii="Aptos" w:hAnsi="Aptos"/>
              </w:rPr>
              <w:t>1</w:t>
            </w:r>
            <w:r>
              <w:rPr>
                <w:rFonts w:ascii="Aptos" w:hAnsi="Aptos"/>
              </w:rPr>
              <w:t>4</w:t>
            </w:r>
            <w:r w:rsidRPr="00211597">
              <w:rPr>
                <w:rFonts w:ascii="Aptos" w:hAnsi="Aptos"/>
              </w:rPr>
              <w:t xml:space="preserve"> to under 18 years</w:t>
            </w:r>
          </w:p>
        </w:tc>
        <w:tc>
          <w:tcPr>
            <w:tcW w:w="782" w:type="pct"/>
          </w:tcPr>
          <w:p w14:paraId="55C57242" w14:textId="434D2CCA"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0.0</w:t>
            </w:r>
            <w:r>
              <w:rPr>
                <w:rFonts w:ascii="Aptos" w:hAnsi="Aptos"/>
              </w:rPr>
              <w:t>4</w:t>
            </w:r>
          </w:p>
        </w:tc>
        <w:tc>
          <w:tcPr>
            <w:tcW w:w="1019" w:type="pct"/>
          </w:tcPr>
          <w:p w14:paraId="208AD7DC" w14:textId="59CE2DF2" w:rsidR="009061A1" w:rsidRPr="00211597" w:rsidRDefault="001F48F7" w:rsidP="001A5FFC">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w:t>
            </w:r>
            <w:r w:rsidR="0072551F" w:rsidRPr="00211597">
              <w:rPr>
                <w:rFonts w:ascii="Aptos" w:hAnsi="Aptos"/>
              </w:rPr>
              <w:t>0</w:t>
            </w:r>
            <w:r w:rsidR="0072551F">
              <w:rPr>
                <w:rFonts w:ascii="Aptos" w:hAnsi="Aptos"/>
              </w:rPr>
              <w:t>8</w:t>
            </w:r>
          </w:p>
        </w:tc>
        <w:tc>
          <w:tcPr>
            <w:tcW w:w="1071" w:type="pct"/>
          </w:tcPr>
          <w:p w14:paraId="3DDACECA" w14:textId="63398F2C" w:rsidR="009061A1" w:rsidRPr="00211597" w:rsidRDefault="001F48F7" w:rsidP="001A5FFC">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w:t>
            </w:r>
            <w:r w:rsidR="0072551F" w:rsidRPr="00211597">
              <w:rPr>
                <w:rFonts w:ascii="Aptos" w:hAnsi="Aptos"/>
              </w:rPr>
              <w:t>0</w:t>
            </w:r>
            <w:r w:rsidR="0072551F">
              <w:rPr>
                <w:rFonts w:ascii="Aptos" w:hAnsi="Aptos"/>
              </w:rPr>
              <w:t>6</w:t>
            </w:r>
          </w:p>
        </w:tc>
      </w:tr>
    </w:tbl>
    <w:p w14:paraId="0CBB43BC" w14:textId="6126EF2A" w:rsidR="00211597" w:rsidRDefault="00963DCD" w:rsidP="00327F02">
      <w:r>
        <w:t xml:space="preserve">Alternate reporting </w:t>
      </w:r>
      <w:r w:rsidR="00211597">
        <w:t>Age Groupings</w:t>
      </w:r>
    </w:p>
    <w:tbl>
      <w:tblPr>
        <w:tblStyle w:val="DefaultTable1"/>
        <w:tblW w:w="4529" w:type="pct"/>
        <w:tblLook w:val="04A0" w:firstRow="1" w:lastRow="0" w:firstColumn="1" w:lastColumn="0" w:noHBand="0" w:noVBand="1"/>
      </w:tblPr>
      <w:tblGrid>
        <w:gridCol w:w="3822"/>
        <w:gridCol w:w="1418"/>
        <w:gridCol w:w="1843"/>
        <w:gridCol w:w="1844"/>
      </w:tblGrid>
      <w:tr w:rsidR="0072551F" w:rsidRPr="00211597" w14:paraId="072CB854" w14:textId="77777777" w:rsidTr="00725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1" w:type="pct"/>
            <w:vMerge w:val="restart"/>
          </w:tcPr>
          <w:p w14:paraId="0F68047E" w14:textId="77777777" w:rsidR="0072551F" w:rsidRPr="00211597" w:rsidRDefault="0072551F">
            <w:pPr>
              <w:jc w:val="center"/>
              <w:rPr>
                <w:rFonts w:ascii="Aptos" w:hAnsi="Aptos"/>
                <w:b w:val="0"/>
              </w:rPr>
            </w:pPr>
            <w:r w:rsidRPr="00211597">
              <w:rPr>
                <w:rFonts w:ascii="Aptos" w:hAnsi="Aptos"/>
                <w:b w:val="0"/>
              </w:rPr>
              <w:t>Age group (yrs)</w:t>
            </w:r>
          </w:p>
        </w:tc>
        <w:tc>
          <w:tcPr>
            <w:tcW w:w="2859" w:type="pct"/>
            <w:gridSpan w:val="3"/>
          </w:tcPr>
          <w:p w14:paraId="248115C4" w14:textId="42911A62" w:rsidR="0072551F" w:rsidRPr="00211597" w:rsidRDefault="0072551F">
            <w:pPr>
              <w:jc w:val="center"/>
              <w:cnfStyle w:val="100000000000" w:firstRow="1" w:lastRow="0" w:firstColumn="0" w:lastColumn="0" w:oddVBand="0" w:evenVBand="0" w:oddHBand="0" w:evenHBand="0" w:firstRowFirstColumn="0" w:firstRowLastColumn="0" w:lastRowFirstColumn="0" w:lastRowLastColumn="0"/>
              <w:rPr>
                <w:rFonts w:ascii="Aptos" w:hAnsi="Aptos"/>
                <w:b w:val="0"/>
              </w:rPr>
            </w:pPr>
            <w:r w:rsidRPr="00211597">
              <w:rPr>
                <w:rFonts w:ascii="Aptos" w:hAnsi="Aptos"/>
                <w:b w:val="0"/>
              </w:rPr>
              <w:t>Growth Factors</w:t>
            </w:r>
          </w:p>
        </w:tc>
      </w:tr>
      <w:tr w:rsidR="0072551F" w:rsidRPr="00211597" w14:paraId="2CBA495E" w14:textId="77777777" w:rsidTr="00725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1" w:type="pct"/>
            <w:vMerge/>
          </w:tcPr>
          <w:p w14:paraId="59A823DD" w14:textId="77777777" w:rsidR="0072551F" w:rsidRPr="00211597" w:rsidRDefault="0072551F" w:rsidP="0072551F">
            <w:pPr>
              <w:jc w:val="center"/>
              <w:rPr>
                <w:rFonts w:ascii="Aptos" w:hAnsi="Aptos"/>
                <w:b w:val="0"/>
              </w:rPr>
            </w:pPr>
          </w:p>
        </w:tc>
        <w:tc>
          <w:tcPr>
            <w:tcW w:w="794" w:type="pct"/>
          </w:tcPr>
          <w:p w14:paraId="73521A91" w14:textId="77777777"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b/>
                <w:bCs/>
              </w:rPr>
            </w:pPr>
            <w:r w:rsidRPr="00211597">
              <w:rPr>
                <w:rFonts w:ascii="Aptos" w:hAnsi="Aptos"/>
                <w:b/>
                <w:bCs/>
              </w:rPr>
              <w:t>Girls</w:t>
            </w:r>
            <w:r w:rsidRPr="00211597">
              <w:rPr>
                <w:rFonts w:ascii="Aptos" w:hAnsi="Aptos"/>
                <w:vertAlign w:val="superscript"/>
              </w:rPr>
              <w:t>(a)</w:t>
            </w:r>
          </w:p>
        </w:tc>
        <w:tc>
          <w:tcPr>
            <w:tcW w:w="1032" w:type="pct"/>
          </w:tcPr>
          <w:p w14:paraId="323910F1" w14:textId="59EA67CA"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b/>
                <w:bCs/>
              </w:rPr>
            </w:pPr>
            <w:r w:rsidRPr="00211597">
              <w:rPr>
                <w:rFonts w:ascii="Aptos" w:hAnsi="Aptos"/>
                <w:b/>
                <w:bCs/>
              </w:rPr>
              <w:t>Boys</w:t>
            </w:r>
            <w:r w:rsidRPr="00211597">
              <w:rPr>
                <w:rFonts w:ascii="Aptos" w:hAnsi="Aptos"/>
                <w:vertAlign w:val="superscript"/>
              </w:rPr>
              <w:t>(a)</w:t>
            </w:r>
          </w:p>
        </w:tc>
        <w:tc>
          <w:tcPr>
            <w:tcW w:w="1033" w:type="pct"/>
          </w:tcPr>
          <w:p w14:paraId="2FD22AA2" w14:textId="307C78F5"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b/>
                <w:bCs/>
              </w:rPr>
            </w:pPr>
            <w:r w:rsidRPr="00211597">
              <w:rPr>
                <w:rFonts w:ascii="Aptos" w:hAnsi="Aptos"/>
                <w:b/>
                <w:bCs/>
              </w:rPr>
              <w:t>Persons</w:t>
            </w:r>
            <w:r w:rsidRPr="00211597">
              <w:rPr>
                <w:rFonts w:ascii="Aptos" w:hAnsi="Aptos"/>
                <w:vertAlign w:val="superscript"/>
              </w:rPr>
              <w:t>(b)</w:t>
            </w:r>
          </w:p>
        </w:tc>
      </w:tr>
      <w:tr w:rsidR="0072551F" w:rsidRPr="00211597" w14:paraId="166634A4" w14:textId="77777777" w:rsidTr="007255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1" w:type="pct"/>
          </w:tcPr>
          <w:p w14:paraId="019D5DB0" w14:textId="77777777" w:rsidR="0072551F" w:rsidRPr="00211597" w:rsidRDefault="0072551F" w:rsidP="0072551F">
            <w:pPr>
              <w:rPr>
                <w:rFonts w:ascii="Aptos" w:hAnsi="Aptos"/>
              </w:rPr>
            </w:pPr>
            <w:r w:rsidRPr="00211597">
              <w:rPr>
                <w:rFonts w:ascii="Aptos" w:hAnsi="Aptos"/>
              </w:rPr>
              <w:t xml:space="preserve">0 </w:t>
            </w:r>
            <w:r>
              <w:rPr>
                <w:rFonts w:ascii="Aptos" w:hAnsi="Aptos"/>
              </w:rPr>
              <w:t>-</w:t>
            </w:r>
            <w:r w:rsidRPr="00211597">
              <w:rPr>
                <w:rFonts w:ascii="Aptos" w:hAnsi="Aptos"/>
              </w:rPr>
              <w:t xml:space="preserve"> 12 months </w:t>
            </w:r>
          </w:p>
        </w:tc>
        <w:tc>
          <w:tcPr>
            <w:tcW w:w="794" w:type="pct"/>
          </w:tcPr>
          <w:p w14:paraId="1C0C8C87" w14:textId="77777777"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0.57</w:t>
            </w:r>
          </w:p>
        </w:tc>
        <w:tc>
          <w:tcPr>
            <w:tcW w:w="1032" w:type="pct"/>
          </w:tcPr>
          <w:p w14:paraId="25013055" w14:textId="109CA56D"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0.57</w:t>
            </w:r>
          </w:p>
        </w:tc>
        <w:tc>
          <w:tcPr>
            <w:tcW w:w="1033" w:type="pct"/>
          </w:tcPr>
          <w:p w14:paraId="2877C8FC" w14:textId="2723D723"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0.57</w:t>
            </w:r>
          </w:p>
        </w:tc>
      </w:tr>
      <w:tr w:rsidR="0072551F" w:rsidRPr="00211597" w14:paraId="14DE4720" w14:textId="77777777" w:rsidTr="00725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1" w:type="pct"/>
          </w:tcPr>
          <w:p w14:paraId="69FE458A" w14:textId="77777777" w:rsidR="0072551F" w:rsidRPr="00211597" w:rsidRDefault="0072551F" w:rsidP="0072551F">
            <w:pPr>
              <w:rPr>
                <w:rFonts w:ascii="Aptos" w:hAnsi="Aptos"/>
              </w:rPr>
            </w:pPr>
            <w:r w:rsidRPr="00211597">
              <w:rPr>
                <w:rFonts w:ascii="Aptos" w:hAnsi="Aptos"/>
              </w:rPr>
              <w:t xml:space="preserve">12 to under 24 months </w:t>
            </w:r>
          </w:p>
        </w:tc>
        <w:tc>
          <w:tcPr>
            <w:tcW w:w="794" w:type="pct"/>
          </w:tcPr>
          <w:p w14:paraId="5FDAE92D" w14:textId="77777777"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0.44</w:t>
            </w:r>
          </w:p>
        </w:tc>
        <w:tc>
          <w:tcPr>
            <w:tcW w:w="1032" w:type="pct"/>
          </w:tcPr>
          <w:p w14:paraId="3DC95AD6" w14:textId="6482EF6F"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0.44</w:t>
            </w:r>
          </w:p>
        </w:tc>
        <w:tc>
          <w:tcPr>
            <w:tcW w:w="1033" w:type="pct"/>
          </w:tcPr>
          <w:p w14:paraId="6C30529D" w14:textId="17B2B4A8"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0.44</w:t>
            </w:r>
          </w:p>
        </w:tc>
      </w:tr>
      <w:tr w:rsidR="0072551F" w:rsidRPr="00211597" w14:paraId="795EB99B" w14:textId="77777777" w:rsidTr="007255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1" w:type="pct"/>
          </w:tcPr>
          <w:p w14:paraId="2E5B544B" w14:textId="43086435" w:rsidR="0072551F" w:rsidRPr="00211597" w:rsidRDefault="0072551F" w:rsidP="0072551F">
            <w:pPr>
              <w:rPr>
                <w:rFonts w:ascii="Aptos" w:hAnsi="Aptos"/>
              </w:rPr>
            </w:pPr>
            <w:r w:rsidRPr="00211597">
              <w:rPr>
                <w:rFonts w:ascii="Aptos" w:hAnsi="Aptos"/>
              </w:rPr>
              <w:t>2 to under 5 years</w:t>
            </w:r>
            <w:r>
              <w:rPr>
                <w:rFonts w:ascii="Aptos" w:hAnsi="Aptos"/>
              </w:rPr>
              <w:t xml:space="preserve"> (preschool)</w:t>
            </w:r>
          </w:p>
        </w:tc>
        <w:tc>
          <w:tcPr>
            <w:tcW w:w="794" w:type="pct"/>
          </w:tcPr>
          <w:p w14:paraId="02052E6C" w14:textId="77777777"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0.12</w:t>
            </w:r>
          </w:p>
        </w:tc>
        <w:tc>
          <w:tcPr>
            <w:tcW w:w="1032" w:type="pct"/>
          </w:tcPr>
          <w:p w14:paraId="44B31EBD" w14:textId="0E284EF1"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0.12</w:t>
            </w:r>
          </w:p>
        </w:tc>
        <w:tc>
          <w:tcPr>
            <w:tcW w:w="1033" w:type="pct"/>
          </w:tcPr>
          <w:p w14:paraId="1BD299B0" w14:textId="2E9C7EA4"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0.12</w:t>
            </w:r>
          </w:p>
        </w:tc>
      </w:tr>
      <w:tr w:rsidR="0072551F" w:rsidRPr="00211597" w14:paraId="5974E430" w14:textId="77777777" w:rsidTr="00725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1" w:type="pct"/>
          </w:tcPr>
          <w:p w14:paraId="4203577F" w14:textId="109C9285" w:rsidR="0072551F" w:rsidRPr="00211597" w:rsidRDefault="0072551F" w:rsidP="0072551F">
            <w:pPr>
              <w:rPr>
                <w:rFonts w:ascii="Aptos" w:hAnsi="Aptos"/>
              </w:rPr>
            </w:pPr>
            <w:r w:rsidRPr="00211597">
              <w:rPr>
                <w:rFonts w:ascii="Aptos" w:hAnsi="Aptos"/>
              </w:rPr>
              <w:t>5 to under 12 years</w:t>
            </w:r>
            <w:r>
              <w:rPr>
                <w:rFonts w:ascii="Aptos" w:hAnsi="Aptos"/>
              </w:rPr>
              <w:t xml:space="preserve"> (primary school age)</w:t>
            </w:r>
          </w:p>
        </w:tc>
        <w:tc>
          <w:tcPr>
            <w:tcW w:w="794" w:type="pct"/>
          </w:tcPr>
          <w:p w14:paraId="66748F93" w14:textId="77777777"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0.11</w:t>
            </w:r>
          </w:p>
        </w:tc>
        <w:tc>
          <w:tcPr>
            <w:tcW w:w="1032" w:type="pct"/>
          </w:tcPr>
          <w:p w14:paraId="55C92436" w14:textId="3B693051"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0.12</w:t>
            </w:r>
          </w:p>
        </w:tc>
        <w:tc>
          <w:tcPr>
            <w:tcW w:w="1033" w:type="pct"/>
          </w:tcPr>
          <w:p w14:paraId="20B4F703" w14:textId="04C35CBB" w:rsidR="0072551F" w:rsidRPr="00211597" w:rsidRDefault="0072551F" w:rsidP="0072551F">
            <w:pPr>
              <w:jc w:val="center"/>
              <w:cnfStyle w:val="000000100000" w:firstRow="0" w:lastRow="0" w:firstColumn="0" w:lastColumn="0" w:oddVBand="0" w:evenVBand="0" w:oddHBand="1" w:evenHBand="0" w:firstRowFirstColumn="0" w:firstRowLastColumn="0" w:lastRowFirstColumn="0" w:lastRowLastColumn="0"/>
              <w:rPr>
                <w:rFonts w:ascii="Aptos" w:hAnsi="Aptos"/>
              </w:rPr>
            </w:pPr>
            <w:r w:rsidRPr="00211597">
              <w:rPr>
                <w:rFonts w:ascii="Aptos" w:hAnsi="Aptos"/>
              </w:rPr>
              <w:t>0.12</w:t>
            </w:r>
          </w:p>
        </w:tc>
      </w:tr>
      <w:tr w:rsidR="0072551F" w:rsidRPr="00211597" w14:paraId="0BC069F9" w14:textId="77777777" w:rsidTr="007255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1" w:type="pct"/>
          </w:tcPr>
          <w:p w14:paraId="7462E4D1" w14:textId="0369EAE7" w:rsidR="0072551F" w:rsidRPr="00211597" w:rsidRDefault="0072551F" w:rsidP="0072551F">
            <w:pPr>
              <w:rPr>
                <w:rFonts w:ascii="Aptos" w:hAnsi="Aptos"/>
              </w:rPr>
            </w:pPr>
            <w:r w:rsidRPr="00211597">
              <w:rPr>
                <w:rFonts w:ascii="Aptos" w:hAnsi="Aptos"/>
              </w:rPr>
              <w:t>12 to under 18 years</w:t>
            </w:r>
            <w:r>
              <w:rPr>
                <w:rFonts w:ascii="Aptos" w:hAnsi="Aptos"/>
              </w:rPr>
              <w:t xml:space="preserve"> (adolescent)</w:t>
            </w:r>
          </w:p>
        </w:tc>
        <w:tc>
          <w:tcPr>
            <w:tcW w:w="794" w:type="pct"/>
          </w:tcPr>
          <w:p w14:paraId="0FA0E288" w14:textId="77777777"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0.06</w:t>
            </w:r>
          </w:p>
        </w:tc>
        <w:tc>
          <w:tcPr>
            <w:tcW w:w="1032" w:type="pct"/>
          </w:tcPr>
          <w:p w14:paraId="672BA284" w14:textId="4D6F792E"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0.09</w:t>
            </w:r>
          </w:p>
        </w:tc>
        <w:tc>
          <w:tcPr>
            <w:tcW w:w="1033" w:type="pct"/>
          </w:tcPr>
          <w:p w14:paraId="2A1F3EFE" w14:textId="351AFB68" w:rsidR="0072551F" w:rsidRPr="00211597" w:rsidRDefault="0072551F" w:rsidP="0072551F">
            <w:pPr>
              <w:jc w:val="center"/>
              <w:cnfStyle w:val="000000010000" w:firstRow="0" w:lastRow="0" w:firstColumn="0" w:lastColumn="0" w:oddVBand="0" w:evenVBand="0" w:oddHBand="0" w:evenHBand="1" w:firstRowFirstColumn="0" w:firstRowLastColumn="0" w:lastRowFirstColumn="0" w:lastRowLastColumn="0"/>
              <w:rPr>
                <w:rFonts w:ascii="Aptos" w:hAnsi="Aptos"/>
              </w:rPr>
            </w:pPr>
            <w:r w:rsidRPr="00211597">
              <w:rPr>
                <w:rFonts w:ascii="Aptos" w:hAnsi="Aptos"/>
              </w:rPr>
              <w:t>0.07</w:t>
            </w:r>
          </w:p>
        </w:tc>
      </w:tr>
    </w:tbl>
    <w:p w14:paraId="5C6B94BA" w14:textId="52B30208" w:rsidR="00347CD6" w:rsidRDefault="00211597" w:rsidP="00327F02">
      <w:r>
        <w:t xml:space="preserve"> </w:t>
      </w:r>
      <w:r w:rsidR="001F48F7">
        <w:t xml:space="preserve">(a) Derived from EFSA NDA Panel Growth Factors </w:t>
      </w:r>
      <w:r w:rsidR="00BD3030">
        <w:fldChar w:fldCharType="begin"/>
      </w:r>
      <w:r w:rsidR="00FD5765">
        <w:instrText xml:space="preserve"> ADDIN EN.CITE &lt;EndNote&gt;&lt;Cite&gt;&lt;Author&gt;EFSA Panel on Dietetic Products Nutrition and Allergies&lt;/Author&gt;&lt;Year&gt;2012&lt;/Year&gt;&lt;RecNum&gt;114&lt;/RecNum&gt;&lt;DisplayText&gt;(EFSA Panel on Dietetic Products Nutrition and Allergies 2012)&lt;/DisplayText&gt;&lt;record&gt;&lt;rec-number&gt;114&lt;/rec-number&gt;&lt;foreign-keys&gt;&lt;key app="EN" db-id="zxfaevvrgpsxebez5ec5vspfe2av5dtxt9xx" timestamp="1755154689"&gt;114&lt;/key&gt;&lt;/foreign-keys&gt;&lt;ref-type name="Journal Article"&gt;17&lt;/ref-type&gt;&lt;contributors&gt;&lt;authors&gt;&lt;author&gt;EFSA Panel on Dietetic Products Nutrition and Allergies,&lt;/author&gt;&lt;/authors&gt;&lt;/contributors&gt;&lt;titles&gt;&lt;title&gt;Scientific opinion on dietary reference values for protein&lt;/title&gt;&lt;secondary-title&gt;EFSA Journal&lt;/secondary-title&gt;&lt;/titles&gt;&lt;periodical&gt;&lt;full-title&gt;EFSA Journal&lt;/full-title&gt;&lt;/periodical&gt;&lt;pages&gt;2557&lt;/pages&gt;&lt;volume&gt;10&lt;/volume&gt;&lt;number&gt;2&lt;/number&gt;&lt;dates&gt;&lt;year&gt;2012&lt;/year&gt;&lt;/dates&gt;&lt;isbn&gt;1831-4732&lt;/isbn&gt;&lt;urls&gt;&lt;/urls&gt;&lt;electronic-resource-num&gt;10.2903/j.efsa.2012.2557&lt;/electronic-resource-num&gt;&lt;/record&gt;&lt;/Cite&gt;&lt;/EndNote&gt;</w:instrText>
      </w:r>
      <w:r w:rsidR="00BD3030">
        <w:fldChar w:fldCharType="separate"/>
      </w:r>
      <w:r w:rsidR="00FD5765">
        <w:rPr>
          <w:noProof/>
        </w:rPr>
        <w:t>(EFSA Panel on Dietetic Products Nutrition and Allergies 2012)</w:t>
      </w:r>
      <w:r w:rsidR="00BD3030">
        <w:fldChar w:fldCharType="end"/>
      </w:r>
      <w:r w:rsidR="006A38B7">
        <w:t xml:space="preserve"> – see Table C.4.2</w:t>
      </w:r>
    </w:p>
    <w:p w14:paraId="50452758" w14:textId="3F379E83" w:rsidR="001F48F7" w:rsidRDefault="001F48F7" w:rsidP="00327F02">
      <w:r>
        <w:t>(b) Calculated as mean of Growth Factors for boys and girls</w:t>
      </w:r>
    </w:p>
    <w:p w14:paraId="333EEF61" w14:textId="77777777" w:rsidR="006A38B7" w:rsidRDefault="006A38B7">
      <w:pPr>
        <w:spacing w:line="240" w:lineRule="atLeast"/>
      </w:pPr>
      <w:r>
        <w:br w:type="page"/>
      </w:r>
    </w:p>
    <w:p w14:paraId="1483CCE9" w14:textId="69E4D0C0" w:rsidR="00347CD6" w:rsidRPr="0079108F" w:rsidRDefault="009061A1" w:rsidP="00CD696A">
      <w:pPr>
        <w:spacing w:before="0"/>
        <w:rPr>
          <w:rFonts w:ascii="Gotham Medium" w:hAnsi="Gotham Medium"/>
        </w:rPr>
      </w:pPr>
      <w:r w:rsidRPr="0079108F">
        <w:rPr>
          <w:rFonts w:ascii="Gotham Medium" w:hAnsi="Gotham Medium"/>
        </w:rPr>
        <w:lastRenderedPageBreak/>
        <w:t xml:space="preserve">Table C.4.2 Source data underpinning Growth Factor calculations </w:t>
      </w:r>
    </w:p>
    <w:tbl>
      <w:tblPr>
        <w:tblStyle w:val="TableGrid"/>
        <w:tblW w:w="10093" w:type="dxa"/>
        <w:tblLook w:val="04A0" w:firstRow="1" w:lastRow="0" w:firstColumn="1" w:lastColumn="0" w:noHBand="0" w:noVBand="1"/>
      </w:tblPr>
      <w:tblGrid>
        <w:gridCol w:w="738"/>
        <w:gridCol w:w="1871"/>
        <w:gridCol w:w="1871"/>
        <w:gridCol w:w="1871"/>
        <w:gridCol w:w="1871"/>
        <w:gridCol w:w="1871"/>
      </w:tblGrid>
      <w:tr w:rsidR="00E6357B" w:rsidRPr="007B757A" w14:paraId="5AF69A80" w14:textId="77777777" w:rsidTr="007A42F6">
        <w:tc>
          <w:tcPr>
            <w:tcW w:w="0" w:type="auto"/>
          </w:tcPr>
          <w:p w14:paraId="5032B567" w14:textId="1357B5DD" w:rsidR="007B757A" w:rsidRPr="007B757A" w:rsidRDefault="007B757A" w:rsidP="005A1CC2">
            <w:pPr>
              <w:spacing w:before="0" w:after="0" w:line="259" w:lineRule="auto"/>
              <w:rPr>
                <w:sz w:val="18"/>
              </w:rPr>
            </w:pPr>
            <w:r w:rsidRPr="007B757A">
              <w:rPr>
                <w:sz w:val="18"/>
              </w:rPr>
              <w:t>Age</w:t>
            </w:r>
            <w:r w:rsidR="00764449">
              <w:rPr>
                <w:sz w:val="18"/>
              </w:rPr>
              <w:t xml:space="preserve"> </w:t>
            </w:r>
            <w:r w:rsidR="00764449" w:rsidRPr="007B757A">
              <w:rPr>
                <w:sz w:val="18"/>
              </w:rPr>
              <w:t>(yrs)</w:t>
            </w:r>
          </w:p>
        </w:tc>
        <w:tc>
          <w:tcPr>
            <w:tcW w:w="1871" w:type="dxa"/>
          </w:tcPr>
          <w:p w14:paraId="446618A5" w14:textId="53F114C8" w:rsidR="007B757A" w:rsidRPr="007B757A" w:rsidRDefault="00764449" w:rsidP="005A1CC2">
            <w:pPr>
              <w:spacing w:before="0" w:after="0" w:line="259" w:lineRule="auto"/>
              <w:rPr>
                <w:sz w:val="18"/>
              </w:rPr>
            </w:pPr>
            <w:r w:rsidRPr="007B757A">
              <w:rPr>
                <w:sz w:val="18"/>
              </w:rPr>
              <w:t>Maintenance requirement (g protein/kg per day) (a) (A)</w:t>
            </w:r>
          </w:p>
        </w:tc>
        <w:tc>
          <w:tcPr>
            <w:tcW w:w="1871" w:type="dxa"/>
          </w:tcPr>
          <w:p w14:paraId="1BCC3ED2" w14:textId="02142167" w:rsidR="007B757A" w:rsidRPr="007B757A" w:rsidRDefault="00764449" w:rsidP="005A1CC2">
            <w:pPr>
              <w:spacing w:before="0" w:after="0" w:line="259" w:lineRule="auto"/>
              <w:rPr>
                <w:sz w:val="18"/>
              </w:rPr>
            </w:pPr>
            <w:r w:rsidRPr="007B757A">
              <w:rPr>
                <w:sz w:val="18"/>
              </w:rPr>
              <w:t>Growth requirement (g protein/kg per day) (a) (B)</w:t>
            </w:r>
          </w:p>
        </w:tc>
        <w:tc>
          <w:tcPr>
            <w:tcW w:w="1871" w:type="dxa"/>
          </w:tcPr>
          <w:p w14:paraId="0592BFB5" w14:textId="7606E103" w:rsidR="007B757A" w:rsidRPr="007B757A" w:rsidRDefault="00764449" w:rsidP="005A1CC2">
            <w:pPr>
              <w:spacing w:before="0" w:after="0" w:line="259" w:lineRule="auto"/>
              <w:rPr>
                <w:sz w:val="18"/>
              </w:rPr>
            </w:pPr>
            <w:r w:rsidRPr="007B757A">
              <w:rPr>
                <w:sz w:val="18"/>
              </w:rPr>
              <w:t>Average Requirement for protein (g/kg per day) (a) (A+B)</w:t>
            </w:r>
          </w:p>
        </w:tc>
        <w:tc>
          <w:tcPr>
            <w:tcW w:w="1871" w:type="dxa"/>
          </w:tcPr>
          <w:p w14:paraId="69D125D1" w14:textId="4D1696A4" w:rsidR="007B757A" w:rsidRPr="007B757A" w:rsidRDefault="00764449" w:rsidP="005A1CC2">
            <w:pPr>
              <w:spacing w:before="0" w:after="0" w:line="259" w:lineRule="auto"/>
              <w:rPr>
                <w:sz w:val="18"/>
              </w:rPr>
            </w:pPr>
            <w:r w:rsidRPr="007B757A">
              <w:rPr>
                <w:sz w:val="18"/>
              </w:rPr>
              <w:t>Calculated growth factor (B/A)</w:t>
            </w:r>
          </w:p>
        </w:tc>
        <w:tc>
          <w:tcPr>
            <w:tcW w:w="1871" w:type="dxa"/>
            <w:tcBorders>
              <w:bottom w:val="single" w:sz="4" w:space="0" w:color="auto"/>
            </w:tcBorders>
          </w:tcPr>
          <w:p w14:paraId="17A4C36E" w14:textId="64B51D3D" w:rsidR="007B757A" w:rsidRPr="007B757A" w:rsidRDefault="00E6357B" w:rsidP="005A1CC2">
            <w:pPr>
              <w:spacing w:before="0" w:after="0" w:line="259" w:lineRule="auto"/>
              <w:rPr>
                <w:sz w:val="18"/>
              </w:rPr>
            </w:pPr>
            <w:r w:rsidRPr="007B757A">
              <w:rPr>
                <w:sz w:val="18"/>
              </w:rPr>
              <w:t xml:space="preserve">Growth factor </w:t>
            </w:r>
            <w:r w:rsidR="007B757A" w:rsidRPr="007B757A">
              <w:rPr>
                <w:sz w:val="18"/>
              </w:rPr>
              <w:t xml:space="preserve">per age group (b) </w:t>
            </w:r>
          </w:p>
        </w:tc>
      </w:tr>
      <w:tr w:rsidR="00E6357B" w:rsidRPr="007B757A" w14:paraId="2B751625" w14:textId="77777777" w:rsidTr="007A42F6">
        <w:tc>
          <w:tcPr>
            <w:tcW w:w="0" w:type="auto"/>
          </w:tcPr>
          <w:p w14:paraId="7DF9C658" w14:textId="77777777" w:rsidR="007B757A" w:rsidRPr="00D91100" w:rsidRDefault="007B757A" w:rsidP="005A1CC2">
            <w:pPr>
              <w:spacing w:before="0" w:after="0" w:line="259" w:lineRule="auto"/>
              <w:rPr>
                <w:b/>
                <w:bCs/>
                <w:sz w:val="18"/>
              </w:rPr>
            </w:pPr>
            <w:r w:rsidRPr="00D91100">
              <w:rPr>
                <w:b/>
                <w:bCs/>
                <w:sz w:val="18"/>
              </w:rPr>
              <w:t>Boys</w:t>
            </w:r>
          </w:p>
        </w:tc>
        <w:tc>
          <w:tcPr>
            <w:tcW w:w="1871" w:type="dxa"/>
          </w:tcPr>
          <w:p w14:paraId="723B140E" w14:textId="77777777" w:rsidR="007B757A" w:rsidRPr="007B757A" w:rsidRDefault="007B757A" w:rsidP="005A1CC2">
            <w:pPr>
              <w:spacing w:before="0" w:after="0" w:line="259" w:lineRule="auto"/>
              <w:rPr>
                <w:sz w:val="18"/>
              </w:rPr>
            </w:pPr>
          </w:p>
        </w:tc>
        <w:tc>
          <w:tcPr>
            <w:tcW w:w="1871" w:type="dxa"/>
          </w:tcPr>
          <w:p w14:paraId="5F7D411D" w14:textId="77777777" w:rsidR="007B757A" w:rsidRPr="007B757A" w:rsidRDefault="007B757A" w:rsidP="005A1CC2">
            <w:pPr>
              <w:spacing w:before="0" w:after="0" w:line="259" w:lineRule="auto"/>
              <w:rPr>
                <w:sz w:val="18"/>
              </w:rPr>
            </w:pPr>
          </w:p>
        </w:tc>
        <w:tc>
          <w:tcPr>
            <w:tcW w:w="1871" w:type="dxa"/>
          </w:tcPr>
          <w:p w14:paraId="6337E241" w14:textId="77777777" w:rsidR="007B757A" w:rsidRPr="007B757A" w:rsidRDefault="007B757A" w:rsidP="005A1CC2">
            <w:pPr>
              <w:spacing w:before="0" w:after="0" w:line="259" w:lineRule="auto"/>
              <w:rPr>
                <w:sz w:val="18"/>
              </w:rPr>
            </w:pPr>
          </w:p>
        </w:tc>
        <w:tc>
          <w:tcPr>
            <w:tcW w:w="1871" w:type="dxa"/>
            <w:tcBorders>
              <w:right w:val="single" w:sz="4" w:space="0" w:color="auto"/>
            </w:tcBorders>
          </w:tcPr>
          <w:p w14:paraId="71EFC6F4" w14:textId="77777777" w:rsidR="007B757A" w:rsidRPr="007B757A" w:rsidRDefault="007B757A" w:rsidP="005A1CC2">
            <w:pPr>
              <w:spacing w:before="0" w:after="0" w:line="259" w:lineRule="auto"/>
              <w:rPr>
                <w:sz w:val="18"/>
              </w:rPr>
            </w:pPr>
          </w:p>
        </w:tc>
        <w:tc>
          <w:tcPr>
            <w:tcW w:w="1871" w:type="dxa"/>
            <w:tcBorders>
              <w:top w:val="single" w:sz="4" w:space="0" w:color="auto"/>
              <w:left w:val="single" w:sz="4" w:space="0" w:color="auto"/>
              <w:bottom w:val="nil"/>
              <w:right w:val="single" w:sz="4" w:space="0" w:color="auto"/>
            </w:tcBorders>
            <w:vAlign w:val="center"/>
          </w:tcPr>
          <w:p w14:paraId="16B07BB3" w14:textId="77777777" w:rsidR="007B757A" w:rsidRPr="007B757A" w:rsidRDefault="007B757A" w:rsidP="00730492">
            <w:pPr>
              <w:spacing w:before="0" w:after="0" w:line="259" w:lineRule="auto"/>
              <w:rPr>
                <w:sz w:val="18"/>
              </w:rPr>
            </w:pPr>
          </w:p>
        </w:tc>
      </w:tr>
      <w:tr w:rsidR="00684C0B" w:rsidRPr="007B757A" w14:paraId="2AFAC3AF" w14:textId="77777777" w:rsidTr="587EA22A">
        <w:trPr>
          <w:trHeight w:val="300"/>
        </w:trPr>
        <w:tc>
          <w:tcPr>
            <w:tcW w:w="0" w:type="auto"/>
          </w:tcPr>
          <w:p w14:paraId="37AB1CEE" w14:textId="77777777" w:rsidR="00064987" w:rsidRPr="007B757A" w:rsidRDefault="00064987" w:rsidP="00164703">
            <w:pPr>
              <w:spacing w:before="0" w:after="0" w:line="312" w:lineRule="auto"/>
              <w:rPr>
                <w:sz w:val="18"/>
              </w:rPr>
            </w:pPr>
            <w:r w:rsidRPr="007B757A">
              <w:rPr>
                <w:sz w:val="18"/>
              </w:rPr>
              <w:t xml:space="preserve">0.5 </w:t>
            </w:r>
          </w:p>
        </w:tc>
        <w:tc>
          <w:tcPr>
            <w:tcW w:w="1871" w:type="dxa"/>
          </w:tcPr>
          <w:p w14:paraId="3A81B732" w14:textId="77777777" w:rsidR="00064987" w:rsidRPr="007B757A" w:rsidRDefault="00064987" w:rsidP="00164703">
            <w:pPr>
              <w:spacing w:before="0" w:after="0" w:line="312" w:lineRule="auto"/>
              <w:rPr>
                <w:sz w:val="18"/>
              </w:rPr>
            </w:pPr>
            <w:r w:rsidRPr="007B757A">
              <w:rPr>
                <w:sz w:val="18"/>
              </w:rPr>
              <w:t xml:space="preserve">0.66 </w:t>
            </w:r>
          </w:p>
        </w:tc>
        <w:tc>
          <w:tcPr>
            <w:tcW w:w="1871" w:type="dxa"/>
          </w:tcPr>
          <w:p w14:paraId="1D5DBFC0" w14:textId="77777777" w:rsidR="00064987" w:rsidRPr="007B757A" w:rsidRDefault="00064987" w:rsidP="00164703">
            <w:pPr>
              <w:spacing w:before="0" w:after="0" w:line="312" w:lineRule="auto"/>
              <w:rPr>
                <w:sz w:val="18"/>
              </w:rPr>
            </w:pPr>
            <w:r w:rsidRPr="007B757A">
              <w:rPr>
                <w:sz w:val="18"/>
              </w:rPr>
              <w:t>0.46</w:t>
            </w:r>
          </w:p>
        </w:tc>
        <w:tc>
          <w:tcPr>
            <w:tcW w:w="1871" w:type="dxa"/>
          </w:tcPr>
          <w:p w14:paraId="3091E046" w14:textId="77777777" w:rsidR="00064987" w:rsidRPr="007B757A" w:rsidRDefault="00064987" w:rsidP="00164703">
            <w:pPr>
              <w:spacing w:before="0" w:after="0" w:line="312" w:lineRule="auto"/>
              <w:rPr>
                <w:sz w:val="18"/>
              </w:rPr>
            </w:pPr>
            <w:r w:rsidRPr="007B757A">
              <w:rPr>
                <w:sz w:val="18"/>
              </w:rPr>
              <w:t xml:space="preserve">1.12 </w:t>
            </w:r>
          </w:p>
        </w:tc>
        <w:tc>
          <w:tcPr>
            <w:tcW w:w="1871" w:type="dxa"/>
            <w:tcBorders>
              <w:right w:val="single" w:sz="4" w:space="0" w:color="auto"/>
            </w:tcBorders>
          </w:tcPr>
          <w:p w14:paraId="6755A7C2" w14:textId="77777777" w:rsidR="00064987" w:rsidRPr="007B757A" w:rsidRDefault="00064987" w:rsidP="00164703">
            <w:pPr>
              <w:spacing w:before="0" w:after="0" w:line="312" w:lineRule="auto"/>
              <w:rPr>
                <w:sz w:val="18"/>
              </w:rPr>
            </w:pPr>
            <w:r w:rsidRPr="007B757A">
              <w:rPr>
                <w:sz w:val="18"/>
              </w:rPr>
              <w:t xml:space="preserve">0.70 </w:t>
            </w:r>
          </w:p>
        </w:tc>
        <w:tc>
          <w:tcPr>
            <w:tcW w:w="1871" w:type="dxa"/>
            <w:vMerge w:val="restart"/>
            <w:tcBorders>
              <w:top w:val="nil"/>
              <w:left w:val="single" w:sz="4" w:space="0" w:color="auto"/>
              <w:right w:val="single" w:sz="4" w:space="0" w:color="auto"/>
            </w:tcBorders>
            <w:vAlign w:val="center"/>
          </w:tcPr>
          <w:p w14:paraId="4D58C2A1" w14:textId="4AEA6D4F" w:rsidR="00777C52" w:rsidRDefault="00064987" w:rsidP="00730492">
            <w:pPr>
              <w:spacing w:before="0" w:after="0" w:line="259" w:lineRule="auto"/>
              <w:rPr>
                <w:sz w:val="18"/>
              </w:rPr>
            </w:pPr>
            <w:r w:rsidRPr="007B757A">
              <w:rPr>
                <w:sz w:val="18"/>
              </w:rPr>
              <w:t>7</w:t>
            </w:r>
            <w:r w:rsidR="00211597">
              <w:rPr>
                <w:sz w:val="18"/>
              </w:rPr>
              <w:t>-12</w:t>
            </w:r>
            <w:r w:rsidRPr="007B757A">
              <w:rPr>
                <w:sz w:val="18"/>
              </w:rPr>
              <w:t xml:space="preserve"> </w:t>
            </w:r>
            <w:proofErr w:type="spellStart"/>
            <w:r w:rsidRPr="007B757A">
              <w:rPr>
                <w:sz w:val="18"/>
              </w:rPr>
              <w:t>mo</w:t>
            </w:r>
            <w:proofErr w:type="spellEnd"/>
            <w:r w:rsidRPr="007B757A">
              <w:rPr>
                <w:sz w:val="18"/>
              </w:rPr>
              <w:t>: 0.57</w:t>
            </w:r>
          </w:p>
          <w:p w14:paraId="6D5DFC54" w14:textId="77777777" w:rsidR="00777C52" w:rsidRDefault="00777C52" w:rsidP="00730492">
            <w:pPr>
              <w:spacing w:before="0" w:after="0" w:line="259" w:lineRule="auto"/>
              <w:rPr>
                <w:sz w:val="18"/>
              </w:rPr>
            </w:pPr>
          </w:p>
          <w:p w14:paraId="5311F668" w14:textId="31EED986" w:rsidR="00777C52" w:rsidRDefault="00777C52" w:rsidP="00730492">
            <w:pPr>
              <w:spacing w:before="0" w:after="0" w:line="259" w:lineRule="auto"/>
              <w:rPr>
                <w:sz w:val="18"/>
              </w:rPr>
            </w:pPr>
            <w:r w:rsidRPr="007B757A">
              <w:rPr>
                <w:sz w:val="18"/>
              </w:rPr>
              <w:t>1</w:t>
            </w:r>
            <w:r>
              <w:rPr>
                <w:sz w:val="18"/>
              </w:rPr>
              <w:t>2 to under 24</w:t>
            </w:r>
            <w:r w:rsidRPr="007B757A">
              <w:rPr>
                <w:sz w:val="18"/>
              </w:rPr>
              <w:t xml:space="preserve"> </w:t>
            </w:r>
            <w:proofErr w:type="spellStart"/>
            <w:r>
              <w:rPr>
                <w:sz w:val="18"/>
              </w:rPr>
              <w:t>mo</w:t>
            </w:r>
            <w:proofErr w:type="spellEnd"/>
            <w:r w:rsidRPr="007B757A">
              <w:rPr>
                <w:sz w:val="18"/>
              </w:rPr>
              <w:t>: 0.</w:t>
            </w:r>
            <w:r>
              <w:rPr>
                <w:sz w:val="18"/>
              </w:rPr>
              <w:t>44</w:t>
            </w:r>
          </w:p>
          <w:p w14:paraId="04AA5795" w14:textId="77777777" w:rsidR="00777C52" w:rsidRDefault="00777C52" w:rsidP="00730492">
            <w:pPr>
              <w:spacing w:before="0" w:after="0" w:line="259" w:lineRule="auto"/>
              <w:rPr>
                <w:sz w:val="18"/>
              </w:rPr>
            </w:pPr>
          </w:p>
          <w:p w14:paraId="7326E37F" w14:textId="77777777" w:rsidR="00777C52" w:rsidRDefault="00777C52" w:rsidP="00730492">
            <w:pPr>
              <w:spacing w:before="0" w:after="0" w:line="259" w:lineRule="auto"/>
              <w:rPr>
                <w:sz w:val="18"/>
              </w:rPr>
            </w:pPr>
            <w:r>
              <w:rPr>
                <w:sz w:val="18"/>
              </w:rPr>
              <w:t xml:space="preserve">1 to under 4 yrs: 0.25 </w:t>
            </w:r>
          </w:p>
          <w:p w14:paraId="35F278AC" w14:textId="77777777" w:rsidR="00777C52" w:rsidRDefault="00777C52" w:rsidP="00730492">
            <w:pPr>
              <w:spacing w:before="0" w:after="0" w:line="259" w:lineRule="auto"/>
              <w:rPr>
                <w:sz w:val="18"/>
              </w:rPr>
            </w:pPr>
          </w:p>
          <w:p w14:paraId="320C29F0" w14:textId="737CB943" w:rsidR="00777C52" w:rsidRPr="007B757A" w:rsidRDefault="00777C52" w:rsidP="00730492">
            <w:pPr>
              <w:spacing w:before="0" w:after="0" w:line="259" w:lineRule="auto"/>
              <w:rPr>
                <w:sz w:val="18"/>
              </w:rPr>
            </w:pPr>
            <w:r>
              <w:rPr>
                <w:sz w:val="18"/>
              </w:rPr>
              <w:t>2 to under 5</w:t>
            </w:r>
            <w:r w:rsidR="00211597">
              <w:rPr>
                <w:sz w:val="18"/>
              </w:rPr>
              <w:t xml:space="preserve"> </w:t>
            </w:r>
            <w:r>
              <w:rPr>
                <w:sz w:val="18"/>
              </w:rPr>
              <w:t>yrs: 0.12</w:t>
            </w:r>
          </w:p>
          <w:p w14:paraId="17B1B2A8" w14:textId="77777777" w:rsidR="00777C52" w:rsidRDefault="00777C52" w:rsidP="00730492">
            <w:pPr>
              <w:spacing w:before="0" w:after="0" w:line="259" w:lineRule="auto"/>
              <w:rPr>
                <w:sz w:val="18"/>
              </w:rPr>
            </w:pPr>
            <w:r>
              <w:rPr>
                <w:sz w:val="18"/>
              </w:rPr>
              <w:t>4 to under 9 yrs 0.09</w:t>
            </w:r>
          </w:p>
          <w:p w14:paraId="171FA20A" w14:textId="77777777" w:rsidR="00777C52" w:rsidRDefault="00777C52" w:rsidP="00730492">
            <w:pPr>
              <w:spacing w:before="0" w:after="0" w:line="259" w:lineRule="auto"/>
              <w:rPr>
                <w:sz w:val="18"/>
              </w:rPr>
            </w:pPr>
          </w:p>
          <w:p w14:paraId="3398064B" w14:textId="1E671D79" w:rsidR="00777C52" w:rsidRDefault="00777C52" w:rsidP="00730492">
            <w:pPr>
              <w:spacing w:before="0" w:after="0" w:line="259" w:lineRule="auto"/>
              <w:rPr>
                <w:sz w:val="18"/>
              </w:rPr>
            </w:pPr>
            <w:r>
              <w:rPr>
                <w:sz w:val="18"/>
              </w:rPr>
              <w:t>5 to under 12</w:t>
            </w:r>
            <w:r w:rsidRPr="007B757A">
              <w:rPr>
                <w:sz w:val="18"/>
              </w:rPr>
              <w:t xml:space="preserve"> yrs: 0.1</w:t>
            </w:r>
            <w:r>
              <w:rPr>
                <w:sz w:val="18"/>
              </w:rPr>
              <w:t>2</w:t>
            </w:r>
          </w:p>
          <w:p w14:paraId="6A36289C" w14:textId="77777777" w:rsidR="00777C52" w:rsidRDefault="00777C52" w:rsidP="00730492">
            <w:pPr>
              <w:spacing w:before="0" w:after="0" w:line="259" w:lineRule="auto"/>
              <w:rPr>
                <w:sz w:val="18"/>
              </w:rPr>
            </w:pPr>
          </w:p>
          <w:p w14:paraId="3AC0DFCF" w14:textId="77777777" w:rsidR="00777C52" w:rsidRPr="007B757A" w:rsidRDefault="00777C52" w:rsidP="00730492">
            <w:pPr>
              <w:spacing w:before="0" w:after="0" w:line="259" w:lineRule="auto"/>
              <w:rPr>
                <w:sz w:val="18"/>
              </w:rPr>
            </w:pPr>
            <w:r>
              <w:rPr>
                <w:sz w:val="18"/>
              </w:rPr>
              <w:t>9 to under 14 yrs: 0.13</w:t>
            </w:r>
          </w:p>
          <w:p w14:paraId="1456DAB3" w14:textId="68DD6F32" w:rsidR="00777C52" w:rsidRDefault="00777C52" w:rsidP="00730492">
            <w:pPr>
              <w:spacing w:before="0" w:after="0" w:line="259" w:lineRule="auto"/>
              <w:rPr>
                <w:sz w:val="18"/>
              </w:rPr>
            </w:pPr>
            <w:r w:rsidRPr="007B757A">
              <w:rPr>
                <w:sz w:val="18"/>
              </w:rPr>
              <w:t>1</w:t>
            </w:r>
            <w:r>
              <w:rPr>
                <w:sz w:val="18"/>
              </w:rPr>
              <w:t>2 to under 18</w:t>
            </w:r>
            <w:r w:rsidRPr="007B757A">
              <w:rPr>
                <w:sz w:val="18"/>
              </w:rPr>
              <w:t xml:space="preserve"> yrs: 0.0</w:t>
            </w:r>
            <w:r>
              <w:rPr>
                <w:sz w:val="18"/>
              </w:rPr>
              <w:t>9</w:t>
            </w:r>
          </w:p>
          <w:p w14:paraId="6310B7FA" w14:textId="77777777" w:rsidR="00777C52" w:rsidRDefault="00777C52" w:rsidP="00730492">
            <w:pPr>
              <w:spacing w:before="0" w:after="0" w:line="259" w:lineRule="auto"/>
              <w:rPr>
                <w:sz w:val="18"/>
              </w:rPr>
            </w:pPr>
          </w:p>
          <w:p w14:paraId="5C119E82" w14:textId="6BAB6A49" w:rsidR="00064987" w:rsidRPr="007B757A" w:rsidRDefault="00777C52" w:rsidP="00730492">
            <w:pPr>
              <w:spacing w:before="0" w:after="0" w:line="259" w:lineRule="auto"/>
              <w:rPr>
                <w:sz w:val="18"/>
              </w:rPr>
            </w:pPr>
            <w:r>
              <w:rPr>
                <w:sz w:val="18"/>
              </w:rPr>
              <w:t>14 to under 18 yrs: 0.08</w:t>
            </w:r>
          </w:p>
        </w:tc>
      </w:tr>
      <w:tr w:rsidR="00684C0B" w:rsidRPr="007B757A" w14:paraId="39C672F5" w14:textId="77777777" w:rsidTr="587EA22A">
        <w:trPr>
          <w:trHeight w:val="204"/>
        </w:trPr>
        <w:tc>
          <w:tcPr>
            <w:tcW w:w="0" w:type="auto"/>
            <w:tcBorders>
              <w:bottom w:val="single" w:sz="4" w:space="0" w:color="auto"/>
            </w:tcBorders>
          </w:tcPr>
          <w:p w14:paraId="7131DDF9" w14:textId="5B4BCE00" w:rsidR="00064987" w:rsidRPr="007B757A" w:rsidRDefault="00064987" w:rsidP="00164703">
            <w:pPr>
              <w:spacing w:before="0" w:after="0" w:line="312" w:lineRule="auto"/>
              <w:rPr>
                <w:sz w:val="18"/>
              </w:rPr>
            </w:pPr>
            <w:r w:rsidRPr="007B757A">
              <w:rPr>
                <w:sz w:val="18"/>
              </w:rPr>
              <w:t xml:space="preserve">1 </w:t>
            </w:r>
          </w:p>
        </w:tc>
        <w:tc>
          <w:tcPr>
            <w:tcW w:w="1871" w:type="dxa"/>
            <w:tcBorders>
              <w:bottom w:val="single" w:sz="4" w:space="0" w:color="auto"/>
            </w:tcBorders>
          </w:tcPr>
          <w:p w14:paraId="211D8BA6" w14:textId="42E57D34" w:rsidR="00064987" w:rsidRPr="007B757A" w:rsidRDefault="00064987" w:rsidP="00164703">
            <w:pPr>
              <w:spacing w:before="0" w:after="0" w:line="312" w:lineRule="auto"/>
              <w:rPr>
                <w:sz w:val="18"/>
              </w:rPr>
            </w:pPr>
            <w:r w:rsidRPr="007B757A">
              <w:rPr>
                <w:sz w:val="18"/>
              </w:rPr>
              <w:t xml:space="preserve">0.66 </w:t>
            </w:r>
          </w:p>
        </w:tc>
        <w:tc>
          <w:tcPr>
            <w:tcW w:w="1871" w:type="dxa"/>
            <w:tcBorders>
              <w:bottom w:val="single" w:sz="4" w:space="0" w:color="auto"/>
            </w:tcBorders>
          </w:tcPr>
          <w:p w14:paraId="05833241" w14:textId="76D9AAA3" w:rsidR="00064987" w:rsidRPr="007B757A" w:rsidRDefault="00064987" w:rsidP="00164703">
            <w:pPr>
              <w:spacing w:before="0" w:after="0" w:line="312" w:lineRule="auto"/>
              <w:rPr>
                <w:sz w:val="18"/>
              </w:rPr>
            </w:pPr>
            <w:r w:rsidRPr="007B757A">
              <w:rPr>
                <w:sz w:val="18"/>
              </w:rPr>
              <w:t xml:space="preserve">0.29 </w:t>
            </w:r>
          </w:p>
        </w:tc>
        <w:tc>
          <w:tcPr>
            <w:tcW w:w="1871" w:type="dxa"/>
            <w:tcBorders>
              <w:bottom w:val="single" w:sz="4" w:space="0" w:color="auto"/>
            </w:tcBorders>
          </w:tcPr>
          <w:p w14:paraId="152B9E04" w14:textId="76A0D6EC" w:rsidR="00064987" w:rsidRPr="007B757A" w:rsidRDefault="00064987" w:rsidP="00164703">
            <w:pPr>
              <w:spacing w:before="0" w:after="0" w:line="312" w:lineRule="auto"/>
              <w:rPr>
                <w:sz w:val="18"/>
              </w:rPr>
            </w:pPr>
            <w:r w:rsidRPr="007B757A">
              <w:rPr>
                <w:sz w:val="18"/>
              </w:rPr>
              <w:t xml:space="preserve">0.95 </w:t>
            </w:r>
          </w:p>
        </w:tc>
        <w:tc>
          <w:tcPr>
            <w:tcW w:w="1871" w:type="dxa"/>
            <w:tcBorders>
              <w:bottom w:val="single" w:sz="4" w:space="0" w:color="auto"/>
              <w:right w:val="single" w:sz="4" w:space="0" w:color="auto"/>
            </w:tcBorders>
          </w:tcPr>
          <w:p w14:paraId="4559ADFC" w14:textId="4D9D7E2A" w:rsidR="00064987" w:rsidRPr="007B757A" w:rsidRDefault="00064987" w:rsidP="00164703">
            <w:pPr>
              <w:spacing w:before="0" w:after="0" w:line="312" w:lineRule="auto"/>
              <w:rPr>
                <w:sz w:val="18"/>
              </w:rPr>
            </w:pPr>
            <w:r w:rsidRPr="007B757A">
              <w:rPr>
                <w:sz w:val="18"/>
              </w:rPr>
              <w:t>0.44</w:t>
            </w:r>
          </w:p>
        </w:tc>
        <w:tc>
          <w:tcPr>
            <w:tcW w:w="1871" w:type="dxa"/>
            <w:vMerge/>
            <w:vAlign w:val="center"/>
          </w:tcPr>
          <w:p w14:paraId="1C746EAC" w14:textId="77777777" w:rsidR="00064987" w:rsidRPr="007B757A" w:rsidRDefault="00064987" w:rsidP="00730492">
            <w:pPr>
              <w:spacing w:before="0" w:after="0" w:line="259" w:lineRule="auto"/>
              <w:rPr>
                <w:sz w:val="18"/>
              </w:rPr>
            </w:pPr>
          </w:p>
        </w:tc>
      </w:tr>
      <w:tr w:rsidR="00730492" w:rsidRPr="007B757A" w14:paraId="63926343" w14:textId="77777777" w:rsidTr="587EA22A">
        <w:tc>
          <w:tcPr>
            <w:tcW w:w="0" w:type="auto"/>
          </w:tcPr>
          <w:p w14:paraId="375B85FF" w14:textId="77777777" w:rsidR="00730492" w:rsidRPr="007B757A" w:rsidRDefault="00730492" w:rsidP="00164703">
            <w:pPr>
              <w:spacing w:before="0" w:after="0" w:line="312" w:lineRule="auto"/>
              <w:rPr>
                <w:sz w:val="18"/>
              </w:rPr>
            </w:pPr>
            <w:r w:rsidRPr="007B757A">
              <w:rPr>
                <w:sz w:val="18"/>
              </w:rPr>
              <w:t xml:space="preserve">2 </w:t>
            </w:r>
          </w:p>
        </w:tc>
        <w:tc>
          <w:tcPr>
            <w:tcW w:w="1871" w:type="dxa"/>
          </w:tcPr>
          <w:p w14:paraId="4D304CA5" w14:textId="77777777" w:rsidR="00730492" w:rsidRPr="007B757A" w:rsidRDefault="00730492" w:rsidP="00164703">
            <w:pPr>
              <w:spacing w:before="0" w:after="0" w:line="312" w:lineRule="auto"/>
              <w:rPr>
                <w:sz w:val="18"/>
              </w:rPr>
            </w:pPr>
            <w:r w:rsidRPr="007B757A">
              <w:rPr>
                <w:sz w:val="18"/>
              </w:rPr>
              <w:t xml:space="preserve">0.66 </w:t>
            </w:r>
          </w:p>
        </w:tc>
        <w:tc>
          <w:tcPr>
            <w:tcW w:w="1871" w:type="dxa"/>
          </w:tcPr>
          <w:p w14:paraId="50F93AF2" w14:textId="77777777" w:rsidR="00730492" w:rsidRPr="007B757A" w:rsidRDefault="00730492" w:rsidP="00164703">
            <w:pPr>
              <w:spacing w:before="0" w:after="0" w:line="312" w:lineRule="auto"/>
              <w:rPr>
                <w:sz w:val="18"/>
              </w:rPr>
            </w:pPr>
            <w:r w:rsidRPr="007B757A">
              <w:rPr>
                <w:sz w:val="18"/>
              </w:rPr>
              <w:t>0.13</w:t>
            </w:r>
          </w:p>
        </w:tc>
        <w:tc>
          <w:tcPr>
            <w:tcW w:w="1871" w:type="dxa"/>
          </w:tcPr>
          <w:p w14:paraId="04572A10" w14:textId="4EED1377" w:rsidR="00730492" w:rsidRPr="007B757A" w:rsidRDefault="00730492" w:rsidP="00164703">
            <w:pPr>
              <w:spacing w:before="0" w:after="0" w:line="312" w:lineRule="auto"/>
              <w:rPr>
                <w:sz w:val="18"/>
              </w:rPr>
            </w:pPr>
            <w:r w:rsidRPr="007B757A">
              <w:rPr>
                <w:sz w:val="18"/>
              </w:rPr>
              <w:t xml:space="preserve">0.79 </w:t>
            </w:r>
          </w:p>
        </w:tc>
        <w:tc>
          <w:tcPr>
            <w:tcW w:w="1871" w:type="dxa"/>
            <w:tcBorders>
              <w:right w:val="single" w:sz="4" w:space="0" w:color="auto"/>
            </w:tcBorders>
          </w:tcPr>
          <w:p w14:paraId="1EF55A9E" w14:textId="77777777" w:rsidR="00730492" w:rsidRPr="007B757A" w:rsidRDefault="00730492" w:rsidP="00164703">
            <w:pPr>
              <w:spacing w:before="0" w:after="0" w:line="312" w:lineRule="auto"/>
              <w:rPr>
                <w:sz w:val="18"/>
              </w:rPr>
            </w:pPr>
            <w:r w:rsidRPr="007B757A">
              <w:rPr>
                <w:sz w:val="18"/>
              </w:rPr>
              <w:t>0.20</w:t>
            </w:r>
          </w:p>
        </w:tc>
        <w:tc>
          <w:tcPr>
            <w:tcW w:w="1871" w:type="dxa"/>
            <w:vMerge/>
            <w:vAlign w:val="center"/>
          </w:tcPr>
          <w:p w14:paraId="45A218B8" w14:textId="2310954F" w:rsidR="00730492" w:rsidRPr="007B757A" w:rsidRDefault="00730492" w:rsidP="00730492">
            <w:pPr>
              <w:spacing w:before="0" w:after="0" w:line="259" w:lineRule="auto"/>
              <w:rPr>
                <w:sz w:val="18"/>
              </w:rPr>
            </w:pPr>
          </w:p>
        </w:tc>
      </w:tr>
      <w:tr w:rsidR="00730492" w:rsidRPr="007B757A" w14:paraId="1D8DC4BB" w14:textId="77777777" w:rsidTr="587EA22A">
        <w:tc>
          <w:tcPr>
            <w:tcW w:w="0" w:type="auto"/>
          </w:tcPr>
          <w:p w14:paraId="38990239" w14:textId="77777777" w:rsidR="00730492" w:rsidRPr="007B757A" w:rsidRDefault="00730492" w:rsidP="00164703">
            <w:pPr>
              <w:spacing w:before="0" w:after="0" w:line="312" w:lineRule="auto"/>
              <w:rPr>
                <w:sz w:val="18"/>
              </w:rPr>
            </w:pPr>
            <w:r w:rsidRPr="007B757A">
              <w:rPr>
                <w:sz w:val="18"/>
              </w:rPr>
              <w:t xml:space="preserve">3 </w:t>
            </w:r>
          </w:p>
        </w:tc>
        <w:tc>
          <w:tcPr>
            <w:tcW w:w="1871" w:type="dxa"/>
          </w:tcPr>
          <w:p w14:paraId="60F709DD" w14:textId="77777777" w:rsidR="00730492" w:rsidRPr="007B757A" w:rsidRDefault="00730492" w:rsidP="00164703">
            <w:pPr>
              <w:spacing w:before="0" w:after="0" w:line="312" w:lineRule="auto"/>
              <w:rPr>
                <w:sz w:val="18"/>
              </w:rPr>
            </w:pPr>
            <w:r w:rsidRPr="007B757A">
              <w:rPr>
                <w:sz w:val="18"/>
              </w:rPr>
              <w:t xml:space="preserve">0.66 </w:t>
            </w:r>
          </w:p>
        </w:tc>
        <w:tc>
          <w:tcPr>
            <w:tcW w:w="1871" w:type="dxa"/>
          </w:tcPr>
          <w:p w14:paraId="0042563B" w14:textId="77777777" w:rsidR="00730492" w:rsidRPr="007B757A" w:rsidRDefault="00730492" w:rsidP="00164703">
            <w:pPr>
              <w:spacing w:before="0" w:after="0" w:line="312" w:lineRule="auto"/>
              <w:rPr>
                <w:sz w:val="18"/>
              </w:rPr>
            </w:pPr>
            <w:r w:rsidRPr="007B757A">
              <w:rPr>
                <w:sz w:val="18"/>
              </w:rPr>
              <w:t xml:space="preserve">0.07 </w:t>
            </w:r>
          </w:p>
        </w:tc>
        <w:tc>
          <w:tcPr>
            <w:tcW w:w="1871" w:type="dxa"/>
          </w:tcPr>
          <w:p w14:paraId="0BF2BAFA" w14:textId="77777777" w:rsidR="00730492" w:rsidRPr="007B757A" w:rsidRDefault="00730492" w:rsidP="00164703">
            <w:pPr>
              <w:spacing w:before="0" w:after="0" w:line="312" w:lineRule="auto"/>
              <w:rPr>
                <w:sz w:val="18"/>
              </w:rPr>
            </w:pPr>
            <w:r w:rsidRPr="007B757A">
              <w:rPr>
                <w:sz w:val="18"/>
              </w:rPr>
              <w:t xml:space="preserve">0.73 </w:t>
            </w:r>
          </w:p>
        </w:tc>
        <w:tc>
          <w:tcPr>
            <w:tcW w:w="1871" w:type="dxa"/>
            <w:tcBorders>
              <w:right w:val="single" w:sz="4" w:space="0" w:color="auto"/>
            </w:tcBorders>
          </w:tcPr>
          <w:p w14:paraId="79FBBC5F" w14:textId="77777777" w:rsidR="00730492" w:rsidRPr="007B757A" w:rsidRDefault="00730492" w:rsidP="00164703">
            <w:pPr>
              <w:spacing w:before="0" w:after="0" w:line="312" w:lineRule="auto"/>
              <w:rPr>
                <w:sz w:val="18"/>
              </w:rPr>
            </w:pPr>
            <w:r w:rsidRPr="007B757A">
              <w:rPr>
                <w:sz w:val="18"/>
              </w:rPr>
              <w:t>0.11</w:t>
            </w:r>
          </w:p>
        </w:tc>
        <w:tc>
          <w:tcPr>
            <w:tcW w:w="1871" w:type="dxa"/>
            <w:vMerge/>
            <w:vAlign w:val="center"/>
          </w:tcPr>
          <w:p w14:paraId="49766F87" w14:textId="2AA464B1" w:rsidR="00730492" w:rsidRPr="007B757A" w:rsidRDefault="00730492" w:rsidP="00730492">
            <w:pPr>
              <w:spacing w:before="0" w:after="0" w:line="259" w:lineRule="auto"/>
              <w:rPr>
                <w:sz w:val="18"/>
              </w:rPr>
            </w:pPr>
          </w:p>
        </w:tc>
      </w:tr>
      <w:tr w:rsidR="00730492" w:rsidRPr="007B757A" w14:paraId="05D9A490" w14:textId="77777777" w:rsidTr="587EA22A">
        <w:tc>
          <w:tcPr>
            <w:tcW w:w="0" w:type="auto"/>
          </w:tcPr>
          <w:p w14:paraId="502C02FA" w14:textId="77777777" w:rsidR="00730492" w:rsidRPr="007B757A" w:rsidRDefault="00730492" w:rsidP="00164703">
            <w:pPr>
              <w:spacing w:before="0" w:after="0" w:line="312" w:lineRule="auto"/>
              <w:rPr>
                <w:sz w:val="18"/>
              </w:rPr>
            </w:pPr>
            <w:r w:rsidRPr="007B757A">
              <w:rPr>
                <w:sz w:val="18"/>
              </w:rPr>
              <w:t xml:space="preserve">4 </w:t>
            </w:r>
          </w:p>
        </w:tc>
        <w:tc>
          <w:tcPr>
            <w:tcW w:w="1871" w:type="dxa"/>
          </w:tcPr>
          <w:p w14:paraId="437B1334" w14:textId="77777777" w:rsidR="00730492" w:rsidRPr="007B757A" w:rsidRDefault="00730492" w:rsidP="00164703">
            <w:pPr>
              <w:spacing w:before="0" w:after="0" w:line="312" w:lineRule="auto"/>
              <w:rPr>
                <w:sz w:val="18"/>
              </w:rPr>
            </w:pPr>
            <w:r w:rsidRPr="007B757A">
              <w:rPr>
                <w:sz w:val="18"/>
              </w:rPr>
              <w:t>0.66</w:t>
            </w:r>
          </w:p>
        </w:tc>
        <w:tc>
          <w:tcPr>
            <w:tcW w:w="1871" w:type="dxa"/>
          </w:tcPr>
          <w:p w14:paraId="639C7852" w14:textId="77777777" w:rsidR="00730492" w:rsidRPr="007B757A" w:rsidRDefault="00730492" w:rsidP="00164703">
            <w:pPr>
              <w:spacing w:before="0" w:after="0" w:line="312" w:lineRule="auto"/>
              <w:rPr>
                <w:sz w:val="18"/>
              </w:rPr>
            </w:pPr>
            <w:r w:rsidRPr="007B757A">
              <w:rPr>
                <w:sz w:val="18"/>
              </w:rPr>
              <w:t xml:space="preserve">0.03 </w:t>
            </w:r>
          </w:p>
        </w:tc>
        <w:tc>
          <w:tcPr>
            <w:tcW w:w="1871" w:type="dxa"/>
          </w:tcPr>
          <w:p w14:paraId="04C0D81B" w14:textId="77777777" w:rsidR="00730492" w:rsidRPr="007B757A" w:rsidRDefault="00730492" w:rsidP="00164703">
            <w:pPr>
              <w:spacing w:before="0" w:after="0" w:line="312" w:lineRule="auto"/>
              <w:rPr>
                <w:sz w:val="18"/>
              </w:rPr>
            </w:pPr>
            <w:r w:rsidRPr="007B757A">
              <w:rPr>
                <w:sz w:val="18"/>
              </w:rPr>
              <w:t xml:space="preserve">0.69 </w:t>
            </w:r>
          </w:p>
        </w:tc>
        <w:tc>
          <w:tcPr>
            <w:tcW w:w="1871" w:type="dxa"/>
            <w:tcBorders>
              <w:right w:val="single" w:sz="4" w:space="0" w:color="auto"/>
            </w:tcBorders>
          </w:tcPr>
          <w:p w14:paraId="752F3003" w14:textId="77777777" w:rsidR="00730492" w:rsidRPr="007B757A" w:rsidRDefault="00730492" w:rsidP="00164703">
            <w:pPr>
              <w:spacing w:before="0" w:after="0" w:line="312" w:lineRule="auto"/>
              <w:rPr>
                <w:sz w:val="18"/>
              </w:rPr>
            </w:pPr>
            <w:r w:rsidRPr="007B757A">
              <w:rPr>
                <w:sz w:val="18"/>
              </w:rPr>
              <w:t xml:space="preserve">0.05 </w:t>
            </w:r>
          </w:p>
        </w:tc>
        <w:tc>
          <w:tcPr>
            <w:tcW w:w="1871" w:type="dxa"/>
            <w:vMerge/>
            <w:vAlign w:val="center"/>
          </w:tcPr>
          <w:p w14:paraId="2E51E9BD" w14:textId="55268098" w:rsidR="00730492" w:rsidRPr="007B757A" w:rsidRDefault="00730492" w:rsidP="00730492">
            <w:pPr>
              <w:spacing w:before="0" w:after="0" w:line="259" w:lineRule="auto"/>
              <w:rPr>
                <w:sz w:val="18"/>
              </w:rPr>
            </w:pPr>
          </w:p>
        </w:tc>
      </w:tr>
      <w:tr w:rsidR="007D7FF9" w:rsidRPr="007B757A" w14:paraId="142802DD" w14:textId="77777777" w:rsidTr="587EA22A">
        <w:tc>
          <w:tcPr>
            <w:tcW w:w="0" w:type="auto"/>
          </w:tcPr>
          <w:p w14:paraId="408DD43B" w14:textId="77777777" w:rsidR="007D7FF9" w:rsidRPr="007B757A" w:rsidRDefault="007D7FF9" w:rsidP="00164703">
            <w:pPr>
              <w:spacing w:before="0" w:after="0" w:line="312" w:lineRule="auto"/>
              <w:rPr>
                <w:sz w:val="18"/>
              </w:rPr>
            </w:pPr>
            <w:r w:rsidRPr="007B757A">
              <w:rPr>
                <w:sz w:val="18"/>
              </w:rPr>
              <w:t xml:space="preserve">5 </w:t>
            </w:r>
          </w:p>
        </w:tc>
        <w:tc>
          <w:tcPr>
            <w:tcW w:w="1871" w:type="dxa"/>
          </w:tcPr>
          <w:p w14:paraId="1C139F65" w14:textId="77777777" w:rsidR="007D7FF9" w:rsidRPr="007B757A" w:rsidRDefault="007D7FF9" w:rsidP="00164703">
            <w:pPr>
              <w:spacing w:before="0" w:after="0" w:line="312" w:lineRule="auto"/>
              <w:rPr>
                <w:sz w:val="18"/>
              </w:rPr>
            </w:pPr>
            <w:r w:rsidRPr="007B757A">
              <w:rPr>
                <w:sz w:val="18"/>
              </w:rPr>
              <w:t xml:space="preserve">0.66 </w:t>
            </w:r>
          </w:p>
        </w:tc>
        <w:tc>
          <w:tcPr>
            <w:tcW w:w="1871" w:type="dxa"/>
          </w:tcPr>
          <w:p w14:paraId="37D6B5DE" w14:textId="77777777" w:rsidR="007D7FF9" w:rsidRPr="007B757A" w:rsidRDefault="007D7FF9" w:rsidP="00164703">
            <w:pPr>
              <w:spacing w:before="0" w:after="0" w:line="312" w:lineRule="auto"/>
              <w:rPr>
                <w:sz w:val="18"/>
              </w:rPr>
            </w:pPr>
            <w:r w:rsidRPr="007B757A">
              <w:rPr>
                <w:sz w:val="18"/>
              </w:rPr>
              <w:t xml:space="preserve">0.03 </w:t>
            </w:r>
          </w:p>
        </w:tc>
        <w:tc>
          <w:tcPr>
            <w:tcW w:w="1871" w:type="dxa"/>
          </w:tcPr>
          <w:p w14:paraId="430BC6C3" w14:textId="77777777" w:rsidR="007D7FF9" w:rsidRPr="007B757A" w:rsidRDefault="007D7FF9" w:rsidP="00164703">
            <w:pPr>
              <w:spacing w:before="0" w:after="0" w:line="312" w:lineRule="auto"/>
              <w:rPr>
                <w:sz w:val="18"/>
              </w:rPr>
            </w:pPr>
            <w:r w:rsidRPr="007B757A">
              <w:rPr>
                <w:sz w:val="18"/>
              </w:rPr>
              <w:t xml:space="preserve">0.69 </w:t>
            </w:r>
          </w:p>
        </w:tc>
        <w:tc>
          <w:tcPr>
            <w:tcW w:w="1871" w:type="dxa"/>
            <w:tcBorders>
              <w:right w:val="single" w:sz="4" w:space="0" w:color="auto"/>
            </w:tcBorders>
          </w:tcPr>
          <w:p w14:paraId="35D4FAC3" w14:textId="77777777" w:rsidR="007D7FF9" w:rsidRPr="007B757A" w:rsidRDefault="007D7FF9" w:rsidP="00164703">
            <w:pPr>
              <w:spacing w:before="0" w:after="0" w:line="312" w:lineRule="auto"/>
              <w:rPr>
                <w:sz w:val="18"/>
              </w:rPr>
            </w:pPr>
            <w:r w:rsidRPr="007B757A">
              <w:rPr>
                <w:sz w:val="18"/>
              </w:rPr>
              <w:t>0.05</w:t>
            </w:r>
          </w:p>
        </w:tc>
        <w:tc>
          <w:tcPr>
            <w:tcW w:w="1871" w:type="dxa"/>
            <w:vMerge/>
            <w:vAlign w:val="center"/>
          </w:tcPr>
          <w:p w14:paraId="46A4CF19" w14:textId="4602D7CD" w:rsidR="007D7FF9" w:rsidRPr="007B757A" w:rsidRDefault="007D7FF9" w:rsidP="00730492">
            <w:pPr>
              <w:spacing w:before="0" w:after="0" w:line="259" w:lineRule="auto"/>
              <w:rPr>
                <w:sz w:val="18"/>
              </w:rPr>
            </w:pPr>
          </w:p>
        </w:tc>
      </w:tr>
      <w:tr w:rsidR="007D7FF9" w:rsidRPr="007B757A" w14:paraId="05647DA6" w14:textId="77777777" w:rsidTr="587EA22A">
        <w:tc>
          <w:tcPr>
            <w:tcW w:w="0" w:type="auto"/>
          </w:tcPr>
          <w:p w14:paraId="7EBB6EFA" w14:textId="77777777" w:rsidR="007D7FF9" w:rsidRPr="007B757A" w:rsidRDefault="007D7FF9" w:rsidP="00164703">
            <w:pPr>
              <w:spacing w:before="0" w:after="0" w:line="312" w:lineRule="auto"/>
              <w:rPr>
                <w:sz w:val="18"/>
              </w:rPr>
            </w:pPr>
            <w:r w:rsidRPr="007B757A">
              <w:rPr>
                <w:sz w:val="18"/>
              </w:rPr>
              <w:t xml:space="preserve">6 </w:t>
            </w:r>
          </w:p>
        </w:tc>
        <w:tc>
          <w:tcPr>
            <w:tcW w:w="1871" w:type="dxa"/>
          </w:tcPr>
          <w:p w14:paraId="779D6899" w14:textId="77777777" w:rsidR="007D7FF9" w:rsidRPr="007B757A" w:rsidRDefault="007D7FF9" w:rsidP="00164703">
            <w:pPr>
              <w:spacing w:before="0" w:after="0" w:line="312" w:lineRule="auto"/>
              <w:rPr>
                <w:sz w:val="18"/>
              </w:rPr>
            </w:pPr>
            <w:r w:rsidRPr="007B757A">
              <w:rPr>
                <w:sz w:val="18"/>
              </w:rPr>
              <w:t xml:space="preserve">0.66 </w:t>
            </w:r>
          </w:p>
        </w:tc>
        <w:tc>
          <w:tcPr>
            <w:tcW w:w="1871" w:type="dxa"/>
          </w:tcPr>
          <w:p w14:paraId="6CC2B87B" w14:textId="77777777" w:rsidR="007D7FF9" w:rsidRPr="007B757A" w:rsidRDefault="007D7FF9" w:rsidP="00164703">
            <w:pPr>
              <w:spacing w:before="0" w:after="0" w:line="312" w:lineRule="auto"/>
              <w:rPr>
                <w:sz w:val="18"/>
              </w:rPr>
            </w:pPr>
            <w:r w:rsidRPr="007B757A">
              <w:rPr>
                <w:sz w:val="18"/>
              </w:rPr>
              <w:t xml:space="preserve">0.06 </w:t>
            </w:r>
          </w:p>
        </w:tc>
        <w:tc>
          <w:tcPr>
            <w:tcW w:w="1871" w:type="dxa"/>
          </w:tcPr>
          <w:p w14:paraId="052C2D1D" w14:textId="77777777" w:rsidR="007D7FF9" w:rsidRPr="007B757A" w:rsidRDefault="007D7FF9" w:rsidP="00164703">
            <w:pPr>
              <w:spacing w:before="0" w:after="0" w:line="312" w:lineRule="auto"/>
              <w:rPr>
                <w:sz w:val="18"/>
              </w:rPr>
            </w:pPr>
            <w:r w:rsidRPr="007B757A">
              <w:rPr>
                <w:sz w:val="18"/>
              </w:rPr>
              <w:t xml:space="preserve">0.72 </w:t>
            </w:r>
          </w:p>
        </w:tc>
        <w:tc>
          <w:tcPr>
            <w:tcW w:w="1871" w:type="dxa"/>
            <w:tcBorders>
              <w:right w:val="single" w:sz="4" w:space="0" w:color="auto"/>
            </w:tcBorders>
          </w:tcPr>
          <w:p w14:paraId="0ACB70B4" w14:textId="77777777" w:rsidR="007D7FF9" w:rsidRPr="007B757A" w:rsidRDefault="007D7FF9" w:rsidP="00164703">
            <w:pPr>
              <w:spacing w:before="0" w:after="0" w:line="312" w:lineRule="auto"/>
              <w:rPr>
                <w:sz w:val="18"/>
              </w:rPr>
            </w:pPr>
            <w:r w:rsidRPr="007B757A">
              <w:rPr>
                <w:sz w:val="18"/>
              </w:rPr>
              <w:t>0.09</w:t>
            </w:r>
          </w:p>
        </w:tc>
        <w:tc>
          <w:tcPr>
            <w:tcW w:w="1871" w:type="dxa"/>
            <w:vMerge/>
            <w:vAlign w:val="center"/>
          </w:tcPr>
          <w:p w14:paraId="39AF6196" w14:textId="6B9F04AF" w:rsidR="007D7FF9" w:rsidRPr="007B757A" w:rsidRDefault="007D7FF9" w:rsidP="00730492">
            <w:pPr>
              <w:spacing w:before="0" w:after="0" w:line="259" w:lineRule="auto"/>
              <w:rPr>
                <w:sz w:val="18"/>
              </w:rPr>
            </w:pPr>
          </w:p>
        </w:tc>
      </w:tr>
      <w:tr w:rsidR="007D7FF9" w:rsidRPr="007B757A" w14:paraId="1593CDCE" w14:textId="77777777" w:rsidTr="587EA22A">
        <w:tc>
          <w:tcPr>
            <w:tcW w:w="0" w:type="auto"/>
          </w:tcPr>
          <w:p w14:paraId="5B0A6C4A" w14:textId="77777777" w:rsidR="007D7FF9" w:rsidRPr="007B757A" w:rsidRDefault="007D7FF9" w:rsidP="00164703">
            <w:pPr>
              <w:spacing w:before="0" w:after="0" w:line="312" w:lineRule="auto"/>
              <w:rPr>
                <w:sz w:val="18"/>
              </w:rPr>
            </w:pPr>
            <w:r w:rsidRPr="007B757A">
              <w:rPr>
                <w:sz w:val="18"/>
              </w:rPr>
              <w:t>7</w:t>
            </w:r>
          </w:p>
        </w:tc>
        <w:tc>
          <w:tcPr>
            <w:tcW w:w="1871" w:type="dxa"/>
          </w:tcPr>
          <w:p w14:paraId="39E938B6" w14:textId="77777777" w:rsidR="007D7FF9" w:rsidRPr="007B757A" w:rsidRDefault="007D7FF9" w:rsidP="00164703">
            <w:pPr>
              <w:spacing w:before="0" w:after="0" w:line="312" w:lineRule="auto"/>
              <w:rPr>
                <w:sz w:val="18"/>
              </w:rPr>
            </w:pPr>
            <w:r w:rsidRPr="007B757A">
              <w:rPr>
                <w:sz w:val="18"/>
              </w:rPr>
              <w:t xml:space="preserve">0.66 </w:t>
            </w:r>
          </w:p>
        </w:tc>
        <w:tc>
          <w:tcPr>
            <w:tcW w:w="1871" w:type="dxa"/>
          </w:tcPr>
          <w:p w14:paraId="43317230" w14:textId="77777777" w:rsidR="007D7FF9" w:rsidRPr="007B757A" w:rsidRDefault="007D7FF9" w:rsidP="00164703">
            <w:pPr>
              <w:spacing w:before="0" w:after="0" w:line="312" w:lineRule="auto"/>
              <w:rPr>
                <w:sz w:val="18"/>
              </w:rPr>
            </w:pPr>
            <w:r w:rsidRPr="007B757A">
              <w:rPr>
                <w:sz w:val="18"/>
              </w:rPr>
              <w:t xml:space="preserve">0.08 </w:t>
            </w:r>
          </w:p>
        </w:tc>
        <w:tc>
          <w:tcPr>
            <w:tcW w:w="1871" w:type="dxa"/>
          </w:tcPr>
          <w:p w14:paraId="5AF66DA2" w14:textId="77777777" w:rsidR="007D7FF9" w:rsidRPr="007B757A" w:rsidRDefault="007D7FF9" w:rsidP="00164703">
            <w:pPr>
              <w:spacing w:before="0" w:after="0" w:line="312" w:lineRule="auto"/>
              <w:rPr>
                <w:sz w:val="18"/>
              </w:rPr>
            </w:pPr>
            <w:r w:rsidRPr="007B757A">
              <w:rPr>
                <w:sz w:val="18"/>
              </w:rPr>
              <w:t xml:space="preserve">0.74 </w:t>
            </w:r>
          </w:p>
        </w:tc>
        <w:tc>
          <w:tcPr>
            <w:tcW w:w="1871" w:type="dxa"/>
            <w:tcBorders>
              <w:right w:val="single" w:sz="4" w:space="0" w:color="auto"/>
            </w:tcBorders>
          </w:tcPr>
          <w:p w14:paraId="3AD8C3A8" w14:textId="77777777" w:rsidR="007D7FF9" w:rsidRPr="007B757A" w:rsidRDefault="007D7FF9" w:rsidP="00164703">
            <w:pPr>
              <w:spacing w:before="0" w:after="0" w:line="312" w:lineRule="auto"/>
              <w:rPr>
                <w:sz w:val="18"/>
              </w:rPr>
            </w:pPr>
            <w:r w:rsidRPr="007B757A">
              <w:rPr>
                <w:sz w:val="18"/>
              </w:rPr>
              <w:t xml:space="preserve">0.12 </w:t>
            </w:r>
          </w:p>
        </w:tc>
        <w:tc>
          <w:tcPr>
            <w:tcW w:w="1871" w:type="dxa"/>
            <w:vMerge/>
            <w:vAlign w:val="center"/>
          </w:tcPr>
          <w:p w14:paraId="28D6DBC6" w14:textId="7A01162D" w:rsidR="007D7FF9" w:rsidRPr="007B757A" w:rsidRDefault="007D7FF9" w:rsidP="00730492">
            <w:pPr>
              <w:spacing w:before="0" w:after="0" w:line="259" w:lineRule="auto"/>
              <w:rPr>
                <w:sz w:val="18"/>
              </w:rPr>
            </w:pPr>
          </w:p>
        </w:tc>
      </w:tr>
      <w:tr w:rsidR="007D7FF9" w:rsidRPr="007B757A" w14:paraId="1783BE96" w14:textId="77777777" w:rsidTr="587EA22A">
        <w:tc>
          <w:tcPr>
            <w:tcW w:w="0" w:type="auto"/>
          </w:tcPr>
          <w:p w14:paraId="5D03CF06" w14:textId="77777777" w:rsidR="007D7FF9" w:rsidRPr="007B757A" w:rsidRDefault="007D7FF9" w:rsidP="00164703">
            <w:pPr>
              <w:spacing w:before="0" w:after="0" w:line="312" w:lineRule="auto"/>
              <w:rPr>
                <w:sz w:val="18"/>
              </w:rPr>
            </w:pPr>
            <w:r w:rsidRPr="007B757A">
              <w:rPr>
                <w:sz w:val="18"/>
              </w:rPr>
              <w:t xml:space="preserve">8 </w:t>
            </w:r>
          </w:p>
        </w:tc>
        <w:tc>
          <w:tcPr>
            <w:tcW w:w="1871" w:type="dxa"/>
          </w:tcPr>
          <w:p w14:paraId="762A0346" w14:textId="77777777" w:rsidR="007D7FF9" w:rsidRPr="007B757A" w:rsidRDefault="007D7FF9" w:rsidP="00164703">
            <w:pPr>
              <w:spacing w:before="0" w:after="0" w:line="312" w:lineRule="auto"/>
              <w:rPr>
                <w:sz w:val="18"/>
              </w:rPr>
            </w:pPr>
            <w:r w:rsidRPr="007B757A">
              <w:rPr>
                <w:sz w:val="18"/>
              </w:rPr>
              <w:t xml:space="preserve">0.66 </w:t>
            </w:r>
          </w:p>
        </w:tc>
        <w:tc>
          <w:tcPr>
            <w:tcW w:w="1871" w:type="dxa"/>
          </w:tcPr>
          <w:p w14:paraId="44CC9C6D" w14:textId="77777777" w:rsidR="007D7FF9" w:rsidRPr="007B757A" w:rsidRDefault="007D7FF9" w:rsidP="00164703">
            <w:pPr>
              <w:spacing w:before="0" w:after="0" w:line="312" w:lineRule="auto"/>
              <w:rPr>
                <w:sz w:val="18"/>
              </w:rPr>
            </w:pPr>
            <w:r w:rsidRPr="007B757A">
              <w:rPr>
                <w:sz w:val="18"/>
              </w:rPr>
              <w:t xml:space="preserve">0.09 </w:t>
            </w:r>
          </w:p>
        </w:tc>
        <w:tc>
          <w:tcPr>
            <w:tcW w:w="1871" w:type="dxa"/>
          </w:tcPr>
          <w:p w14:paraId="7899CF25" w14:textId="77777777" w:rsidR="007D7FF9" w:rsidRPr="007B757A" w:rsidRDefault="007D7FF9" w:rsidP="00164703">
            <w:pPr>
              <w:spacing w:before="0" w:after="0" w:line="312" w:lineRule="auto"/>
              <w:rPr>
                <w:sz w:val="18"/>
              </w:rPr>
            </w:pPr>
            <w:r w:rsidRPr="007B757A">
              <w:rPr>
                <w:sz w:val="18"/>
              </w:rPr>
              <w:t xml:space="preserve">0.75 </w:t>
            </w:r>
          </w:p>
        </w:tc>
        <w:tc>
          <w:tcPr>
            <w:tcW w:w="1871" w:type="dxa"/>
            <w:tcBorders>
              <w:right w:val="single" w:sz="4" w:space="0" w:color="auto"/>
            </w:tcBorders>
          </w:tcPr>
          <w:p w14:paraId="3FACBE92" w14:textId="77777777" w:rsidR="007D7FF9" w:rsidRPr="007B757A" w:rsidRDefault="007D7FF9" w:rsidP="00164703">
            <w:pPr>
              <w:spacing w:before="0" w:after="0" w:line="312" w:lineRule="auto"/>
              <w:rPr>
                <w:sz w:val="18"/>
              </w:rPr>
            </w:pPr>
            <w:r w:rsidRPr="007B757A">
              <w:rPr>
                <w:sz w:val="18"/>
              </w:rPr>
              <w:t>0.14</w:t>
            </w:r>
          </w:p>
        </w:tc>
        <w:tc>
          <w:tcPr>
            <w:tcW w:w="1871" w:type="dxa"/>
            <w:vMerge/>
            <w:vAlign w:val="center"/>
          </w:tcPr>
          <w:p w14:paraId="6117B1E4" w14:textId="7B03DECE" w:rsidR="007D7FF9" w:rsidRPr="007B757A" w:rsidRDefault="007D7FF9" w:rsidP="00730492">
            <w:pPr>
              <w:spacing w:before="0" w:after="0" w:line="259" w:lineRule="auto"/>
              <w:rPr>
                <w:sz w:val="18"/>
              </w:rPr>
            </w:pPr>
          </w:p>
        </w:tc>
      </w:tr>
      <w:tr w:rsidR="007D7FF9" w:rsidRPr="007B757A" w14:paraId="263E9A3B" w14:textId="77777777" w:rsidTr="587EA22A">
        <w:tc>
          <w:tcPr>
            <w:tcW w:w="0" w:type="auto"/>
          </w:tcPr>
          <w:p w14:paraId="40BD6067" w14:textId="77777777" w:rsidR="007D7FF9" w:rsidRPr="007B757A" w:rsidRDefault="007D7FF9" w:rsidP="00164703">
            <w:pPr>
              <w:spacing w:before="0" w:after="0" w:line="312" w:lineRule="auto"/>
              <w:rPr>
                <w:sz w:val="18"/>
              </w:rPr>
            </w:pPr>
            <w:r w:rsidRPr="007B757A">
              <w:rPr>
                <w:sz w:val="18"/>
              </w:rPr>
              <w:t xml:space="preserve">9 </w:t>
            </w:r>
          </w:p>
        </w:tc>
        <w:tc>
          <w:tcPr>
            <w:tcW w:w="1871" w:type="dxa"/>
          </w:tcPr>
          <w:p w14:paraId="3C281F71" w14:textId="77777777" w:rsidR="007D7FF9" w:rsidRPr="007B757A" w:rsidRDefault="007D7FF9" w:rsidP="00164703">
            <w:pPr>
              <w:spacing w:before="0" w:after="0" w:line="312" w:lineRule="auto"/>
              <w:rPr>
                <w:sz w:val="18"/>
              </w:rPr>
            </w:pPr>
            <w:r w:rsidRPr="007B757A">
              <w:rPr>
                <w:sz w:val="18"/>
              </w:rPr>
              <w:t>0.66</w:t>
            </w:r>
          </w:p>
        </w:tc>
        <w:tc>
          <w:tcPr>
            <w:tcW w:w="1871" w:type="dxa"/>
          </w:tcPr>
          <w:p w14:paraId="6A4B0B96" w14:textId="77777777" w:rsidR="007D7FF9" w:rsidRPr="007B757A" w:rsidRDefault="007D7FF9" w:rsidP="00164703">
            <w:pPr>
              <w:spacing w:before="0" w:after="0" w:line="312" w:lineRule="auto"/>
              <w:rPr>
                <w:sz w:val="18"/>
              </w:rPr>
            </w:pPr>
            <w:r w:rsidRPr="007B757A">
              <w:rPr>
                <w:sz w:val="18"/>
              </w:rPr>
              <w:t xml:space="preserve">0.09 </w:t>
            </w:r>
          </w:p>
        </w:tc>
        <w:tc>
          <w:tcPr>
            <w:tcW w:w="1871" w:type="dxa"/>
          </w:tcPr>
          <w:p w14:paraId="5C087C04" w14:textId="77777777" w:rsidR="007D7FF9" w:rsidRPr="007B757A" w:rsidRDefault="007D7FF9" w:rsidP="00164703">
            <w:pPr>
              <w:spacing w:before="0" w:after="0" w:line="312" w:lineRule="auto"/>
              <w:rPr>
                <w:sz w:val="18"/>
              </w:rPr>
            </w:pPr>
            <w:r w:rsidRPr="007B757A">
              <w:rPr>
                <w:sz w:val="18"/>
              </w:rPr>
              <w:t xml:space="preserve">0.75 </w:t>
            </w:r>
          </w:p>
        </w:tc>
        <w:tc>
          <w:tcPr>
            <w:tcW w:w="1871" w:type="dxa"/>
            <w:tcBorders>
              <w:right w:val="single" w:sz="4" w:space="0" w:color="auto"/>
            </w:tcBorders>
          </w:tcPr>
          <w:p w14:paraId="4C8A8F54" w14:textId="77777777" w:rsidR="007D7FF9" w:rsidRPr="007B757A" w:rsidRDefault="007D7FF9" w:rsidP="00164703">
            <w:pPr>
              <w:spacing w:before="0" w:after="0" w:line="312" w:lineRule="auto"/>
              <w:rPr>
                <w:sz w:val="18"/>
              </w:rPr>
            </w:pPr>
            <w:r w:rsidRPr="007B757A">
              <w:rPr>
                <w:sz w:val="18"/>
              </w:rPr>
              <w:t>0.14</w:t>
            </w:r>
          </w:p>
        </w:tc>
        <w:tc>
          <w:tcPr>
            <w:tcW w:w="1871" w:type="dxa"/>
            <w:vMerge/>
            <w:vAlign w:val="center"/>
          </w:tcPr>
          <w:p w14:paraId="7AA9563D" w14:textId="26DB3D26" w:rsidR="007D7FF9" w:rsidRPr="007B757A" w:rsidRDefault="007D7FF9" w:rsidP="00730492">
            <w:pPr>
              <w:spacing w:before="0" w:after="0" w:line="259" w:lineRule="auto"/>
              <w:rPr>
                <w:sz w:val="18"/>
              </w:rPr>
            </w:pPr>
          </w:p>
        </w:tc>
      </w:tr>
      <w:tr w:rsidR="007D7FF9" w:rsidRPr="007B757A" w14:paraId="5EA1752A" w14:textId="77777777" w:rsidTr="587EA22A">
        <w:tc>
          <w:tcPr>
            <w:tcW w:w="0" w:type="auto"/>
          </w:tcPr>
          <w:p w14:paraId="38F05B88" w14:textId="77777777" w:rsidR="007D7FF9" w:rsidRPr="007B757A" w:rsidRDefault="007D7FF9" w:rsidP="00164703">
            <w:pPr>
              <w:spacing w:before="0" w:after="0" w:line="312" w:lineRule="auto"/>
              <w:rPr>
                <w:sz w:val="18"/>
              </w:rPr>
            </w:pPr>
            <w:r w:rsidRPr="007B757A">
              <w:rPr>
                <w:sz w:val="18"/>
              </w:rPr>
              <w:t xml:space="preserve">10 </w:t>
            </w:r>
          </w:p>
        </w:tc>
        <w:tc>
          <w:tcPr>
            <w:tcW w:w="1871" w:type="dxa"/>
          </w:tcPr>
          <w:p w14:paraId="77F450C3" w14:textId="77777777" w:rsidR="007D7FF9" w:rsidRPr="007B757A" w:rsidRDefault="007D7FF9" w:rsidP="00164703">
            <w:pPr>
              <w:spacing w:before="0" w:after="0" w:line="312" w:lineRule="auto"/>
              <w:rPr>
                <w:sz w:val="18"/>
              </w:rPr>
            </w:pPr>
            <w:r w:rsidRPr="007B757A">
              <w:rPr>
                <w:sz w:val="18"/>
              </w:rPr>
              <w:t xml:space="preserve">0.66 </w:t>
            </w:r>
          </w:p>
        </w:tc>
        <w:tc>
          <w:tcPr>
            <w:tcW w:w="1871" w:type="dxa"/>
          </w:tcPr>
          <w:p w14:paraId="72CB394E" w14:textId="77777777" w:rsidR="007D7FF9" w:rsidRPr="007B757A" w:rsidRDefault="007D7FF9" w:rsidP="00164703">
            <w:pPr>
              <w:spacing w:before="0" w:after="0" w:line="312" w:lineRule="auto"/>
              <w:rPr>
                <w:sz w:val="18"/>
              </w:rPr>
            </w:pPr>
            <w:r w:rsidRPr="007B757A">
              <w:rPr>
                <w:sz w:val="18"/>
              </w:rPr>
              <w:t>0.09</w:t>
            </w:r>
          </w:p>
        </w:tc>
        <w:tc>
          <w:tcPr>
            <w:tcW w:w="1871" w:type="dxa"/>
          </w:tcPr>
          <w:p w14:paraId="796257E6" w14:textId="77777777" w:rsidR="007D7FF9" w:rsidRPr="007B757A" w:rsidRDefault="007D7FF9" w:rsidP="00164703">
            <w:pPr>
              <w:spacing w:before="0" w:after="0" w:line="312" w:lineRule="auto"/>
              <w:rPr>
                <w:sz w:val="18"/>
              </w:rPr>
            </w:pPr>
            <w:r w:rsidRPr="007B757A">
              <w:rPr>
                <w:sz w:val="18"/>
              </w:rPr>
              <w:t xml:space="preserve">0.75 </w:t>
            </w:r>
          </w:p>
        </w:tc>
        <w:tc>
          <w:tcPr>
            <w:tcW w:w="1871" w:type="dxa"/>
            <w:tcBorders>
              <w:right w:val="single" w:sz="4" w:space="0" w:color="auto"/>
            </w:tcBorders>
          </w:tcPr>
          <w:p w14:paraId="4CD3086B" w14:textId="77777777" w:rsidR="007D7FF9" w:rsidRPr="007B757A" w:rsidRDefault="007D7FF9" w:rsidP="00164703">
            <w:pPr>
              <w:spacing w:before="0" w:after="0" w:line="312" w:lineRule="auto"/>
              <w:rPr>
                <w:sz w:val="18"/>
              </w:rPr>
            </w:pPr>
            <w:r w:rsidRPr="007B757A">
              <w:rPr>
                <w:sz w:val="18"/>
              </w:rPr>
              <w:t>0.14</w:t>
            </w:r>
          </w:p>
        </w:tc>
        <w:tc>
          <w:tcPr>
            <w:tcW w:w="1871" w:type="dxa"/>
            <w:vMerge/>
            <w:vAlign w:val="center"/>
          </w:tcPr>
          <w:p w14:paraId="56F6C012" w14:textId="4F2D7A07" w:rsidR="007D7FF9" w:rsidRPr="007B757A" w:rsidRDefault="007D7FF9" w:rsidP="00730492">
            <w:pPr>
              <w:spacing w:before="0" w:after="0" w:line="259" w:lineRule="auto"/>
              <w:rPr>
                <w:sz w:val="18"/>
              </w:rPr>
            </w:pPr>
          </w:p>
        </w:tc>
      </w:tr>
      <w:tr w:rsidR="007D7FF9" w:rsidRPr="007B757A" w14:paraId="2BCDB529" w14:textId="77777777" w:rsidTr="587EA22A">
        <w:trPr>
          <w:trHeight w:val="70"/>
        </w:trPr>
        <w:tc>
          <w:tcPr>
            <w:tcW w:w="0" w:type="auto"/>
          </w:tcPr>
          <w:p w14:paraId="71FD574C" w14:textId="77777777" w:rsidR="007D7FF9" w:rsidRPr="007B757A" w:rsidRDefault="007D7FF9" w:rsidP="00164703">
            <w:pPr>
              <w:spacing w:before="0" w:after="0" w:line="312" w:lineRule="auto"/>
              <w:rPr>
                <w:sz w:val="18"/>
              </w:rPr>
            </w:pPr>
            <w:r w:rsidRPr="007B757A">
              <w:rPr>
                <w:sz w:val="18"/>
              </w:rPr>
              <w:t xml:space="preserve">11 </w:t>
            </w:r>
          </w:p>
        </w:tc>
        <w:tc>
          <w:tcPr>
            <w:tcW w:w="1871" w:type="dxa"/>
          </w:tcPr>
          <w:p w14:paraId="1F0AE45D" w14:textId="77777777" w:rsidR="007D7FF9" w:rsidRPr="007B757A" w:rsidRDefault="007D7FF9" w:rsidP="00164703">
            <w:pPr>
              <w:spacing w:before="0" w:after="0" w:line="312" w:lineRule="auto"/>
              <w:rPr>
                <w:sz w:val="18"/>
              </w:rPr>
            </w:pPr>
            <w:r w:rsidRPr="007B757A">
              <w:rPr>
                <w:sz w:val="18"/>
              </w:rPr>
              <w:t xml:space="preserve">0.66 </w:t>
            </w:r>
          </w:p>
        </w:tc>
        <w:tc>
          <w:tcPr>
            <w:tcW w:w="1871" w:type="dxa"/>
          </w:tcPr>
          <w:p w14:paraId="7FE79108" w14:textId="77777777" w:rsidR="007D7FF9" w:rsidRPr="007B757A" w:rsidRDefault="007D7FF9" w:rsidP="00164703">
            <w:pPr>
              <w:spacing w:before="0" w:after="0" w:line="312" w:lineRule="auto"/>
              <w:rPr>
                <w:sz w:val="18"/>
              </w:rPr>
            </w:pPr>
            <w:r w:rsidRPr="007B757A">
              <w:rPr>
                <w:sz w:val="18"/>
              </w:rPr>
              <w:t xml:space="preserve">0.09 </w:t>
            </w:r>
          </w:p>
        </w:tc>
        <w:tc>
          <w:tcPr>
            <w:tcW w:w="1871" w:type="dxa"/>
          </w:tcPr>
          <w:p w14:paraId="71B3EA85" w14:textId="77777777" w:rsidR="007D7FF9" w:rsidRPr="007B757A" w:rsidRDefault="007D7FF9" w:rsidP="00164703">
            <w:pPr>
              <w:spacing w:before="0" w:after="0" w:line="312" w:lineRule="auto"/>
              <w:rPr>
                <w:sz w:val="18"/>
              </w:rPr>
            </w:pPr>
            <w:r w:rsidRPr="007B757A">
              <w:rPr>
                <w:sz w:val="18"/>
              </w:rPr>
              <w:t xml:space="preserve">0.75 </w:t>
            </w:r>
          </w:p>
        </w:tc>
        <w:tc>
          <w:tcPr>
            <w:tcW w:w="1871" w:type="dxa"/>
            <w:tcBorders>
              <w:right w:val="single" w:sz="4" w:space="0" w:color="auto"/>
            </w:tcBorders>
          </w:tcPr>
          <w:p w14:paraId="1E38F205" w14:textId="77777777" w:rsidR="007D7FF9" w:rsidRPr="007B757A" w:rsidRDefault="007D7FF9" w:rsidP="00164703">
            <w:pPr>
              <w:spacing w:before="0" w:after="0" w:line="312" w:lineRule="auto"/>
              <w:rPr>
                <w:sz w:val="18"/>
              </w:rPr>
            </w:pPr>
            <w:r w:rsidRPr="007B757A">
              <w:rPr>
                <w:sz w:val="18"/>
              </w:rPr>
              <w:t xml:space="preserve">0.14 </w:t>
            </w:r>
          </w:p>
        </w:tc>
        <w:tc>
          <w:tcPr>
            <w:tcW w:w="1871" w:type="dxa"/>
            <w:vMerge/>
            <w:vAlign w:val="center"/>
          </w:tcPr>
          <w:p w14:paraId="09A96D7B" w14:textId="4A949369" w:rsidR="007D7FF9" w:rsidRPr="007B757A" w:rsidRDefault="007D7FF9" w:rsidP="00730492">
            <w:pPr>
              <w:spacing w:before="0" w:after="0" w:line="259" w:lineRule="auto"/>
              <w:rPr>
                <w:sz w:val="18"/>
              </w:rPr>
            </w:pPr>
          </w:p>
        </w:tc>
      </w:tr>
      <w:tr w:rsidR="0059624D" w:rsidRPr="007B757A" w14:paraId="4800E306" w14:textId="77777777" w:rsidTr="587EA22A">
        <w:tc>
          <w:tcPr>
            <w:tcW w:w="0" w:type="auto"/>
          </w:tcPr>
          <w:p w14:paraId="130D8426" w14:textId="77777777" w:rsidR="0059624D" w:rsidRPr="007B757A" w:rsidRDefault="0059624D" w:rsidP="00164703">
            <w:pPr>
              <w:spacing w:before="0" w:after="0" w:line="312" w:lineRule="auto"/>
              <w:rPr>
                <w:sz w:val="18"/>
              </w:rPr>
            </w:pPr>
            <w:r w:rsidRPr="007B757A">
              <w:rPr>
                <w:sz w:val="18"/>
              </w:rPr>
              <w:t xml:space="preserve">12 </w:t>
            </w:r>
          </w:p>
        </w:tc>
        <w:tc>
          <w:tcPr>
            <w:tcW w:w="1871" w:type="dxa"/>
          </w:tcPr>
          <w:p w14:paraId="089351DE" w14:textId="77777777" w:rsidR="0059624D" w:rsidRPr="007B757A" w:rsidRDefault="0059624D" w:rsidP="00164703">
            <w:pPr>
              <w:spacing w:before="0" w:after="0" w:line="312" w:lineRule="auto"/>
              <w:rPr>
                <w:sz w:val="18"/>
              </w:rPr>
            </w:pPr>
            <w:r w:rsidRPr="007B757A">
              <w:rPr>
                <w:sz w:val="18"/>
              </w:rPr>
              <w:t xml:space="preserve">0.66 </w:t>
            </w:r>
          </w:p>
        </w:tc>
        <w:tc>
          <w:tcPr>
            <w:tcW w:w="1871" w:type="dxa"/>
          </w:tcPr>
          <w:p w14:paraId="16B85DA2" w14:textId="77777777" w:rsidR="0059624D" w:rsidRPr="007B757A" w:rsidRDefault="0059624D" w:rsidP="00164703">
            <w:pPr>
              <w:spacing w:before="0" w:after="0" w:line="312" w:lineRule="auto"/>
              <w:rPr>
                <w:sz w:val="18"/>
              </w:rPr>
            </w:pPr>
            <w:r w:rsidRPr="007B757A">
              <w:rPr>
                <w:sz w:val="18"/>
              </w:rPr>
              <w:t xml:space="preserve">0.08 </w:t>
            </w:r>
          </w:p>
        </w:tc>
        <w:tc>
          <w:tcPr>
            <w:tcW w:w="1871" w:type="dxa"/>
          </w:tcPr>
          <w:p w14:paraId="39ECDB3B" w14:textId="77777777" w:rsidR="0059624D" w:rsidRPr="007B757A" w:rsidRDefault="0059624D" w:rsidP="00164703">
            <w:pPr>
              <w:spacing w:before="0" w:after="0" w:line="312" w:lineRule="auto"/>
              <w:rPr>
                <w:sz w:val="18"/>
              </w:rPr>
            </w:pPr>
            <w:r w:rsidRPr="007B757A">
              <w:rPr>
                <w:sz w:val="18"/>
              </w:rPr>
              <w:t xml:space="preserve">0.74 </w:t>
            </w:r>
          </w:p>
        </w:tc>
        <w:tc>
          <w:tcPr>
            <w:tcW w:w="1871" w:type="dxa"/>
            <w:tcBorders>
              <w:right w:val="single" w:sz="4" w:space="0" w:color="auto"/>
            </w:tcBorders>
          </w:tcPr>
          <w:p w14:paraId="4EA335EF" w14:textId="77777777" w:rsidR="0059624D" w:rsidRPr="007B757A" w:rsidRDefault="0059624D" w:rsidP="00164703">
            <w:pPr>
              <w:spacing w:before="0" w:after="0" w:line="312" w:lineRule="auto"/>
              <w:rPr>
                <w:sz w:val="18"/>
              </w:rPr>
            </w:pPr>
            <w:r w:rsidRPr="007B757A">
              <w:rPr>
                <w:sz w:val="18"/>
              </w:rPr>
              <w:t>0.12</w:t>
            </w:r>
          </w:p>
        </w:tc>
        <w:tc>
          <w:tcPr>
            <w:tcW w:w="1871" w:type="dxa"/>
            <w:vMerge/>
            <w:vAlign w:val="center"/>
          </w:tcPr>
          <w:p w14:paraId="6658E0F2" w14:textId="4F3A6607" w:rsidR="0059624D" w:rsidRPr="007B757A" w:rsidRDefault="0059624D" w:rsidP="00730492">
            <w:pPr>
              <w:spacing w:before="0" w:after="0" w:line="259" w:lineRule="auto"/>
              <w:rPr>
                <w:sz w:val="18"/>
              </w:rPr>
            </w:pPr>
          </w:p>
        </w:tc>
      </w:tr>
      <w:tr w:rsidR="0059624D" w:rsidRPr="007B757A" w14:paraId="65660D14" w14:textId="77777777" w:rsidTr="587EA22A">
        <w:tc>
          <w:tcPr>
            <w:tcW w:w="0" w:type="auto"/>
          </w:tcPr>
          <w:p w14:paraId="6422F0FC" w14:textId="77777777" w:rsidR="0059624D" w:rsidRPr="007B757A" w:rsidRDefault="0059624D" w:rsidP="00164703">
            <w:pPr>
              <w:spacing w:before="0" w:after="0" w:line="312" w:lineRule="auto"/>
              <w:rPr>
                <w:sz w:val="18"/>
              </w:rPr>
            </w:pPr>
            <w:r w:rsidRPr="007B757A">
              <w:rPr>
                <w:sz w:val="18"/>
              </w:rPr>
              <w:t xml:space="preserve">13 </w:t>
            </w:r>
          </w:p>
        </w:tc>
        <w:tc>
          <w:tcPr>
            <w:tcW w:w="1871" w:type="dxa"/>
          </w:tcPr>
          <w:p w14:paraId="2B83D914" w14:textId="77777777" w:rsidR="0059624D" w:rsidRPr="007B757A" w:rsidRDefault="0059624D" w:rsidP="00164703">
            <w:pPr>
              <w:spacing w:before="0" w:after="0" w:line="312" w:lineRule="auto"/>
              <w:rPr>
                <w:sz w:val="18"/>
              </w:rPr>
            </w:pPr>
            <w:r w:rsidRPr="007B757A">
              <w:rPr>
                <w:sz w:val="18"/>
              </w:rPr>
              <w:t xml:space="preserve">0.66 </w:t>
            </w:r>
          </w:p>
        </w:tc>
        <w:tc>
          <w:tcPr>
            <w:tcW w:w="1871" w:type="dxa"/>
          </w:tcPr>
          <w:p w14:paraId="7C2B8C75" w14:textId="77777777" w:rsidR="0059624D" w:rsidRPr="007B757A" w:rsidRDefault="0059624D" w:rsidP="00164703">
            <w:pPr>
              <w:spacing w:before="0" w:after="0" w:line="312" w:lineRule="auto"/>
              <w:rPr>
                <w:sz w:val="18"/>
              </w:rPr>
            </w:pPr>
            <w:r w:rsidRPr="007B757A">
              <w:rPr>
                <w:sz w:val="18"/>
              </w:rPr>
              <w:t xml:space="preserve">0.07 </w:t>
            </w:r>
          </w:p>
        </w:tc>
        <w:tc>
          <w:tcPr>
            <w:tcW w:w="1871" w:type="dxa"/>
          </w:tcPr>
          <w:p w14:paraId="2DB86D8D" w14:textId="77777777" w:rsidR="0059624D" w:rsidRPr="007B757A" w:rsidRDefault="0059624D" w:rsidP="00164703">
            <w:pPr>
              <w:spacing w:before="0" w:after="0" w:line="312" w:lineRule="auto"/>
              <w:rPr>
                <w:sz w:val="18"/>
              </w:rPr>
            </w:pPr>
            <w:r w:rsidRPr="007B757A">
              <w:rPr>
                <w:sz w:val="18"/>
              </w:rPr>
              <w:t xml:space="preserve">0.73 </w:t>
            </w:r>
          </w:p>
        </w:tc>
        <w:tc>
          <w:tcPr>
            <w:tcW w:w="1871" w:type="dxa"/>
            <w:tcBorders>
              <w:right w:val="single" w:sz="4" w:space="0" w:color="auto"/>
            </w:tcBorders>
          </w:tcPr>
          <w:p w14:paraId="174F763E" w14:textId="77777777" w:rsidR="0059624D" w:rsidRPr="007B757A" w:rsidRDefault="0059624D" w:rsidP="00164703">
            <w:pPr>
              <w:spacing w:before="0" w:after="0" w:line="312" w:lineRule="auto"/>
              <w:rPr>
                <w:sz w:val="18"/>
              </w:rPr>
            </w:pPr>
            <w:r w:rsidRPr="007B757A">
              <w:rPr>
                <w:sz w:val="18"/>
              </w:rPr>
              <w:t>0.11</w:t>
            </w:r>
          </w:p>
        </w:tc>
        <w:tc>
          <w:tcPr>
            <w:tcW w:w="1871" w:type="dxa"/>
            <w:vMerge/>
            <w:vAlign w:val="center"/>
          </w:tcPr>
          <w:p w14:paraId="5E77EEF4" w14:textId="64B0903F" w:rsidR="0059624D" w:rsidRPr="007B757A" w:rsidRDefault="0059624D" w:rsidP="00730492">
            <w:pPr>
              <w:spacing w:before="0" w:after="0" w:line="259" w:lineRule="auto"/>
              <w:rPr>
                <w:sz w:val="18"/>
              </w:rPr>
            </w:pPr>
          </w:p>
        </w:tc>
      </w:tr>
      <w:tr w:rsidR="0059624D" w:rsidRPr="007B757A" w14:paraId="52D0A578" w14:textId="77777777" w:rsidTr="587EA22A">
        <w:tc>
          <w:tcPr>
            <w:tcW w:w="0" w:type="auto"/>
          </w:tcPr>
          <w:p w14:paraId="1EF2EF37" w14:textId="77777777" w:rsidR="0059624D" w:rsidRPr="007B757A" w:rsidRDefault="0059624D" w:rsidP="00164703">
            <w:pPr>
              <w:spacing w:before="0" w:after="0" w:line="312" w:lineRule="auto"/>
              <w:rPr>
                <w:sz w:val="18"/>
              </w:rPr>
            </w:pPr>
            <w:r w:rsidRPr="007B757A">
              <w:rPr>
                <w:sz w:val="18"/>
              </w:rPr>
              <w:t>14</w:t>
            </w:r>
          </w:p>
        </w:tc>
        <w:tc>
          <w:tcPr>
            <w:tcW w:w="1871" w:type="dxa"/>
          </w:tcPr>
          <w:p w14:paraId="68CFCAE6" w14:textId="77777777" w:rsidR="0059624D" w:rsidRPr="007B757A" w:rsidRDefault="0059624D" w:rsidP="00164703">
            <w:pPr>
              <w:spacing w:before="0" w:after="0" w:line="312" w:lineRule="auto"/>
              <w:rPr>
                <w:sz w:val="18"/>
              </w:rPr>
            </w:pPr>
            <w:r w:rsidRPr="007B757A">
              <w:rPr>
                <w:sz w:val="18"/>
              </w:rPr>
              <w:t xml:space="preserve">0.66 </w:t>
            </w:r>
          </w:p>
        </w:tc>
        <w:tc>
          <w:tcPr>
            <w:tcW w:w="1871" w:type="dxa"/>
          </w:tcPr>
          <w:p w14:paraId="06A7C30F" w14:textId="77777777" w:rsidR="0059624D" w:rsidRPr="007B757A" w:rsidRDefault="0059624D" w:rsidP="00164703">
            <w:pPr>
              <w:spacing w:before="0" w:after="0" w:line="312" w:lineRule="auto"/>
              <w:rPr>
                <w:sz w:val="18"/>
              </w:rPr>
            </w:pPr>
            <w:r w:rsidRPr="007B757A">
              <w:rPr>
                <w:sz w:val="18"/>
              </w:rPr>
              <w:t xml:space="preserve">0.06 </w:t>
            </w:r>
          </w:p>
        </w:tc>
        <w:tc>
          <w:tcPr>
            <w:tcW w:w="1871" w:type="dxa"/>
          </w:tcPr>
          <w:p w14:paraId="6CF2C055" w14:textId="77777777" w:rsidR="0059624D" w:rsidRPr="007B757A" w:rsidRDefault="0059624D" w:rsidP="00164703">
            <w:pPr>
              <w:spacing w:before="0" w:after="0" w:line="312" w:lineRule="auto"/>
              <w:rPr>
                <w:sz w:val="18"/>
              </w:rPr>
            </w:pPr>
            <w:r w:rsidRPr="007B757A">
              <w:rPr>
                <w:sz w:val="18"/>
              </w:rPr>
              <w:t xml:space="preserve">0.72 </w:t>
            </w:r>
          </w:p>
        </w:tc>
        <w:tc>
          <w:tcPr>
            <w:tcW w:w="1871" w:type="dxa"/>
            <w:tcBorders>
              <w:right w:val="single" w:sz="4" w:space="0" w:color="auto"/>
            </w:tcBorders>
          </w:tcPr>
          <w:p w14:paraId="37C96B53" w14:textId="77777777" w:rsidR="0059624D" w:rsidRPr="007B757A" w:rsidRDefault="0059624D" w:rsidP="00164703">
            <w:pPr>
              <w:spacing w:before="0" w:after="0" w:line="312" w:lineRule="auto"/>
              <w:rPr>
                <w:sz w:val="18"/>
              </w:rPr>
            </w:pPr>
            <w:r w:rsidRPr="007B757A">
              <w:rPr>
                <w:sz w:val="18"/>
              </w:rPr>
              <w:t>0.09</w:t>
            </w:r>
          </w:p>
        </w:tc>
        <w:tc>
          <w:tcPr>
            <w:tcW w:w="1871" w:type="dxa"/>
            <w:vMerge/>
            <w:vAlign w:val="center"/>
          </w:tcPr>
          <w:p w14:paraId="45271F1A" w14:textId="4387F5E5" w:rsidR="0059624D" w:rsidRPr="007B757A" w:rsidRDefault="0059624D" w:rsidP="00730492">
            <w:pPr>
              <w:spacing w:before="0" w:after="0" w:line="259" w:lineRule="auto"/>
              <w:rPr>
                <w:sz w:val="18"/>
              </w:rPr>
            </w:pPr>
          </w:p>
        </w:tc>
      </w:tr>
      <w:tr w:rsidR="0059624D" w:rsidRPr="007B757A" w14:paraId="6E3828D6" w14:textId="77777777" w:rsidTr="587EA22A">
        <w:tc>
          <w:tcPr>
            <w:tcW w:w="0" w:type="auto"/>
          </w:tcPr>
          <w:p w14:paraId="3A0AA8BD" w14:textId="77777777" w:rsidR="0059624D" w:rsidRPr="007B757A" w:rsidRDefault="0059624D" w:rsidP="00164703">
            <w:pPr>
              <w:spacing w:before="0" w:after="0" w:line="312" w:lineRule="auto"/>
              <w:rPr>
                <w:sz w:val="18"/>
              </w:rPr>
            </w:pPr>
            <w:r w:rsidRPr="007B757A">
              <w:rPr>
                <w:sz w:val="18"/>
              </w:rPr>
              <w:t xml:space="preserve">15 </w:t>
            </w:r>
          </w:p>
        </w:tc>
        <w:tc>
          <w:tcPr>
            <w:tcW w:w="1871" w:type="dxa"/>
          </w:tcPr>
          <w:p w14:paraId="45F81DCC" w14:textId="77777777" w:rsidR="0059624D" w:rsidRPr="007B757A" w:rsidRDefault="0059624D" w:rsidP="00164703">
            <w:pPr>
              <w:spacing w:before="0" w:after="0" w:line="312" w:lineRule="auto"/>
              <w:rPr>
                <w:sz w:val="18"/>
              </w:rPr>
            </w:pPr>
            <w:r w:rsidRPr="007B757A">
              <w:rPr>
                <w:sz w:val="18"/>
              </w:rPr>
              <w:t xml:space="preserve">0.66 </w:t>
            </w:r>
          </w:p>
        </w:tc>
        <w:tc>
          <w:tcPr>
            <w:tcW w:w="1871" w:type="dxa"/>
          </w:tcPr>
          <w:p w14:paraId="5A9BEB5B" w14:textId="77777777" w:rsidR="0059624D" w:rsidRPr="007B757A" w:rsidRDefault="0059624D" w:rsidP="00164703">
            <w:pPr>
              <w:spacing w:before="0" w:after="0" w:line="312" w:lineRule="auto"/>
              <w:rPr>
                <w:sz w:val="18"/>
              </w:rPr>
            </w:pPr>
            <w:r w:rsidRPr="007B757A">
              <w:rPr>
                <w:sz w:val="18"/>
              </w:rPr>
              <w:t xml:space="preserve">0.06 </w:t>
            </w:r>
          </w:p>
        </w:tc>
        <w:tc>
          <w:tcPr>
            <w:tcW w:w="1871" w:type="dxa"/>
          </w:tcPr>
          <w:p w14:paraId="2AA0F081" w14:textId="77777777" w:rsidR="0059624D" w:rsidRPr="007B757A" w:rsidRDefault="0059624D" w:rsidP="00164703">
            <w:pPr>
              <w:spacing w:before="0" w:after="0" w:line="312" w:lineRule="auto"/>
              <w:rPr>
                <w:sz w:val="18"/>
              </w:rPr>
            </w:pPr>
            <w:r w:rsidRPr="007B757A">
              <w:rPr>
                <w:sz w:val="18"/>
              </w:rPr>
              <w:t xml:space="preserve">0.72 </w:t>
            </w:r>
          </w:p>
        </w:tc>
        <w:tc>
          <w:tcPr>
            <w:tcW w:w="1871" w:type="dxa"/>
            <w:tcBorders>
              <w:right w:val="single" w:sz="4" w:space="0" w:color="auto"/>
            </w:tcBorders>
          </w:tcPr>
          <w:p w14:paraId="7B3754A9" w14:textId="77777777" w:rsidR="0059624D" w:rsidRPr="007B757A" w:rsidRDefault="0059624D" w:rsidP="00164703">
            <w:pPr>
              <w:spacing w:before="0" w:after="0" w:line="312" w:lineRule="auto"/>
              <w:rPr>
                <w:sz w:val="18"/>
              </w:rPr>
            </w:pPr>
            <w:r w:rsidRPr="007B757A">
              <w:rPr>
                <w:sz w:val="18"/>
              </w:rPr>
              <w:t xml:space="preserve">0.09 </w:t>
            </w:r>
          </w:p>
        </w:tc>
        <w:tc>
          <w:tcPr>
            <w:tcW w:w="1871" w:type="dxa"/>
            <w:vMerge/>
            <w:vAlign w:val="center"/>
          </w:tcPr>
          <w:p w14:paraId="14B7C265" w14:textId="0DB8C98B" w:rsidR="0059624D" w:rsidRPr="007B757A" w:rsidRDefault="0059624D" w:rsidP="00730492">
            <w:pPr>
              <w:spacing w:before="0" w:after="0" w:line="259" w:lineRule="auto"/>
              <w:rPr>
                <w:sz w:val="18"/>
              </w:rPr>
            </w:pPr>
          </w:p>
        </w:tc>
      </w:tr>
      <w:tr w:rsidR="0059624D" w:rsidRPr="007B757A" w14:paraId="4E8097CF" w14:textId="77777777" w:rsidTr="587EA22A">
        <w:tc>
          <w:tcPr>
            <w:tcW w:w="0" w:type="auto"/>
          </w:tcPr>
          <w:p w14:paraId="44A8B9F2" w14:textId="77777777" w:rsidR="0059624D" w:rsidRPr="007B757A" w:rsidRDefault="0059624D" w:rsidP="00164703">
            <w:pPr>
              <w:spacing w:before="0" w:after="0" w:line="312" w:lineRule="auto"/>
              <w:rPr>
                <w:sz w:val="18"/>
              </w:rPr>
            </w:pPr>
            <w:r w:rsidRPr="007B757A">
              <w:rPr>
                <w:sz w:val="18"/>
              </w:rPr>
              <w:t xml:space="preserve">16 </w:t>
            </w:r>
          </w:p>
        </w:tc>
        <w:tc>
          <w:tcPr>
            <w:tcW w:w="1871" w:type="dxa"/>
          </w:tcPr>
          <w:p w14:paraId="17F25035" w14:textId="77777777" w:rsidR="0059624D" w:rsidRPr="007B757A" w:rsidRDefault="0059624D" w:rsidP="00164703">
            <w:pPr>
              <w:spacing w:before="0" w:after="0" w:line="312" w:lineRule="auto"/>
              <w:rPr>
                <w:sz w:val="18"/>
              </w:rPr>
            </w:pPr>
            <w:r w:rsidRPr="007B757A">
              <w:rPr>
                <w:sz w:val="18"/>
              </w:rPr>
              <w:t xml:space="preserve">0.66 </w:t>
            </w:r>
          </w:p>
        </w:tc>
        <w:tc>
          <w:tcPr>
            <w:tcW w:w="1871" w:type="dxa"/>
          </w:tcPr>
          <w:p w14:paraId="45FBCC2F" w14:textId="77777777" w:rsidR="0059624D" w:rsidRPr="007B757A" w:rsidRDefault="0059624D" w:rsidP="00164703">
            <w:pPr>
              <w:spacing w:before="0" w:after="0" w:line="312" w:lineRule="auto"/>
              <w:rPr>
                <w:sz w:val="18"/>
              </w:rPr>
            </w:pPr>
            <w:r w:rsidRPr="007B757A">
              <w:rPr>
                <w:sz w:val="18"/>
              </w:rPr>
              <w:t xml:space="preserve">0.05 </w:t>
            </w:r>
          </w:p>
        </w:tc>
        <w:tc>
          <w:tcPr>
            <w:tcW w:w="1871" w:type="dxa"/>
          </w:tcPr>
          <w:p w14:paraId="67D4F320" w14:textId="77777777" w:rsidR="0059624D" w:rsidRPr="007B757A" w:rsidRDefault="0059624D" w:rsidP="00164703">
            <w:pPr>
              <w:spacing w:before="0" w:after="0" w:line="312" w:lineRule="auto"/>
              <w:rPr>
                <w:sz w:val="18"/>
              </w:rPr>
            </w:pPr>
            <w:r w:rsidRPr="007B757A">
              <w:rPr>
                <w:sz w:val="18"/>
              </w:rPr>
              <w:t xml:space="preserve">0.71 </w:t>
            </w:r>
          </w:p>
        </w:tc>
        <w:tc>
          <w:tcPr>
            <w:tcW w:w="1871" w:type="dxa"/>
            <w:tcBorders>
              <w:right w:val="single" w:sz="4" w:space="0" w:color="auto"/>
            </w:tcBorders>
          </w:tcPr>
          <w:p w14:paraId="6F7FFA79" w14:textId="77777777" w:rsidR="0059624D" w:rsidRPr="007B757A" w:rsidRDefault="0059624D" w:rsidP="00164703">
            <w:pPr>
              <w:spacing w:before="0" w:after="0" w:line="312" w:lineRule="auto"/>
              <w:rPr>
                <w:sz w:val="18"/>
              </w:rPr>
            </w:pPr>
            <w:r w:rsidRPr="007B757A">
              <w:rPr>
                <w:sz w:val="18"/>
              </w:rPr>
              <w:t>0.08</w:t>
            </w:r>
          </w:p>
        </w:tc>
        <w:tc>
          <w:tcPr>
            <w:tcW w:w="1871" w:type="dxa"/>
            <w:vMerge/>
            <w:vAlign w:val="center"/>
          </w:tcPr>
          <w:p w14:paraId="1BB8EAB9" w14:textId="77777777" w:rsidR="0059624D" w:rsidRPr="007B757A" w:rsidRDefault="0059624D" w:rsidP="00730492">
            <w:pPr>
              <w:spacing w:before="0" w:after="0" w:line="259" w:lineRule="auto"/>
              <w:rPr>
                <w:sz w:val="18"/>
              </w:rPr>
            </w:pPr>
          </w:p>
        </w:tc>
      </w:tr>
      <w:tr w:rsidR="0059624D" w:rsidRPr="007B757A" w14:paraId="11F67C9C" w14:textId="77777777" w:rsidTr="587EA22A">
        <w:tc>
          <w:tcPr>
            <w:tcW w:w="0" w:type="auto"/>
          </w:tcPr>
          <w:p w14:paraId="574047B6" w14:textId="77777777" w:rsidR="0059624D" w:rsidRPr="007B757A" w:rsidRDefault="0059624D" w:rsidP="00164703">
            <w:pPr>
              <w:spacing w:before="0" w:after="0" w:line="312" w:lineRule="auto"/>
              <w:rPr>
                <w:sz w:val="18"/>
              </w:rPr>
            </w:pPr>
            <w:r w:rsidRPr="007B757A">
              <w:rPr>
                <w:sz w:val="18"/>
              </w:rPr>
              <w:t xml:space="preserve">17 </w:t>
            </w:r>
          </w:p>
        </w:tc>
        <w:tc>
          <w:tcPr>
            <w:tcW w:w="1871" w:type="dxa"/>
          </w:tcPr>
          <w:p w14:paraId="580BF8BE" w14:textId="77777777" w:rsidR="0059624D" w:rsidRPr="007B757A" w:rsidRDefault="0059624D" w:rsidP="00164703">
            <w:pPr>
              <w:spacing w:before="0" w:after="0" w:line="312" w:lineRule="auto"/>
              <w:rPr>
                <w:sz w:val="18"/>
              </w:rPr>
            </w:pPr>
            <w:r w:rsidRPr="007B757A">
              <w:rPr>
                <w:sz w:val="18"/>
              </w:rPr>
              <w:t xml:space="preserve">0.66 </w:t>
            </w:r>
          </w:p>
        </w:tc>
        <w:tc>
          <w:tcPr>
            <w:tcW w:w="1871" w:type="dxa"/>
          </w:tcPr>
          <w:p w14:paraId="5E5272E1" w14:textId="77777777" w:rsidR="0059624D" w:rsidRPr="007B757A" w:rsidRDefault="0059624D" w:rsidP="00164703">
            <w:pPr>
              <w:spacing w:before="0" w:after="0" w:line="312" w:lineRule="auto"/>
              <w:rPr>
                <w:sz w:val="18"/>
              </w:rPr>
            </w:pPr>
            <w:r w:rsidRPr="007B757A">
              <w:rPr>
                <w:sz w:val="18"/>
              </w:rPr>
              <w:t xml:space="preserve">0.04 </w:t>
            </w:r>
          </w:p>
        </w:tc>
        <w:tc>
          <w:tcPr>
            <w:tcW w:w="1871" w:type="dxa"/>
          </w:tcPr>
          <w:p w14:paraId="1C0E041F" w14:textId="77777777" w:rsidR="0059624D" w:rsidRPr="007B757A" w:rsidRDefault="0059624D" w:rsidP="00164703">
            <w:pPr>
              <w:spacing w:before="0" w:after="0" w:line="312" w:lineRule="auto"/>
              <w:rPr>
                <w:sz w:val="18"/>
              </w:rPr>
            </w:pPr>
            <w:r w:rsidRPr="007B757A">
              <w:rPr>
                <w:sz w:val="18"/>
              </w:rPr>
              <w:t xml:space="preserve">0.70 </w:t>
            </w:r>
          </w:p>
        </w:tc>
        <w:tc>
          <w:tcPr>
            <w:tcW w:w="1871" w:type="dxa"/>
            <w:tcBorders>
              <w:right w:val="single" w:sz="4" w:space="0" w:color="auto"/>
            </w:tcBorders>
          </w:tcPr>
          <w:p w14:paraId="60C0DFB1" w14:textId="77777777" w:rsidR="0059624D" w:rsidRPr="007B757A" w:rsidRDefault="0059624D" w:rsidP="00164703">
            <w:pPr>
              <w:spacing w:before="0" w:after="0" w:line="312" w:lineRule="auto"/>
              <w:rPr>
                <w:sz w:val="18"/>
              </w:rPr>
            </w:pPr>
            <w:r w:rsidRPr="007B757A">
              <w:rPr>
                <w:sz w:val="18"/>
              </w:rPr>
              <w:t>0.06</w:t>
            </w:r>
          </w:p>
        </w:tc>
        <w:tc>
          <w:tcPr>
            <w:tcW w:w="1871" w:type="dxa"/>
            <w:vMerge/>
            <w:vAlign w:val="center"/>
          </w:tcPr>
          <w:p w14:paraId="62527F9C" w14:textId="77777777" w:rsidR="0059624D" w:rsidRPr="007B757A" w:rsidRDefault="0059624D" w:rsidP="00730492">
            <w:pPr>
              <w:spacing w:before="0" w:after="0" w:line="259" w:lineRule="auto"/>
              <w:rPr>
                <w:sz w:val="18"/>
              </w:rPr>
            </w:pPr>
          </w:p>
        </w:tc>
      </w:tr>
      <w:tr w:rsidR="00684C0B" w:rsidRPr="007B757A" w14:paraId="15654BC0" w14:textId="77777777" w:rsidTr="00B207CF">
        <w:tc>
          <w:tcPr>
            <w:tcW w:w="0" w:type="auto"/>
          </w:tcPr>
          <w:p w14:paraId="0DA6004A" w14:textId="2293E0E2" w:rsidR="005A1CC2" w:rsidRPr="005111D9" w:rsidRDefault="005A1CC2" w:rsidP="005A1CC2">
            <w:pPr>
              <w:spacing w:before="0" w:after="0" w:line="259" w:lineRule="auto"/>
              <w:rPr>
                <w:b/>
                <w:bCs/>
                <w:sz w:val="18"/>
              </w:rPr>
            </w:pPr>
            <w:r w:rsidRPr="005111D9">
              <w:rPr>
                <w:b/>
                <w:bCs/>
                <w:sz w:val="18"/>
              </w:rPr>
              <w:t>Girls</w:t>
            </w:r>
          </w:p>
        </w:tc>
        <w:tc>
          <w:tcPr>
            <w:tcW w:w="1871" w:type="dxa"/>
          </w:tcPr>
          <w:p w14:paraId="3465C09E" w14:textId="77777777" w:rsidR="005A1CC2" w:rsidRPr="007B757A" w:rsidRDefault="005A1CC2" w:rsidP="005A1CC2">
            <w:pPr>
              <w:spacing w:before="0" w:after="0" w:line="259" w:lineRule="auto"/>
              <w:rPr>
                <w:sz w:val="18"/>
              </w:rPr>
            </w:pPr>
          </w:p>
        </w:tc>
        <w:tc>
          <w:tcPr>
            <w:tcW w:w="1871" w:type="dxa"/>
          </w:tcPr>
          <w:p w14:paraId="3E9B4DE8" w14:textId="77777777" w:rsidR="005A1CC2" w:rsidRPr="007B757A" w:rsidRDefault="005A1CC2" w:rsidP="005A1CC2">
            <w:pPr>
              <w:spacing w:before="0" w:after="0" w:line="259" w:lineRule="auto"/>
              <w:rPr>
                <w:sz w:val="18"/>
              </w:rPr>
            </w:pPr>
          </w:p>
        </w:tc>
        <w:tc>
          <w:tcPr>
            <w:tcW w:w="1871" w:type="dxa"/>
          </w:tcPr>
          <w:p w14:paraId="67089552" w14:textId="77777777" w:rsidR="005A1CC2" w:rsidRPr="007B757A" w:rsidRDefault="005A1CC2" w:rsidP="005A1CC2">
            <w:pPr>
              <w:spacing w:before="0" w:after="0" w:line="259" w:lineRule="auto"/>
              <w:rPr>
                <w:sz w:val="18"/>
              </w:rPr>
            </w:pPr>
          </w:p>
        </w:tc>
        <w:tc>
          <w:tcPr>
            <w:tcW w:w="1871" w:type="dxa"/>
          </w:tcPr>
          <w:p w14:paraId="4F555509" w14:textId="77777777" w:rsidR="005A1CC2" w:rsidRPr="007B757A" w:rsidRDefault="005A1CC2" w:rsidP="005A1CC2">
            <w:pPr>
              <w:spacing w:before="0" w:after="0" w:line="259" w:lineRule="auto"/>
              <w:rPr>
                <w:sz w:val="18"/>
              </w:rPr>
            </w:pPr>
          </w:p>
        </w:tc>
        <w:tc>
          <w:tcPr>
            <w:tcW w:w="1871" w:type="dxa"/>
            <w:tcBorders>
              <w:top w:val="single" w:sz="4" w:space="0" w:color="auto"/>
              <w:bottom w:val="single" w:sz="4" w:space="0" w:color="auto"/>
            </w:tcBorders>
            <w:vAlign w:val="center"/>
          </w:tcPr>
          <w:p w14:paraId="17AC29D7" w14:textId="77777777" w:rsidR="005A1CC2" w:rsidRPr="007B757A" w:rsidRDefault="005A1CC2" w:rsidP="00730492">
            <w:pPr>
              <w:spacing w:before="0" w:after="0" w:line="259" w:lineRule="auto"/>
              <w:rPr>
                <w:sz w:val="18"/>
              </w:rPr>
            </w:pPr>
          </w:p>
        </w:tc>
      </w:tr>
      <w:tr w:rsidR="001815B8" w:rsidRPr="007B757A" w14:paraId="073F1BD2" w14:textId="77777777" w:rsidTr="00D91100">
        <w:tc>
          <w:tcPr>
            <w:tcW w:w="0" w:type="auto"/>
          </w:tcPr>
          <w:p w14:paraId="67A3F196" w14:textId="62036F8E" w:rsidR="001815B8" w:rsidRPr="007B757A" w:rsidRDefault="001815B8" w:rsidP="00164703">
            <w:pPr>
              <w:spacing w:before="0" w:after="0" w:line="312" w:lineRule="auto"/>
              <w:rPr>
                <w:sz w:val="18"/>
              </w:rPr>
            </w:pPr>
            <w:r w:rsidRPr="007B757A">
              <w:rPr>
                <w:sz w:val="18"/>
              </w:rPr>
              <w:t>0.5</w:t>
            </w:r>
          </w:p>
        </w:tc>
        <w:tc>
          <w:tcPr>
            <w:tcW w:w="1871" w:type="dxa"/>
          </w:tcPr>
          <w:p w14:paraId="17780274" w14:textId="280C1019" w:rsidR="001815B8" w:rsidRPr="007B757A" w:rsidRDefault="001815B8" w:rsidP="00164703">
            <w:pPr>
              <w:spacing w:before="0" w:after="0" w:line="312" w:lineRule="auto"/>
              <w:rPr>
                <w:sz w:val="18"/>
              </w:rPr>
            </w:pPr>
            <w:r w:rsidRPr="007B757A">
              <w:rPr>
                <w:sz w:val="18"/>
              </w:rPr>
              <w:t>0.66</w:t>
            </w:r>
          </w:p>
        </w:tc>
        <w:tc>
          <w:tcPr>
            <w:tcW w:w="1871" w:type="dxa"/>
          </w:tcPr>
          <w:p w14:paraId="7202D263" w14:textId="19720C9A" w:rsidR="001815B8" w:rsidRPr="007B757A" w:rsidRDefault="001815B8" w:rsidP="00164703">
            <w:pPr>
              <w:spacing w:before="0" w:after="0" w:line="312" w:lineRule="auto"/>
              <w:rPr>
                <w:sz w:val="18"/>
              </w:rPr>
            </w:pPr>
            <w:r w:rsidRPr="007B757A">
              <w:rPr>
                <w:sz w:val="18"/>
              </w:rPr>
              <w:t>0.46</w:t>
            </w:r>
          </w:p>
        </w:tc>
        <w:tc>
          <w:tcPr>
            <w:tcW w:w="1871" w:type="dxa"/>
          </w:tcPr>
          <w:p w14:paraId="714E0D48" w14:textId="4061D847" w:rsidR="001815B8" w:rsidRPr="007B757A" w:rsidRDefault="001815B8" w:rsidP="00164703">
            <w:pPr>
              <w:spacing w:before="0" w:after="0" w:line="312" w:lineRule="auto"/>
              <w:rPr>
                <w:sz w:val="18"/>
              </w:rPr>
            </w:pPr>
            <w:r w:rsidRPr="007B757A">
              <w:rPr>
                <w:sz w:val="18"/>
              </w:rPr>
              <w:t>1.12</w:t>
            </w:r>
          </w:p>
        </w:tc>
        <w:tc>
          <w:tcPr>
            <w:tcW w:w="1871" w:type="dxa"/>
          </w:tcPr>
          <w:p w14:paraId="5A6083F5" w14:textId="5DD77FC8" w:rsidR="001815B8" w:rsidRPr="007B757A" w:rsidRDefault="001815B8" w:rsidP="00164703">
            <w:pPr>
              <w:spacing w:before="0" w:after="0" w:line="312" w:lineRule="auto"/>
              <w:rPr>
                <w:sz w:val="18"/>
              </w:rPr>
            </w:pPr>
            <w:r w:rsidRPr="007B757A">
              <w:rPr>
                <w:sz w:val="18"/>
              </w:rPr>
              <w:t>0.70</w:t>
            </w:r>
          </w:p>
        </w:tc>
        <w:tc>
          <w:tcPr>
            <w:tcW w:w="1871" w:type="dxa"/>
            <w:vMerge w:val="restart"/>
            <w:vAlign w:val="center"/>
          </w:tcPr>
          <w:p w14:paraId="1AD8C76B" w14:textId="1D945EE5" w:rsidR="00777C52" w:rsidRDefault="001815B8" w:rsidP="00730492">
            <w:pPr>
              <w:spacing w:before="0" w:after="0" w:line="259" w:lineRule="auto"/>
              <w:rPr>
                <w:sz w:val="18"/>
              </w:rPr>
            </w:pPr>
            <w:r w:rsidRPr="007B757A">
              <w:rPr>
                <w:sz w:val="18"/>
              </w:rPr>
              <w:t>7</w:t>
            </w:r>
            <w:r w:rsidR="00777C52" w:rsidRPr="007E7B1C">
              <w:rPr>
                <w:sz w:val="18"/>
              </w:rPr>
              <w:t xml:space="preserve"> </w:t>
            </w:r>
            <w:r w:rsidR="00211597">
              <w:rPr>
                <w:sz w:val="18"/>
              </w:rPr>
              <w:t>-12</w:t>
            </w:r>
            <w:r w:rsidRPr="007B757A">
              <w:rPr>
                <w:sz w:val="18"/>
              </w:rPr>
              <w:t xml:space="preserve"> </w:t>
            </w:r>
            <w:proofErr w:type="spellStart"/>
            <w:r w:rsidRPr="007B757A">
              <w:rPr>
                <w:sz w:val="18"/>
              </w:rPr>
              <w:t>mo</w:t>
            </w:r>
            <w:proofErr w:type="spellEnd"/>
            <w:r w:rsidRPr="007B757A">
              <w:rPr>
                <w:sz w:val="18"/>
              </w:rPr>
              <w:t xml:space="preserve"> 0.57</w:t>
            </w:r>
          </w:p>
          <w:p w14:paraId="5A054B4F" w14:textId="77777777" w:rsidR="00777C52" w:rsidRDefault="00777C52" w:rsidP="00730492">
            <w:pPr>
              <w:spacing w:before="0" w:after="0" w:line="259" w:lineRule="auto"/>
              <w:rPr>
                <w:sz w:val="18"/>
              </w:rPr>
            </w:pPr>
          </w:p>
          <w:p w14:paraId="75F84403" w14:textId="76D66F67" w:rsidR="00777C52" w:rsidRDefault="00777C52" w:rsidP="00730492">
            <w:pPr>
              <w:spacing w:before="0" w:after="0" w:line="259" w:lineRule="auto"/>
              <w:rPr>
                <w:sz w:val="18"/>
              </w:rPr>
            </w:pPr>
            <w:r w:rsidRPr="007B757A">
              <w:rPr>
                <w:sz w:val="18"/>
              </w:rPr>
              <w:t>1</w:t>
            </w:r>
            <w:r>
              <w:rPr>
                <w:sz w:val="18"/>
              </w:rPr>
              <w:t>2 to under 24</w:t>
            </w:r>
            <w:r w:rsidRPr="007B757A">
              <w:rPr>
                <w:sz w:val="18"/>
              </w:rPr>
              <w:t xml:space="preserve"> </w:t>
            </w:r>
            <w:proofErr w:type="spellStart"/>
            <w:r>
              <w:rPr>
                <w:sz w:val="18"/>
              </w:rPr>
              <w:t>mo</w:t>
            </w:r>
            <w:proofErr w:type="spellEnd"/>
            <w:r w:rsidRPr="007B757A">
              <w:rPr>
                <w:sz w:val="18"/>
              </w:rPr>
              <w:t>: 0.</w:t>
            </w:r>
            <w:r>
              <w:rPr>
                <w:sz w:val="18"/>
              </w:rPr>
              <w:t>44</w:t>
            </w:r>
          </w:p>
          <w:p w14:paraId="153521FC" w14:textId="77777777" w:rsidR="00777C52" w:rsidRDefault="00777C52" w:rsidP="00730492">
            <w:pPr>
              <w:spacing w:before="0" w:after="0" w:line="259" w:lineRule="auto"/>
              <w:rPr>
                <w:sz w:val="18"/>
              </w:rPr>
            </w:pPr>
          </w:p>
          <w:p w14:paraId="5056269E" w14:textId="77777777" w:rsidR="00777C52" w:rsidRDefault="00777C52" w:rsidP="00730492">
            <w:pPr>
              <w:spacing w:before="0" w:after="0" w:line="259" w:lineRule="auto"/>
              <w:rPr>
                <w:sz w:val="18"/>
              </w:rPr>
            </w:pPr>
            <w:r w:rsidRPr="007E7B1C">
              <w:rPr>
                <w:sz w:val="18"/>
              </w:rPr>
              <w:t xml:space="preserve">1 to under 4 yrs: </w:t>
            </w:r>
            <w:r>
              <w:rPr>
                <w:sz w:val="18"/>
              </w:rPr>
              <w:t>0.2</w:t>
            </w:r>
          </w:p>
          <w:p w14:paraId="14145B3C" w14:textId="77777777" w:rsidR="00777C52" w:rsidRDefault="00777C52" w:rsidP="00730492">
            <w:pPr>
              <w:spacing w:before="0" w:after="0" w:line="259" w:lineRule="auto"/>
              <w:rPr>
                <w:sz w:val="18"/>
              </w:rPr>
            </w:pPr>
          </w:p>
          <w:p w14:paraId="6BFCCC7C" w14:textId="3053E0C1" w:rsidR="00777C52" w:rsidRDefault="00777C52" w:rsidP="00730492">
            <w:pPr>
              <w:spacing w:before="0" w:after="0" w:line="259" w:lineRule="auto"/>
              <w:rPr>
                <w:sz w:val="18"/>
              </w:rPr>
            </w:pPr>
            <w:r>
              <w:rPr>
                <w:sz w:val="18"/>
              </w:rPr>
              <w:t>2 to under 5 yrs: 0.12</w:t>
            </w:r>
          </w:p>
          <w:p w14:paraId="77298F2E" w14:textId="77777777" w:rsidR="00777C52" w:rsidRPr="007B757A" w:rsidRDefault="00777C52" w:rsidP="00730492">
            <w:pPr>
              <w:spacing w:before="0" w:after="0" w:line="259" w:lineRule="auto"/>
              <w:rPr>
                <w:sz w:val="18"/>
              </w:rPr>
            </w:pPr>
          </w:p>
          <w:p w14:paraId="5C3D9A05" w14:textId="77777777" w:rsidR="00777C52" w:rsidRDefault="00777C52" w:rsidP="00730492">
            <w:pPr>
              <w:spacing w:before="0" w:after="0" w:line="259" w:lineRule="auto"/>
              <w:rPr>
                <w:sz w:val="18"/>
              </w:rPr>
            </w:pPr>
            <w:r w:rsidRPr="0057114F">
              <w:rPr>
                <w:sz w:val="18"/>
              </w:rPr>
              <w:t>4 to under 9 yrs</w:t>
            </w:r>
            <w:r>
              <w:rPr>
                <w:sz w:val="18"/>
              </w:rPr>
              <w:t>:</w:t>
            </w:r>
            <w:r w:rsidRPr="0057114F">
              <w:rPr>
                <w:sz w:val="18"/>
              </w:rPr>
              <w:t xml:space="preserve"> </w:t>
            </w:r>
            <w:r>
              <w:rPr>
                <w:sz w:val="18"/>
              </w:rPr>
              <w:t>0.08</w:t>
            </w:r>
          </w:p>
          <w:p w14:paraId="424A9E17" w14:textId="77777777" w:rsidR="00777C52" w:rsidRDefault="00777C52" w:rsidP="00730492">
            <w:pPr>
              <w:spacing w:before="0" w:after="0" w:line="259" w:lineRule="auto"/>
              <w:rPr>
                <w:sz w:val="18"/>
              </w:rPr>
            </w:pPr>
          </w:p>
          <w:p w14:paraId="439F9DE4" w14:textId="69D23ECA" w:rsidR="00777C52" w:rsidRDefault="00777C52" w:rsidP="00730492">
            <w:pPr>
              <w:spacing w:before="0" w:after="0" w:line="259" w:lineRule="auto"/>
              <w:rPr>
                <w:sz w:val="18"/>
              </w:rPr>
            </w:pPr>
            <w:r w:rsidRPr="0057114F">
              <w:rPr>
                <w:sz w:val="18"/>
              </w:rPr>
              <w:t xml:space="preserve">5 to under 12 </w:t>
            </w:r>
            <w:r w:rsidRPr="007B757A">
              <w:rPr>
                <w:sz w:val="18"/>
              </w:rPr>
              <w:t>yrs: 0.1</w:t>
            </w:r>
            <w:r>
              <w:rPr>
                <w:sz w:val="18"/>
              </w:rPr>
              <w:t>1</w:t>
            </w:r>
          </w:p>
          <w:p w14:paraId="5DA156F6" w14:textId="0E6CD9F6" w:rsidR="003536B2" w:rsidRDefault="002A0099" w:rsidP="00730492">
            <w:pPr>
              <w:spacing w:before="0" w:after="0" w:line="259" w:lineRule="auto"/>
              <w:rPr>
                <w:sz w:val="18"/>
              </w:rPr>
            </w:pPr>
            <w:r>
              <w:rPr>
                <w:sz w:val="18"/>
              </w:rPr>
              <w:t>9 to under 14 yrs</w:t>
            </w:r>
            <w:r w:rsidR="00963DCD">
              <w:rPr>
                <w:sz w:val="18"/>
              </w:rPr>
              <w:t>: 0.11</w:t>
            </w:r>
          </w:p>
          <w:p w14:paraId="1A17F1CC" w14:textId="77777777" w:rsidR="00777C52" w:rsidRPr="007B757A" w:rsidRDefault="00777C52" w:rsidP="00730492">
            <w:pPr>
              <w:spacing w:before="0" w:after="0" w:line="259" w:lineRule="auto"/>
              <w:rPr>
                <w:sz w:val="18"/>
              </w:rPr>
            </w:pPr>
          </w:p>
          <w:p w14:paraId="5D78FCE2" w14:textId="5A01D9E7" w:rsidR="00777C52" w:rsidRDefault="00777C52" w:rsidP="00730492">
            <w:pPr>
              <w:spacing w:before="0" w:after="0" w:line="259" w:lineRule="auto"/>
              <w:rPr>
                <w:sz w:val="18"/>
              </w:rPr>
            </w:pPr>
            <w:r w:rsidRPr="0057114F">
              <w:rPr>
                <w:sz w:val="18"/>
              </w:rPr>
              <w:t>12 to under 18</w:t>
            </w:r>
            <w:r w:rsidRPr="0057114F" w:rsidDel="0057114F">
              <w:rPr>
                <w:sz w:val="18"/>
              </w:rPr>
              <w:t xml:space="preserve"> </w:t>
            </w:r>
            <w:r w:rsidRPr="007B757A">
              <w:rPr>
                <w:sz w:val="18"/>
              </w:rPr>
              <w:t>yrs: 0.0</w:t>
            </w:r>
            <w:r>
              <w:rPr>
                <w:sz w:val="18"/>
              </w:rPr>
              <w:t>6</w:t>
            </w:r>
          </w:p>
          <w:p w14:paraId="058A47C4" w14:textId="77777777" w:rsidR="00777C52" w:rsidRDefault="00777C52" w:rsidP="00730492">
            <w:pPr>
              <w:spacing w:before="0" w:after="0" w:line="259" w:lineRule="auto"/>
              <w:rPr>
                <w:sz w:val="18"/>
              </w:rPr>
            </w:pPr>
          </w:p>
          <w:p w14:paraId="43B33122" w14:textId="24EFDFA1" w:rsidR="001815B8" w:rsidRPr="007B757A" w:rsidRDefault="00777C52" w:rsidP="00730492">
            <w:pPr>
              <w:spacing w:before="0" w:after="0" w:line="259" w:lineRule="auto"/>
              <w:rPr>
                <w:sz w:val="18"/>
              </w:rPr>
            </w:pPr>
            <w:r w:rsidRPr="0057114F">
              <w:rPr>
                <w:sz w:val="18"/>
              </w:rPr>
              <w:t>14 to under 18 yrs</w:t>
            </w:r>
            <w:r>
              <w:rPr>
                <w:sz w:val="18"/>
              </w:rPr>
              <w:t>: 0.04</w:t>
            </w:r>
          </w:p>
        </w:tc>
      </w:tr>
      <w:tr w:rsidR="001815B8" w:rsidRPr="007B757A" w14:paraId="5726E5D7" w14:textId="77777777" w:rsidTr="00777C52">
        <w:trPr>
          <w:trHeight w:val="219"/>
        </w:trPr>
        <w:tc>
          <w:tcPr>
            <w:tcW w:w="0" w:type="auto"/>
          </w:tcPr>
          <w:p w14:paraId="6DC5D189" w14:textId="237806C0" w:rsidR="001815B8" w:rsidRPr="007B757A" w:rsidRDefault="001815B8" w:rsidP="00164703">
            <w:pPr>
              <w:spacing w:before="0" w:after="0" w:line="312" w:lineRule="auto"/>
              <w:rPr>
                <w:sz w:val="18"/>
              </w:rPr>
            </w:pPr>
            <w:r w:rsidRPr="007B757A">
              <w:rPr>
                <w:sz w:val="18"/>
              </w:rPr>
              <w:t xml:space="preserve">1 </w:t>
            </w:r>
          </w:p>
        </w:tc>
        <w:tc>
          <w:tcPr>
            <w:tcW w:w="1871" w:type="dxa"/>
          </w:tcPr>
          <w:p w14:paraId="59046038" w14:textId="641BE931" w:rsidR="001815B8" w:rsidRPr="007B757A" w:rsidRDefault="001815B8" w:rsidP="00164703">
            <w:pPr>
              <w:spacing w:before="0" w:after="0" w:line="312" w:lineRule="auto"/>
              <w:rPr>
                <w:sz w:val="18"/>
              </w:rPr>
            </w:pPr>
            <w:r>
              <w:rPr>
                <w:sz w:val="18"/>
              </w:rPr>
              <w:t>0</w:t>
            </w:r>
            <w:r w:rsidRPr="007B757A">
              <w:rPr>
                <w:sz w:val="18"/>
              </w:rPr>
              <w:t>.66</w:t>
            </w:r>
          </w:p>
        </w:tc>
        <w:tc>
          <w:tcPr>
            <w:tcW w:w="1871" w:type="dxa"/>
          </w:tcPr>
          <w:p w14:paraId="17EC2108" w14:textId="13D62FA7" w:rsidR="001815B8" w:rsidRPr="007B757A" w:rsidRDefault="001815B8" w:rsidP="00164703">
            <w:pPr>
              <w:spacing w:before="0" w:after="0" w:line="312" w:lineRule="auto"/>
              <w:rPr>
                <w:sz w:val="18"/>
              </w:rPr>
            </w:pPr>
            <w:r w:rsidRPr="007B757A">
              <w:rPr>
                <w:sz w:val="18"/>
              </w:rPr>
              <w:t>0.29</w:t>
            </w:r>
          </w:p>
        </w:tc>
        <w:tc>
          <w:tcPr>
            <w:tcW w:w="1871" w:type="dxa"/>
          </w:tcPr>
          <w:p w14:paraId="58BBFDD5" w14:textId="67AE3BA2" w:rsidR="001815B8" w:rsidRPr="007B757A" w:rsidRDefault="001815B8" w:rsidP="00164703">
            <w:pPr>
              <w:spacing w:before="0" w:after="0" w:line="312" w:lineRule="auto"/>
              <w:rPr>
                <w:sz w:val="18"/>
              </w:rPr>
            </w:pPr>
            <w:r w:rsidRPr="007B757A">
              <w:rPr>
                <w:sz w:val="18"/>
              </w:rPr>
              <w:t>0.95</w:t>
            </w:r>
          </w:p>
        </w:tc>
        <w:tc>
          <w:tcPr>
            <w:tcW w:w="1871" w:type="dxa"/>
          </w:tcPr>
          <w:p w14:paraId="3F05AA9F" w14:textId="5753C548" w:rsidR="001815B8" w:rsidRPr="007B757A" w:rsidRDefault="001815B8" w:rsidP="00164703">
            <w:pPr>
              <w:spacing w:before="0" w:after="0" w:line="312" w:lineRule="auto"/>
              <w:rPr>
                <w:sz w:val="18"/>
              </w:rPr>
            </w:pPr>
            <w:r w:rsidRPr="007B757A">
              <w:rPr>
                <w:sz w:val="18"/>
              </w:rPr>
              <w:t>0.44</w:t>
            </w:r>
          </w:p>
        </w:tc>
        <w:tc>
          <w:tcPr>
            <w:tcW w:w="1871" w:type="dxa"/>
            <w:vMerge/>
            <w:vAlign w:val="center"/>
          </w:tcPr>
          <w:p w14:paraId="576F7239" w14:textId="3071E330" w:rsidR="001815B8" w:rsidRPr="007B757A" w:rsidRDefault="001815B8" w:rsidP="00730492">
            <w:pPr>
              <w:spacing w:before="0" w:after="0" w:line="259" w:lineRule="auto"/>
              <w:rPr>
                <w:sz w:val="18"/>
              </w:rPr>
            </w:pPr>
          </w:p>
        </w:tc>
      </w:tr>
      <w:tr w:rsidR="001815B8" w:rsidRPr="007B757A" w14:paraId="4C305DD1" w14:textId="77777777" w:rsidTr="00D91100">
        <w:tc>
          <w:tcPr>
            <w:tcW w:w="0" w:type="auto"/>
          </w:tcPr>
          <w:p w14:paraId="1D567C25" w14:textId="1F08E42C" w:rsidR="001815B8" w:rsidRPr="007B757A" w:rsidRDefault="001815B8" w:rsidP="00164703">
            <w:pPr>
              <w:spacing w:before="0" w:after="0" w:line="312" w:lineRule="auto"/>
              <w:rPr>
                <w:sz w:val="18"/>
              </w:rPr>
            </w:pPr>
            <w:r w:rsidRPr="007B757A">
              <w:rPr>
                <w:sz w:val="18"/>
              </w:rPr>
              <w:t>2</w:t>
            </w:r>
          </w:p>
        </w:tc>
        <w:tc>
          <w:tcPr>
            <w:tcW w:w="1871" w:type="dxa"/>
          </w:tcPr>
          <w:p w14:paraId="19E56525" w14:textId="0CB9EE75" w:rsidR="001815B8" w:rsidRPr="007B757A" w:rsidRDefault="001815B8" w:rsidP="00164703">
            <w:pPr>
              <w:spacing w:before="0" w:after="0" w:line="312" w:lineRule="auto"/>
              <w:rPr>
                <w:sz w:val="18"/>
              </w:rPr>
            </w:pPr>
            <w:r w:rsidRPr="007B757A">
              <w:rPr>
                <w:sz w:val="18"/>
              </w:rPr>
              <w:t xml:space="preserve">0.66 </w:t>
            </w:r>
          </w:p>
        </w:tc>
        <w:tc>
          <w:tcPr>
            <w:tcW w:w="1871" w:type="dxa"/>
          </w:tcPr>
          <w:p w14:paraId="1065FDC8" w14:textId="7FC0F6C2" w:rsidR="001815B8" w:rsidRPr="007B757A" w:rsidRDefault="001815B8" w:rsidP="00164703">
            <w:pPr>
              <w:spacing w:before="0" w:after="0" w:line="312" w:lineRule="auto"/>
              <w:rPr>
                <w:sz w:val="18"/>
              </w:rPr>
            </w:pPr>
            <w:r w:rsidRPr="007B757A">
              <w:rPr>
                <w:sz w:val="18"/>
              </w:rPr>
              <w:t>0.13</w:t>
            </w:r>
          </w:p>
        </w:tc>
        <w:tc>
          <w:tcPr>
            <w:tcW w:w="1871" w:type="dxa"/>
          </w:tcPr>
          <w:p w14:paraId="33C5A41E" w14:textId="2E2308E3" w:rsidR="001815B8" w:rsidRPr="007B757A" w:rsidRDefault="001815B8" w:rsidP="00164703">
            <w:pPr>
              <w:spacing w:before="0" w:after="0" w:line="312" w:lineRule="auto"/>
              <w:rPr>
                <w:sz w:val="18"/>
              </w:rPr>
            </w:pPr>
            <w:r w:rsidRPr="007B757A">
              <w:rPr>
                <w:sz w:val="18"/>
              </w:rPr>
              <w:t>0.79</w:t>
            </w:r>
          </w:p>
        </w:tc>
        <w:tc>
          <w:tcPr>
            <w:tcW w:w="1871" w:type="dxa"/>
          </w:tcPr>
          <w:p w14:paraId="4035F129" w14:textId="042482A7" w:rsidR="001815B8" w:rsidRPr="007B757A" w:rsidRDefault="001815B8" w:rsidP="00164703">
            <w:pPr>
              <w:spacing w:before="0" w:after="0" w:line="312" w:lineRule="auto"/>
              <w:rPr>
                <w:sz w:val="18"/>
              </w:rPr>
            </w:pPr>
            <w:r w:rsidRPr="007B757A">
              <w:rPr>
                <w:sz w:val="18"/>
              </w:rPr>
              <w:t>0.20</w:t>
            </w:r>
          </w:p>
        </w:tc>
        <w:tc>
          <w:tcPr>
            <w:tcW w:w="1871" w:type="dxa"/>
            <w:vMerge/>
            <w:vAlign w:val="center"/>
          </w:tcPr>
          <w:p w14:paraId="707178B3" w14:textId="311EDE69" w:rsidR="001815B8" w:rsidRPr="007B757A" w:rsidRDefault="001815B8" w:rsidP="00730492">
            <w:pPr>
              <w:spacing w:before="0" w:after="0" w:line="259" w:lineRule="auto"/>
              <w:rPr>
                <w:sz w:val="18"/>
              </w:rPr>
            </w:pPr>
          </w:p>
        </w:tc>
      </w:tr>
      <w:tr w:rsidR="001815B8" w:rsidRPr="007B757A" w14:paraId="6FBA68F0" w14:textId="77777777" w:rsidTr="00D91100">
        <w:tc>
          <w:tcPr>
            <w:tcW w:w="0" w:type="auto"/>
          </w:tcPr>
          <w:p w14:paraId="49829CA8" w14:textId="69B81AB9" w:rsidR="001815B8" w:rsidRPr="007B757A" w:rsidRDefault="001815B8" w:rsidP="00164703">
            <w:pPr>
              <w:spacing w:before="0" w:after="0" w:line="312" w:lineRule="auto"/>
              <w:rPr>
                <w:sz w:val="18"/>
              </w:rPr>
            </w:pPr>
            <w:r>
              <w:rPr>
                <w:sz w:val="18"/>
              </w:rPr>
              <w:t>3</w:t>
            </w:r>
          </w:p>
        </w:tc>
        <w:tc>
          <w:tcPr>
            <w:tcW w:w="1871" w:type="dxa"/>
          </w:tcPr>
          <w:p w14:paraId="32C0ACE1" w14:textId="53FDC28A" w:rsidR="001815B8" w:rsidRPr="007B757A" w:rsidRDefault="001815B8" w:rsidP="00164703">
            <w:pPr>
              <w:spacing w:before="0" w:after="0" w:line="312" w:lineRule="auto"/>
              <w:rPr>
                <w:sz w:val="18"/>
              </w:rPr>
            </w:pPr>
            <w:r w:rsidRPr="007B757A">
              <w:rPr>
                <w:sz w:val="18"/>
              </w:rPr>
              <w:t xml:space="preserve">0.66 </w:t>
            </w:r>
          </w:p>
        </w:tc>
        <w:tc>
          <w:tcPr>
            <w:tcW w:w="1871" w:type="dxa"/>
          </w:tcPr>
          <w:p w14:paraId="24B4F108" w14:textId="2BE3FB7A" w:rsidR="001815B8" w:rsidRPr="007B757A" w:rsidRDefault="001815B8" w:rsidP="00164703">
            <w:pPr>
              <w:spacing w:before="0" w:after="0" w:line="312" w:lineRule="auto"/>
              <w:rPr>
                <w:sz w:val="18"/>
              </w:rPr>
            </w:pPr>
            <w:r w:rsidRPr="007B757A">
              <w:rPr>
                <w:sz w:val="18"/>
              </w:rPr>
              <w:t>0.07</w:t>
            </w:r>
          </w:p>
        </w:tc>
        <w:tc>
          <w:tcPr>
            <w:tcW w:w="1871" w:type="dxa"/>
          </w:tcPr>
          <w:p w14:paraId="4C8F89B6" w14:textId="0FB97421" w:rsidR="001815B8" w:rsidRPr="007B757A" w:rsidRDefault="001815B8" w:rsidP="00164703">
            <w:pPr>
              <w:spacing w:before="0" w:after="0" w:line="312" w:lineRule="auto"/>
              <w:rPr>
                <w:sz w:val="18"/>
              </w:rPr>
            </w:pPr>
            <w:r w:rsidRPr="007B757A">
              <w:rPr>
                <w:sz w:val="18"/>
              </w:rPr>
              <w:t>0.73</w:t>
            </w:r>
          </w:p>
        </w:tc>
        <w:tc>
          <w:tcPr>
            <w:tcW w:w="1871" w:type="dxa"/>
          </w:tcPr>
          <w:p w14:paraId="39A2E1BC" w14:textId="4367EB0C" w:rsidR="001815B8" w:rsidRPr="007B757A" w:rsidRDefault="001815B8" w:rsidP="00164703">
            <w:pPr>
              <w:spacing w:before="0" w:after="0" w:line="312" w:lineRule="auto"/>
              <w:rPr>
                <w:sz w:val="18"/>
              </w:rPr>
            </w:pPr>
            <w:r w:rsidRPr="007B757A">
              <w:rPr>
                <w:sz w:val="18"/>
              </w:rPr>
              <w:t>0.11</w:t>
            </w:r>
          </w:p>
        </w:tc>
        <w:tc>
          <w:tcPr>
            <w:tcW w:w="1871" w:type="dxa"/>
            <w:vMerge/>
            <w:vAlign w:val="center"/>
          </w:tcPr>
          <w:p w14:paraId="38BAC23D" w14:textId="5A5F847A" w:rsidR="001815B8" w:rsidRPr="007B757A" w:rsidRDefault="001815B8" w:rsidP="00730492">
            <w:pPr>
              <w:spacing w:before="0" w:after="0" w:line="259" w:lineRule="auto"/>
              <w:rPr>
                <w:sz w:val="18"/>
              </w:rPr>
            </w:pPr>
          </w:p>
        </w:tc>
      </w:tr>
      <w:tr w:rsidR="001815B8" w:rsidRPr="007B757A" w14:paraId="6EB3DFDB" w14:textId="77777777" w:rsidTr="00D91100">
        <w:tc>
          <w:tcPr>
            <w:tcW w:w="0" w:type="auto"/>
          </w:tcPr>
          <w:p w14:paraId="1ED6F234" w14:textId="52D32292" w:rsidR="001815B8" w:rsidRPr="007B757A" w:rsidRDefault="001815B8" w:rsidP="00164703">
            <w:pPr>
              <w:spacing w:before="0" w:after="0" w:line="312" w:lineRule="auto"/>
              <w:rPr>
                <w:sz w:val="18"/>
              </w:rPr>
            </w:pPr>
            <w:r>
              <w:rPr>
                <w:sz w:val="18"/>
              </w:rPr>
              <w:t>4</w:t>
            </w:r>
          </w:p>
        </w:tc>
        <w:tc>
          <w:tcPr>
            <w:tcW w:w="1871" w:type="dxa"/>
          </w:tcPr>
          <w:p w14:paraId="37166B84" w14:textId="491CFF46" w:rsidR="001815B8" w:rsidRPr="007B757A" w:rsidRDefault="001815B8" w:rsidP="00164703">
            <w:pPr>
              <w:spacing w:before="0" w:after="0" w:line="312" w:lineRule="auto"/>
              <w:rPr>
                <w:sz w:val="18"/>
              </w:rPr>
            </w:pPr>
            <w:r w:rsidRPr="007B757A">
              <w:rPr>
                <w:sz w:val="18"/>
              </w:rPr>
              <w:t xml:space="preserve">0.66 </w:t>
            </w:r>
          </w:p>
        </w:tc>
        <w:tc>
          <w:tcPr>
            <w:tcW w:w="1871" w:type="dxa"/>
          </w:tcPr>
          <w:p w14:paraId="72276A63" w14:textId="4C693128" w:rsidR="001815B8" w:rsidRPr="007B757A" w:rsidRDefault="001815B8" w:rsidP="00164703">
            <w:pPr>
              <w:spacing w:before="0" w:after="0" w:line="312" w:lineRule="auto"/>
              <w:rPr>
                <w:sz w:val="18"/>
              </w:rPr>
            </w:pPr>
            <w:r w:rsidRPr="007B757A">
              <w:rPr>
                <w:sz w:val="18"/>
              </w:rPr>
              <w:t>0.03</w:t>
            </w:r>
          </w:p>
        </w:tc>
        <w:tc>
          <w:tcPr>
            <w:tcW w:w="1871" w:type="dxa"/>
          </w:tcPr>
          <w:p w14:paraId="6D294415" w14:textId="2FFE7EBA" w:rsidR="001815B8" w:rsidRPr="007B757A" w:rsidRDefault="001815B8" w:rsidP="00164703">
            <w:pPr>
              <w:spacing w:before="0" w:after="0" w:line="312" w:lineRule="auto"/>
              <w:rPr>
                <w:sz w:val="18"/>
              </w:rPr>
            </w:pPr>
            <w:r w:rsidRPr="007B757A">
              <w:rPr>
                <w:sz w:val="18"/>
              </w:rPr>
              <w:t>0.69</w:t>
            </w:r>
          </w:p>
        </w:tc>
        <w:tc>
          <w:tcPr>
            <w:tcW w:w="1871" w:type="dxa"/>
          </w:tcPr>
          <w:p w14:paraId="6325DE06" w14:textId="23BE48D4" w:rsidR="001815B8" w:rsidRPr="007B757A" w:rsidRDefault="001815B8" w:rsidP="00164703">
            <w:pPr>
              <w:spacing w:before="0" w:after="0" w:line="312" w:lineRule="auto"/>
              <w:rPr>
                <w:sz w:val="18"/>
              </w:rPr>
            </w:pPr>
            <w:r w:rsidRPr="007B757A">
              <w:rPr>
                <w:sz w:val="18"/>
              </w:rPr>
              <w:t>0.05</w:t>
            </w:r>
          </w:p>
        </w:tc>
        <w:tc>
          <w:tcPr>
            <w:tcW w:w="1871" w:type="dxa"/>
            <w:vMerge/>
            <w:vAlign w:val="center"/>
          </w:tcPr>
          <w:p w14:paraId="3EC38AE2" w14:textId="6AB0DA59" w:rsidR="001815B8" w:rsidRPr="007B757A" w:rsidRDefault="001815B8" w:rsidP="00730492">
            <w:pPr>
              <w:spacing w:before="0" w:after="0" w:line="259" w:lineRule="auto"/>
              <w:rPr>
                <w:sz w:val="18"/>
              </w:rPr>
            </w:pPr>
          </w:p>
        </w:tc>
      </w:tr>
      <w:tr w:rsidR="00857FCF" w:rsidRPr="007B757A" w14:paraId="34DC97CD" w14:textId="77777777" w:rsidTr="00D91100">
        <w:tc>
          <w:tcPr>
            <w:tcW w:w="0" w:type="auto"/>
          </w:tcPr>
          <w:p w14:paraId="41967A1C" w14:textId="574F00FE" w:rsidR="00857FCF" w:rsidRPr="007B757A" w:rsidRDefault="00857FCF" w:rsidP="00164703">
            <w:pPr>
              <w:spacing w:before="0" w:after="0" w:line="312" w:lineRule="auto"/>
              <w:rPr>
                <w:sz w:val="18"/>
              </w:rPr>
            </w:pPr>
            <w:r>
              <w:rPr>
                <w:sz w:val="18"/>
              </w:rPr>
              <w:t>5</w:t>
            </w:r>
          </w:p>
        </w:tc>
        <w:tc>
          <w:tcPr>
            <w:tcW w:w="1871" w:type="dxa"/>
          </w:tcPr>
          <w:p w14:paraId="44D75864" w14:textId="787A03C8" w:rsidR="00857FCF" w:rsidRPr="007B757A" w:rsidRDefault="00857FCF" w:rsidP="00164703">
            <w:pPr>
              <w:spacing w:before="0" w:after="0" w:line="312" w:lineRule="auto"/>
              <w:rPr>
                <w:sz w:val="18"/>
              </w:rPr>
            </w:pPr>
            <w:r w:rsidRPr="007B757A">
              <w:rPr>
                <w:sz w:val="18"/>
              </w:rPr>
              <w:t xml:space="preserve">0.66 </w:t>
            </w:r>
          </w:p>
        </w:tc>
        <w:tc>
          <w:tcPr>
            <w:tcW w:w="1871" w:type="dxa"/>
          </w:tcPr>
          <w:p w14:paraId="1466D477" w14:textId="6CCDD989" w:rsidR="00857FCF" w:rsidRPr="007B757A" w:rsidRDefault="00857FCF" w:rsidP="00164703">
            <w:pPr>
              <w:spacing w:before="0" w:after="0" w:line="312" w:lineRule="auto"/>
              <w:rPr>
                <w:sz w:val="18"/>
              </w:rPr>
            </w:pPr>
            <w:r w:rsidRPr="007B757A">
              <w:rPr>
                <w:sz w:val="18"/>
              </w:rPr>
              <w:t>0.03</w:t>
            </w:r>
          </w:p>
        </w:tc>
        <w:tc>
          <w:tcPr>
            <w:tcW w:w="1871" w:type="dxa"/>
          </w:tcPr>
          <w:p w14:paraId="47F18E6E" w14:textId="208EED5F" w:rsidR="00857FCF" w:rsidRPr="007B757A" w:rsidRDefault="00857FCF" w:rsidP="00164703">
            <w:pPr>
              <w:spacing w:before="0" w:after="0" w:line="312" w:lineRule="auto"/>
              <w:rPr>
                <w:sz w:val="18"/>
              </w:rPr>
            </w:pPr>
            <w:r w:rsidRPr="007B757A">
              <w:rPr>
                <w:sz w:val="18"/>
              </w:rPr>
              <w:t>0.69</w:t>
            </w:r>
          </w:p>
        </w:tc>
        <w:tc>
          <w:tcPr>
            <w:tcW w:w="1871" w:type="dxa"/>
          </w:tcPr>
          <w:p w14:paraId="18F1EA74" w14:textId="15844A83" w:rsidR="00857FCF" w:rsidRPr="007B757A" w:rsidRDefault="00857FCF" w:rsidP="00164703">
            <w:pPr>
              <w:spacing w:before="0" w:after="0" w:line="312" w:lineRule="auto"/>
              <w:rPr>
                <w:sz w:val="18"/>
              </w:rPr>
            </w:pPr>
            <w:r w:rsidRPr="007B757A">
              <w:rPr>
                <w:sz w:val="18"/>
              </w:rPr>
              <w:t>0.05</w:t>
            </w:r>
          </w:p>
        </w:tc>
        <w:tc>
          <w:tcPr>
            <w:tcW w:w="1871" w:type="dxa"/>
            <w:vMerge/>
            <w:vAlign w:val="center"/>
          </w:tcPr>
          <w:p w14:paraId="13BC2B7A" w14:textId="29249BBA" w:rsidR="00857FCF" w:rsidRPr="007B757A" w:rsidRDefault="00857FCF" w:rsidP="00730492">
            <w:pPr>
              <w:spacing w:before="0" w:after="0" w:line="259" w:lineRule="auto"/>
              <w:rPr>
                <w:sz w:val="18"/>
              </w:rPr>
            </w:pPr>
          </w:p>
        </w:tc>
      </w:tr>
      <w:tr w:rsidR="00857FCF" w:rsidRPr="007B757A" w14:paraId="61749A4B" w14:textId="77777777" w:rsidTr="00D91100">
        <w:tc>
          <w:tcPr>
            <w:tcW w:w="0" w:type="auto"/>
          </w:tcPr>
          <w:p w14:paraId="5F0E2080" w14:textId="2119C7B8" w:rsidR="00857FCF" w:rsidRPr="007B757A" w:rsidRDefault="00857FCF" w:rsidP="00164703">
            <w:pPr>
              <w:spacing w:before="0" w:after="0" w:line="312" w:lineRule="auto"/>
              <w:rPr>
                <w:sz w:val="18"/>
              </w:rPr>
            </w:pPr>
            <w:r>
              <w:rPr>
                <w:sz w:val="18"/>
              </w:rPr>
              <w:t>6</w:t>
            </w:r>
          </w:p>
        </w:tc>
        <w:tc>
          <w:tcPr>
            <w:tcW w:w="1871" w:type="dxa"/>
          </w:tcPr>
          <w:p w14:paraId="3C01A7BD" w14:textId="7BF00A4F" w:rsidR="00857FCF" w:rsidRPr="007B757A" w:rsidRDefault="00857FCF" w:rsidP="00164703">
            <w:pPr>
              <w:spacing w:before="0" w:after="0" w:line="312" w:lineRule="auto"/>
              <w:rPr>
                <w:sz w:val="18"/>
              </w:rPr>
            </w:pPr>
            <w:r w:rsidRPr="007B757A">
              <w:rPr>
                <w:sz w:val="18"/>
              </w:rPr>
              <w:t xml:space="preserve">0.66 </w:t>
            </w:r>
          </w:p>
        </w:tc>
        <w:tc>
          <w:tcPr>
            <w:tcW w:w="1871" w:type="dxa"/>
          </w:tcPr>
          <w:p w14:paraId="268CE450" w14:textId="17E8DF32" w:rsidR="00857FCF" w:rsidRPr="007B757A" w:rsidRDefault="00857FCF" w:rsidP="00164703">
            <w:pPr>
              <w:spacing w:before="0" w:after="0" w:line="312" w:lineRule="auto"/>
              <w:rPr>
                <w:sz w:val="18"/>
              </w:rPr>
            </w:pPr>
            <w:r w:rsidRPr="007B757A">
              <w:rPr>
                <w:sz w:val="18"/>
              </w:rPr>
              <w:t>0.06</w:t>
            </w:r>
          </w:p>
        </w:tc>
        <w:tc>
          <w:tcPr>
            <w:tcW w:w="1871" w:type="dxa"/>
          </w:tcPr>
          <w:p w14:paraId="061FA510" w14:textId="6406D9E2" w:rsidR="00857FCF" w:rsidRPr="007B757A" w:rsidRDefault="00857FCF" w:rsidP="00164703">
            <w:pPr>
              <w:spacing w:before="0" w:after="0" w:line="312" w:lineRule="auto"/>
              <w:rPr>
                <w:sz w:val="18"/>
              </w:rPr>
            </w:pPr>
            <w:r w:rsidRPr="007B757A">
              <w:rPr>
                <w:sz w:val="18"/>
              </w:rPr>
              <w:t>0.72</w:t>
            </w:r>
          </w:p>
        </w:tc>
        <w:tc>
          <w:tcPr>
            <w:tcW w:w="1871" w:type="dxa"/>
          </w:tcPr>
          <w:p w14:paraId="070BFBAE" w14:textId="5919CD5E" w:rsidR="00857FCF" w:rsidRPr="007B757A" w:rsidRDefault="00857FCF" w:rsidP="00164703">
            <w:pPr>
              <w:spacing w:before="0" w:after="0" w:line="312" w:lineRule="auto"/>
              <w:rPr>
                <w:sz w:val="18"/>
              </w:rPr>
            </w:pPr>
            <w:r w:rsidRPr="007B757A">
              <w:rPr>
                <w:sz w:val="18"/>
              </w:rPr>
              <w:t>0.09</w:t>
            </w:r>
          </w:p>
        </w:tc>
        <w:tc>
          <w:tcPr>
            <w:tcW w:w="1871" w:type="dxa"/>
            <w:vMerge/>
            <w:vAlign w:val="center"/>
          </w:tcPr>
          <w:p w14:paraId="71C303C5" w14:textId="300E6DDB" w:rsidR="00857FCF" w:rsidRPr="007B757A" w:rsidRDefault="00857FCF" w:rsidP="00730492">
            <w:pPr>
              <w:spacing w:before="0" w:after="0" w:line="259" w:lineRule="auto"/>
              <w:rPr>
                <w:sz w:val="18"/>
              </w:rPr>
            </w:pPr>
          </w:p>
        </w:tc>
      </w:tr>
      <w:tr w:rsidR="00857FCF" w:rsidRPr="007B757A" w14:paraId="7542D866" w14:textId="77777777" w:rsidTr="00D91100">
        <w:tc>
          <w:tcPr>
            <w:tcW w:w="0" w:type="auto"/>
          </w:tcPr>
          <w:p w14:paraId="2368DF18" w14:textId="0EF97EA9" w:rsidR="00857FCF" w:rsidRPr="007B757A" w:rsidRDefault="00857FCF" w:rsidP="00164703">
            <w:pPr>
              <w:spacing w:before="0" w:after="0" w:line="312" w:lineRule="auto"/>
              <w:rPr>
                <w:sz w:val="18"/>
              </w:rPr>
            </w:pPr>
            <w:r>
              <w:rPr>
                <w:sz w:val="18"/>
              </w:rPr>
              <w:t>7</w:t>
            </w:r>
          </w:p>
        </w:tc>
        <w:tc>
          <w:tcPr>
            <w:tcW w:w="1871" w:type="dxa"/>
          </w:tcPr>
          <w:p w14:paraId="0943709E" w14:textId="42C8863D" w:rsidR="00857FCF" w:rsidRPr="007B757A" w:rsidRDefault="00857FCF" w:rsidP="00164703">
            <w:pPr>
              <w:spacing w:before="0" w:after="0" w:line="312" w:lineRule="auto"/>
              <w:rPr>
                <w:sz w:val="18"/>
              </w:rPr>
            </w:pPr>
            <w:r w:rsidRPr="007B757A">
              <w:rPr>
                <w:sz w:val="18"/>
              </w:rPr>
              <w:t xml:space="preserve">0.66 </w:t>
            </w:r>
          </w:p>
        </w:tc>
        <w:tc>
          <w:tcPr>
            <w:tcW w:w="1871" w:type="dxa"/>
          </w:tcPr>
          <w:p w14:paraId="7B440927" w14:textId="597B19FF" w:rsidR="00857FCF" w:rsidRPr="007B757A" w:rsidRDefault="00857FCF" w:rsidP="00164703">
            <w:pPr>
              <w:spacing w:before="0" w:after="0" w:line="312" w:lineRule="auto"/>
              <w:rPr>
                <w:sz w:val="18"/>
              </w:rPr>
            </w:pPr>
            <w:r w:rsidRPr="007B757A">
              <w:rPr>
                <w:sz w:val="18"/>
              </w:rPr>
              <w:t>0.08</w:t>
            </w:r>
          </w:p>
        </w:tc>
        <w:tc>
          <w:tcPr>
            <w:tcW w:w="1871" w:type="dxa"/>
          </w:tcPr>
          <w:p w14:paraId="7C20205D" w14:textId="692BB0A3" w:rsidR="00857FCF" w:rsidRPr="007B757A" w:rsidRDefault="00857FCF" w:rsidP="00164703">
            <w:pPr>
              <w:spacing w:before="0" w:after="0" w:line="312" w:lineRule="auto"/>
              <w:rPr>
                <w:sz w:val="18"/>
              </w:rPr>
            </w:pPr>
            <w:r w:rsidRPr="007B757A">
              <w:rPr>
                <w:sz w:val="18"/>
              </w:rPr>
              <w:t>0.74</w:t>
            </w:r>
          </w:p>
        </w:tc>
        <w:tc>
          <w:tcPr>
            <w:tcW w:w="1871" w:type="dxa"/>
          </w:tcPr>
          <w:p w14:paraId="77869215" w14:textId="069283C8" w:rsidR="00857FCF" w:rsidRPr="007B757A" w:rsidRDefault="00857FCF" w:rsidP="00164703">
            <w:pPr>
              <w:spacing w:before="0" w:after="0" w:line="312" w:lineRule="auto"/>
              <w:rPr>
                <w:sz w:val="18"/>
              </w:rPr>
            </w:pPr>
            <w:r w:rsidRPr="007B757A">
              <w:rPr>
                <w:sz w:val="18"/>
              </w:rPr>
              <w:t>0.12</w:t>
            </w:r>
          </w:p>
        </w:tc>
        <w:tc>
          <w:tcPr>
            <w:tcW w:w="1871" w:type="dxa"/>
            <w:vMerge/>
            <w:vAlign w:val="center"/>
          </w:tcPr>
          <w:p w14:paraId="009F2B0A" w14:textId="399EB3D8" w:rsidR="00857FCF" w:rsidRPr="007B757A" w:rsidRDefault="00857FCF" w:rsidP="00730492">
            <w:pPr>
              <w:spacing w:before="0" w:after="0" w:line="259" w:lineRule="auto"/>
              <w:rPr>
                <w:sz w:val="18"/>
              </w:rPr>
            </w:pPr>
          </w:p>
        </w:tc>
      </w:tr>
      <w:tr w:rsidR="00857FCF" w:rsidRPr="007B757A" w14:paraId="43F8623D" w14:textId="77777777" w:rsidTr="00D91100">
        <w:tc>
          <w:tcPr>
            <w:tcW w:w="0" w:type="auto"/>
          </w:tcPr>
          <w:p w14:paraId="0A05B38D" w14:textId="28A405B3" w:rsidR="00857FCF" w:rsidRPr="007B757A" w:rsidRDefault="00857FCF" w:rsidP="00164703">
            <w:pPr>
              <w:spacing w:before="0" w:after="0" w:line="312" w:lineRule="auto"/>
              <w:rPr>
                <w:sz w:val="18"/>
              </w:rPr>
            </w:pPr>
            <w:r>
              <w:rPr>
                <w:sz w:val="18"/>
              </w:rPr>
              <w:t>8</w:t>
            </w:r>
          </w:p>
        </w:tc>
        <w:tc>
          <w:tcPr>
            <w:tcW w:w="1871" w:type="dxa"/>
          </w:tcPr>
          <w:p w14:paraId="17C5D748" w14:textId="77169A06" w:rsidR="00857FCF" w:rsidRPr="007B757A" w:rsidRDefault="00857FCF" w:rsidP="00164703">
            <w:pPr>
              <w:spacing w:before="0" w:after="0" w:line="312" w:lineRule="auto"/>
              <w:rPr>
                <w:sz w:val="18"/>
              </w:rPr>
            </w:pPr>
            <w:r w:rsidRPr="007B757A">
              <w:rPr>
                <w:sz w:val="18"/>
              </w:rPr>
              <w:t xml:space="preserve">0.66 </w:t>
            </w:r>
          </w:p>
        </w:tc>
        <w:tc>
          <w:tcPr>
            <w:tcW w:w="1871" w:type="dxa"/>
          </w:tcPr>
          <w:p w14:paraId="1BE09B55" w14:textId="7EFCB07A" w:rsidR="00857FCF" w:rsidRPr="007B757A" w:rsidRDefault="00857FCF" w:rsidP="00164703">
            <w:pPr>
              <w:spacing w:before="0" w:after="0" w:line="312" w:lineRule="auto"/>
              <w:rPr>
                <w:sz w:val="18"/>
              </w:rPr>
            </w:pPr>
            <w:r w:rsidRPr="007B757A">
              <w:rPr>
                <w:sz w:val="18"/>
              </w:rPr>
              <w:t>0.09</w:t>
            </w:r>
          </w:p>
        </w:tc>
        <w:tc>
          <w:tcPr>
            <w:tcW w:w="1871" w:type="dxa"/>
          </w:tcPr>
          <w:p w14:paraId="12B3CBDF" w14:textId="347F11D3" w:rsidR="00857FCF" w:rsidRPr="007B757A" w:rsidRDefault="00857FCF" w:rsidP="00164703">
            <w:pPr>
              <w:spacing w:before="0" w:after="0" w:line="312" w:lineRule="auto"/>
              <w:rPr>
                <w:sz w:val="18"/>
              </w:rPr>
            </w:pPr>
            <w:r>
              <w:rPr>
                <w:sz w:val="18"/>
              </w:rPr>
              <w:t>0</w:t>
            </w:r>
            <w:r w:rsidRPr="007B757A">
              <w:rPr>
                <w:sz w:val="18"/>
              </w:rPr>
              <w:t xml:space="preserve">.75 </w:t>
            </w:r>
          </w:p>
        </w:tc>
        <w:tc>
          <w:tcPr>
            <w:tcW w:w="1871" w:type="dxa"/>
          </w:tcPr>
          <w:p w14:paraId="16A0E223" w14:textId="09DB995B" w:rsidR="00857FCF" w:rsidRPr="007B757A" w:rsidRDefault="00857FCF" w:rsidP="00164703">
            <w:pPr>
              <w:spacing w:before="0" w:after="0" w:line="312" w:lineRule="auto"/>
              <w:rPr>
                <w:sz w:val="18"/>
              </w:rPr>
            </w:pPr>
            <w:r w:rsidRPr="007B757A">
              <w:rPr>
                <w:sz w:val="18"/>
              </w:rPr>
              <w:t>0.14</w:t>
            </w:r>
          </w:p>
        </w:tc>
        <w:tc>
          <w:tcPr>
            <w:tcW w:w="1871" w:type="dxa"/>
            <w:vMerge/>
            <w:vAlign w:val="center"/>
          </w:tcPr>
          <w:p w14:paraId="35100E11" w14:textId="1C10EA3C" w:rsidR="00857FCF" w:rsidRPr="007B757A" w:rsidRDefault="00857FCF" w:rsidP="00730492">
            <w:pPr>
              <w:spacing w:before="0" w:after="0" w:line="259" w:lineRule="auto"/>
              <w:rPr>
                <w:sz w:val="18"/>
              </w:rPr>
            </w:pPr>
          </w:p>
        </w:tc>
      </w:tr>
      <w:tr w:rsidR="00857FCF" w:rsidRPr="007B757A" w14:paraId="0A300884" w14:textId="77777777" w:rsidTr="00D91100">
        <w:tc>
          <w:tcPr>
            <w:tcW w:w="0" w:type="auto"/>
          </w:tcPr>
          <w:p w14:paraId="554EF7C4" w14:textId="6A7594D2" w:rsidR="00857FCF" w:rsidRPr="007B757A" w:rsidRDefault="00857FCF" w:rsidP="00164703">
            <w:pPr>
              <w:spacing w:before="0" w:after="0" w:line="312" w:lineRule="auto"/>
              <w:rPr>
                <w:sz w:val="18"/>
              </w:rPr>
            </w:pPr>
            <w:r>
              <w:rPr>
                <w:sz w:val="18"/>
              </w:rPr>
              <w:t>9</w:t>
            </w:r>
          </w:p>
        </w:tc>
        <w:tc>
          <w:tcPr>
            <w:tcW w:w="1871" w:type="dxa"/>
          </w:tcPr>
          <w:p w14:paraId="5183F7CA" w14:textId="391FD16A" w:rsidR="00857FCF" w:rsidRPr="007B757A" w:rsidRDefault="00857FCF" w:rsidP="00164703">
            <w:pPr>
              <w:spacing w:before="0" w:after="0" w:line="312" w:lineRule="auto"/>
              <w:rPr>
                <w:sz w:val="18"/>
              </w:rPr>
            </w:pPr>
            <w:r w:rsidRPr="007B757A">
              <w:rPr>
                <w:sz w:val="18"/>
              </w:rPr>
              <w:t xml:space="preserve">0.66 </w:t>
            </w:r>
          </w:p>
        </w:tc>
        <w:tc>
          <w:tcPr>
            <w:tcW w:w="1871" w:type="dxa"/>
          </w:tcPr>
          <w:p w14:paraId="4EC5D533" w14:textId="7096945E" w:rsidR="00857FCF" w:rsidRPr="007B757A" w:rsidRDefault="00857FCF" w:rsidP="00164703">
            <w:pPr>
              <w:spacing w:before="0" w:after="0" w:line="312" w:lineRule="auto"/>
              <w:rPr>
                <w:sz w:val="18"/>
              </w:rPr>
            </w:pPr>
            <w:r w:rsidRPr="007B757A">
              <w:rPr>
                <w:sz w:val="18"/>
              </w:rPr>
              <w:t>0.09</w:t>
            </w:r>
          </w:p>
        </w:tc>
        <w:tc>
          <w:tcPr>
            <w:tcW w:w="1871" w:type="dxa"/>
          </w:tcPr>
          <w:p w14:paraId="1690F70C" w14:textId="75A6F4D5" w:rsidR="00857FCF" w:rsidRPr="007B757A" w:rsidRDefault="00857FCF" w:rsidP="00164703">
            <w:pPr>
              <w:spacing w:before="0" w:after="0" w:line="312" w:lineRule="auto"/>
              <w:rPr>
                <w:sz w:val="18"/>
              </w:rPr>
            </w:pPr>
            <w:r w:rsidRPr="007B757A">
              <w:rPr>
                <w:sz w:val="18"/>
              </w:rPr>
              <w:t>0.75</w:t>
            </w:r>
          </w:p>
        </w:tc>
        <w:tc>
          <w:tcPr>
            <w:tcW w:w="1871" w:type="dxa"/>
          </w:tcPr>
          <w:p w14:paraId="526241F4" w14:textId="769BE2AF" w:rsidR="00857FCF" w:rsidRPr="007B757A" w:rsidRDefault="00857FCF" w:rsidP="00164703">
            <w:pPr>
              <w:spacing w:before="0" w:after="0" w:line="312" w:lineRule="auto"/>
              <w:rPr>
                <w:sz w:val="18"/>
              </w:rPr>
            </w:pPr>
            <w:r w:rsidRPr="007B757A">
              <w:rPr>
                <w:sz w:val="18"/>
              </w:rPr>
              <w:t>0.14</w:t>
            </w:r>
          </w:p>
        </w:tc>
        <w:tc>
          <w:tcPr>
            <w:tcW w:w="1871" w:type="dxa"/>
            <w:vMerge/>
            <w:vAlign w:val="center"/>
          </w:tcPr>
          <w:p w14:paraId="1E890921" w14:textId="720E2CF9" w:rsidR="00857FCF" w:rsidRPr="007B757A" w:rsidRDefault="00857FCF" w:rsidP="00730492">
            <w:pPr>
              <w:spacing w:before="0" w:after="0" w:line="259" w:lineRule="auto"/>
              <w:rPr>
                <w:sz w:val="18"/>
              </w:rPr>
            </w:pPr>
          </w:p>
        </w:tc>
      </w:tr>
      <w:tr w:rsidR="00857FCF" w:rsidRPr="007B757A" w14:paraId="429AFDE1" w14:textId="77777777" w:rsidTr="00D91100">
        <w:tc>
          <w:tcPr>
            <w:tcW w:w="0" w:type="auto"/>
          </w:tcPr>
          <w:p w14:paraId="243D5BE5" w14:textId="2821CC62" w:rsidR="00857FCF" w:rsidRPr="007B757A" w:rsidRDefault="00857FCF" w:rsidP="00164703">
            <w:pPr>
              <w:spacing w:before="0" w:after="0" w:line="312" w:lineRule="auto"/>
              <w:rPr>
                <w:sz w:val="18"/>
              </w:rPr>
            </w:pPr>
            <w:r>
              <w:rPr>
                <w:sz w:val="18"/>
              </w:rPr>
              <w:t>10</w:t>
            </w:r>
          </w:p>
        </w:tc>
        <w:tc>
          <w:tcPr>
            <w:tcW w:w="1871" w:type="dxa"/>
          </w:tcPr>
          <w:p w14:paraId="60FB1E61" w14:textId="14B1A574" w:rsidR="00857FCF" w:rsidRPr="007B757A" w:rsidRDefault="00857FCF" w:rsidP="00164703">
            <w:pPr>
              <w:spacing w:before="0" w:after="0" w:line="312" w:lineRule="auto"/>
              <w:rPr>
                <w:sz w:val="18"/>
              </w:rPr>
            </w:pPr>
            <w:r w:rsidRPr="007B757A">
              <w:rPr>
                <w:sz w:val="18"/>
              </w:rPr>
              <w:t xml:space="preserve">0.66 </w:t>
            </w:r>
          </w:p>
        </w:tc>
        <w:tc>
          <w:tcPr>
            <w:tcW w:w="1871" w:type="dxa"/>
          </w:tcPr>
          <w:p w14:paraId="1CC9664D" w14:textId="0F4FA7F6" w:rsidR="00857FCF" w:rsidRPr="007B757A" w:rsidRDefault="00857FCF" w:rsidP="00164703">
            <w:pPr>
              <w:spacing w:before="0" w:after="0" w:line="312" w:lineRule="auto"/>
              <w:rPr>
                <w:sz w:val="18"/>
              </w:rPr>
            </w:pPr>
            <w:r w:rsidRPr="007B757A">
              <w:rPr>
                <w:sz w:val="18"/>
              </w:rPr>
              <w:t>0.09</w:t>
            </w:r>
          </w:p>
        </w:tc>
        <w:tc>
          <w:tcPr>
            <w:tcW w:w="1871" w:type="dxa"/>
          </w:tcPr>
          <w:p w14:paraId="7566637F" w14:textId="7DEB4D99" w:rsidR="00857FCF" w:rsidRPr="007B757A" w:rsidRDefault="00857FCF" w:rsidP="00164703">
            <w:pPr>
              <w:spacing w:before="0" w:after="0" w:line="312" w:lineRule="auto"/>
              <w:rPr>
                <w:sz w:val="18"/>
              </w:rPr>
            </w:pPr>
            <w:r w:rsidRPr="007B757A">
              <w:rPr>
                <w:sz w:val="18"/>
              </w:rPr>
              <w:t>0.75</w:t>
            </w:r>
          </w:p>
        </w:tc>
        <w:tc>
          <w:tcPr>
            <w:tcW w:w="1871" w:type="dxa"/>
          </w:tcPr>
          <w:p w14:paraId="740402EF" w14:textId="470CE07E" w:rsidR="00857FCF" w:rsidRPr="007B757A" w:rsidRDefault="00857FCF" w:rsidP="00164703">
            <w:pPr>
              <w:spacing w:before="0" w:after="0" w:line="312" w:lineRule="auto"/>
              <w:rPr>
                <w:sz w:val="18"/>
              </w:rPr>
            </w:pPr>
            <w:r w:rsidRPr="007B757A">
              <w:rPr>
                <w:sz w:val="18"/>
              </w:rPr>
              <w:t>0.14</w:t>
            </w:r>
          </w:p>
        </w:tc>
        <w:tc>
          <w:tcPr>
            <w:tcW w:w="1871" w:type="dxa"/>
            <w:vMerge/>
            <w:vAlign w:val="center"/>
          </w:tcPr>
          <w:p w14:paraId="58F17825" w14:textId="7F39EA69" w:rsidR="00857FCF" w:rsidRPr="007B757A" w:rsidRDefault="00857FCF" w:rsidP="00730492">
            <w:pPr>
              <w:spacing w:before="0" w:after="0" w:line="259" w:lineRule="auto"/>
              <w:rPr>
                <w:sz w:val="18"/>
              </w:rPr>
            </w:pPr>
          </w:p>
        </w:tc>
      </w:tr>
      <w:tr w:rsidR="00857FCF" w:rsidRPr="007B757A" w14:paraId="345801FC" w14:textId="77777777" w:rsidTr="00D91100">
        <w:tc>
          <w:tcPr>
            <w:tcW w:w="0" w:type="auto"/>
          </w:tcPr>
          <w:p w14:paraId="76CD0B41" w14:textId="3F57B24D" w:rsidR="00857FCF" w:rsidRPr="007B757A" w:rsidRDefault="00857FCF" w:rsidP="00164703">
            <w:pPr>
              <w:spacing w:before="0" w:after="0" w:line="312" w:lineRule="auto"/>
              <w:rPr>
                <w:sz w:val="18"/>
              </w:rPr>
            </w:pPr>
            <w:r>
              <w:rPr>
                <w:sz w:val="18"/>
              </w:rPr>
              <w:t>11</w:t>
            </w:r>
          </w:p>
        </w:tc>
        <w:tc>
          <w:tcPr>
            <w:tcW w:w="1871" w:type="dxa"/>
          </w:tcPr>
          <w:p w14:paraId="3335AC68" w14:textId="7E2513BA" w:rsidR="00857FCF" w:rsidRPr="007B757A" w:rsidRDefault="00857FCF" w:rsidP="00164703">
            <w:pPr>
              <w:spacing w:before="0" w:after="0" w:line="312" w:lineRule="auto"/>
              <w:rPr>
                <w:sz w:val="18"/>
              </w:rPr>
            </w:pPr>
            <w:r w:rsidRPr="007B757A">
              <w:rPr>
                <w:sz w:val="18"/>
              </w:rPr>
              <w:t xml:space="preserve">0.66 </w:t>
            </w:r>
          </w:p>
        </w:tc>
        <w:tc>
          <w:tcPr>
            <w:tcW w:w="1871" w:type="dxa"/>
          </w:tcPr>
          <w:p w14:paraId="2D23EBEC" w14:textId="7DB51C46" w:rsidR="00857FCF" w:rsidRPr="007B757A" w:rsidRDefault="00857FCF" w:rsidP="00164703">
            <w:pPr>
              <w:spacing w:before="0" w:after="0" w:line="312" w:lineRule="auto"/>
              <w:rPr>
                <w:sz w:val="18"/>
              </w:rPr>
            </w:pPr>
            <w:r w:rsidRPr="007B757A">
              <w:rPr>
                <w:sz w:val="18"/>
              </w:rPr>
              <w:t>0.07</w:t>
            </w:r>
          </w:p>
        </w:tc>
        <w:tc>
          <w:tcPr>
            <w:tcW w:w="1871" w:type="dxa"/>
          </w:tcPr>
          <w:p w14:paraId="561E83EA" w14:textId="3F97E8AC" w:rsidR="00857FCF" w:rsidRPr="007B757A" w:rsidRDefault="00857FCF" w:rsidP="00164703">
            <w:pPr>
              <w:spacing w:before="0" w:after="0" w:line="312" w:lineRule="auto"/>
              <w:rPr>
                <w:sz w:val="18"/>
              </w:rPr>
            </w:pPr>
            <w:r w:rsidRPr="007B757A">
              <w:rPr>
                <w:sz w:val="18"/>
              </w:rPr>
              <w:t>0.73</w:t>
            </w:r>
          </w:p>
        </w:tc>
        <w:tc>
          <w:tcPr>
            <w:tcW w:w="1871" w:type="dxa"/>
          </w:tcPr>
          <w:p w14:paraId="6BB79746" w14:textId="3057AB91" w:rsidR="00857FCF" w:rsidRPr="007B757A" w:rsidRDefault="00857FCF" w:rsidP="00164703">
            <w:pPr>
              <w:spacing w:before="0" w:after="0" w:line="312" w:lineRule="auto"/>
              <w:rPr>
                <w:sz w:val="18"/>
              </w:rPr>
            </w:pPr>
            <w:r w:rsidRPr="007B757A">
              <w:rPr>
                <w:sz w:val="18"/>
              </w:rPr>
              <w:t>0.11</w:t>
            </w:r>
          </w:p>
        </w:tc>
        <w:tc>
          <w:tcPr>
            <w:tcW w:w="1871" w:type="dxa"/>
            <w:vMerge/>
            <w:vAlign w:val="center"/>
          </w:tcPr>
          <w:p w14:paraId="7D334E83" w14:textId="10B24A1D" w:rsidR="00857FCF" w:rsidRPr="007B757A" w:rsidRDefault="00857FCF" w:rsidP="00730492">
            <w:pPr>
              <w:spacing w:before="0" w:after="0" w:line="259" w:lineRule="auto"/>
              <w:rPr>
                <w:sz w:val="18"/>
              </w:rPr>
            </w:pPr>
          </w:p>
        </w:tc>
      </w:tr>
      <w:tr w:rsidR="00857FCF" w:rsidRPr="007B757A" w14:paraId="769D1308" w14:textId="77777777" w:rsidTr="00D91100">
        <w:tc>
          <w:tcPr>
            <w:tcW w:w="0" w:type="auto"/>
          </w:tcPr>
          <w:p w14:paraId="6B9CBBC3" w14:textId="4833AF81" w:rsidR="00857FCF" w:rsidRPr="007B757A" w:rsidRDefault="00857FCF" w:rsidP="00164703">
            <w:pPr>
              <w:spacing w:before="0" w:after="0" w:line="312" w:lineRule="auto"/>
              <w:rPr>
                <w:sz w:val="18"/>
              </w:rPr>
            </w:pPr>
            <w:r>
              <w:rPr>
                <w:sz w:val="18"/>
              </w:rPr>
              <w:t>12</w:t>
            </w:r>
          </w:p>
        </w:tc>
        <w:tc>
          <w:tcPr>
            <w:tcW w:w="1871" w:type="dxa"/>
          </w:tcPr>
          <w:p w14:paraId="76DC1468" w14:textId="6F72B670" w:rsidR="00857FCF" w:rsidRPr="007B757A" w:rsidRDefault="00857FCF" w:rsidP="00164703">
            <w:pPr>
              <w:spacing w:before="0" w:after="0" w:line="312" w:lineRule="auto"/>
              <w:rPr>
                <w:sz w:val="18"/>
              </w:rPr>
            </w:pPr>
            <w:r w:rsidRPr="007B757A">
              <w:rPr>
                <w:sz w:val="18"/>
              </w:rPr>
              <w:t xml:space="preserve">0.66 </w:t>
            </w:r>
          </w:p>
        </w:tc>
        <w:tc>
          <w:tcPr>
            <w:tcW w:w="1871" w:type="dxa"/>
          </w:tcPr>
          <w:p w14:paraId="7407E1A0" w14:textId="4B7B38C5" w:rsidR="00857FCF" w:rsidRPr="007B757A" w:rsidRDefault="00857FCF" w:rsidP="00164703">
            <w:pPr>
              <w:spacing w:before="0" w:after="0" w:line="312" w:lineRule="auto"/>
              <w:rPr>
                <w:sz w:val="18"/>
              </w:rPr>
            </w:pPr>
            <w:r w:rsidRPr="007B757A">
              <w:rPr>
                <w:sz w:val="18"/>
              </w:rPr>
              <w:t xml:space="preserve">0.06 </w:t>
            </w:r>
          </w:p>
        </w:tc>
        <w:tc>
          <w:tcPr>
            <w:tcW w:w="1871" w:type="dxa"/>
          </w:tcPr>
          <w:p w14:paraId="6D679D1A" w14:textId="5BEE9A69" w:rsidR="00857FCF" w:rsidRPr="007B757A" w:rsidRDefault="00857FCF" w:rsidP="00164703">
            <w:pPr>
              <w:spacing w:before="0" w:after="0" w:line="312" w:lineRule="auto"/>
              <w:rPr>
                <w:sz w:val="18"/>
              </w:rPr>
            </w:pPr>
            <w:r w:rsidRPr="007B757A">
              <w:rPr>
                <w:sz w:val="18"/>
              </w:rPr>
              <w:t xml:space="preserve">0.72 </w:t>
            </w:r>
          </w:p>
        </w:tc>
        <w:tc>
          <w:tcPr>
            <w:tcW w:w="1871" w:type="dxa"/>
          </w:tcPr>
          <w:p w14:paraId="3B02D087" w14:textId="6BA691CC" w:rsidR="00857FCF" w:rsidRPr="007B757A" w:rsidRDefault="00857FCF" w:rsidP="00164703">
            <w:pPr>
              <w:spacing w:before="0" w:after="0" w:line="312" w:lineRule="auto"/>
              <w:rPr>
                <w:sz w:val="18"/>
              </w:rPr>
            </w:pPr>
            <w:r w:rsidRPr="007B757A">
              <w:rPr>
                <w:sz w:val="18"/>
              </w:rPr>
              <w:t>0.09</w:t>
            </w:r>
          </w:p>
        </w:tc>
        <w:tc>
          <w:tcPr>
            <w:tcW w:w="1871" w:type="dxa"/>
            <w:vMerge/>
            <w:vAlign w:val="center"/>
          </w:tcPr>
          <w:p w14:paraId="76069C0A" w14:textId="02E57C04" w:rsidR="00857FCF" w:rsidRPr="007B757A" w:rsidRDefault="00857FCF" w:rsidP="00730492">
            <w:pPr>
              <w:spacing w:before="0" w:after="0" w:line="259" w:lineRule="auto"/>
              <w:rPr>
                <w:sz w:val="18"/>
              </w:rPr>
            </w:pPr>
          </w:p>
        </w:tc>
      </w:tr>
      <w:tr w:rsidR="00857FCF" w:rsidRPr="007B757A" w14:paraId="2149CF42" w14:textId="77777777" w:rsidTr="00D91100">
        <w:tc>
          <w:tcPr>
            <w:tcW w:w="0" w:type="auto"/>
          </w:tcPr>
          <w:p w14:paraId="20A8D1E1" w14:textId="6800F9FF" w:rsidR="00857FCF" w:rsidRPr="007B757A" w:rsidRDefault="00857FCF" w:rsidP="00164703">
            <w:pPr>
              <w:spacing w:before="0" w:after="0" w:line="312" w:lineRule="auto"/>
              <w:rPr>
                <w:sz w:val="18"/>
              </w:rPr>
            </w:pPr>
            <w:r>
              <w:rPr>
                <w:sz w:val="18"/>
              </w:rPr>
              <w:t>13</w:t>
            </w:r>
          </w:p>
        </w:tc>
        <w:tc>
          <w:tcPr>
            <w:tcW w:w="1871" w:type="dxa"/>
          </w:tcPr>
          <w:p w14:paraId="078860C2" w14:textId="1ECDC7DF" w:rsidR="00857FCF" w:rsidRPr="007B757A" w:rsidRDefault="00857FCF" w:rsidP="00164703">
            <w:pPr>
              <w:spacing w:before="0" w:after="0" w:line="312" w:lineRule="auto"/>
              <w:rPr>
                <w:sz w:val="18"/>
              </w:rPr>
            </w:pPr>
            <w:r w:rsidRPr="007B757A">
              <w:rPr>
                <w:sz w:val="18"/>
              </w:rPr>
              <w:t xml:space="preserve">0.66 </w:t>
            </w:r>
          </w:p>
        </w:tc>
        <w:tc>
          <w:tcPr>
            <w:tcW w:w="1871" w:type="dxa"/>
          </w:tcPr>
          <w:p w14:paraId="15F4B8E9" w14:textId="22259493" w:rsidR="00857FCF" w:rsidRPr="007B757A" w:rsidRDefault="00857FCF" w:rsidP="00164703">
            <w:pPr>
              <w:spacing w:before="0" w:after="0" w:line="312" w:lineRule="auto"/>
              <w:rPr>
                <w:sz w:val="18"/>
              </w:rPr>
            </w:pPr>
            <w:r w:rsidRPr="007B757A">
              <w:rPr>
                <w:sz w:val="18"/>
              </w:rPr>
              <w:t xml:space="preserve">0.05 </w:t>
            </w:r>
          </w:p>
        </w:tc>
        <w:tc>
          <w:tcPr>
            <w:tcW w:w="1871" w:type="dxa"/>
          </w:tcPr>
          <w:p w14:paraId="68669297" w14:textId="4F1EAFE5" w:rsidR="00857FCF" w:rsidRPr="007B757A" w:rsidRDefault="00857FCF" w:rsidP="00164703">
            <w:pPr>
              <w:spacing w:before="0" w:after="0" w:line="312" w:lineRule="auto"/>
              <w:rPr>
                <w:sz w:val="18"/>
              </w:rPr>
            </w:pPr>
            <w:r w:rsidRPr="007B757A">
              <w:rPr>
                <w:sz w:val="18"/>
              </w:rPr>
              <w:t xml:space="preserve">0.71 </w:t>
            </w:r>
          </w:p>
        </w:tc>
        <w:tc>
          <w:tcPr>
            <w:tcW w:w="1871" w:type="dxa"/>
          </w:tcPr>
          <w:p w14:paraId="4212A3CA" w14:textId="674ECFA3" w:rsidR="00857FCF" w:rsidRPr="007B757A" w:rsidRDefault="00857FCF" w:rsidP="00164703">
            <w:pPr>
              <w:spacing w:before="0" w:after="0" w:line="312" w:lineRule="auto"/>
              <w:rPr>
                <w:sz w:val="18"/>
              </w:rPr>
            </w:pPr>
            <w:r w:rsidRPr="007B757A">
              <w:rPr>
                <w:sz w:val="18"/>
              </w:rPr>
              <w:t>0.08</w:t>
            </w:r>
          </w:p>
        </w:tc>
        <w:tc>
          <w:tcPr>
            <w:tcW w:w="1871" w:type="dxa"/>
            <w:vMerge/>
            <w:vAlign w:val="center"/>
          </w:tcPr>
          <w:p w14:paraId="60225CAA" w14:textId="26598C96" w:rsidR="00857FCF" w:rsidRPr="007B757A" w:rsidRDefault="00857FCF" w:rsidP="00730492">
            <w:pPr>
              <w:spacing w:before="0" w:after="0" w:line="259" w:lineRule="auto"/>
              <w:rPr>
                <w:sz w:val="18"/>
              </w:rPr>
            </w:pPr>
          </w:p>
        </w:tc>
      </w:tr>
      <w:tr w:rsidR="00857FCF" w:rsidRPr="007B757A" w14:paraId="6D8E599E" w14:textId="77777777" w:rsidTr="00D91100">
        <w:tc>
          <w:tcPr>
            <w:tcW w:w="0" w:type="auto"/>
          </w:tcPr>
          <w:p w14:paraId="1EF49F9F" w14:textId="38FC30CA" w:rsidR="00857FCF" w:rsidRPr="007B757A" w:rsidRDefault="00857FCF" w:rsidP="00164703">
            <w:pPr>
              <w:spacing w:before="0" w:after="0" w:line="312" w:lineRule="auto"/>
              <w:rPr>
                <w:sz w:val="18"/>
              </w:rPr>
            </w:pPr>
            <w:r>
              <w:rPr>
                <w:sz w:val="18"/>
              </w:rPr>
              <w:t>14</w:t>
            </w:r>
          </w:p>
        </w:tc>
        <w:tc>
          <w:tcPr>
            <w:tcW w:w="1871" w:type="dxa"/>
          </w:tcPr>
          <w:p w14:paraId="299C6AAF" w14:textId="246943C8" w:rsidR="00857FCF" w:rsidRPr="007B757A" w:rsidRDefault="00857FCF" w:rsidP="00164703">
            <w:pPr>
              <w:spacing w:before="0" w:after="0" w:line="312" w:lineRule="auto"/>
              <w:rPr>
                <w:sz w:val="18"/>
              </w:rPr>
            </w:pPr>
            <w:r w:rsidRPr="007B757A">
              <w:rPr>
                <w:sz w:val="18"/>
              </w:rPr>
              <w:t xml:space="preserve">0.66 </w:t>
            </w:r>
          </w:p>
        </w:tc>
        <w:tc>
          <w:tcPr>
            <w:tcW w:w="1871" w:type="dxa"/>
          </w:tcPr>
          <w:p w14:paraId="70B57FD5" w14:textId="488799D0" w:rsidR="00857FCF" w:rsidRPr="007B757A" w:rsidRDefault="00857FCF" w:rsidP="00164703">
            <w:pPr>
              <w:spacing w:before="0" w:after="0" w:line="312" w:lineRule="auto"/>
              <w:rPr>
                <w:sz w:val="18"/>
              </w:rPr>
            </w:pPr>
            <w:r w:rsidRPr="007B757A">
              <w:rPr>
                <w:sz w:val="18"/>
              </w:rPr>
              <w:t xml:space="preserve">0.04 </w:t>
            </w:r>
          </w:p>
        </w:tc>
        <w:tc>
          <w:tcPr>
            <w:tcW w:w="1871" w:type="dxa"/>
          </w:tcPr>
          <w:p w14:paraId="7DF5FA6C" w14:textId="7E297649" w:rsidR="00857FCF" w:rsidRPr="007B757A" w:rsidRDefault="00857FCF" w:rsidP="00164703">
            <w:pPr>
              <w:spacing w:before="0" w:after="0" w:line="312" w:lineRule="auto"/>
              <w:rPr>
                <w:sz w:val="18"/>
              </w:rPr>
            </w:pPr>
            <w:r w:rsidRPr="007B757A">
              <w:rPr>
                <w:sz w:val="18"/>
              </w:rPr>
              <w:t>0.7</w:t>
            </w:r>
            <w:r w:rsidR="00CC669F">
              <w:rPr>
                <w:sz w:val="18"/>
              </w:rPr>
              <w:t>0</w:t>
            </w:r>
            <w:r w:rsidRPr="007B757A">
              <w:rPr>
                <w:sz w:val="18"/>
              </w:rPr>
              <w:t xml:space="preserve"> </w:t>
            </w:r>
          </w:p>
        </w:tc>
        <w:tc>
          <w:tcPr>
            <w:tcW w:w="1871" w:type="dxa"/>
          </w:tcPr>
          <w:p w14:paraId="6094FEBD" w14:textId="20913C7F" w:rsidR="00857FCF" w:rsidRPr="007B757A" w:rsidRDefault="00857FCF" w:rsidP="00164703">
            <w:pPr>
              <w:spacing w:before="0" w:after="0" w:line="312" w:lineRule="auto"/>
              <w:rPr>
                <w:sz w:val="18"/>
              </w:rPr>
            </w:pPr>
            <w:r w:rsidRPr="007B757A">
              <w:rPr>
                <w:sz w:val="18"/>
              </w:rPr>
              <w:t>0.06</w:t>
            </w:r>
          </w:p>
        </w:tc>
        <w:tc>
          <w:tcPr>
            <w:tcW w:w="1871" w:type="dxa"/>
            <w:vMerge/>
            <w:vAlign w:val="center"/>
          </w:tcPr>
          <w:p w14:paraId="4EFD7C17" w14:textId="73488160" w:rsidR="00857FCF" w:rsidRPr="007B757A" w:rsidRDefault="00857FCF" w:rsidP="00730492">
            <w:pPr>
              <w:spacing w:before="0" w:after="0" w:line="259" w:lineRule="auto"/>
              <w:rPr>
                <w:sz w:val="18"/>
              </w:rPr>
            </w:pPr>
          </w:p>
        </w:tc>
      </w:tr>
      <w:tr w:rsidR="00857FCF" w:rsidRPr="007B757A" w14:paraId="46BE5554" w14:textId="77777777" w:rsidTr="00D91100">
        <w:tc>
          <w:tcPr>
            <w:tcW w:w="0" w:type="auto"/>
          </w:tcPr>
          <w:p w14:paraId="0DB98F6B" w14:textId="42DC5D22" w:rsidR="00857FCF" w:rsidRPr="007B757A" w:rsidRDefault="00857FCF" w:rsidP="00164703">
            <w:pPr>
              <w:spacing w:before="0" w:after="0" w:line="312" w:lineRule="auto"/>
              <w:rPr>
                <w:sz w:val="18"/>
              </w:rPr>
            </w:pPr>
            <w:r>
              <w:rPr>
                <w:sz w:val="18"/>
              </w:rPr>
              <w:t>15</w:t>
            </w:r>
          </w:p>
        </w:tc>
        <w:tc>
          <w:tcPr>
            <w:tcW w:w="1871" w:type="dxa"/>
          </w:tcPr>
          <w:p w14:paraId="22BFA6A8" w14:textId="755A0E85" w:rsidR="00857FCF" w:rsidRPr="007B757A" w:rsidRDefault="00857FCF" w:rsidP="00164703">
            <w:pPr>
              <w:spacing w:before="0" w:after="0" w:line="312" w:lineRule="auto"/>
              <w:rPr>
                <w:sz w:val="18"/>
              </w:rPr>
            </w:pPr>
            <w:r w:rsidRPr="007B757A">
              <w:rPr>
                <w:sz w:val="18"/>
              </w:rPr>
              <w:t xml:space="preserve">0.66 </w:t>
            </w:r>
          </w:p>
        </w:tc>
        <w:tc>
          <w:tcPr>
            <w:tcW w:w="1871" w:type="dxa"/>
          </w:tcPr>
          <w:p w14:paraId="2D694A02" w14:textId="4B1DEA5A" w:rsidR="00857FCF" w:rsidRPr="007B757A" w:rsidRDefault="00857FCF" w:rsidP="00164703">
            <w:pPr>
              <w:spacing w:before="0" w:after="0" w:line="312" w:lineRule="auto"/>
              <w:rPr>
                <w:sz w:val="18"/>
              </w:rPr>
            </w:pPr>
            <w:r w:rsidRPr="007B757A">
              <w:rPr>
                <w:sz w:val="18"/>
              </w:rPr>
              <w:t>0.03</w:t>
            </w:r>
          </w:p>
        </w:tc>
        <w:tc>
          <w:tcPr>
            <w:tcW w:w="1871" w:type="dxa"/>
          </w:tcPr>
          <w:p w14:paraId="3B48F370" w14:textId="65E28B29" w:rsidR="00857FCF" w:rsidRPr="007B757A" w:rsidRDefault="00857FCF" w:rsidP="00164703">
            <w:pPr>
              <w:spacing w:before="0" w:after="0" w:line="312" w:lineRule="auto"/>
              <w:rPr>
                <w:sz w:val="18"/>
              </w:rPr>
            </w:pPr>
            <w:r w:rsidRPr="007B757A">
              <w:rPr>
                <w:sz w:val="18"/>
              </w:rPr>
              <w:t>0.69</w:t>
            </w:r>
          </w:p>
        </w:tc>
        <w:tc>
          <w:tcPr>
            <w:tcW w:w="1871" w:type="dxa"/>
          </w:tcPr>
          <w:p w14:paraId="78AFD8D0" w14:textId="1C59C380" w:rsidR="00857FCF" w:rsidRPr="007B757A" w:rsidRDefault="00857FCF" w:rsidP="00164703">
            <w:pPr>
              <w:spacing w:before="0" w:after="0" w:line="312" w:lineRule="auto"/>
              <w:rPr>
                <w:sz w:val="18"/>
              </w:rPr>
            </w:pPr>
            <w:r w:rsidRPr="007B757A">
              <w:rPr>
                <w:sz w:val="18"/>
              </w:rPr>
              <w:t>0.05</w:t>
            </w:r>
          </w:p>
        </w:tc>
        <w:tc>
          <w:tcPr>
            <w:tcW w:w="1871" w:type="dxa"/>
            <w:vMerge/>
            <w:vAlign w:val="center"/>
          </w:tcPr>
          <w:p w14:paraId="0D1DAE8F" w14:textId="55E4BAAB" w:rsidR="00857FCF" w:rsidRPr="007B757A" w:rsidRDefault="00857FCF" w:rsidP="00730492">
            <w:pPr>
              <w:spacing w:before="0" w:after="0" w:line="259" w:lineRule="auto"/>
              <w:rPr>
                <w:sz w:val="18"/>
              </w:rPr>
            </w:pPr>
          </w:p>
        </w:tc>
      </w:tr>
      <w:tr w:rsidR="00857FCF" w:rsidRPr="007B757A" w14:paraId="61129016" w14:textId="77777777" w:rsidTr="00D91100">
        <w:tc>
          <w:tcPr>
            <w:tcW w:w="0" w:type="auto"/>
          </w:tcPr>
          <w:p w14:paraId="086F89A9" w14:textId="65170EB8" w:rsidR="00857FCF" w:rsidRPr="007B757A" w:rsidRDefault="00857FCF" w:rsidP="00164703">
            <w:pPr>
              <w:spacing w:before="0" w:after="0" w:line="312" w:lineRule="auto"/>
              <w:rPr>
                <w:sz w:val="18"/>
              </w:rPr>
            </w:pPr>
            <w:r>
              <w:rPr>
                <w:sz w:val="18"/>
              </w:rPr>
              <w:t>16</w:t>
            </w:r>
          </w:p>
        </w:tc>
        <w:tc>
          <w:tcPr>
            <w:tcW w:w="1871" w:type="dxa"/>
          </w:tcPr>
          <w:p w14:paraId="3A00DB62" w14:textId="1AEC045F" w:rsidR="00857FCF" w:rsidRPr="007B757A" w:rsidRDefault="00857FCF" w:rsidP="00164703">
            <w:pPr>
              <w:spacing w:before="0" w:after="0" w:line="312" w:lineRule="auto"/>
              <w:rPr>
                <w:sz w:val="18"/>
              </w:rPr>
            </w:pPr>
            <w:r w:rsidRPr="007B757A">
              <w:rPr>
                <w:sz w:val="18"/>
              </w:rPr>
              <w:t xml:space="preserve">0.66 </w:t>
            </w:r>
          </w:p>
        </w:tc>
        <w:tc>
          <w:tcPr>
            <w:tcW w:w="1871" w:type="dxa"/>
          </w:tcPr>
          <w:p w14:paraId="4DED00EA" w14:textId="39597775" w:rsidR="00857FCF" w:rsidRPr="007B757A" w:rsidRDefault="00857FCF" w:rsidP="00164703">
            <w:pPr>
              <w:spacing w:before="0" w:after="0" w:line="312" w:lineRule="auto"/>
              <w:rPr>
                <w:sz w:val="18"/>
              </w:rPr>
            </w:pPr>
            <w:r w:rsidRPr="007B757A">
              <w:rPr>
                <w:sz w:val="18"/>
              </w:rPr>
              <w:t>0.02</w:t>
            </w:r>
          </w:p>
        </w:tc>
        <w:tc>
          <w:tcPr>
            <w:tcW w:w="1871" w:type="dxa"/>
          </w:tcPr>
          <w:p w14:paraId="1848E155" w14:textId="1CB52D47" w:rsidR="00857FCF" w:rsidRPr="007B757A" w:rsidRDefault="00857FCF" w:rsidP="00164703">
            <w:pPr>
              <w:spacing w:before="0" w:after="0" w:line="312" w:lineRule="auto"/>
              <w:rPr>
                <w:sz w:val="18"/>
              </w:rPr>
            </w:pPr>
            <w:r w:rsidRPr="007B757A">
              <w:rPr>
                <w:sz w:val="18"/>
              </w:rPr>
              <w:t>0.68</w:t>
            </w:r>
          </w:p>
        </w:tc>
        <w:tc>
          <w:tcPr>
            <w:tcW w:w="1871" w:type="dxa"/>
          </w:tcPr>
          <w:p w14:paraId="3EF948EE" w14:textId="20AEB0DC" w:rsidR="00857FCF" w:rsidRPr="007B757A" w:rsidRDefault="00857FCF" w:rsidP="00164703">
            <w:pPr>
              <w:spacing w:before="0" w:after="0" w:line="312" w:lineRule="auto"/>
              <w:rPr>
                <w:sz w:val="18"/>
              </w:rPr>
            </w:pPr>
            <w:r w:rsidRPr="007B757A">
              <w:rPr>
                <w:sz w:val="18"/>
              </w:rPr>
              <w:t>0.03</w:t>
            </w:r>
          </w:p>
        </w:tc>
        <w:tc>
          <w:tcPr>
            <w:tcW w:w="1871" w:type="dxa"/>
            <w:vMerge/>
            <w:vAlign w:val="center"/>
          </w:tcPr>
          <w:p w14:paraId="7C6F9E23" w14:textId="77777777" w:rsidR="00857FCF" w:rsidRPr="007B757A" w:rsidRDefault="00857FCF" w:rsidP="00730492">
            <w:pPr>
              <w:spacing w:before="0" w:after="0" w:line="259" w:lineRule="auto"/>
              <w:rPr>
                <w:sz w:val="18"/>
              </w:rPr>
            </w:pPr>
          </w:p>
        </w:tc>
      </w:tr>
      <w:tr w:rsidR="00857FCF" w:rsidRPr="007B757A" w14:paraId="5F63061E" w14:textId="77777777" w:rsidTr="00D91100">
        <w:tc>
          <w:tcPr>
            <w:tcW w:w="0" w:type="auto"/>
          </w:tcPr>
          <w:p w14:paraId="1DED724E" w14:textId="56E5A2A5" w:rsidR="00857FCF" w:rsidRPr="007B757A" w:rsidRDefault="00857FCF" w:rsidP="00164703">
            <w:pPr>
              <w:spacing w:before="0" w:after="0" w:line="312" w:lineRule="auto"/>
              <w:rPr>
                <w:sz w:val="18"/>
              </w:rPr>
            </w:pPr>
            <w:r>
              <w:rPr>
                <w:sz w:val="18"/>
              </w:rPr>
              <w:t>17</w:t>
            </w:r>
          </w:p>
        </w:tc>
        <w:tc>
          <w:tcPr>
            <w:tcW w:w="1871" w:type="dxa"/>
          </w:tcPr>
          <w:p w14:paraId="3946EF01" w14:textId="6B707452" w:rsidR="00857FCF" w:rsidRPr="007B757A" w:rsidRDefault="00857FCF" w:rsidP="00164703">
            <w:pPr>
              <w:spacing w:before="0" w:after="0" w:line="312" w:lineRule="auto"/>
              <w:rPr>
                <w:sz w:val="18"/>
              </w:rPr>
            </w:pPr>
            <w:r w:rsidRPr="007B757A">
              <w:rPr>
                <w:sz w:val="18"/>
              </w:rPr>
              <w:t xml:space="preserve">0.66 </w:t>
            </w:r>
          </w:p>
        </w:tc>
        <w:tc>
          <w:tcPr>
            <w:tcW w:w="1871" w:type="dxa"/>
          </w:tcPr>
          <w:p w14:paraId="714BDCF1" w14:textId="37930555" w:rsidR="00857FCF" w:rsidRPr="007B757A" w:rsidRDefault="00857FCF" w:rsidP="00164703">
            <w:pPr>
              <w:spacing w:before="0" w:after="0" w:line="312" w:lineRule="auto"/>
              <w:rPr>
                <w:sz w:val="18"/>
              </w:rPr>
            </w:pPr>
            <w:r w:rsidRPr="007B757A">
              <w:rPr>
                <w:sz w:val="18"/>
              </w:rPr>
              <w:t>0.01</w:t>
            </w:r>
          </w:p>
        </w:tc>
        <w:tc>
          <w:tcPr>
            <w:tcW w:w="1871" w:type="dxa"/>
          </w:tcPr>
          <w:p w14:paraId="0667F2C1" w14:textId="71A27AF7" w:rsidR="00857FCF" w:rsidRPr="007B757A" w:rsidRDefault="00857FCF" w:rsidP="00164703">
            <w:pPr>
              <w:spacing w:before="0" w:after="0" w:line="312" w:lineRule="auto"/>
              <w:rPr>
                <w:sz w:val="18"/>
              </w:rPr>
            </w:pPr>
            <w:r w:rsidRPr="007B757A">
              <w:rPr>
                <w:sz w:val="18"/>
              </w:rPr>
              <w:t>0.67</w:t>
            </w:r>
          </w:p>
        </w:tc>
        <w:tc>
          <w:tcPr>
            <w:tcW w:w="1871" w:type="dxa"/>
          </w:tcPr>
          <w:p w14:paraId="5CD88A7D" w14:textId="6767215A" w:rsidR="00857FCF" w:rsidRPr="007B757A" w:rsidRDefault="00857FCF" w:rsidP="00164703">
            <w:pPr>
              <w:spacing w:before="0" w:after="0" w:line="312" w:lineRule="auto"/>
              <w:rPr>
                <w:sz w:val="18"/>
              </w:rPr>
            </w:pPr>
            <w:r w:rsidRPr="007B757A">
              <w:rPr>
                <w:sz w:val="18"/>
              </w:rPr>
              <w:t>0.02</w:t>
            </w:r>
          </w:p>
        </w:tc>
        <w:tc>
          <w:tcPr>
            <w:tcW w:w="1871" w:type="dxa"/>
            <w:vMerge/>
            <w:vAlign w:val="center"/>
          </w:tcPr>
          <w:p w14:paraId="7A45B5F9" w14:textId="77777777" w:rsidR="00857FCF" w:rsidRPr="007B757A" w:rsidRDefault="00857FCF" w:rsidP="00730492">
            <w:pPr>
              <w:spacing w:before="0" w:after="0" w:line="259" w:lineRule="auto"/>
              <w:rPr>
                <w:sz w:val="18"/>
              </w:rPr>
            </w:pPr>
          </w:p>
        </w:tc>
      </w:tr>
    </w:tbl>
    <w:p w14:paraId="55998493" w14:textId="77777777" w:rsidR="00327F02" w:rsidRPr="00F67233" w:rsidRDefault="00327F02" w:rsidP="00F67233">
      <w:pPr>
        <w:spacing w:before="0" w:after="0" w:line="259" w:lineRule="auto"/>
        <w:rPr>
          <w:sz w:val="18"/>
        </w:rPr>
      </w:pPr>
      <w:proofErr w:type="spellStart"/>
      <w:r w:rsidRPr="00F67233">
        <w:rPr>
          <w:sz w:val="18"/>
        </w:rPr>
        <w:t>mo</w:t>
      </w:r>
      <w:proofErr w:type="spellEnd"/>
      <w:r w:rsidRPr="00F67233">
        <w:rPr>
          <w:sz w:val="18"/>
        </w:rPr>
        <w:t>, months; yrs, years</w:t>
      </w:r>
    </w:p>
    <w:p w14:paraId="7D7FE01A" w14:textId="30BEE331" w:rsidR="00327F02" w:rsidRPr="00F67233" w:rsidRDefault="00327F02" w:rsidP="00F67233">
      <w:pPr>
        <w:spacing w:before="0" w:after="0" w:line="259" w:lineRule="auto"/>
        <w:rPr>
          <w:sz w:val="18"/>
        </w:rPr>
      </w:pPr>
      <w:r w:rsidRPr="00F67233">
        <w:rPr>
          <w:sz w:val="18"/>
        </w:rPr>
        <w:t>(a):</w:t>
      </w:r>
      <w:r w:rsidR="00B9317E">
        <w:rPr>
          <w:sz w:val="18"/>
        </w:rPr>
        <w:t xml:space="preserve"> </w:t>
      </w:r>
      <w:r w:rsidR="00537E7A">
        <w:rPr>
          <w:sz w:val="18"/>
        </w:rPr>
        <w:t xml:space="preserve">Data sources - </w:t>
      </w:r>
      <w:r w:rsidR="00537E7A">
        <w:rPr>
          <w:sz w:val="18"/>
        </w:rPr>
        <w:fldChar w:fldCharType="begin">
          <w:fldData xml:space="preserve">PEVuZE5vdGU+PENpdGU+PEF1dGhvcj5OQVNFTTwvQXV0aG9yPjxZZWFyPjIwMTg8L1llYXI+PFJl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</w:fldData>
        </w:fldChar>
      </w:r>
      <w:r w:rsidR="00537E7A">
        <w:rPr>
          <w:sz w:val="18"/>
        </w:rPr>
        <w:instrText xml:space="preserve"> ADDIN EN.CITE </w:instrText>
      </w:r>
      <w:r w:rsidR="00537E7A">
        <w:rPr>
          <w:sz w:val="18"/>
        </w:rPr>
        <w:fldChar w:fldCharType="begin">
          <w:fldData xml:space="preserve">PEVuZE5vdGU+PENpdGU+PEF1dGhvcj5OQVNFTTwvQXV0aG9yPjxZZWFyPjIwMTg8L1llYXI+PFJl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</w:fldData>
        </w:fldChar>
      </w:r>
      <w:r w:rsidR="00537E7A">
        <w:rPr>
          <w:sz w:val="18"/>
        </w:rPr>
        <w:instrText xml:space="preserve"> ADDIN EN.CITE.DATA </w:instrText>
      </w:r>
      <w:r w:rsidR="00537E7A">
        <w:rPr>
          <w:sz w:val="18"/>
        </w:rPr>
      </w:r>
      <w:r w:rsidR="00537E7A">
        <w:rPr>
          <w:sz w:val="18"/>
        </w:rPr>
        <w:fldChar w:fldCharType="end"/>
      </w:r>
      <w:r w:rsidR="00537E7A">
        <w:rPr>
          <w:sz w:val="18"/>
        </w:rPr>
      </w:r>
      <w:r w:rsidR="00537E7A">
        <w:rPr>
          <w:sz w:val="18"/>
        </w:rPr>
        <w:fldChar w:fldCharType="separate"/>
      </w:r>
      <w:r w:rsidR="00537E7A">
        <w:rPr>
          <w:noProof/>
          <w:sz w:val="18"/>
        </w:rPr>
        <w:t xml:space="preserve">(EFSA Panel on Dietetic Products Nutrition </w:t>
      </w:r>
      <w:r w:rsidR="00FD5765">
        <w:rPr>
          <w:noProof/>
          <w:sz w:val="18"/>
        </w:rPr>
        <w:t xml:space="preserve">and </w:t>
      </w:r>
      <w:r w:rsidR="00537E7A">
        <w:rPr>
          <w:noProof/>
          <w:sz w:val="18"/>
        </w:rPr>
        <w:t>Allergies 2012; NASEM 2018)</w:t>
      </w:r>
      <w:r w:rsidR="00537E7A">
        <w:rPr>
          <w:sz w:val="18"/>
        </w:rPr>
        <w:fldChar w:fldCharType="end"/>
      </w:r>
      <w:r w:rsidRPr="00F67233">
        <w:rPr>
          <w:sz w:val="18"/>
        </w:rPr>
        <w:t>.</w:t>
      </w:r>
    </w:p>
    <w:p w14:paraId="2DC54A72" w14:textId="77777777" w:rsidR="00327F02" w:rsidRDefault="00327F02" w:rsidP="00F67233">
      <w:pPr>
        <w:spacing w:before="0" w:after="0" w:line="259" w:lineRule="auto"/>
        <w:rPr>
          <w:sz w:val="18"/>
        </w:rPr>
      </w:pPr>
      <w:r w:rsidRPr="00F67233">
        <w:rPr>
          <w:sz w:val="18"/>
        </w:rPr>
        <w:lastRenderedPageBreak/>
        <w:t>(b): The value for each age group corresponds to the mean of values for the years included.</w:t>
      </w:r>
    </w:p>
    <w:p w14:paraId="5C40AAA4" w14:textId="5FCA091B" w:rsidR="003B2EC8" w:rsidRDefault="003B2EC8" w:rsidP="003E2E95">
      <w:pPr>
        <w:pStyle w:val="Heading3-Appendix"/>
      </w:pPr>
      <w:bookmarkStart w:id="296" w:name="_Toc153967166"/>
      <w:bookmarkStart w:id="297" w:name="_Ref194582449"/>
      <w:bookmarkStart w:id="298" w:name="_Ref197344850"/>
      <w:bookmarkStart w:id="299" w:name="_Ref206405196"/>
      <w:bookmarkStart w:id="300" w:name="_Toc207801128"/>
      <w:bookmarkStart w:id="301" w:name="_Toc207824598"/>
      <w:r w:rsidRPr="00A17B89">
        <w:t>A</w:t>
      </w:r>
      <w:r w:rsidR="009220A9" w:rsidRPr="00A17B89">
        <w:t>ssessment</w:t>
      </w:r>
      <w:r w:rsidR="009220A9">
        <w:t xml:space="preserve"> criteria</w:t>
      </w:r>
      <w:r w:rsidR="00767AF5">
        <w:t xml:space="preserve"> for a</w:t>
      </w:r>
      <w:r>
        <w:t>d</w:t>
      </w:r>
      <w:r w:rsidR="00767AF5">
        <w:t>opting or ad</w:t>
      </w:r>
      <w:r>
        <w:t>apting</w:t>
      </w:r>
      <w:r w:rsidR="003A5888">
        <w:t xml:space="preserve"> an NRV from other</w:t>
      </w:r>
      <w:r w:rsidR="00E477D4">
        <w:t xml:space="preserve"> </w:t>
      </w:r>
      <w:r w:rsidR="008B5194">
        <w:t>jurisdictions</w:t>
      </w:r>
      <w:bookmarkEnd w:id="296"/>
      <w:bookmarkEnd w:id="297"/>
      <w:bookmarkEnd w:id="298"/>
      <w:bookmarkEnd w:id="299"/>
      <w:bookmarkEnd w:id="300"/>
      <w:bookmarkEnd w:id="301"/>
      <w:r w:rsidR="0007245D">
        <w:t xml:space="preserve"> </w:t>
      </w:r>
    </w:p>
    <w:p w14:paraId="7ADAA7B6" w14:textId="3AA287D6" w:rsidR="00F621DF" w:rsidRPr="00693009" w:rsidRDefault="00E766D0" w:rsidP="00F621DF">
      <w:pPr>
        <w:spacing w:before="240" w:after="40"/>
        <w:rPr>
          <w:lang w:eastAsia="en-US"/>
        </w:rPr>
      </w:pPr>
      <w:r>
        <w:rPr>
          <w:szCs w:val="20"/>
          <w:lang w:eastAsia="en-US"/>
        </w:rPr>
        <w:t>The</w:t>
      </w:r>
      <w:r w:rsidR="001D6260">
        <w:rPr>
          <w:szCs w:val="20"/>
          <w:lang w:eastAsia="en-US"/>
        </w:rPr>
        <w:t xml:space="preserve"> a</w:t>
      </w:r>
      <w:r w:rsidR="00F621DF" w:rsidRPr="00693009">
        <w:rPr>
          <w:szCs w:val="20"/>
          <w:lang w:eastAsia="en-US"/>
        </w:rPr>
        <w:t xml:space="preserve">dministrative and technical criteria for assessing </w:t>
      </w:r>
      <w:r w:rsidR="005C323A">
        <w:rPr>
          <w:szCs w:val="20"/>
          <w:lang w:eastAsia="en-US"/>
        </w:rPr>
        <w:t>preliminary</w:t>
      </w:r>
      <w:r w:rsidR="005C323A" w:rsidRPr="00693009">
        <w:rPr>
          <w:szCs w:val="20"/>
          <w:lang w:eastAsia="en-US"/>
        </w:rPr>
        <w:t xml:space="preserve"> </w:t>
      </w:r>
      <w:r w:rsidR="00F621DF" w:rsidRPr="00693009">
        <w:rPr>
          <w:szCs w:val="20"/>
          <w:lang w:eastAsia="en-US"/>
        </w:rPr>
        <w:t>suitability of existing nutrient reference values</w:t>
      </w:r>
      <w:r>
        <w:rPr>
          <w:szCs w:val="20"/>
          <w:lang w:eastAsia="en-US"/>
        </w:rPr>
        <w:t xml:space="preserve"> are outlined below</w:t>
      </w:r>
      <w:r w:rsidR="00F621DF" w:rsidRPr="00693009">
        <w:rPr>
          <w:szCs w:val="20"/>
          <w:lang w:eastAsia="en-US"/>
        </w:rPr>
        <w:t xml:space="preserve">. </w:t>
      </w:r>
      <w:r w:rsidR="001C7DCC">
        <w:rPr>
          <w:szCs w:val="20"/>
          <w:lang w:eastAsia="en-US"/>
        </w:rPr>
        <w:t>These c</w:t>
      </w:r>
      <w:r w:rsidR="00F05281">
        <w:rPr>
          <w:szCs w:val="20"/>
          <w:lang w:eastAsia="en-US"/>
        </w:rPr>
        <w:t xml:space="preserve">riteria </w:t>
      </w:r>
      <w:r w:rsidR="00F74A1C">
        <w:rPr>
          <w:szCs w:val="20"/>
          <w:lang w:eastAsia="en-US"/>
        </w:rPr>
        <w:t xml:space="preserve">have been informed by </w:t>
      </w:r>
      <w:r w:rsidR="007F324F">
        <w:rPr>
          <w:lang w:eastAsia="en-US"/>
        </w:rPr>
        <w:t>NHMRC’s</w:t>
      </w:r>
      <w:r w:rsidR="00881584">
        <w:rPr>
          <w:lang w:eastAsia="en-US"/>
        </w:rPr>
        <w:t xml:space="preserve"> Guidelines for Guidelines</w:t>
      </w:r>
      <w:r w:rsidR="003626D1">
        <w:rPr>
          <w:lang w:eastAsia="en-US"/>
        </w:rPr>
        <w:t>: Adopt, adapt or start from scratch</w:t>
      </w:r>
      <w:r w:rsidR="00602B71">
        <w:rPr>
          <w:lang w:eastAsia="en-US"/>
        </w:rPr>
        <w:t xml:space="preserve"> </w:t>
      </w:r>
      <w:r w:rsidR="00602B71">
        <w:rPr>
          <w:lang w:eastAsia="en-US"/>
        </w:rPr>
        <w:fldChar w:fldCharType="begin"/>
      </w:r>
      <w:r w:rsidR="00602B71">
        <w:rPr>
          <w:lang w:eastAsia="en-US"/>
        </w:rPr>
        <w:instrText xml:space="preserve"> ADDIN EN.CITE &lt;EndNote&gt;&lt;Cite&gt;&lt;Author&gt;NHMRC&lt;/Author&gt;&lt;Year&gt;2018&lt;/Year&gt;&lt;RecNum&gt;49&lt;/RecNum&gt;&lt;DisplayText&gt;(NHMRC 2018)&lt;/DisplayText&gt;&lt;record&gt;&lt;rec-number&gt;49&lt;/rec-number&gt;&lt;foreign-keys&gt;&lt;key app="EN" db-id="zxfaevvrgpsxebez5ec5vspfe2av5dtxt9xx" timestamp="1754957726"&gt;49&lt;/key&gt;&lt;/foreign-keys&gt;&lt;ref-type name="Electronic Book"&gt;44&lt;/ref-type&gt;&lt;contributors&gt;&lt;authors&gt;&lt;author&gt;NHMRC,&lt;/author&gt;&lt;/authors&gt;&lt;/contributors&gt;&lt;titles&gt;&lt;title&gt;Guidelines for Guidelines: Adopt, adapt or start from scratch&lt;/title&gt;&lt;/titles&gt;&lt;dates&gt;&lt;year&gt;2018&lt;/year&gt;&lt;pub-dates&gt;&lt;date&gt;13 August 2025&lt;/date&gt;&lt;/pub-dates&gt;&lt;/dates&gt;&lt;pub-location&gt;Canberra&lt;/pub-location&gt;&lt;urls&gt;&lt;related-urls&gt;&lt;url&gt;date accessed 13 August 2025 https://www.nhmrc.gov.au/guidelinesforguidelines/plan/adopt-adapt-or-start-scratch&lt;/url&gt;&lt;/related-urls&gt;&lt;/urls&gt;&lt;/record&gt;&lt;/Cite&gt;&lt;/EndNote&gt;</w:instrText>
      </w:r>
      <w:r w:rsidR="00602B71">
        <w:rPr>
          <w:lang w:eastAsia="en-US"/>
        </w:rPr>
        <w:fldChar w:fldCharType="separate"/>
      </w:r>
      <w:r w:rsidR="00602B71">
        <w:rPr>
          <w:lang w:eastAsia="en-US"/>
        </w:rPr>
        <w:t>(NHMRC 2018)</w:t>
      </w:r>
      <w:r w:rsidR="00602B71">
        <w:rPr>
          <w:lang w:eastAsia="en-US"/>
        </w:rPr>
        <w:fldChar w:fldCharType="end"/>
      </w:r>
      <w:r w:rsidR="00602B71">
        <w:rPr>
          <w:lang w:eastAsia="en-US"/>
        </w:rPr>
        <w:t xml:space="preserve">, </w:t>
      </w:r>
      <w:r w:rsidR="003E4CBF">
        <w:rPr>
          <w:lang w:eastAsia="en-US"/>
        </w:rPr>
        <w:t>GRADE</w:t>
      </w:r>
      <w:r w:rsidR="00F95003">
        <w:rPr>
          <w:lang w:eastAsia="en-US"/>
        </w:rPr>
        <w:t xml:space="preserve">-ADOLOPMENT </w:t>
      </w:r>
      <w:r w:rsidR="00F95003">
        <w:rPr>
          <w:lang w:eastAsia="en-US"/>
        </w:rPr>
        <w:fldChar w:fldCharType="begin">
          <w:fldData xml:space="preserve">PEVuZE5vdGU+PENpdGU+PEF1dGhvcj5LbHVnYXI8L0F1dGhvcj48WWVhcj4yMDI0PC9ZZWFyPjxS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==
</w:fldData>
        </w:fldChar>
      </w:r>
      <w:r w:rsidR="00F95003">
        <w:rPr>
          <w:lang w:eastAsia="en-US"/>
        </w:rPr>
        <w:instrText xml:space="preserve"> ADDIN EN.CITE </w:instrText>
      </w:r>
      <w:r w:rsidR="00F95003">
        <w:rPr>
          <w:lang w:eastAsia="en-US"/>
        </w:rPr>
        <w:fldChar w:fldCharType="begin">
          <w:fldData xml:space="preserve">PEVuZE5vdGU+PENpdGU+PEF1dGhvcj5LbHVnYXI8L0F1dGhvcj48WWVhcj4yMDI0PC9ZZWFyPjxS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==
</w:fldData>
        </w:fldChar>
      </w:r>
      <w:r w:rsidR="00F95003">
        <w:rPr>
          <w:lang w:eastAsia="en-US"/>
        </w:rPr>
        <w:instrText xml:space="preserve"> ADDIN EN.CITE.DATA </w:instrText>
      </w:r>
      <w:r w:rsidR="00F95003">
        <w:rPr>
          <w:lang w:eastAsia="en-US"/>
        </w:rPr>
      </w:r>
      <w:r w:rsidR="00F95003">
        <w:rPr>
          <w:lang w:eastAsia="en-US"/>
        </w:rPr>
        <w:fldChar w:fldCharType="end"/>
      </w:r>
      <w:r w:rsidR="00F95003">
        <w:rPr>
          <w:lang w:eastAsia="en-US"/>
        </w:rPr>
      </w:r>
      <w:r w:rsidR="00F95003">
        <w:rPr>
          <w:lang w:eastAsia="en-US"/>
        </w:rPr>
        <w:fldChar w:fldCharType="separate"/>
      </w:r>
      <w:r w:rsidR="00F95003">
        <w:rPr>
          <w:noProof/>
          <w:lang w:eastAsia="en-US"/>
        </w:rPr>
        <w:t>(Klugar et al. 2024)</w:t>
      </w:r>
      <w:r w:rsidR="00F95003">
        <w:rPr>
          <w:lang w:eastAsia="en-US"/>
        </w:rPr>
        <w:fldChar w:fldCharType="end"/>
      </w:r>
      <w:r w:rsidR="00964D8D">
        <w:rPr>
          <w:lang w:eastAsia="en-US"/>
        </w:rPr>
        <w:t xml:space="preserve">, and </w:t>
      </w:r>
      <w:r w:rsidR="0012529A">
        <w:rPr>
          <w:szCs w:val="20"/>
          <w:lang w:eastAsia="en-US"/>
        </w:rPr>
        <w:t>t</w:t>
      </w:r>
      <w:r w:rsidR="00F74A1C">
        <w:rPr>
          <w:szCs w:val="20"/>
          <w:lang w:eastAsia="en-US"/>
        </w:rPr>
        <w:t>he</w:t>
      </w:r>
      <w:r w:rsidR="00F74A1C">
        <w:rPr>
          <w:lang w:eastAsia="en-US"/>
        </w:rPr>
        <w:t xml:space="preserve"> ADAPTE process </w:t>
      </w:r>
      <w:r w:rsidR="007F324F">
        <w:rPr>
          <w:lang w:eastAsia="en-US"/>
        </w:rPr>
        <w:fldChar w:fldCharType="begin"/>
      </w:r>
      <w:r w:rsidR="007F324F">
        <w:rPr>
          <w:szCs w:val="20"/>
          <w:lang w:eastAsia="en-US"/>
        </w:rPr>
        <w:instrText xml:space="preserve"> ADDIN EN.CITE &lt;EndNote&gt;&lt;Cite&gt;&lt;Author&gt;The ADAPTE Collaboration&lt;/Author&gt;&lt;Year&gt;2009&lt;/Year&gt;&lt;RecNum&gt;98&lt;/RecNum&gt;&lt;DisplayText&gt;(The ADAPTE Collaboration 2009)&lt;/DisplayText&gt;&lt;record&gt;&lt;rec-number&gt;98&lt;/rec-number&gt;&lt;foreign-keys&gt;&lt;key app="EN" db-id="zxfaevvrgpsxebez5ec5vspfe2av5dtxt9xx" timestamp="1754959384"&gt;98&lt;/key&gt;&lt;/foreign-keys&gt;&lt;ref-type name="Electronic Book"&gt;44&lt;/ref-type&gt;&lt;contributors&gt;&lt;authors&gt;&lt;author&gt;The ADAPTE Collaboration,&lt;/author&gt;&lt;/authors&gt;&lt;/contributors&gt;&lt;titles&gt;&lt;title&gt;The ADAPTE process: Resource toolkit for Guidelines Adaptation. Version 2.0.&lt;/title&gt;&lt;/titles&gt;&lt;dates&gt;&lt;year&gt;2009&lt;/year&gt;&lt;/dates&gt;&lt;urls&gt;&lt;related-urls&gt;&lt;url&gt;date accessed 13 August 2025 http://www.g-i-n.net&lt;/url&gt;&lt;/related-urls&gt;&lt;/urls&gt;&lt;/record&gt;&lt;/Cite&gt;&lt;/EndNote&gt;</w:instrText>
      </w:r>
      <w:r w:rsidR="007F324F">
        <w:rPr>
          <w:lang w:eastAsia="en-US"/>
        </w:rPr>
        <w:fldChar w:fldCharType="separate"/>
      </w:r>
      <w:r w:rsidR="007F324F">
        <w:rPr>
          <w:noProof/>
          <w:szCs w:val="20"/>
          <w:lang w:eastAsia="en-US"/>
        </w:rPr>
        <w:t>(The ADAPTE Collaboration 2009)</w:t>
      </w:r>
      <w:r w:rsidR="007F324F">
        <w:rPr>
          <w:lang w:eastAsia="en-US"/>
        </w:rPr>
        <w:fldChar w:fldCharType="end"/>
      </w:r>
      <w:r w:rsidR="00964D8D">
        <w:rPr>
          <w:lang w:eastAsia="en-US"/>
        </w:rPr>
        <w:t>.</w:t>
      </w:r>
      <w:r w:rsidR="00F05281">
        <w:rPr>
          <w:lang w:eastAsia="en-US"/>
        </w:rPr>
        <w:t xml:space="preserve"> </w:t>
      </w:r>
      <w:r w:rsidR="00F621DF" w:rsidRPr="00693009">
        <w:rPr>
          <w:lang w:eastAsia="en-US"/>
        </w:rPr>
        <w:t xml:space="preserve">International organisations whose processes have been assessed previously include EFSA, WHO, US NASEM, Germany-Austria-Switzerland D-A-CH. National reviews for chemical risk assessments from AVPMA and FSANZ may also be relevant. Reviews from other organisations could also be considered if their processes are consistent with NHMRC Standards for Guidelines.  </w:t>
      </w:r>
    </w:p>
    <w:p w14:paraId="07561BBD" w14:textId="2CD79606" w:rsidR="00F96A14" w:rsidRDefault="00D7495D" w:rsidP="00D7495D">
      <w:pPr>
        <w:spacing w:before="240" w:after="40"/>
        <w:rPr>
          <w:szCs w:val="20"/>
          <w:lang w:eastAsia="en-US"/>
        </w:rPr>
      </w:pPr>
      <w:r w:rsidRPr="00693009">
        <w:rPr>
          <w:szCs w:val="20"/>
          <w:lang w:eastAsia="en-US"/>
        </w:rPr>
        <w:t xml:space="preserve">The systematic literature review and evaluation should meet many of the criteria outlined in Table </w:t>
      </w:r>
      <w:r w:rsidR="00025ABC">
        <w:rPr>
          <w:szCs w:val="20"/>
          <w:lang w:eastAsia="en-US"/>
        </w:rPr>
        <w:t>-</w:t>
      </w:r>
      <w:r w:rsidRPr="00693009">
        <w:rPr>
          <w:szCs w:val="20"/>
          <w:lang w:eastAsia="en-US"/>
        </w:rPr>
        <w:t xml:space="preserve"> </w:t>
      </w:r>
      <w:r w:rsidR="00025ABC" w:rsidRPr="00025ABC">
        <w:rPr>
          <w:szCs w:val="20"/>
          <w:lang w:eastAsia="en-US"/>
        </w:rPr>
        <w:t>Administrative and technical criteria for assessing the suitability of existing nutrient reference values</w:t>
      </w:r>
      <w:r w:rsidRPr="00693009">
        <w:rPr>
          <w:szCs w:val="20"/>
          <w:lang w:eastAsia="en-US"/>
        </w:rPr>
        <w:t xml:space="preserve">. Literature search details (databases searched, search terms, date range, exclusion criteria, etc), exposure parameters used, mathematical algorithms, etc should be fully documented. </w:t>
      </w:r>
    </w:p>
    <w:p w14:paraId="0F7454BE" w14:textId="30C1D034" w:rsidR="00F96A14" w:rsidRDefault="00D7495D" w:rsidP="00D7495D">
      <w:pPr>
        <w:spacing w:before="240" w:after="40"/>
        <w:rPr>
          <w:szCs w:val="20"/>
          <w:lang w:eastAsia="en-US"/>
        </w:rPr>
      </w:pPr>
      <w:r w:rsidRPr="00693009">
        <w:rPr>
          <w:szCs w:val="20"/>
          <w:lang w:eastAsia="en-US"/>
        </w:rPr>
        <w:t>Study quality which impacts on overall certainty of the evidence should be discussed, at least for the principal study</w:t>
      </w:r>
      <w:r w:rsidR="000F1487">
        <w:rPr>
          <w:szCs w:val="20"/>
          <w:lang w:eastAsia="en-US"/>
        </w:rPr>
        <w:t>/studies</w:t>
      </w:r>
      <w:r w:rsidRPr="00693009">
        <w:rPr>
          <w:szCs w:val="20"/>
          <w:lang w:eastAsia="en-US"/>
        </w:rPr>
        <w:t xml:space="preserve"> used for NRV derivation. The quality of these pivotal studies should be evaluated to justify their selection for underpinning the NRVs.</w:t>
      </w:r>
      <w:r>
        <w:rPr>
          <w:szCs w:val="20"/>
          <w:lang w:eastAsia="en-US"/>
        </w:rPr>
        <w:t xml:space="preserve"> </w:t>
      </w:r>
    </w:p>
    <w:p w14:paraId="0104F293" w14:textId="5F1CB5C2" w:rsidR="00D7495D" w:rsidRPr="00693009" w:rsidRDefault="00D7495D" w:rsidP="00D7495D">
      <w:pPr>
        <w:spacing w:before="240" w:after="40"/>
        <w:rPr>
          <w:szCs w:val="20"/>
          <w:lang w:eastAsia="en-US"/>
        </w:rPr>
      </w:pPr>
      <w:r>
        <w:rPr>
          <w:szCs w:val="20"/>
          <w:lang w:eastAsia="en-US"/>
        </w:rPr>
        <w:t>Consideration of t</w:t>
      </w:r>
      <w:r w:rsidRPr="00693009">
        <w:rPr>
          <w:szCs w:val="20"/>
          <w:lang w:eastAsia="en-US"/>
        </w:rPr>
        <w:t xml:space="preserve">he Australian </w:t>
      </w:r>
      <w:r w:rsidR="00FC7C44">
        <w:rPr>
          <w:szCs w:val="20"/>
          <w:lang w:eastAsia="en-US"/>
        </w:rPr>
        <w:t xml:space="preserve">and New Zealand </w:t>
      </w:r>
      <w:r w:rsidRPr="00693009">
        <w:rPr>
          <w:szCs w:val="20"/>
          <w:lang w:eastAsia="en-US"/>
        </w:rPr>
        <w:t xml:space="preserve">context should include: </w:t>
      </w:r>
    </w:p>
    <w:p w14:paraId="35DAA1F5" w14:textId="477619BE" w:rsidR="00D7495D" w:rsidRPr="00693009" w:rsidRDefault="00D7495D" w:rsidP="00211F4C">
      <w:pPr>
        <w:pStyle w:val="ListParagraph"/>
        <w:numPr>
          <w:ilvl w:val="0"/>
          <w:numId w:val="38"/>
        </w:numPr>
        <w:spacing w:before="240" w:after="40"/>
        <w:rPr>
          <w:szCs w:val="20"/>
          <w:lang w:eastAsia="en-US"/>
        </w:rPr>
      </w:pPr>
      <w:r w:rsidRPr="00693009">
        <w:rPr>
          <w:szCs w:val="20"/>
          <w:lang w:eastAsia="en-US"/>
        </w:rPr>
        <w:t xml:space="preserve">Is the nutrient an issue in Australian </w:t>
      </w:r>
      <w:r w:rsidR="007658B8">
        <w:rPr>
          <w:szCs w:val="20"/>
          <w:lang w:eastAsia="en-US"/>
        </w:rPr>
        <w:t xml:space="preserve">and New Zealand </w:t>
      </w:r>
      <w:r w:rsidRPr="00693009">
        <w:rPr>
          <w:szCs w:val="20"/>
          <w:lang w:eastAsia="en-US"/>
        </w:rPr>
        <w:t>dietary patterns?</w:t>
      </w:r>
    </w:p>
    <w:p w14:paraId="1F840275" w14:textId="18C66312" w:rsidR="00D7495D" w:rsidRPr="00693009" w:rsidRDefault="00D7495D" w:rsidP="00211F4C">
      <w:pPr>
        <w:pStyle w:val="ListParagraph"/>
        <w:numPr>
          <w:ilvl w:val="0"/>
          <w:numId w:val="38"/>
        </w:numPr>
        <w:spacing w:before="240" w:after="40"/>
        <w:rPr>
          <w:szCs w:val="20"/>
          <w:lang w:eastAsia="en-US"/>
        </w:rPr>
      </w:pPr>
      <w:r w:rsidRPr="00693009">
        <w:rPr>
          <w:szCs w:val="20"/>
          <w:lang w:eastAsia="en-US"/>
        </w:rPr>
        <w:t xml:space="preserve">Are exposure assumptions consistent with Australian </w:t>
      </w:r>
      <w:r w:rsidR="007658B8">
        <w:rPr>
          <w:szCs w:val="20"/>
          <w:lang w:eastAsia="en-US"/>
        </w:rPr>
        <w:t xml:space="preserve">and New Zealand </w:t>
      </w:r>
      <w:r w:rsidRPr="00693009">
        <w:rPr>
          <w:szCs w:val="20"/>
          <w:lang w:eastAsia="en-US"/>
        </w:rPr>
        <w:t xml:space="preserve">practice? </w:t>
      </w:r>
    </w:p>
    <w:p w14:paraId="5F5737EC" w14:textId="54D0B48C" w:rsidR="001464CA" w:rsidRPr="001464CA" w:rsidRDefault="001464CA" w:rsidP="00211F4C">
      <w:pPr>
        <w:pStyle w:val="ListParagraph"/>
        <w:numPr>
          <w:ilvl w:val="0"/>
          <w:numId w:val="38"/>
        </w:numPr>
        <w:spacing w:before="240" w:after="40"/>
        <w:rPr>
          <w:szCs w:val="20"/>
          <w:lang w:eastAsia="en-US"/>
        </w:rPr>
      </w:pPr>
      <w:r>
        <w:rPr>
          <w:szCs w:val="20"/>
          <w:lang w:eastAsia="en-US"/>
        </w:rPr>
        <w:t>Is the scaling method used appropriate for Australian</w:t>
      </w:r>
      <w:r w:rsidR="007658B8">
        <w:rPr>
          <w:szCs w:val="20"/>
          <w:lang w:eastAsia="en-US"/>
        </w:rPr>
        <w:t xml:space="preserve"> and New Zealand</w:t>
      </w:r>
      <w:r>
        <w:rPr>
          <w:szCs w:val="20"/>
          <w:lang w:eastAsia="en-US"/>
        </w:rPr>
        <w:t xml:space="preserve"> populations?</w:t>
      </w:r>
    </w:p>
    <w:p w14:paraId="6DAF2898" w14:textId="77777777" w:rsidR="001464CA" w:rsidRPr="001464CA" w:rsidRDefault="001464CA" w:rsidP="00A404E4">
      <w:pPr>
        <w:spacing w:before="240" w:after="40"/>
        <w:ind w:left="360"/>
        <w:rPr>
          <w:szCs w:val="20"/>
          <w:lang w:eastAsia="en-US"/>
        </w:rPr>
      </w:pPr>
    </w:p>
    <w:p w14:paraId="30D00054" w14:textId="77777777" w:rsidR="00384AC8" w:rsidRDefault="00384AC8" w:rsidP="00D7495D">
      <w:pPr>
        <w:spacing w:before="240" w:after="40"/>
        <w:rPr>
          <w:szCs w:val="20"/>
          <w:lang w:eastAsia="en-US"/>
        </w:rPr>
        <w:sectPr w:rsidR="00384AC8" w:rsidSect="00E30AB1">
          <w:headerReference w:type="default" r:id="rId239"/>
          <w:footerReference w:type="default" r:id="rId240"/>
          <w:pgSz w:w="11906" w:h="16838" w:code="9"/>
          <w:pgMar w:top="1701" w:right="1134" w:bottom="1565" w:left="907" w:header="510" w:footer="510" w:gutter="0"/>
          <w:cols w:space="708"/>
          <w:titlePg/>
          <w:docGrid w:linePitch="360"/>
        </w:sectPr>
      </w:pPr>
    </w:p>
    <w:p w14:paraId="2586F6FA" w14:textId="6DB33264" w:rsidR="00870741" w:rsidRPr="00FB529F" w:rsidRDefault="00870741" w:rsidP="00AF0706">
      <w:pPr>
        <w:pBdr>
          <w:top w:val="single" w:sz="4" w:space="1" w:color="auto"/>
          <w:left w:val="single" w:sz="4" w:space="4" w:color="auto"/>
          <w:bottom w:val="single" w:sz="4" w:space="1" w:color="auto"/>
          <w:right w:val="single" w:sz="4" w:space="4" w:color="auto"/>
        </w:pBdr>
        <w:spacing w:after="160" w:line="259" w:lineRule="auto"/>
        <w:rPr>
          <w:rFonts w:ascii="Calibri" w:eastAsia="Calibri" w:hAnsi="Calibri" w:cs="Arial"/>
          <w:b/>
          <w:sz w:val="28"/>
          <w:szCs w:val="28"/>
          <w:lang w:eastAsia="en-US"/>
        </w:rPr>
      </w:pPr>
      <w:r w:rsidRPr="00FB529F">
        <w:rPr>
          <w:rFonts w:ascii="Calibri" w:eastAsia="Calibri" w:hAnsi="Calibri" w:cs="Arial"/>
          <w:b/>
          <w:sz w:val="28"/>
          <w:szCs w:val="28"/>
          <w:lang w:eastAsia="en-US"/>
        </w:rPr>
        <w:lastRenderedPageBreak/>
        <w:t>Administrative and technical criteria for assessing</w:t>
      </w:r>
      <w:r>
        <w:rPr>
          <w:rFonts w:ascii="Calibri" w:eastAsia="Calibri" w:hAnsi="Calibri" w:cs="Arial"/>
          <w:b/>
          <w:sz w:val="28"/>
          <w:szCs w:val="28"/>
          <w:lang w:eastAsia="en-US"/>
        </w:rPr>
        <w:t xml:space="preserve"> the</w:t>
      </w:r>
      <w:r w:rsidRPr="00FB529F">
        <w:rPr>
          <w:rFonts w:ascii="Calibri" w:eastAsia="Calibri" w:hAnsi="Calibri" w:cs="Arial"/>
          <w:b/>
          <w:sz w:val="28"/>
          <w:szCs w:val="28"/>
          <w:lang w:eastAsia="en-US"/>
        </w:rPr>
        <w:t xml:space="preserve"> </w:t>
      </w:r>
      <w:r>
        <w:rPr>
          <w:rFonts w:ascii="Calibri" w:eastAsia="Calibri" w:hAnsi="Calibri" w:cs="Arial"/>
          <w:b/>
          <w:sz w:val="28"/>
          <w:szCs w:val="28"/>
          <w:lang w:eastAsia="en-US"/>
        </w:rPr>
        <w:t xml:space="preserve">suitability of </w:t>
      </w:r>
      <w:r w:rsidRPr="00FB529F">
        <w:rPr>
          <w:rFonts w:ascii="Calibri" w:eastAsia="Calibri" w:hAnsi="Calibri" w:cs="Arial"/>
          <w:b/>
          <w:sz w:val="28"/>
          <w:szCs w:val="28"/>
          <w:lang w:eastAsia="en-US"/>
        </w:rPr>
        <w:t>existing nutrient reference values</w:t>
      </w:r>
    </w:p>
    <w:p w14:paraId="1256C827" w14:textId="002A9B38" w:rsidR="00EC477C" w:rsidRPr="00E90C39" w:rsidRDefault="00EC477C" w:rsidP="00EC477C">
      <w:pPr>
        <w:rPr>
          <w:rFonts w:cs="Arial"/>
          <w:szCs w:val="22"/>
        </w:rPr>
      </w:pPr>
      <w:r w:rsidRPr="00E90C39">
        <w:rPr>
          <w:rFonts w:cs="Arial"/>
          <w:szCs w:val="22"/>
        </w:rPr>
        <w:t>Title/Reference</w:t>
      </w:r>
      <w:r w:rsidR="00EF34DE">
        <w:rPr>
          <w:rFonts w:cs="Arial"/>
          <w:szCs w:val="22"/>
        </w:rPr>
        <w:t xml:space="preserve"> of</w:t>
      </w:r>
      <w:r w:rsidR="006519B8">
        <w:rPr>
          <w:rFonts w:cs="Arial"/>
          <w:szCs w:val="22"/>
        </w:rPr>
        <w:t xml:space="preserve"> document being assessed</w:t>
      </w:r>
      <w:r w:rsidR="00871D21">
        <w:rPr>
          <w:rFonts w:cs="Arial"/>
          <w:szCs w:val="22"/>
        </w:rPr>
        <w:t>:</w:t>
      </w:r>
    </w:p>
    <w:p w14:paraId="26493525" w14:textId="77777777" w:rsidR="00EC477C" w:rsidRDefault="00EC477C" w:rsidP="00EC477C"/>
    <w:p w14:paraId="61889006" w14:textId="7EF39114" w:rsidR="00EC477C" w:rsidRDefault="00EC477C" w:rsidP="00EC477C">
      <w:r>
        <w:t xml:space="preserve">Assessment made by ONHMRC: </w:t>
      </w:r>
      <w:r w:rsidR="00AA7647" w:rsidRPr="00AA7647">
        <w:rPr>
          <w:i/>
          <w:iCs/>
        </w:rPr>
        <w:t>(</w:t>
      </w:r>
      <w:r w:rsidR="00871D21" w:rsidRPr="00AA7647">
        <w:rPr>
          <w:i/>
        </w:rPr>
        <w:t>date</w:t>
      </w:r>
      <w:r w:rsidR="00AA7647" w:rsidRPr="00AA7647">
        <w:rPr>
          <w:i/>
          <w:iCs/>
        </w:rPr>
        <w:t xml:space="preserve"> assessed)</w:t>
      </w:r>
    </w:p>
    <w:p w14:paraId="4F0A303D" w14:textId="77777777" w:rsidR="00EC477C" w:rsidRDefault="00EC477C" w:rsidP="00EC477C"/>
    <w:p w14:paraId="54E969E1" w14:textId="77777777" w:rsidR="00EC477C" w:rsidRPr="002E7E63" w:rsidRDefault="00EC477C" w:rsidP="00EC477C">
      <w:r>
        <w:t xml:space="preserve">NHMRC’s preference is to review sources that have made their processes publicly available, however it is understood that some technical aspects of an organisations’ development process may need to be requested from the developer. </w:t>
      </w:r>
    </w:p>
    <w:p w14:paraId="7644ECFB" w14:textId="77777777" w:rsidR="00101630" w:rsidRPr="00D2546D" w:rsidRDefault="00101630" w:rsidP="00D2546D">
      <w:pPr>
        <w:rPr>
          <w:sz w:val="18"/>
          <w:shd w:val="clear" w:color="auto" w:fill="B3B3B7" w:themeFill="accent5" w:themeFillTint="99"/>
        </w:rPr>
      </w:pPr>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87"/>
        <w:gridCol w:w="1158"/>
        <w:gridCol w:w="6071"/>
        <w:gridCol w:w="851"/>
      </w:tblGrid>
      <w:tr w:rsidR="00EE278C" w:rsidRPr="00EE278C" w14:paraId="4D9C7AB9" w14:textId="77777777" w:rsidTr="00D2546D">
        <w:trPr>
          <w:cantSplit/>
          <w:tblHeader/>
        </w:trPr>
        <w:tc>
          <w:tcPr>
            <w:tcW w:w="6487" w:type="dxa"/>
            <w:tcBorders>
              <w:top w:val="single" w:sz="4" w:space="0" w:color="auto"/>
              <w:left w:val="single" w:sz="4" w:space="0" w:color="auto"/>
              <w:bottom w:val="single" w:sz="4" w:space="0" w:color="auto"/>
              <w:right w:val="nil"/>
            </w:tcBorders>
            <w:shd w:val="clear" w:color="auto" w:fill="000000" w:themeFill="text1"/>
            <w:vAlign w:val="center"/>
          </w:tcPr>
          <w:p w14:paraId="073FD9C0" w14:textId="66D9F6E7" w:rsidR="002163F9" w:rsidRPr="00D2546D" w:rsidRDefault="002163F9" w:rsidP="00211F4C">
            <w:pPr>
              <w:pStyle w:val="ListParagraph"/>
              <w:numPr>
                <w:ilvl w:val="0"/>
                <w:numId w:val="75"/>
              </w:numPr>
              <w:ind w:left="306"/>
              <w:rPr>
                <w:rFonts w:ascii="Calibri" w:hAnsi="Calibri"/>
                <w:b/>
                <w:bCs/>
                <w:szCs w:val="20"/>
              </w:rPr>
            </w:pPr>
            <w:r w:rsidRPr="00D2546D">
              <w:rPr>
                <w:b/>
                <w:bCs/>
              </w:rPr>
              <w:t>Overall guidance/advice development process</w:t>
            </w:r>
          </w:p>
        </w:tc>
        <w:tc>
          <w:tcPr>
            <w:tcW w:w="1158" w:type="dxa"/>
            <w:tcBorders>
              <w:top w:val="single" w:sz="4" w:space="0" w:color="auto"/>
              <w:left w:val="nil"/>
              <w:bottom w:val="single" w:sz="4" w:space="0" w:color="auto"/>
              <w:right w:val="nil"/>
            </w:tcBorders>
            <w:shd w:val="clear" w:color="auto" w:fill="000000" w:themeFill="text1"/>
          </w:tcPr>
          <w:p w14:paraId="379142FD" w14:textId="77777777" w:rsidR="002163F9" w:rsidRPr="00D2546D" w:rsidRDefault="002163F9" w:rsidP="00D2546D">
            <w:pPr>
              <w:rPr>
                <w:rFonts w:ascii="Calibri" w:hAnsi="Calibri"/>
                <w:b/>
                <w:bCs/>
                <w:szCs w:val="20"/>
              </w:rPr>
            </w:pPr>
          </w:p>
        </w:tc>
        <w:tc>
          <w:tcPr>
            <w:tcW w:w="6071" w:type="dxa"/>
            <w:tcBorders>
              <w:top w:val="single" w:sz="4" w:space="0" w:color="auto"/>
              <w:left w:val="nil"/>
              <w:bottom w:val="single" w:sz="4" w:space="0" w:color="auto"/>
              <w:right w:val="nil"/>
            </w:tcBorders>
            <w:shd w:val="clear" w:color="auto" w:fill="000000" w:themeFill="text1"/>
            <w:vAlign w:val="center"/>
          </w:tcPr>
          <w:p w14:paraId="5AC3AC24" w14:textId="77777777" w:rsidR="002163F9" w:rsidRPr="00D2546D" w:rsidRDefault="002163F9" w:rsidP="00D2546D">
            <w:pPr>
              <w:rPr>
                <w:rFonts w:ascii="Calibri" w:hAnsi="Calibri"/>
                <w:b/>
                <w:bCs/>
                <w:szCs w:val="20"/>
              </w:rPr>
            </w:pPr>
          </w:p>
        </w:tc>
        <w:tc>
          <w:tcPr>
            <w:tcW w:w="851" w:type="dxa"/>
            <w:tcBorders>
              <w:top w:val="single" w:sz="4" w:space="0" w:color="auto"/>
              <w:left w:val="nil"/>
              <w:bottom w:val="single" w:sz="4" w:space="0" w:color="auto"/>
              <w:right w:val="single" w:sz="4" w:space="0" w:color="auto"/>
            </w:tcBorders>
            <w:shd w:val="clear" w:color="auto" w:fill="000000" w:themeFill="text1"/>
          </w:tcPr>
          <w:p w14:paraId="1FAFBED1" w14:textId="77777777" w:rsidR="002163F9" w:rsidRPr="00D2546D" w:rsidRDefault="002163F9" w:rsidP="00D2546D">
            <w:pPr>
              <w:rPr>
                <w:rFonts w:ascii="Calibri" w:hAnsi="Calibri"/>
                <w:b/>
                <w:bCs/>
                <w:szCs w:val="20"/>
              </w:rPr>
            </w:pPr>
          </w:p>
        </w:tc>
      </w:tr>
      <w:tr w:rsidR="00592D0B" w14:paraId="44A2A70D" w14:textId="77777777" w:rsidTr="00D2546D">
        <w:trPr>
          <w:cantSplit/>
          <w:tblHeader/>
        </w:trPr>
        <w:tc>
          <w:tcPr>
            <w:tcW w:w="6487"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4D4461C7" w14:textId="77777777" w:rsidR="00101630" w:rsidRDefault="00101630">
            <w:pPr>
              <w:tabs>
                <w:tab w:val="center" w:pos="4513"/>
                <w:tab w:val="right" w:pos="9026"/>
              </w:tabs>
              <w:rPr>
                <w:rFonts w:ascii="Calibri" w:hAnsi="Calibri"/>
                <w:b/>
                <w:bCs/>
                <w:szCs w:val="20"/>
                <w:vertAlign w:val="superscript"/>
              </w:rPr>
            </w:pPr>
            <w:r>
              <w:rPr>
                <w:rFonts w:ascii="Calibri" w:hAnsi="Calibri"/>
                <w:b/>
                <w:bCs/>
                <w:szCs w:val="20"/>
              </w:rPr>
              <w:t>Criteria</w:t>
            </w:r>
          </w:p>
        </w:tc>
        <w:tc>
          <w:tcPr>
            <w:tcW w:w="1158" w:type="dxa"/>
            <w:tcBorders>
              <w:top w:val="single" w:sz="4" w:space="0" w:color="auto"/>
              <w:left w:val="single" w:sz="4" w:space="0" w:color="auto"/>
              <w:bottom w:val="single" w:sz="8" w:space="0" w:color="auto"/>
              <w:right w:val="single" w:sz="8" w:space="0" w:color="auto"/>
            </w:tcBorders>
            <w:shd w:val="clear" w:color="auto" w:fill="BFBFBF" w:themeFill="background1" w:themeFillShade="BF"/>
            <w:hideMark/>
          </w:tcPr>
          <w:p w14:paraId="5367EE3A" w14:textId="77777777" w:rsidR="00101630" w:rsidRDefault="00101630">
            <w:pPr>
              <w:tabs>
                <w:tab w:val="center" w:pos="4513"/>
                <w:tab w:val="right" w:pos="9026"/>
              </w:tabs>
              <w:rPr>
                <w:rFonts w:ascii="Calibri" w:hAnsi="Calibri"/>
                <w:szCs w:val="20"/>
              </w:rPr>
            </w:pPr>
            <w:r>
              <w:rPr>
                <w:rFonts w:ascii="Calibri" w:hAnsi="Calibri"/>
                <w:szCs w:val="20"/>
              </w:rPr>
              <w:t>Yes/No/NA</w:t>
            </w:r>
          </w:p>
        </w:tc>
        <w:tc>
          <w:tcPr>
            <w:tcW w:w="6071"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552B063A" w14:textId="77777777" w:rsidR="00101630" w:rsidRDefault="00101630">
            <w:pPr>
              <w:tabs>
                <w:tab w:val="center" w:pos="4513"/>
                <w:tab w:val="right" w:pos="9026"/>
              </w:tabs>
              <w:rPr>
                <w:rFonts w:ascii="Calibri" w:hAnsi="Calibri"/>
                <w:szCs w:val="20"/>
              </w:rPr>
            </w:pPr>
            <w:r>
              <w:rPr>
                <w:rFonts w:ascii="Calibri" w:hAnsi="Calibri"/>
                <w:szCs w:val="20"/>
              </w:rPr>
              <w:t>Comment</w:t>
            </w:r>
          </w:p>
        </w:tc>
        <w:tc>
          <w:tcPr>
            <w:tcW w:w="851" w:type="dxa"/>
            <w:tcBorders>
              <w:top w:val="single" w:sz="4" w:space="0" w:color="auto"/>
              <w:left w:val="single" w:sz="8" w:space="0" w:color="auto"/>
              <w:bottom w:val="single" w:sz="8" w:space="0" w:color="auto"/>
              <w:right w:val="single" w:sz="8" w:space="0" w:color="auto"/>
            </w:tcBorders>
            <w:shd w:val="clear" w:color="auto" w:fill="BFBFBF" w:themeFill="background1" w:themeFillShade="BF"/>
          </w:tcPr>
          <w:p w14:paraId="6E9AD322" w14:textId="77777777" w:rsidR="00101630" w:rsidRDefault="00101630">
            <w:pPr>
              <w:tabs>
                <w:tab w:val="center" w:pos="4513"/>
                <w:tab w:val="right" w:pos="9026"/>
              </w:tabs>
              <w:rPr>
                <w:rFonts w:ascii="Calibri" w:hAnsi="Calibri"/>
                <w:szCs w:val="20"/>
              </w:rPr>
            </w:pPr>
            <w:r>
              <w:rPr>
                <w:rFonts w:ascii="Calibri" w:hAnsi="Calibri"/>
                <w:szCs w:val="20"/>
              </w:rPr>
              <w:t>Page #</w:t>
            </w:r>
          </w:p>
        </w:tc>
      </w:tr>
      <w:tr w:rsidR="00101630" w14:paraId="32981D10"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2EEF868C" w14:textId="77777777" w:rsidR="00101630" w:rsidRDefault="00101630">
            <w:pPr>
              <w:tabs>
                <w:tab w:val="center" w:pos="4513"/>
                <w:tab w:val="right" w:pos="9026"/>
              </w:tabs>
              <w:rPr>
                <w:rFonts w:ascii="Calibri" w:hAnsi="Calibri"/>
                <w:szCs w:val="20"/>
              </w:rPr>
            </w:pPr>
            <w:r>
              <w:rPr>
                <w:rFonts w:ascii="Calibri" w:hAnsi="Calibri"/>
                <w:szCs w:val="20"/>
              </w:rPr>
              <w:t>Are the administrative processes (e.g. the NRV development process and associated governance, principles and procedures) documented and publicly available?</w:t>
            </w:r>
          </w:p>
        </w:tc>
        <w:tc>
          <w:tcPr>
            <w:tcW w:w="1158" w:type="dxa"/>
            <w:tcBorders>
              <w:top w:val="single" w:sz="4" w:space="0" w:color="auto"/>
              <w:left w:val="single" w:sz="4" w:space="0" w:color="auto"/>
              <w:bottom w:val="single" w:sz="4" w:space="0" w:color="auto"/>
              <w:right w:val="single" w:sz="4" w:space="0" w:color="auto"/>
            </w:tcBorders>
          </w:tcPr>
          <w:p w14:paraId="3609871F" w14:textId="1938EB2B"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26917712" w14:textId="3F577539"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3591B9F8" w14:textId="77777777" w:rsidR="00101630" w:rsidRDefault="00101630">
            <w:pPr>
              <w:tabs>
                <w:tab w:val="center" w:pos="4513"/>
                <w:tab w:val="right" w:pos="9026"/>
              </w:tabs>
              <w:rPr>
                <w:rFonts w:ascii="Calibri" w:hAnsi="Calibri"/>
                <w:szCs w:val="20"/>
              </w:rPr>
            </w:pPr>
          </w:p>
        </w:tc>
      </w:tr>
      <w:tr w:rsidR="00101630" w14:paraId="2AF0F512" w14:textId="77777777" w:rsidTr="00EC0F9C">
        <w:trPr>
          <w:cantSplit/>
        </w:trPr>
        <w:tc>
          <w:tcPr>
            <w:tcW w:w="6487" w:type="dxa"/>
            <w:tcBorders>
              <w:top w:val="single" w:sz="8" w:space="0" w:color="auto"/>
              <w:left w:val="single" w:sz="4" w:space="0" w:color="auto"/>
              <w:bottom w:val="single" w:sz="4" w:space="0" w:color="auto"/>
              <w:right w:val="single" w:sz="4" w:space="0" w:color="auto"/>
            </w:tcBorders>
            <w:vAlign w:val="center"/>
            <w:hideMark/>
          </w:tcPr>
          <w:p w14:paraId="109FAA9C" w14:textId="77777777" w:rsidR="00101630" w:rsidRDefault="00101630">
            <w:pPr>
              <w:tabs>
                <w:tab w:val="center" w:pos="4513"/>
                <w:tab w:val="right" w:pos="9026"/>
              </w:tabs>
              <w:rPr>
                <w:rFonts w:ascii="Calibri" w:hAnsi="Calibri"/>
                <w:szCs w:val="20"/>
              </w:rPr>
            </w:pPr>
            <w:r>
              <w:rPr>
                <w:rFonts w:ascii="Calibri" w:hAnsi="Calibri"/>
                <w:szCs w:val="20"/>
              </w:rPr>
              <w:t>Are the key stages of the organisation’s NRV development processes compatible with NHMRC processes? (i.e., r</w:t>
            </w:r>
            <w:r w:rsidRPr="00942972">
              <w:rPr>
                <w:rFonts w:ascii="Calibri" w:hAnsi="Calibri"/>
                <w:szCs w:val="20"/>
              </w:rPr>
              <w:t xml:space="preserve">elevant and useful, transparent, overseen by a </w:t>
            </w:r>
            <w:r>
              <w:rPr>
                <w:rFonts w:ascii="Calibri" w:hAnsi="Calibri"/>
                <w:szCs w:val="20"/>
              </w:rPr>
              <w:t>guideline development group/committee</w:t>
            </w:r>
            <w:r w:rsidRPr="007B2191">
              <w:rPr>
                <w:rFonts w:ascii="Calibri" w:hAnsi="Calibri"/>
                <w:szCs w:val="20"/>
              </w:rPr>
              <w:t>,</w:t>
            </w:r>
            <w:r w:rsidRPr="00896675">
              <w:rPr>
                <w:rFonts w:ascii="Calibri" w:hAnsi="Calibri"/>
                <w:color w:val="FF0000"/>
                <w:szCs w:val="20"/>
              </w:rPr>
              <w:t xml:space="preserve"> </w:t>
            </w:r>
            <w:r w:rsidRPr="008C7B4B">
              <w:rPr>
                <w:rFonts w:ascii="Calibri" w:hAnsi="Calibri"/>
                <w:szCs w:val="20"/>
              </w:rPr>
              <w:t xml:space="preserve">COI management, </w:t>
            </w:r>
            <w:r w:rsidRPr="00942972">
              <w:rPr>
                <w:rFonts w:ascii="Calibri" w:hAnsi="Calibri"/>
                <w:szCs w:val="20"/>
              </w:rPr>
              <w:t>focussed on health-related outcomes, evidence informed, actionable recs, up to date and accessible</w:t>
            </w:r>
            <w:r>
              <w:rPr>
                <w:rFonts w:ascii="Calibri" w:hAnsi="Calibri"/>
                <w:szCs w:val="20"/>
              </w:rPr>
              <w:t>)</w:t>
            </w:r>
          </w:p>
        </w:tc>
        <w:tc>
          <w:tcPr>
            <w:tcW w:w="1158" w:type="dxa"/>
            <w:tcBorders>
              <w:top w:val="single" w:sz="8" w:space="0" w:color="auto"/>
              <w:left w:val="single" w:sz="4" w:space="0" w:color="auto"/>
              <w:bottom w:val="single" w:sz="4" w:space="0" w:color="auto"/>
              <w:right w:val="single" w:sz="4" w:space="0" w:color="auto"/>
            </w:tcBorders>
          </w:tcPr>
          <w:p w14:paraId="5860D433" w14:textId="730E2998" w:rsidR="00101630" w:rsidRDefault="00101630">
            <w:pPr>
              <w:tabs>
                <w:tab w:val="center" w:pos="4513"/>
                <w:tab w:val="right" w:pos="9026"/>
              </w:tabs>
              <w:rPr>
                <w:rFonts w:ascii="Calibri" w:hAnsi="Calibri"/>
                <w:szCs w:val="20"/>
              </w:rPr>
            </w:pPr>
          </w:p>
        </w:tc>
        <w:tc>
          <w:tcPr>
            <w:tcW w:w="6071" w:type="dxa"/>
            <w:tcBorders>
              <w:top w:val="single" w:sz="8" w:space="0" w:color="auto"/>
              <w:left w:val="single" w:sz="4" w:space="0" w:color="auto"/>
              <w:bottom w:val="single" w:sz="4" w:space="0" w:color="auto"/>
              <w:right w:val="single" w:sz="8" w:space="0" w:color="auto"/>
            </w:tcBorders>
            <w:vAlign w:val="center"/>
          </w:tcPr>
          <w:p w14:paraId="15B984D8" w14:textId="37A293D5" w:rsidR="00101630" w:rsidRDefault="00101630">
            <w:pPr>
              <w:tabs>
                <w:tab w:val="center" w:pos="4513"/>
                <w:tab w:val="right" w:pos="9026"/>
              </w:tabs>
              <w:rPr>
                <w:rFonts w:ascii="Calibri" w:hAnsi="Calibri"/>
                <w:szCs w:val="20"/>
              </w:rPr>
            </w:pPr>
          </w:p>
        </w:tc>
        <w:tc>
          <w:tcPr>
            <w:tcW w:w="851" w:type="dxa"/>
            <w:tcBorders>
              <w:top w:val="single" w:sz="8" w:space="0" w:color="auto"/>
              <w:left w:val="single" w:sz="4" w:space="0" w:color="auto"/>
              <w:bottom w:val="single" w:sz="4" w:space="0" w:color="auto"/>
              <w:right w:val="single" w:sz="8" w:space="0" w:color="auto"/>
            </w:tcBorders>
          </w:tcPr>
          <w:p w14:paraId="0929FD8E" w14:textId="77777777" w:rsidR="00101630" w:rsidRDefault="00101630">
            <w:pPr>
              <w:tabs>
                <w:tab w:val="center" w:pos="4513"/>
                <w:tab w:val="right" w:pos="9026"/>
              </w:tabs>
              <w:rPr>
                <w:rFonts w:ascii="Calibri" w:hAnsi="Calibri"/>
                <w:szCs w:val="20"/>
              </w:rPr>
            </w:pPr>
          </w:p>
        </w:tc>
      </w:tr>
      <w:tr w:rsidR="00101630" w14:paraId="4B682B94"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78F68E20" w14:textId="77777777" w:rsidR="00101630" w:rsidRDefault="00101630">
            <w:pPr>
              <w:tabs>
                <w:tab w:val="center" w:pos="4513"/>
                <w:tab w:val="right" w:pos="9026"/>
              </w:tabs>
              <w:rPr>
                <w:rFonts w:ascii="Calibri" w:hAnsi="Calibri"/>
                <w:szCs w:val="20"/>
              </w:rPr>
            </w:pPr>
            <w:r>
              <w:rPr>
                <w:rFonts w:ascii="Calibri" w:hAnsi="Calibri"/>
                <w:szCs w:val="20"/>
              </w:rPr>
              <w:t xml:space="preserve">Was the work overseen by an expert advisory committee? </w:t>
            </w:r>
          </w:p>
        </w:tc>
        <w:tc>
          <w:tcPr>
            <w:tcW w:w="1158" w:type="dxa"/>
            <w:tcBorders>
              <w:top w:val="single" w:sz="4" w:space="0" w:color="auto"/>
              <w:left w:val="single" w:sz="4" w:space="0" w:color="auto"/>
              <w:bottom w:val="single" w:sz="4" w:space="0" w:color="auto"/>
              <w:right w:val="single" w:sz="4" w:space="0" w:color="auto"/>
            </w:tcBorders>
          </w:tcPr>
          <w:p w14:paraId="25B7529E" w14:textId="46BBC178"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04E94DF2" w14:textId="24C222BF"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055FE887" w14:textId="015E968C" w:rsidR="00101630" w:rsidRDefault="00101630">
            <w:pPr>
              <w:tabs>
                <w:tab w:val="center" w:pos="4513"/>
                <w:tab w:val="right" w:pos="9026"/>
              </w:tabs>
              <w:rPr>
                <w:rFonts w:ascii="Calibri" w:hAnsi="Calibri"/>
                <w:szCs w:val="20"/>
              </w:rPr>
            </w:pPr>
          </w:p>
        </w:tc>
      </w:tr>
      <w:tr w:rsidR="00101630" w14:paraId="2C3A5BAF"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765CB0DE" w14:textId="77777777" w:rsidR="00101630" w:rsidRDefault="00101630">
            <w:pPr>
              <w:tabs>
                <w:tab w:val="center" w:pos="4513"/>
                <w:tab w:val="right" w:pos="9026"/>
              </w:tabs>
              <w:spacing w:line="240" w:lineRule="auto"/>
              <w:rPr>
                <w:rFonts w:ascii="Calibri" w:hAnsi="Calibri"/>
              </w:rPr>
            </w:pPr>
            <w:r w:rsidRPr="38047715">
              <w:rPr>
                <w:rFonts w:ascii="Calibri" w:hAnsi="Calibri"/>
              </w:rPr>
              <w:t>Are potential conflicts of interest of committee members declared, managed and/or reported?</w:t>
            </w:r>
          </w:p>
        </w:tc>
        <w:tc>
          <w:tcPr>
            <w:tcW w:w="1158" w:type="dxa"/>
            <w:tcBorders>
              <w:top w:val="single" w:sz="4" w:space="0" w:color="auto"/>
              <w:left w:val="single" w:sz="4" w:space="0" w:color="auto"/>
              <w:bottom w:val="single" w:sz="4" w:space="0" w:color="auto"/>
              <w:right w:val="single" w:sz="4" w:space="0" w:color="auto"/>
            </w:tcBorders>
          </w:tcPr>
          <w:p w14:paraId="5CFA2843" w14:textId="573F59D4" w:rsidR="00101630" w:rsidRPr="005F29EC"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03E776AC" w14:textId="2F0E6B83"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61C06047" w14:textId="2BF9F3E5" w:rsidR="00101630" w:rsidRDefault="00101630">
            <w:pPr>
              <w:tabs>
                <w:tab w:val="center" w:pos="4513"/>
                <w:tab w:val="right" w:pos="9026"/>
              </w:tabs>
              <w:rPr>
                <w:rFonts w:ascii="Calibri" w:hAnsi="Calibri"/>
                <w:szCs w:val="20"/>
              </w:rPr>
            </w:pPr>
          </w:p>
        </w:tc>
      </w:tr>
      <w:tr w:rsidR="00101630" w14:paraId="03351CD6"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55DC24E3" w14:textId="77777777" w:rsidR="00101630" w:rsidRDefault="00101630">
            <w:pPr>
              <w:tabs>
                <w:tab w:val="center" w:pos="4513"/>
                <w:tab w:val="right" w:pos="9026"/>
              </w:tabs>
              <w:rPr>
                <w:rFonts w:ascii="Calibri" w:hAnsi="Calibri"/>
                <w:szCs w:val="20"/>
              </w:rPr>
            </w:pPr>
            <w:r>
              <w:rPr>
                <w:rFonts w:ascii="Calibri" w:hAnsi="Calibri"/>
                <w:szCs w:val="20"/>
              </w:rPr>
              <w:t>Are funding sources declared?</w:t>
            </w:r>
          </w:p>
        </w:tc>
        <w:tc>
          <w:tcPr>
            <w:tcW w:w="1158" w:type="dxa"/>
            <w:tcBorders>
              <w:top w:val="single" w:sz="4" w:space="0" w:color="auto"/>
              <w:left w:val="single" w:sz="4" w:space="0" w:color="auto"/>
              <w:bottom w:val="single" w:sz="4" w:space="0" w:color="auto"/>
              <w:right w:val="single" w:sz="4" w:space="0" w:color="auto"/>
            </w:tcBorders>
          </w:tcPr>
          <w:p w14:paraId="797FE9E9" w14:textId="7DE27F55" w:rsidR="00101630" w:rsidRPr="005F29EC"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40910E83" w14:textId="77777777"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17E69028" w14:textId="77777777" w:rsidR="00101630" w:rsidRDefault="00101630">
            <w:pPr>
              <w:tabs>
                <w:tab w:val="center" w:pos="4513"/>
                <w:tab w:val="right" w:pos="9026"/>
              </w:tabs>
              <w:rPr>
                <w:rFonts w:ascii="Calibri" w:hAnsi="Calibri"/>
                <w:szCs w:val="20"/>
              </w:rPr>
            </w:pPr>
          </w:p>
        </w:tc>
      </w:tr>
      <w:tr w:rsidR="00101630" w14:paraId="4434BFFC"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279FEA1A" w14:textId="77777777" w:rsidR="00101630" w:rsidRDefault="00101630">
            <w:pPr>
              <w:tabs>
                <w:tab w:val="center" w:pos="4513"/>
                <w:tab w:val="right" w:pos="9026"/>
              </w:tabs>
              <w:rPr>
                <w:rFonts w:ascii="Calibri" w:hAnsi="Calibri"/>
                <w:szCs w:val="20"/>
              </w:rPr>
            </w:pPr>
            <w:r>
              <w:rPr>
                <w:rFonts w:ascii="Calibri" w:hAnsi="Calibri"/>
                <w:szCs w:val="20"/>
              </w:rPr>
              <w:t>Was there public consultation on this work? if yes, is the public consultation documented and/or published?</w:t>
            </w:r>
          </w:p>
        </w:tc>
        <w:tc>
          <w:tcPr>
            <w:tcW w:w="1158" w:type="dxa"/>
            <w:tcBorders>
              <w:top w:val="single" w:sz="4" w:space="0" w:color="auto"/>
              <w:left w:val="single" w:sz="4" w:space="0" w:color="auto"/>
              <w:bottom w:val="single" w:sz="4" w:space="0" w:color="auto"/>
              <w:right w:val="single" w:sz="4" w:space="0" w:color="auto"/>
            </w:tcBorders>
          </w:tcPr>
          <w:p w14:paraId="3CE4AF4E" w14:textId="7EEF7FD2"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4C0966BA" w14:textId="3E8E94CE"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1FB6D5CC" w14:textId="753BD91C" w:rsidR="00101630" w:rsidRDefault="00101630">
            <w:pPr>
              <w:tabs>
                <w:tab w:val="center" w:pos="4513"/>
                <w:tab w:val="right" w:pos="9026"/>
              </w:tabs>
              <w:rPr>
                <w:rFonts w:ascii="Calibri" w:hAnsi="Calibri"/>
                <w:szCs w:val="20"/>
              </w:rPr>
            </w:pPr>
          </w:p>
        </w:tc>
      </w:tr>
      <w:tr w:rsidR="00101630" w14:paraId="5BCEFAA7"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36B60E53" w14:textId="77777777" w:rsidR="00101630" w:rsidRDefault="00101630">
            <w:pPr>
              <w:tabs>
                <w:tab w:val="center" w:pos="4513"/>
                <w:tab w:val="right" w:pos="9026"/>
              </w:tabs>
              <w:rPr>
                <w:rFonts w:ascii="Calibri" w:hAnsi="Calibri"/>
                <w:szCs w:val="20"/>
              </w:rPr>
            </w:pPr>
            <w:r>
              <w:rPr>
                <w:rFonts w:ascii="Calibri" w:hAnsi="Calibri"/>
                <w:szCs w:val="20"/>
              </w:rPr>
              <w:lastRenderedPageBreak/>
              <w:t>Was the guidance/advice developed or updated recently?</w:t>
            </w:r>
          </w:p>
        </w:tc>
        <w:tc>
          <w:tcPr>
            <w:tcW w:w="1158" w:type="dxa"/>
            <w:tcBorders>
              <w:top w:val="single" w:sz="4" w:space="0" w:color="auto"/>
              <w:left w:val="single" w:sz="4" w:space="0" w:color="auto"/>
              <w:bottom w:val="single" w:sz="4" w:space="0" w:color="auto"/>
              <w:right w:val="single" w:sz="4" w:space="0" w:color="auto"/>
            </w:tcBorders>
          </w:tcPr>
          <w:p w14:paraId="01504F96" w14:textId="0E20CB1E"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0109E146" w14:textId="06308311"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7313DB3F" w14:textId="77777777" w:rsidR="00101630" w:rsidRDefault="00101630">
            <w:pPr>
              <w:tabs>
                <w:tab w:val="center" w:pos="4513"/>
                <w:tab w:val="right" w:pos="9026"/>
              </w:tabs>
              <w:rPr>
                <w:rFonts w:ascii="Calibri" w:hAnsi="Calibri"/>
                <w:szCs w:val="20"/>
              </w:rPr>
            </w:pPr>
          </w:p>
        </w:tc>
      </w:tr>
    </w:tbl>
    <w:p w14:paraId="2E72C670" w14:textId="77777777" w:rsidR="00101630" w:rsidRDefault="00101630" w:rsidP="00101630">
      <w:pPr>
        <w:pStyle w:val="NoSpacing"/>
      </w:pPr>
    </w:p>
    <w:p w14:paraId="04339480" w14:textId="638693B0" w:rsidR="00302B73" w:rsidRPr="00D2546D" w:rsidRDefault="00302B73" w:rsidP="00365D07">
      <w:pPr>
        <w:rPr>
          <w:b/>
          <w:bCs/>
        </w:rPr>
      </w:pPr>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87"/>
        <w:gridCol w:w="1158"/>
        <w:gridCol w:w="6071"/>
        <w:gridCol w:w="851"/>
      </w:tblGrid>
      <w:tr w:rsidR="00EE278C" w14:paraId="2B709157" w14:textId="77777777" w:rsidTr="00D2546D">
        <w:trPr>
          <w:cantSplit/>
          <w:tblHeader/>
        </w:trPr>
        <w:tc>
          <w:tcPr>
            <w:tcW w:w="6487" w:type="dxa"/>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20452AA8" w14:textId="490BE4B9" w:rsidR="00EE278C" w:rsidRPr="00D2546D" w:rsidRDefault="00EE278C" w:rsidP="00211F4C">
            <w:pPr>
              <w:pStyle w:val="ListParagraph"/>
              <w:numPr>
                <w:ilvl w:val="0"/>
                <w:numId w:val="75"/>
              </w:numPr>
              <w:tabs>
                <w:tab w:val="center" w:pos="4513"/>
                <w:tab w:val="right" w:pos="9026"/>
              </w:tabs>
              <w:ind w:left="306"/>
              <w:rPr>
                <w:rFonts w:ascii="Calibri" w:hAnsi="Calibri"/>
                <w:b/>
                <w:szCs w:val="20"/>
              </w:rPr>
            </w:pPr>
            <w:r w:rsidRPr="00D2546D">
              <w:rPr>
                <w:b/>
                <w:bCs/>
              </w:rPr>
              <w:t xml:space="preserve">Evidence </w:t>
            </w:r>
            <w:proofErr w:type="gramStart"/>
            <w:r w:rsidRPr="00D2546D">
              <w:rPr>
                <w:b/>
                <w:bCs/>
              </w:rPr>
              <w:t>review</w:t>
            </w:r>
            <w:proofErr w:type="gramEnd"/>
            <w:r w:rsidRPr="00D2546D">
              <w:rPr>
                <w:b/>
                <w:bCs/>
              </w:rPr>
              <w:t xml:space="preserve"> parameters</w:t>
            </w:r>
          </w:p>
        </w:tc>
        <w:tc>
          <w:tcPr>
            <w:tcW w:w="1158" w:type="dxa"/>
            <w:tcBorders>
              <w:top w:val="single" w:sz="8" w:space="0" w:color="auto"/>
              <w:left w:val="single" w:sz="4" w:space="0" w:color="auto"/>
              <w:bottom w:val="single" w:sz="8" w:space="0" w:color="auto"/>
              <w:right w:val="single" w:sz="8" w:space="0" w:color="auto"/>
            </w:tcBorders>
            <w:shd w:val="clear" w:color="auto" w:fill="000000" w:themeFill="text1"/>
          </w:tcPr>
          <w:p w14:paraId="18823D8F" w14:textId="77777777" w:rsidR="00EE278C" w:rsidRDefault="00EE278C">
            <w:pPr>
              <w:tabs>
                <w:tab w:val="center" w:pos="4513"/>
                <w:tab w:val="right" w:pos="9026"/>
              </w:tabs>
              <w:rPr>
                <w:rFonts w:ascii="Calibri" w:hAnsi="Calibri"/>
                <w:szCs w:val="20"/>
              </w:rPr>
            </w:pPr>
          </w:p>
        </w:tc>
        <w:tc>
          <w:tcPr>
            <w:tcW w:w="6071" w:type="dxa"/>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57805836" w14:textId="77777777" w:rsidR="00EE278C" w:rsidRDefault="00EE278C">
            <w:pPr>
              <w:tabs>
                <w:tab w:val="center" w:pos="4513"/>
                <w:tab w:val="right" w:pos="9026"/>
              </w:tabs>
              <w:rPr>
                <w:rFonts w:ascii="Calibri" w:hAnsi="Calibri"/>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000000" w:themeFill="text1"/>
          </w:tcPr>
          <w:p w14:paraId="71C4F179" w14:textId="77777777" w:rsidR="00EE278C" w:rsidRDefault="00EE278C">
            <w:pPr>
              <w:tabs>
                <w:tab w:val="center" w:pos="4513"/>
                <w:tab w:val="right" w:pos="9026"/>
              </w:tabs>
              <w:rPr>
                <w:rFonts w:ascii="Calibri" w:hAnsi="Calibri"/>
                <w:szCs w:val="20"/>
              </w:rPr>
            </w:pPr>
          </w:p>
        </w:tc>
      </w:tr>
      <w:tr w:rsidR="00592D0B" w14:paraId="1F29CE6A" w14:textId="77777777" w:rsidTr="00EC0F9C">
        <w:trPr>
          <w:cantSplit/>
          <w:tblHeader/>
        </w:trPr>
        <w:tc>
          <w:tcPr>
            <w:tcW w:w="648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49D4B5DC" w14:textId="77777777" w:rsidR="00101630" w:rsidRDefault="00101630">
            <w:pPr>
              <w:tabs>
                <w:tab w:val="center" w:pos="4513"/>
                <w:tab w:val="right" w:pos="9026"/>
              </w:tabs>
              <w:rPr>
                <w:rFonts w:ascii="Calibri" w:hAnsi="Calibri"/>
                <w:b/>
                <w:bCs/>
                <w:szCs w:val="20"/>
                <w:vertAlign w:val="superscript"/>
              </w:rPr>
            </w:pPr>
            <w:r>
              <w:rPr>
                <w:rFonts w:ascii="Calibri" w:hAnsi="Calibri"/>
                <w:b/>
                <w:bCs/>
                <w:szCs w:val="20"/>
              </w:rPr>
              <w:t>Criteria</w:t>
            </w:r>
          </w:p>
        </w:tc>
        <w:tc>
          <w:tcPr>
            <w:tcW w:w="1158" w:type="dxa"/>
            <w:tcBorders>
              <w:top w:val="single" w:sz="8" w:space="0" w:color="auto"/>
              <w:left w:val="single" w:sz="4" w:space="0" w:color="auto"/>
              <w:bottom w:val="single" w:sz="8" w:space="0" w:color="auto"/>
              <w:right w:val="single" w:sz="8" w:space="0" w:color="auto"/>
            </w:tcBorders>
            <w:shd w:val="clear" w:color="auto" w:fill="BFBFBF" w:themeFill="background1" w:themeFillShade="BF"/>
            <w:hideMark/>
          </w:tcPr>
          <w:p w14:paraId="00519E14" w14:textId="77777777" w:rsidR="00101630" w:rsidRDefault="00101630">
            <w:pPr>
              <w:tabs>
                <w:tab w:val="center" w:pos="4513"/>
                <w:tab w:val="right" w:pos="9026"/>
              </w:tabs>
              <w:rPr>
                <w:rFonts w:ascii="Calibri" w:hAnsi="Calibri"/>
                <w:szCs w:val="20"/>
              </w:rPr>
            </w:pPr>
            <w:r>
              <w:rPr>
                <w:rFonts w:ascii="Calibri" w:hAnsi="Calibri"/>
                <w:szCs w:val="20"/>
              </w:rPr>
              <w:t>Yes/No/NA</w:t>
            </w:r>
          </w:p>
        </w:tc>
        <w:tc>
          <w:tcPr>
            <w:tcW w:w="607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562A20FC" w14:textId="77777777" w:rsidR="00101630" w:rsidRDefault="00101630">
            <w:pPr>
              <w:tabs>
                <w:tab w:val="center" w:pos="4513"/>
                <w:tab w:val="right" w:pos="9026"/>
              </w:tabs>
              <w:rPr>
                <w:rFonts w:ascii="Calibri" w:hAnsi="Calibri"/>
                <w:szCs w:val="20"/>
              </w:rPr>
            </w:pPr>
            <w:r>
              <w:rPr>
                <w:rFonts w:ascii="Calibri" w:hAnsi="Calibri"/>
                <w:szCs w:val="20"/>
              </w:rPr>
              <w:t>Comment</w:t>
            </w:r>
          </w:p>
        </w:tc>
        <w:tc>
          <w:tcPr>
            <w:tcW w:w="85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29403479" w14:textId="77777777" w:rsidR="00101630" w:rsidRDefault="00101630">
            <w:pPr>
              <w:tabs>
                <w:tab w:val="center" w:pos="4513"/>
                <w:tab w:val="right" w:pos="9026"/>
              </w:tabs>
              <w:rPr>
                <w:rFonts w:ascii="Calibri" w:hAnsi="Calibri"/>
                <w:szCs w:val="20"/>
              </w:rPr>
            </w:pPr>
            <w:r>
              <w:rPr>
                <w:rFonts w:ascii="Calibri" w:hAnsi="Calibri"/>
                <w:szCs w:val="20"/>
              </w:rPr>
              <w:t>Page #</w:t>
            </w:r>
          </w:p>
        </w:tc>
      </w:tr>
      <w:tr w:rsidR="00101630" w14:paraId="43755292" w14:textId="77777777" w:rsidTr="00EC0F9C">
        <w:trPr>
          <w:cantSplit/>
        </w:trPr>
        <w:tc>
          <w:tcPr>
            <w:tcW w:w="6487" w:type="dxa"/>
            <w:tcBorders>
              <w:top w:val="single" w:sz="8" w:space="0" w:color="auto"/>
              <w:left w:val="single" w:sz="4" w:space="0" w:color="auto"/>
              <w:bottom w:val="single" w:sz="4" w:space="0" w:color="auto"/>
              <w:right w:val="single" w:sz="4" w:space="0" w:color="auto"/>
            </w:tcBorders>
            <w:vAlign w:val="center"/>
            <w:hideMark/>
          </w:tcPr>
          <w:p w14:paraId="21E084C9" w14:textId="77777777" w:rsidR="00101630" w:rsidRDefault="00101630">
            <w:pPr>
              <w:tabs>
                <w:tab w:val="center" w:pos="4513"/>
                <w:tab w:val="right" w:pos="9026"/>
              </w:tabs>
              <w:rPr>
                <w:rFonts w:ascii="Calibri" w:hAnsi="Calibri"/>
                <w:szCs w:val="20"/>
              </w:rPr>
            </w:pPr>
            <w:r>
              <w:rPr>
                <w:rFonts w:ascii="Calibri" w:hAnsi="Calibri"/>
                <w:szCs w:val="20"/>
              </w:rPr>
              <w:t>Are decisions about scope, definitions and evidence review parameters documented and publicly available?</w:t>
            </w:r>
          </w:p>
        </w:tc>
        <w:tc>
          <w:tcPr>
            <w:tcW w:w="1158" w:type="dxa"/>
            <w:tcBorders>
              <w:top w:val="single" w:sz="8" w:space="0" w:color="auto"/>
              <w:left w:val="single" w:sz="4" w:space="0" w:color="auto"/>
              <w:bottom w:val="single" w:sz="4" w:space="0" w:color="auto"/>
              <w:right w:val="single" w:sz="4" w:space="0" w:color="auto"/>
            </w:tcBorders>
          </w:tcPr>
          <w:p w14:paraId="3D52E96A" w14:textId="2CBA8AF8" w:rsidR="00101630" w:rsidRDefault="00101630">
            <w:pPr>
              <w:tabs>
                <w:tab w:val="center" w:pos="4513"/>
                <w:tab w:val="right" w:pos="9026"/>
              </w:tabs>
              <w:rPr>
                <w:rFonts w:ascii="Calibri" w:hAnsi="Calibri"/>
                <w:szCs w:val="20"/>
              </w:rPr>
            </w:pPr>
          </w:p>
        </w:tc>
        <w:tc>
          <w:tcPr>
            <w:tcW w:w="6071" w:type="dxa"/>
            <w:tcBorders>
              <w:top w:val="single" w:sz="8" w:space="0" w:color="auto"/>
              <w:left w:val="single" w:sz="4" w:space="0" w:color="auto"/>
              <w:bottom w:val="single" w:sz="4" w:space="0" w:color="auto"/>
              <w:right w:val="single" w:sz="8" w:space="0" w:color="auto"/>
            </w:tcBorders>
            <w:vAlign w:val="center"/>
          </w:tcPr>
          <w:p w14:paraId="30D14B8B" w14:textId="268DE5ED" w:rsidR="00101630" w:rsidRDefault="00101630">
            <w:pPr>
              <w:tabs>
                <w:tab w:val="center" w:pos="4513"/>
                <w:tab w:val="right" w:pos="9026"/>
              </w:tabs>
              <w:rPr>
                <w:rFonts w:ascii="Calibri" w:hAnsi="Calibri"/>
                <w:szCs w:val="20"/>
              </w:rPr>
            </w:pPr>
          </w:p>
        </w:tc>
        <w:tc>
          <w:tcPr>
            <w:tcW w:w="851" w:type="dxa"/>
            <w:tcBorders>
              <w:top w:val="single" w:sz="8" w:space="0" w:color="auto"/>
              <w:left w:val="single" w:sz="4" w:space="0" w:color="auto"/>
              <w:bottom w:val="single" w:sz="4" w:space="0" w:color="auto"/>
              <w:right w:val="single" w:sz="8" w:space="0" w:color="auto"/>
            </w:tcBorders>
          </w:tcPr>
          <w:p w14:paraId="684BEAA3" w14:textId="77777777" w:rsidR="00101630" w:rsidRDefault="00101630">
            <w:pPr>
              <w:tabs>
                <w:tab w:val="center" w:pos="4513"/>
                <w:tab w:val="right" w:pos="9026"/>
              </w:tabs>
              <w:rPr>
                <w:rFonts w:ascii="Calibri" w:hAnsi="Calibri"/>
                <w:szCs w:val="20"/>
              </w:rPr>
            </w:pPr>
          </w:p>
        </w:tc>
      </w:tr>
      <w:tr w:rsidR="00101630" w14:paraId="12D61016"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tcPr>
          <w:p w14:paraId="06ED7F56" w14:textId="77777777" w:rsidR="00101630" w:rsidRDefault="00101630">
            <w:pPr>
              <w:tabs>
                <w:tab w:val="center" w:pos="4513"/>
                <w:tab w:val="right" w:pos="9026"/>
              </w:tabs>
              <w:rPr>
                <w:rFonts w:ascii="Calibri" w:hAnsi="Calibri"/>
                <w:szCs w:val="20"/>
              </w:rPr>
            </w:pPr>
            <w:r>
              <w:rPr>
                <w:rFonts w:ascii="Calibri" w:hAnsi="Calibri"/>
                <w:szCs w:val="20"/>
              </w:rPr>
              <w:t xml:space="preserve">Were clinical/research questions </w:t>
            </w:r>
            <w:proofErr w:type="gramStart"/>
            <w:r>
              <w:rPr>
                <w:rFonts w:ascii="Calibri" w:hAnsi="Calibri"/>
                <w:szCs w:val="20"/>
              </w:rPr>
              <w:t>articulated</w:t>
            </w:r>
            <w:proofErr w:type="gramEnd"/>
            <w:r>
              <w:rPr>
                <w:rFonts w:ascii="Calibri" w:hAnsi="Calibri"/>
                <w:szCs w:val="20"/>
              </w:rPr>
              <w:t xml:space="preserve"> and PICO criteria outlined appropriate to the topic?</w:t>
            </w:r>
          </w:p>
        </w:tc>
        <w:tc>
          <w:tcPr>
            <w:tcW w:w="1158" w:type="dxa"/>
            <w:tcBorders>
              <w:top w:val="single" w:sz="4" w:space="0" w:color="auto"/>
              <w:left w:val="single" w:sz="4" w:space="0" w:color="auto"/>
              <w:bottom w:val="single" w:sz="4" w:space="0" w:color="auto"/>
              <w:right w:val="single" w:sz="4" w:space="0" w:color="auto"/>
            </w:tcBorders>
          </w:tcPr>
          <w:p w14:paraId="603AC6FB" w14:textId="30520B1C"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49F062A0" w14:textId="0B7205B8"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26046CFE" w14:textId="77777777" w:rsidR="00101630" w:rsidRDefault="00101630">
            <w:pPr>
              <w:tabs>
                <w:tab w:val="center" w:pos="4513"/>
                <w:tab w:val="right" w:pos="9026"/>
              </w:tabs>
              <w:rPr>
                <w:rFonts w:ascii="Calibri" w:hAnsi="Calibri"/>
                <w:szCs w:val="20"/>
              </w:rPr>
            </w:pPr>
          </w:p>
        </w:tc>
      </w:tr>
      <w:tr w:rsidR="00101630" w14:paraId="30DFB36F"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3933DE3B" w14:textId="77777777" w:rsidR="00101630" w:rsidRPr="00B358F0" w:rsidRDefault="00101630">
            <w:pPr>
              <w:tabs>
                <w:tab w:val="center" w:pos="4513"/>
                <w:tab w:val="right" w:pos="9026"/>
              </w:tabs>
              <w:rPr>
                <w:rFonts w:ascii="Calibri" w:hAnsi="Calibri"/>
                <w:szCs w:val="20"/>
              </w:rPr>
            </w:pPr>
            <w:r w:rsidRPr="00B358F0">
              <w:rPr>
                <w:rFonts w:ascii="Calibri" w:hAnsi="Calibri"/>
                <w:szCs w:val="20"/>
              </w:rPr>
              <w:t xml:space="preserve">Does the organisation use or adopt review findings or risk assessments from other organisations? </w:t>
            </w:r>
          </w:p>
        </w:tc>
        <w:tc>
          <w:tcPr>
            <w:tcW w:w="1158" w:type="dxa"/>
            <w:tcBorders>
              <w:top w:val="single" w:sz="4" w:space="0" w:color="auto"/>
              <w:left w:val="single" w:sz="4" w:space="0" w:color="auto"/>
              <w:bottom w:val="single" w:sz="4" w:space="0" w:color="auto"/>
              <w:right w:val="single" w:sz="4" w:space="0" w:color="auto"/>
            </w:tcBorders>
          </w:tcPr>
          <w:p w14:paraId="15E146CB" w14:textId="60FEAF26" w:rsidR="00101630" w:rsidRPr="00B358F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7E65868D" w14:textId="2AD8FA15"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17E7C0E4" w14:textId="5680EB8A" w:rsidR="00101630" w:rsidRDefault="00101630">
            <w:pPr>
              <w:tabs>
                <w:tab w:val="center" w:pos="4513"/>
                <w:tab w:val="right" w:pos="9026"/>
              </w:tabs>
              <w:rPr>
                <w:rFonts w:ascii="Calibri" w:hAnsi="Calibri"/>
                <w:szCs w:val="20"/>
              </w:rPr>
            </w:pPr>
          </w:p>
        </w:tc>
      </w:tr>
      <w:tr w:rsidR="00101630" w14:paraId="7C4C7ED4"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10F3838B" w14:textId="77777777" w:rsidR="00101630" w:rsidRPr="00B358F0" w:rsidRDefault="00101630" w:rsidP="00211F4C">
            <w:pPr>
              <w:pStyle w:val="ListParagraph"/>
              <w:numPr>
                <w:ilvl w:val="0"/>
                <w:numId w:val="36"/>
              </w:numPr>
              <w:tabs>
                <w:tab w:val="center" w:pos="4513"/>
                <w:tab w:val="right" w:pos="9026"/>
              </w:tabs>
              <w:spacing w:line="240" w:lineRule="auto"/>
              <w:contextualSpacing/>
              <w:rPr>
                <w:rFonts w:ascii="Calibri" w:hAnsi="Calibri"/>
                <w:szCs w:val="20"/>
              </w:rPr>
            </w:pPr>
            <w:r w:rsidRPr="00B358F0">
              <w:rPr>
                <w:rFonts w:ascii="Calibri" w:hAnsi="Calibri"/>
                <w:szCs w:val="20"/>
              </w:rPr>
              <w:t>what process was used to critically assess these external findings?</w:t>
            </w:r>
          </w:p>
        </w:tc>
        <w:tc>
          <w:tcPr>
            <w:tcW w:w="1158" w:type="dxa"/>
            <w:tcBorders>
              <w:top w:val="single" w:sz="4" w:space="0" w:color="auto"/>
              <w:left w:val="single" w:sz="4" w:space="0" w:color="auto"/>
              <w:bottom w:val="single" w:sz="4" w:space="0" w:color="auto"/>
              <w:right w:val="single" w:sz="4" w:space="0" w:color="auto"/>
            </w:tcBorders>
          </w:tcPr>
          <w:p w14:paraId="690A1348" w14:textId="25923580" w:rsidR="00101630" w:rsidRPr="00B358F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42929C4E" w14:textId="77777777"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0D832C70" w14:textId="77777777" w:rsidR="00101630" w:rsidRDefault="00101630">
            <w:pPr>
              <w:tabs>
                <w:tab w:val="center" w:pos="4513"/>
                <w:tab w:val="right" w:pos="9026"/>
              </w:tabs>
              <w:rPr>
                <w:rFonts w:ascii="Calibri" w:hAnsi="Calibri"/>
                <w:szCs w:val="20"/>
              </w:rPr>
            </w:pPr>
          </w:p>
        </w:tc>
      </w:tr>
      <w:tr w:rsidR="00101630" w14:paraId="1DCB9EC4"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tcPr>
          <w:p w14:paraId="1DAA896C" w14:textId="77777777" w:rsidR="00101630" w:rsidRDefault="00101630">
            <w:pPr>
              <w:tabs>
                <w:tab w:val="center" w:pos="4513"/>
                <w:tab w:val="right" w:pos="9026"/>
              </w:tabs>
              <w:rPr>
                <w:rFonts w:ascii="Calibri" w:hAnsi="Calibri"/>
                <w:szCs w:val="20"/>
              </w:rPr>
            </w:pPr>
            <w:r>
              <w:rPr>
                <w:rFonts w:ascii="Calibri" w:hAnsi="Calibri"/>
                <w:szCs w:val="20"/>
              </w:rPr>
              <w:t>Did the organisation undertake their own systematic literature review?</w:t>
            </w:r>
          </w:p>
        </w:tc>
        <w:tc>
          <w:tcPr>
            <w:tcW w:w="1158" w:type="dxa"/>
            <w:tcBorders>
              <w:top w:val="single" w:sz="4" w:space="0" w:color="auto"/>
              <w:left w:val="single" w:sz="4" w:space="0" w:color="auto"/>
              <w:bottom w:val="single" w:sz="4" w:space="0" w:color="auto"/>
              <w:right w:val="single" w:sz="4" w:space="0" w:color="auto"/>
            </w:tcBorders>
          </w:tcPr>
          <w:p w14:paraId="3266B832" w14:textId="25E34AD1"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29B52657" w14:textId="2E2D9614" w:rsidR="00101630" w:rsidRDefault="00101630">
            <w:pPr>
              <w:tabs>
                <w:tab w:val="center" w:pos="4513"/>
                <w:tab w:val="right" w:pos="9026"/>
              </w:tabs>
              <w:rPr>
                <w:rFonts w:ascii="Calibri" w:hAnsi="Calibri"/>
              </w:rPr>
            </w:pPr>
          </w:p>
        </w:tc>
        <w:tc>
          <w:tcPr>
            <w:tcW w:w="851" w:type="dxa"/>
            <w:tcBorders>
              <w:top w:val="single" w:sz="4" w:space="0" w:color="auto"/>
              <w:left w:val="single" w:sz="4" w:space="0" w:color="auto"/>
              <w:bottom w:val="single" w:sz="4" w:space="0" w:color="auto"/>
              <w:right w:val="single" w:sz="8" w:space="0" w:color="auto"/>
            </w:tcBorders>
          </w:tcPr>
          <w:p w14:paraId="258C98B8" w14:textId="751B2A2A" w:rsidR="00101630" w:rsidRDefault="00101630">
            <w:pPr>
              <w:tabs>
                <w:tab w:val="center" w:pos="4513"/>
                <w:tab w:val="right" w:pos="9026"/>
              </w:tabs>
              <w:rPr>
                <w:rFonts w:ascii="Calibri" w:hAnsi="Calibri"/>
                <w:szCs w:val="20"/>
              </w:rPr>
            </w:pPr>
          </w:p>
        </w:tc>
      </w:tr>
      <w:tr w:rsidR="00101630" w14:paraId="12080123"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tcPr>
          <w:p w14:paraId="27968977" w14:textId="77777777" w:rsidR="00101630" w:rsidRPr="006D2A73" w:rsidRDefault="00101630">
            <w:pPr>
              <w:tabs>
                <w:tab w:val="center" w:pos="4513"/>
                <w:tab w:val="right" w:pos="9026"/>
              </w:tabs>
              <w:spacing w:line="240" w:lineRule="auto"/>
              <w:rPr>
                <w:rFonts w:ascii="Calibri" w:eastAsia="Yu Mincho" w:hAnsi="Calibri"/>
                <w:szCs w:val="20"/>
                <w:lang w:eastAsia="zh-TW"/>
              </w:rPr>
            </w:pPr>
            <w:r w:rsidRPr="006D2A73">
              <w:rPr>
                <w:rFonts w:ascii="Calibri" w:eastAsia="Yu Mincho" w:hAnsi="Calibri"/>
                <w:szCs w:val="20"/>
                <w:lang w:eastAsia="zh-TW"/>
              </w:rPr>
              <w:t>Has the evidence report been reviewed by experts independent from the review authors?</w:t>
            </w:r>
            <w:r w:rsidRPr="006D2A73">
              <w:rPr>
                <w:rFonts w:ascii="Calibri" w:eastAsia="Yu Mincho" w:hAnsi="Calibri"/>
                <w:lang w:eastAsia="zh-TW"/>
              </w:rPr>
              <w:t xml:space="preserve"> (e.g. peer review or committee review)? </w:t>
            </w:r>
          </w:p>
        </w:tc>
        <w:tc>
          <w:tcPr>
            <w:tcW w:w="1158" w:type="dxa"/>
            <w:tcBorders>
              <w:top w:val="single" w:sz="4" w:space="0" w:color="auto"/>
              <w:left w:val="single" w:sz="4" w:space="0" w:color="auto"/>
              <w:bottom w:val="single" w:sz="4" w:space="0" w:color="auto"/>
              <w:right w:val="single" w:sz="4" w:space="0" w:color="auto"/>
            </w:tcBorders>
            <w:vAlign w:val="center"/>
          </w:tcPr>
          <w:p w14:paraId="55245FEA" w14:textId="40D0503A"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tcPr>
          <w:p w14:paraId="6F806AFF" w14:textId="2208A5E0"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vAlign w:val="center"/>
          </w:tcPr>
          <w:p w14:paraId="06374969" w14:textId="77777777" w:rsidR="00101630" w:rsidRDefault="00101630">
            <w:pPr>
              <w:tabs>
                <w:tab w:val="center" w:pos="4513"/>
                <w:tab w:val="right" w:pos="9026"/>
              </w:tabs>
              <w:rPr>
                <w:rFonts w:ascii="Calibri" w:hAnsi="Calibri"/>
                <w:szCs w:val="20"/>
              </w:rPr>
            </w:pPr>
          </w:p>
        </w:tc>
      </w:tr>
      <w:tr w:rsidR="00101630" w14:paraId="4428B573"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582053D6" w14:textId="77777777" w:rsidR="00101630" w:rsidRDefault="00101630">
            <w:pPr>
              <w:tabs>
                <w:tab w:val="center" w:pos="4513"/>
                <w:tab w:val="right" w:pos="9026"/>
              </w:tabs>
              <w:rPr>
                <w:rFonts w:ascii="Calibri" w:hAnsi="Calibri"/>
                <w:szCs w:val="20"/>
              </w:rPr>
            </w:pPr>
            <w:r>
              <w:rPr>
                <w:rFonts w:ascii="Calibri" w:hAnsi="Calibri"/>
                <w:szCs w:val="20"/>
              </w:rPr>
              <w:t xml:space="preserve">Does the organisation use or undertake systematic literature review methods to identify and select data underpinning the advice? </w:t>
            </w:r>
          </w:p>
        </w:tc>
        <w:tc>
          <w:tcPr>
            <w:tcW w:w="1158" w:type="dxa"/>
            <w:tcBorders>
              <w:top w:val="single" w:sz="4" w:space="0" w:color="auto"/>
              <w:left w:val="single" w:sz="4" w:space="0" w:color="auto"/>
              <w:bottom w:val="single" w:sz="4" w:space="0" w:color="auto"/>
              <w:right w:val="single" w:sz="4" w:space="0" w:color="auto"/>
            </w:tcBorders>
          </w:tcPr>
          <w:p w14:paraId="6B3D1474" w14:textId="67ECE03B"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21468C92" w14:textId="0188608E"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2A8B7C35" w14:textId="12A29059" w:rsidR="00101630" w:rsidRDefault="00101630">
            <w:pPr>
              <w:tabs>
                <w:tab w:val="center" w:pos="4513"/>
                <w:tab w:val="right" w:pos="9026"/>
              </w:tabs>
              <w:rPr>
                <w:rFonts w:ascii="Calibri" w:hAnsi="Calibri"/>
                <w:szCs w:val="20"/>
              </w:rPr>
            </w:pPr>
          </w:p>
        </w:tc>
      </w:tr>
      <w:tr w:rsidR="00101630" w14:paraId="44155D3B"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68C5DF75" w14:textId="77777777" w:rsidR="00101630" w:rsidRDefault="00101630" w:rsidP="00211F4C">
            <w:pPr>
              <w:pStyle w:val="ListParagraph"/>
              <w:numPr>
                <w:ilvl w:val="0"/>
                <w:numId w:val="35"/>
              </w:numPr>
              <w:tabs>
                <w:tab w:val="center" w:pos="4513"/>
                <w:tab w:val="right" w:pos="9026"/>
              </w:tabs>
              <w:spacing w:line="240" w:lineRule="auto"/>
              <w:contextualSpacing/>
              <w:rPr>
                <w:rFonts w:ascii="Calibri" w:hAnsi="Calibri"/>
                <w:szCs w:val="20"/>
              </w:rPr>
            </w:pPr>
            <w:r w:rsidRPr="38047715">
              <w:rPr>
                <w:rFonts w:ascii="Calibri" w:hAnsi="Calibri"/>
              </w:rPr>
              <w:t>are the methods used documented clearly?</w:t>
            </w:r>
          </w:p>
        </w:tc>
        <w:tc>
          <w:tcPr>
            <w:tcW w:w="1158" w:type="dxa"/>
            <w:tcBorders>
              <w:top w:val="single" w:sz="4" w:space="0" w:color="auto"/>
              <w:left w:val="single" w:sz="4" w:space="0" w:color="auto"/>
              <w:bottom w:val="single" w:sz="4" w:space="0" w:color="auto"/>
              <w:right w:val="single" w:sz="4" w:space="0" w:color="auto"/>
            </w:tcBorders>
          </w:tcPr>
          <w:p w14:paraId="0A1A6DD0" w14:textId="05631D91"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32F38407" w14:textId="77777777"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431CD49D" w14:textId="77777777" w:rsidR="00101630" w:rsidRDefault="00101630">
            <w:pPr>
              <w:tabs>
                <w:tab w:val="center" w:pos="4513"/>
                <w:tab w:val="right" w:pos="9026"/>
              </w:tabs>
              <w:rPr>
                <w:rFonts w:ascii="Calibri" w:hAnsi="Calibri"/>
                <w:szCs w:val="20"/>
              </w:rPr>
            </w:pPr>
          </w:p>
        </w:tc>
      </w:tr>
      <w:tr w:rsidR="00101630" w14:paraId="3632A838"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02A6843E" w14:textId="77777777" w:rsidR="00101630" w:rsidRDefault="00101630" w:rsidP="00211F4C">
            <w:pPr>
              <w:pStyle w:val="ListParagraph"/>
              <w:numPr>
                <w:ilvl w:val="0"/>
                <w:numId w:val="35"/>
              </w:numPr>
              <w:tabs>
                <w:tab w:val="center" w:pos="4513"/>
                <w:tab w:val="right" w:pos="9026"/>
              </w:tabs>
              <w:spacing w:line="240" w:lineRule="auto"/>
              <w:contextualSpacing/>
              <w:rPr>
                <w:rFonts w:ascii="Calibri" w:hAnsi="Calibri"/>
                <w:szCs w:val="20"/>
              </w:rPr>
            </w:pPr>
            <w:r w:rsidRPr="38047715">
              <w:rPr>
                <w:rFonts w:ascii="Calibri" w:hAnsi="Calibri"/>
              </w:rPr>
              <w:t xml:space="preserve">are inclusion/exclusion criteria used to select or exclude certain studies from the review? </w:t>
            </w:r>
          </w:p>
        </w:tc>
        <w:tc>
          <w:tcPr>
            <w:tcW w:w="1158" w:type="dxa"/>
            <w:tcBorders>
              <w:top w:val="single" w:sz="4" w:space="0" w:color="auto"/>
              <w:left w:val="single" w:sz="4" w:space="0" w:color="auto"/>
              <w:bottom w:val="single" w:sz="4" w:space="0" w:color="auto"/>
              <w:right w:val="single" w:sz="4" w:space="0" w:color="auto"/>
            </w:tcBorders>
          </w:tcPr>
          <w:p w14:paraId="492BEFE7" w14:textId="1C6B6D1F"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359F3F4C" w14:textId="4671F25B"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394C10F0" w14:textId="77777777" w:rsidR="00101630" w:rsidRDefault="00101630">
            <w:pPr>
              <w:tabs>
                <w:tab w:val="center" w:pos="4513"/>
                <w:tab w:val="right" w:pos="9026"/>
              </w:tabs>
              <w:rPr>
                <w:rFonts w:ascii="Calibri" w:hAnsi="Calibri"/>
                <w:szCs w:val="20"/>
              </w:rPr>
            </w:pPr>
          </w:p>
        </w:tc>
      </w:tr>
      <w:tr w:rsidR="00101630" w14:paraId="18974382"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506C4ECD" w14:textId="77777777" w:rsidR="00101630" w:rsidRDefault="00101630" w:rsidP="00211F4C">
            <w:pPr>
              <w:pStyle w:val="ListParagraph"/>
              <w:numPr>
                <w:ilvl w:val="0"/>
                <w:numId w:val="35"/>
              </w:numPr>
              <w:tabs>
                <w:tab w:val="center" w:pos="4513"/>
                <w:tab w:val="right" w:pos="9026"/>
              </w:tabs>
              <w:spacing w:line="240" w:lineRule="auto"/>
              <w:contextualSpacing/>
              <w:rPr>
                <w:rFonts w:ascii="Calibri" w:hAnsi="Calibri"/>
                <w:szCs w:val="20"/>
              </w:rPr>
            </w:pPr>
            <w:r w:rsidRPr="38047715">
              <w:rPr>
                <w:rFonts w:ascii="Calibri" w:hAnsi="Calibri"/>
              </w:rPr>
              <w:t>is justification of inclusion/exclusion criteria provided?</w:t>
            </w:r>
          </w:p>
        </w:tc>
        <w:tc>
          <w:tcPr>
            <w:tcW w:w="1158" w:type="dxa"/>
            <w:tcBorders>
              <w:top w:val="single" w:sz="4" w:space="0" w:color="auto"/>
              <w:left w:val="single" w:sz="4" w:space="0" w:color="auto"/>
              <w:bottom w:val="single" w:sz="4" w:space="0" w:color="auto"/>
              <w:right w:val="single" w:sz="4" w:space="0" w:color="auto"/>
            </w:tcBorders>
          </w:tcPr>
          <w:p w14:paraId="6617DBDF" w14:textId="51593CCA"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3C5AEC34" w14:textId="0FC9F218"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072459D7" w14:textId="77777777" w:rsidR="00101630" w:rsidRDefault="00101630">
            <w:pPr>
              <w:tabs>
                <w:tab w:val="center" w:pos="4513"/>
                <w:tab w:val="right" w:pos="9026"/>
              </w:tabs>
              <w:rPr>
                <w:rFonts w:ascii="Calibri" w:hAnsi="Calibri"/>
                <w:szCs w:val="20"/>
              </w:rPr>
            </w:pPr>
          </w:p>
        </w:tc>
      </w:tr>
    </w:tbl>
    <w:p w14:paraId="34296499" w14:textId="3BC7F64B" w:rsidR="00101630" w:rsidRPr="00D2546D" w:rsidRDefault="00101630" w:rsidP="00365D07">
      <w:pPr>
        <w:rPr>
          <w:b/>
          <w:bCs/>
        </w:rPr>
      </w:pPr>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87"/>
        <w:gridCol w:w="1158"/>
        <w:gridCol w:w="6071"/>
        <w:gridCol w:w="851"/>
      </w:tblGrid>
      <w:tr w:rsidR="00EE278C" w14:paraId="2793D820" w14:textId="77777777" w:rsidTr="00D2546D">
        <w:trPr>
          <w:cantSplit/>
          <w:tblHeader/>
        </w:trPr>
        <w:tc>
          <w:tcPr>
            <w:tcW w:w="6487" w:type="dxa"/>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7BC2713E" w14:textId="28C3CF29" w:rsidR="00EE278C" w:rsidRPr="00D2546D" w:rsidRDefault="00EE278C" w:rsidP="00211F4C">
            <w:pPr>
              <w:pStyle w:val="ListParagraph"/>
              <w:numPr>
                <w:ilvl w:val="0"/>
                <w:numId w:val="75"/>
              </w:numPr>
              <w:ind w:left="426"/>
              <w:rPr>
                <w:b/>
                <w:bCs/>
              </w:rPr>
            </w:pPr>
            <w:r w:rsidRPr="00D73872">
              <w:rPr>
                <w:b/>
                <w:bCs/>
              </w:rPr>
              <w:lastRenderedPageBreak/>
              <w:t>Evidence search</w:t>
            </w:r>
          </w:p>
        </w:tc>
        <w:tc>
          <w:tcPr>
            <w:tcW w:w="1158" w:type="dxa"/>
            <w:tcBorders>
              <w:top w:val="single" w:sz="8" w:space="0" w:color="auto"/>
              <w:left w:val="single" w:sz="4" w:space="0" w:color="auto"/>
              <w:bottom w:val="single" w:sz="8" w:space="0" w:color="auto"/>
              <w:right w:val="single" w:sz="8" w:space="0" w:color="auto"/>
            </w:tcBorders>
            <w:shd w:val="clear" w:color="auto" w:fill="000000" w:themeFill="text1"/>
          </w:tcPr>
          <w:p w14:paraId="6D7F5061" w14:textId="77777777" w:rsidR="00EE278C" w:rsidRDefault="00EE278C">
            <w:pPr>
              <w:tabs>
                <w:tab w:val="center" w:pos="4513"/>
                <w:tab w:val="right" w:pos="9026"/>
              </w:tabs>
              <w:rPr>
                <w:rFonts w:ascii="Calibri" w:hAnsi="Calibri"/>
                <w:szCs w:val="20"/>
              </w:rPr>
            </w:pPr>
          </w:p>
        </w:tc>
        <w:tc>
          <w:tcPr>
            <w:tcW w:w="6071" w:type="dxa"/>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483B98FE" w14:textId="77777777" w:rsidR="00EE278C" w:rsidRDefault="00EE278C">
            <w:pPr>
              <w:tabs>
                <w:tab w:val="center" w:pos="4513"/>
                <w:tab w:val="right" w:pos="9026"/>
              </w:tabs>
              <w:rPr>
                <w:rFonts w:ascii="Calibri" w:hAnsi="Calibri"/>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000000" w:themeFill="text1"/>
          </w:tcPr>
          <w:p w14:paraId="31691693" w14:textId="77777777" w:rsidR="00EE278C" w:rsidRDefault="00EE278C">
            <w:pPr>
              <w:tabs>
                <w:tab w:val="center" w:pos="4513"/>
                <w:tab w:val="right" w:pos="9026"/>
              </w:tabs>
              <w:rPr>
                <w:rFonts w:ascii="Calibri" w:hAnsi="Calibri"/>
                <w:szCs w:val="20"/>
              </w:rPr>
            </w:pPr>
          </w:p>
        </w:tc>
      </w:tr>
      <w:tr w:rsidR="00101630" w14:paraId="2229CCA2" w14:textId="77777777" w:rsidTr="00EC0F9C">
        <w:trPr>
          <w:cantSplit/>
          <w:tblHeader/>
        </w:trPr>
        <w:tc>
          <w:tcPr>
            <w:tcW w:w="648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33051E6B" w14:textId="77777777" w:rsidR="00101630" w:rsidRDefault="00101630">
            <w:pPr>
              <w:tabs>
                <w:tab w:val="center" w:pos="4513"/>
                <w:tab w:val="right" w:pos="9026"/>
              </w:tabs>
              <w:rPr>
                <w:rFonts w:ascii="Calibri" w:hAnsi="Calibri"/>
                <w:b/>
                <w:bCs/>
                <w:szCs w:val="20"/>
                <w:vertAlign w:val="superscript"/>
              </w:rPr>
            </w:pPr>
            <w:r>
              <w:rPr>
                <w:rFonts w:ascii="Calibri" w:hAnsi="Calibri"/>
                <w:b/>
                <w:bCs/>
                <w:szCs w:val="20"/>
              </w:rPr>
              <w:t>Criteria</w:t>
            </w:r>
          </w:p>
        </w:tc>
        <w:tc>
          <w:tcPr>
            <w:tcW w:w="1158" w:type="dxa"/>
            <w:tcBorders>
              <w:top w:val="single" w:sz="8" w:space="0" w:color="auto"/>
              <w:left w:val="single" w:sz="4" w:space="0" w:color="auto"/>
              <w:bottom w:val="single" w:sz="8" w:space="0" w:color="auto"/>
              <w:right w:val="single" w:sz="8" w:space="0" w:color="auto"/>
            </w:tcBorders>
            <w:shd w:val="clear" w:color="auto" w:fill="BFBFBF" w:themeFill="background1" w:themeFillShade="BF"/>
            <w:hideMark/>
          </w:tcPr>
          <w:p w14:paraId="666CCABB" w14:textId="77777777" w:rsidR="00101630" w:rsidRDefault="00101630">
            <w:pPr>
              <w:tabs>
                <w:tab w:val="center" w:pos="4513"/>
                <w:tab w:val="right" w:pos="9026"/>
              </w:tabs>
              <w:rPr>
                <w:rFonts w:ascii="Calibri" w:hAnsi="Calibri"/>
                <w:szCs w:val="20"/>
              </w:rPr>
            </w:pPr>
            <w:r>
              <w:rPr>
                <w:rFonts w:ascii="Calibri" w:hAnsi="Calibri"/>
                <w:szCs w:val="20"/>
              </w:rPr>
              <w:t>Yes/No/NA</w:t>
            </w:r>
          </w:p>
        </w:tc>
        <w:tc>
          <w:tcPr>
            <w:tcW w:w="607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76AA5C4B" w14:textId="77777777" w:rsidR="00101630" w:rsidRDefault="00101630">
            <w:pPr>
              <w:tabs>
                <w:tab w:val="center" w:pos="4513"/>
                <w:tab w:val="right" w:pos="9026"/>
              </w:tabs>
              <w:rPr>
                <w:rFonts w:ascii="Calibri" w:hAnsi="Calibri"/>
                <w:szCs w:val="20"/>
              </w:rPr>
            </w:pPr>
            <w:r>
              <w:rPr>
                <w:rFonts w:ascii="Calibri" w:hAnsi="Calibri"/>
                <w:szCs w:val="20"/>
              </w:rPr>
              <w:t>Comment</w:t>
            </w:r>
          </w:p>
        </w:tc>
        <w:tc>
          <w:tcPr>
            <w:tcW w:w="85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0A3ACD3" w14:textId="77777777" w:rsidR="00101630" w:rsidRDefault="00101630">
            <w:pPr>
              <w:tabs>
                <w:tab w:val="center" w:pos="4513"/>
                <w:tab w:val="right" w:pos="9026"/>
              </w:tabs>
              <w:rPr>
                <w:rFonts w:ascii="Calibri" w:hAnsi="Calibri"/>
                <w:szCs w:val="20"/>
              </w:rPr>
            </w:pPr>
            <w:r>
              <w:rPr>
                <w:rFonts w:ascii="Calibri" w:hAnsi="Calibri"/>
                <w:szCs w:val="20"/>
              </w:rPr>
              <w:t>Page #</w:t>
            </w:r>
          </w:p>
        </w:tc>
      </w:tr>
      <w:tr w:rsidR="00101630" w14:paraId="7646177E" w14:textId="77777777" w:rsidTr="00EC0F9C">
        <w:trPr>
          <w:cantSplit/>
        </w:trPr>
        <w:tc>
          <w:tcPr>
            <w:tcW w:w="6487" w:type="dxa"/>
            <w:tcBorders>
              <w:top w:val="single" w:sz="8" w:space="0" w:color="auto"/>
              <w:left w:val="single" w:sz="4" w:space="0" w:color="auto"/>
              <w:bottom w:val="single" w:sz="4" w:space="0" w:color="auto"/>
              <w:right w:val="single" w:sz="4" w:space="0" w:color="auto"/>
            </w:tcBorders>
            <w:vAlign w:val="center"/>
            <w:hideMark/>
          </w:tcPr>
          <w:p w14:paraId="389C1C40" w14:textId="77777777" w:rsidR="00101630" w:rsidRDefault="00101630">
            <w:pPr>
              <w:tabs>
                <w:tab w:val="center" w:pos="4513"/>
                <w:tab w:val="right" w:pos="9026"/>
              </w:tabs>
              <w:rPr>
                <w:rFonts w:ascii="Calibri" w:hAnsi="Calibri"/>
                <w:szCs w:val="20"/>
              </w:rPr>
            </w:pPr>
            <w:r>
              <w:rPr>
                <w:rFonts w:ascii="Calibri" w:hAnsi="Calibri"/>
                <w:szCs w:val="20"/>
              </w:rPr>
              <w:t>Are databases and other sources of evidence specified?</w:t>
            </w:r>
          </w:p>
        </w:tc>
        <w:tc>
          <w:tcPr>
            <w:tcW w:w="1158" w:type="dxa"/>
            <w:tcBorders>
              <w:top w:val="single" w:sz="8" w:space="0" w:color="auto"/>
              <w:left w:val="single" w:sz="4" w:space="0" w:color="auto"/>
              <w:bottom w:val="single" w:sz="4" w:space="0" w:color="auto"/>
              <w:right w:val="single" w:sz="4" w:space="0" w:color="auto"/>
            </w:tcBorders>
          </w:tcPr>
          <w:p w14:paraId="57F48779" w14:textId="26F4BE03" w:rsidR="00101630" w:rsidRDefault="00101630">
            <w:pPr>
              <w:tabs>
                <w:tab w:val="center" w:pos="4513"/>
                <w:tab w:val="right" w:pos="9026"/>
              </w:tabs>
              <w:rPr>
                <w:rFonts w:ascii="Calibri" w:hAnsi="Calibri"/>
                <w:szCs w:val="20"/>
              </w:rPr>
            </w:pPr>
          </w:p>
        </w:tc>
        <w:tc>
          <w:tcPr>
            <w:tcW w:w="6071" w:type="dxa"/>
            <w:tcBorders>
              <w:top w:val="single" w:sz="8" w:space="0" w:color="auto"/>
              <w:left w:val="single" w:sz="4" w:space="0" w:color="auto"/>
              <w:bottom w:val="single" w:sz="4" w:space="0" w:color="auto"/>
              <w:right w:val="single" w:sz="8" w:space="0" w:color="auto"/>
            </w:tcBorders>
            <w:vAlign w:val="center"/>
          </w:tcPr>
          <w:p w14:paraId="5AFE0260" w14:textId="2719E1B6" w:rsidR="00101630" w:rsidRDefault="00101630">
            <w:pPr>
              <w:tabs>
                <w:tab w:val="center" w:pos="4513"/>
                <w:tab w:val="right" w:pos="9026"/>
              </w:tabs>
              <w:rPr>
                <w:rFonts w:ascii="Calibri" w:hAnsi="Calibri"/>
                <w:szCs w:val="20"/>
              </w:rPr>
            </w:pPr>
          </w:p>
        </w:tc>
        <w:tc>
          <w:tcPr>
            <w:tcW w:w="851" w:type="dxa"/>
            <w:tcBorders>
              <w:top w:val="single" w:sz="8" w:space="0" w:color="auto"/>
              <w:left w:val="single" w:sz="4" w:space="0" w:color="auto"/>
              <w:bottom w:val="single" w:sz="4" w:space="0" w:color="auto"/>
              <w:right w:val="single" w:sz="8" w:space="0" w:color="auto"/>
            </w:tcBorders>
          </w:tcPr>
          <w:p w14:paraId="5DADF969" w14:textId="3E74EFA2" w:rsidR="00101630" w:rsidRDefault="00101630">
            <w:pPr>
              <w:tabs>
                <w:tab w:val="center" w:pos="4513"/>
                <w:tab w:val="right" w:pos="9026"/>
              </w:tabs>
              <w:rPr>
                <w:rFonts w:ascii="Calibri" w:hAnsi="Calibri"/>
                <w:szCs w:val="20"/>
              </w:rPr>
            </w:pPr>
          </w:p>
        </w:tc>
      </w:tr>
      <w:tr w:rsidR="00101630" w14:paraId="6BD86FA4"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7A00419E" w14:textId="77777777" w:rsidR="00101630" w:rsidRDefault="00101630">
            <w:pPr>
              <w:tabs>
                <w:tab w:val="center" w:pos="4513"/>
                <w:tab w:val="right" w:pos="9026"/>
              </w:tabs>
              <w:rPr>
                <w:rFonts w:ascii="Calibri" w:hAnsi="Calibri"/>
                <w:szCs w:val="20"/>
              </w:rPr>
            </w:pPr>
            <w:r>
              <w:rPr>
                <w:rFonts w:ascii="Calibri" w:hAnsi="Calibri"/>
                <w:szCs w:val="20"/>
              </w:rPr>
              <w:t xml:space="preserve">Does the literature search cover at least more than one scientific database as well as additional sources (which may include government reports and grey literature)? </w:t>
            </w:r>
          </w:p>
        </w:tc>
        <w:tc>
          <w:tcPr>
            <w:tcW w:w="1158" w:type="dxa"/>
            <w:tcBorders>
              <w:top w:val="single" w:sz="4" w:space="0" w:color="auto"/>
              <w:left w:val="single" w:sz="4" w:space="0" w:color="auto"/>
              <w:bottom w:val="single" w:sz="4" w:space="0" w:color="auto"/>
              <w:right w:val="single" w:sz="4" w:space="0" w:color="auto"/>
            </w:tcBorders>
          </w:tcPr>
          <w:p w14:paraId="76E24C8C" w14:textId="20B49186"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629F8454" w14:textId="4ABF1C7C"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1CA472E5" w14:textId="77777777" w:rsidR="00101630" w:rsidRDefault="00101630">
            <w:pPr>
              <w:tabs>
                <w:tab w:val="center" w:pos="4513"/>
                <w:tab w:val="right" w:pos="9026"/>
              </w:tabs>
              <w:rPr>
                <w:rFonts w:ascii="Calibri" w:hAnsi="Calibri"/>
                <w:szCs w:val="20"/>
              </w:rPr>
            </w:pPr>
          </w:p>
        </w:tc>
      </w:tr>
      <w:tr w:rsidR="00101630" w14:paraId="79B7B35F"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693FC61C" w14:textId="77777777" w:rsidR="00101630" w:rsidRDefault="00101630">
            <w:pPr>
              <w:tabs>
                <w:tab w:val="center" w:pos="4513"/>
                <w:tab w:val="right" w:pos="9026"/>
              </w:tabs>
              <w:rPr>
                <w:rFonts w:ascii="Calibri" w:hAnsi="Calibri"/>
                <w:szCs w:val="20"/>
              </w:rPr>
            </w:pPr>
            <w:r>
              <w:rPr>
                <w:rFonts w:ascii="Calibri" w:hAnsi="Calibri"/>
                <w:szCs w:val="20"/>
              </w:rPr>
              <w:t xml:space="preserve">Is the date range of the literature search specified and justified? </w:t>
            </w:r>
          </w:p>
        </w:tc>
        <w:tc>
          <w:tcPr>
            <w:tcW w:w="1158" w:type="dxa"/>
            <w:tcBorders>
              <w:top w:val="single" w:sz="4" w:space="0" w:color="auto"/>
              <w:left w:val="single" w:sz="4" w:space="0" w:color="auto"/>
              <w:bottom w:val="single" w:sz="4" w:space="0" w:color="auto"/>
              <w:right w:val="single" w:sz="4" w:space="0" w:color="auto"/>
            </w:tcBorders>
          </w:tcPr>
          <w:p w14:paraId="4EA010CA" w14:textId="438B70B0"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6DB0EF72" w14:textId="7FF70BC5" w:rsidR="00101630" w:rsidRDefault="00101630">
            <w:pPr>
              <w:tabs>
                <w:tab w:val="center" w:pos="4513"/>
                <w:tab w:val="right" w:pos="9026"/>
              </w:tabs>
              <w:rPr>
                <w:rFonts w:ascii="Calibri" w:hAnsi="Calibri"/>
              </w:rPr>
            </w:pPr>
          </w:p>
        </w:tc>
        <w:tc>
          <w:tcPr>
            <w:tcW w:w="851" w:type="dxa"/>
            <w:tcBorders>
              <w:top w:val="single" w:sz="4" w:space="0" w:color="auto"/>
              <w:left w:val="single" w:sz="4" w:space="0" w:color="auto"/>
              <w:bottom w:val="single" w:sz="4" w:space="0" w:color="auto"/>
              <w:right w:val="single" w:sz="8" w:space="0" w:color="auto"/>
            </w:tcBorders>
          </w:tcPr>
          <w:p w14:paraId="37DECEFE" w14:textId="4A3F784D" w:rsidR="00101630" w:rsidRDefault="00101630">
            <w:pPr>
              <w:tabs>
                <w:tab w:val="center" w:pos="4513"/>
                <w:tab w:val="right" w:pos="9026"/>
              </w:tabs>
              <w:rPr>
                <w:rFonts w:ascii="Calibri" w:hAnsi="Calibri"/>
                <w:szCs w:val="20"/>
              </w:rPr>
            </w:pPr>
          </w:p>
        </w:tc>
      </w:tr>
      <w:tr w:rsidR="00101630" w14:paraId="5A5BADC2"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17694032" w14:textId="77777777" w:rsidR="00101630" w:rsidRDefault="00101630">
            <w:pPr>
              <w:tabs>
                <w:tab w:val="center" w:pos="4513"/>
                <w:tab w:val="right" w:pos="9026"/>
              </w:tabs>
              <w:rPr>
                <w:rFonts w:ascii="Calibri" w:hAnsi="Calibri"/>
                <w:szCs w:val="20"/>
              </w:rPr>
            </w:pPr>
            <w:r>
              <w:rPr>
                <w:rFonts w:ascii="Calibri" w:hAnsi="Calibri"/>
                <w:szCs w:val="20"/>
              </w:rPr>
              <w:t xml:space="preserve">Are search terms and/or search strings specified? </w:t>
            </w:r>
          </w:p>
        </w:tc>
        <w:tc>
          <w:tcPr>
            <w:tcW w:w="1158" w:type="dxa"/>
            <w:tcBorders>
              <w:top w:val="single" w:sz="4" w:space="0" w:color="auto"/>
              <w:left w:val="single" w:sz="4" w:space="0" w:color="auto"/>
              <w:bottom w:val="single" w:sz="4" w:space="0" w:color="auto"/>
              <w:right w:val="single" w:sz="4" w:space="0" w:color="auto"/>
            </w:tcBorders>
          </w:tcPr>
          <w:p w14:paraId="3BD07B3B" w14:textId="55AC41B9"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481461B2" w14:textId="576EEDF9"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50F4CCA5" w14:textId="77777777" w:rsidR="00101630" w:rsidRDefault="00101630">
            <w:pPr>
              <w:tabs>
                <w:tab w:val="center" w:pos="4513"/>
                <w:tab w:val="right" w:pos="9026"/>
              </w:tabs>
              <w:rPr>
                <w:rFonts w:ascii="Calibri" w:hAnsi="Calibri"/>
                <w:szCs w:val="20"/>
              </w:rPr>
            </w:pPr>
          </w:p>
        </w:tc>
      </w:tr>
    </w:tbl>
    <w:p w14:paraId="65630DDB" w14:textId="67474E15" w:rsidR="00101630" w:rsidRPr="00AE571B" w:rsidRDefault="00101630" w:rsidP="00365D07">
      <w:pPr>
        <w:rPr>
          <w:b/>
          <w:bCs/>
        </w:rPr>
      </w:pPr>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87"/>
        <w:gridCol w:w="1158"/>
        <w:gridCol w:w="6071"/>
        <w:gridCol w:w="851"/>
      </w:tblGrid>
      <w:tr w:rsidR="00EE278C" w14:paraId="5148A883" w14:textId="77777777" w:rsidTr="00AE571B">
        <w:trPr>
          <w:cantSplit/>
          <w:tblHeader/>
        </w:trPr>
        <w:tc>
          <w:tcPr>
            <w:tcW w:w="6487" w:type="dxa"/>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757C6B05" w14:textId="68B7C528" w:rsidR="00EE278C" w:rsidRPr="00AE571B" w:rsidRDefault="009A5D1F" w:rsidP="00211F4C">
            <w:pPr>
              <w:pStyle w:val="ListParagraph"/>
              <w:numPr>
                <w:ilvl w:val="0"/>
                <w:numId w:val="75"/>
              </w:numPr>
              <w:ind w:left="447"/>
              <w:rPr>
                <w:b/>
                <w:bCs/>
              </w:rPr>
            </w:pPr>
            <w:r w:rsidRPr="009B5C17">
              <w:rPr>
                <w:b/>
                <w:bCs/>
              </w:rPr>
              <w:t>Critical appraisal methods and tools</w:t>
            </w:r>
          </w:p>
        </w:tc>
        <w:tc>
          <w:tcPr>
            <w:tcW w:w="1158" w:type="dxa"/>
            <w:tcBorders>
              <w:top w:val="single" w:sz="8" w:space="0" w:color="auto"/>
              <w:left w:val="single" w:sz="4" w:space="0" w:color="auto"/>
              <w:bottom w:val="single" w:sz="8" w:space="0" w:color="auto"/>
              <w:right w:val="single" w:sz="8" w:space="0" w:color="auto"/>
            </w:tcBorders>
            <w:shd w:val="clear" w:color="auto" w:fill="000000" w:themeFill="text1"/>
          </w:tcPr>
          <w:p w14:paraId="41228757" w14:textId="77777777" w:rsidR="00EE278C" w:rsidRDefault="00EE278C">
            <w:pPr>
              <w:tabs>
                <w:tab w:val="center" w:pos="4513"/>
                <w:tab w:val="right" w:pos="9026"/>
              </w:tabs>
              <w:rPr>
                <w:rFonts w:ascii="Calibri" w:hAnsi="Calibri"/>
                <w:szCs w:val="20"/>
              </w:rPr>
            </w:pPr>
          </w:p>
        </w:tc>
        <w:tc>
          <w:tcPr>
            <w:tcW w:w="6071" w:type="dxa"/>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64AEFD6E" w14:textId="77777777" w:rsidR="00EE278C" w:rsidRDefault="00EE278C">
            <w:pPr>
              <w:tabs>
                <w:tab w:val="center" w:pos="4513"/>
                <w:tab w:val="right" w:pos="9026"/>
              </w:tabs>
              <w:rPr>
                <w:rFonts w:ascii="Calibri" w:hAnsi="Calibri"/>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000000" w:themeFill="text1"/>
          </w:tcPr>
          <w:p w14:paraId="283D4339" w14:textId="77777777" w:rsidR="00EE278C" w:rsidRDefault="00EE278C">
            <w:pPr>
              <w:tabs>
                <w:tab w:val="center" w:pos="4513"/>
                <w:tab w:val="right" w:pos="9026"/>
              </w:tabs>
              <w:rPr>
                <w:rFonts w:ascii="Calibri" w:hAnsi="Calibri"/>
                <w:szCs w:val="20"/>
              </w:rPr>
            </w:pPr>
          </w:p>
        </w:tc>
      </w:tr>
      <w:tr w:rsidR="00101630" w14:paraId="100D140B" w14:textId="77777777" w:rsidTr="00EC0F9C">
        <w:trPr>
          <w:cantSplit/>
          <w:tblHeader/>
        </w:trPr>
        <w:tc>
          <w:tcPr>
            <w:tcW w:w="648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24177509" w14:textId="77777777" w:rsidR="00101630" w:rsidRDefault="00101630">
            <w:pPr>
              <w:tabs>
                <w:tab w:val="center" w:pos="4513"/>
                <w:tab w:val="right" w:pos="9026"/>
              </w:tabs>
              <w:rPr>
                <w:rFonts w:ascii="Calibri" w:hAnsi="Calibri"/>
                <w:b/>
                <w:bCs/>
                <w:szCs w:val="20"/>
                <w:vertAlign w:val="superscript"/>
              </w:rPr>
            </w:pPr>
            <w:r>
              <w:rPr>
                <w:rFonts w:ascii="Calibri" w:hAnsi="Calibri"/>
                <w:b/>
                <w:bCs/>
                <w:szCs w:val="20"/>
              </w:rPr>
              <w:t>Criteria</w:t>
            </w:r>
          </w:p>
        </w:tc>
        <w:tc>
          <w:tcPr>
            <w:tcW w:w="1158" w:type="dxa"/>
            <w:tcBorders>
              <w:top w:val="single" w:sz="8" w:space="0" w:color="auto"/>
              <w:left w:val="single" w:sz="4" w:space="0" w:color="auto"/>
              <w:bottom w:val="single" w:sz="8" w:space="0" w:color="auto"/>
              <w:right w:val="single" w:sz="8" w:space="0" w:color="auto"/>
            </w:tcBorders>
            <w:shd w:val="clear" w:color="auto" w:fill="BFBFBF" w:themeFill="background1" w:themeFillShade="BF"/>
            <w:hideMark/>
          </w:tcPr>
          <w:p w14:paraId="32F19204" w14:textId="77777777" w:rsidR="00101630" w:rsidRDefault="00101630">
            <w:pPr>
              <w:tabs>
                <w:tab w:val="center" w:pos="4513"/>
                <w:tab w:val="right" w:pos="9026"/>
              </w:tabs>
              <w:rPr>
                <w:rFonts w:ascii="Calibri" w:hAnsi="Calibri"/>
                <w:szCs w:val="20"/>
              </w:rPr>
            </w:pPr>
            <w:r>
              <w:rPr>
                <w:rFonts w:ascii="Calibri" w:hAnsi="Calibri"/>
                <w:szCs w:val="20"/>
              </w:rPr>
              <w:t>Yes/No/NA</w:t>
            </w:r>
          </w:p>
        </w:tc>
        <w:tc>
          <w:tcPr>
            <w:tcW w:w="607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787B82AF" w14:textId="77777777" w:rsidR="00101630" w:rsidRDefault="00101630">
            <w:pPr>
              <w:tabs>
                <w:tab w:val="center" w:pos="4513"/>
                <w:tab w:val="right" w:pos="9026"/>
              </w:tabs>
              <w:rPr>
                <w:rFonts w:ascii="Calibri" w:hAnsi="Calibri"/>
                <w:szCs w:val="20"/>
              </w:rPr>
            </w:pPr>
            <w:r>
              <w:rPr>
                <w:rFonts w:ascii="Calibri" w:hAnsi="Calibri"/>
                <w:szCs w:val="20"/>
              </w:rPr>
              <w:t>Comment</w:t>
            </w:r>
          </w:p>
        </w:tc>
        <w:tc>
          <w:tcPr>
            <w:tcW w:w="85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35516E9C" w14:textId="77777777" w:rsidR="00101630" w:rsidRDefault="00101630">
            <w:pPr>
              <w:tabs>
                <w:tab w:val="center" w:pos="4513"/>
                <w:tab w:val="right" w:pos="9026"/>
              </w:tabs>
              <w:rPr>
                <w:rFonts w:ascii="Calibri" w:hAnsi="Calibri"/>
                <w:szCs w:val="20"/>
              </w:rPr>
            </w:pPr>
            <w:r>
              <w:rPr>
                <w:rFonts w:ascii="Calibri" w:hAnsi="Calibri"/>
                <w:szCs w:val="20"/>
              </w:rPr>
              <w:t>Page #</w:t>
            </w:r>
          </w:p>
        </w:tc>
      </w:tr>
      <w:tr w:rsidR="00101630" w14:paraId="2D70C1D6" w14:textId="77777777" w:rsidTr="00EC0F9C">
        <w:trPr>
          <w:cantSplit/>
        </w:trPr>
        <w:tc>
          <w:tcPr>
            <w:tcW w:w="6487" w:type="dxa"/>
            <w:tcBorders>
              <w:top w:val="single" w:sz="8" w:space="0" w:color="auto"/>
              <w:left w:val="single" w:sz="4" w:space="0" w:color="auto"/>
              <w:bottom w:val="single" w:sz="4" w:space="0" w:color="auto"/>
              <w:right w:val="single" w:sz="4" w:space="0" w:color="auto"/>
            </w:tcBorders>
            <w:vAlign w:val="center"/>
            <w:hideMark/>
          </w:tcPr>
          <w:p w14:paraId="60C69467" w14:textId="77777777" w:rsidR="00101630" w:rsidRDefault="00101630">
            <w:pPr>
              <w:tabs>
                <w:tab w:val="center" w:pos="4513"/>
                <w:tab w:val="right" w:pos="9026"/>
              </w:tabs>
              <w:rPr>
                <w:rFonts w:ascii="Calibri" w:hAnsi="Calibri"/>
                <w:szCs w:val="20"/>
              </w:rPr>
            </w:pPr>
            <w:r>
              <w:rPr>
                <w:rFonts w:ascii="Calibri" w:hAnsi="Calibri"/>
                <w:szCs w:val="20"/>
              </w:rPr>
              <w:t xml:space="preserve">Is risk of bias of individual studies assessed and taken into consideration? </w:t>
            </w:r>
          </w:p>
        </w:tc>
        <w:tc>
          <w:tcPr>
            <w:tcW w:w="1158" w:type="dxa"/>
            <w:tcBorders>
              <w:top w:val="single" w:sz="8" w:space="0" w:color="auto"/>
              <w:left w:val="single" w:sz="4" w:space="0" w:color="auto"/>
              <w:bottom w:val="single" w:sz="4" w:space="0" w:color="auto"/>
              <w:right w:val="single" w:sz="4" w:space="0" w:color="auto"/>
            </w:tcBorders>
          </w:tcPr>
          <w:p w14:paraId="3D382C47" w14:textId="6A6A4DD3" w:rsidR="00101630" w:rsidRDefault="00101630">
            <w:pPr>
              <w:tabs>
                <w:tab w:val="center" w:pos="4513"/>
                <w:tab w:val="right" w:pos="9026"/>
              </w:tabs>
              <w:rPr>
                <w:rFonts w:ascii="Calibri" w:hAnsi="Calibri"/>
                <w:szCs w:val="20"/>
              </w:rPr>
            </w:pPr>
          </w:p>
        </w:tc>
        <w:tc>
          <w:tcPr>
            <w:tcW w:w="6071" w:type="dxa"/>
            <w:tcBorders>
              <w:top w:val="single" w:sz="8" w:space="0" w:color="auto"/>
              <w:left w:val="single" w:sz="4" w:space="0" w:color="auto"/>
              <w:bottom w:val="single" w:sz="4" w:space="0" w:color="auto"/>
              <w:right w:val="single" w:sz="4" w:space="0" w:color="auto"/>
            </w:tcBorders>
            <w:vAlign w:val="center"/>
          </w:tcPr>
          <w:p w14:paraId="2F07791C" w14:textId="2AD5E2CB" w:rsidR="00101630" w:rsidRDefault="00101630">
            <w:pPr>
              <w:tabs>
                <w:tab w:val="center" w:pos="4513"/>
                <w:tab w:val="right" w:pos="9026"/>
              </w:tabs>
              <w:rPr>
                <w:rFonts w:ascii="Calibri" w:hAnsi="Calibri"/>
                <w:szCs w:val="20"/>
              </w:rPr>
            </w:pPr>
          </w:p>
        </w:tc>
        <w:tc>
          <w:tcPr>
            <w:tcW w:w="851" w:type="dxa"/>
            <w:tcBorders>
              <w:top w:val="single" w:sz="8" w:space="0" w:color="auto"/>
              <w:left w:val="single" w:sz="4" w:space="0" w:color="auto"/>
              <w:bottom w:val="single" w:sz="4" w:space="0" w:color="auto"/>
              <w:right w:val="single" w:sz="4" w:space="0" w:color="auto"/>
            </w:tcBorders>
          </w:tcPr>
          <w:p w14:paraId="4CBDEE6E" w14:textId="77777777" w:rsidR="00101630" w:rsidRDefault="00101630">
            <w:pPr>
              <w:tabs>
                <w:tab w:val="center" w:pos="4513"/>
                <w:tab w:val="right" w:pos="9026"/>
              </w:tabs>
              <w:rPr>
                <w:rFonts w:ascii="Calibri" w:hAnsi="Calibri"/>
                <w:szCs w:val="20"/>
              </w:rPr>
            </w:pPr>
          </w:p>
        </w:tc>
      </w:tr>
      <w:tr w:rsidR="00101630" w14:paraId="39A86B3C"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59C8FA58" w14:textId="77777777" w:rsidR="00101630" w:rsidRDefault="00101630" w:rsidP="00211F4C">
            <w:pPr>
              <w:pStyle w:val="ListParagraph"/>
              <w:numPr>
                <w:ilvl w:val="0"/>
                <w:numId w:val="37"/>
              </w:numPr>
              <w:tabs>
                <w:tab w:val="center" w:pos="4513"/>
                <w:tab w:val="right" w:pos="9026"/>
              </w:tabs>
              <w:spacing w:line="240" w:lineRule="auto"/>
              <w:contextualSpacing/>
              <w:rPr>
                <w:rFonts w:ascii="Calibri" w:hAnsi="Calibri"/>
                <w:szCs w:val="20"/>
              </w:rPr>
            </w:pPr>
            <w:r>
              <w:rPr>
                <w:rFonts w:ascii="Calibri" w:hAnsi="Calibri"/>
                <w:szCs w:val="20"/>
              </w:rPr>
              <w:t>if yes, what tools are used? if no, was any other method used to assess study quality?</w:t>
            </w:r>
          </w:p>
        </w:tc>
        <w:tc>
          <w:tcPr>
            <w:tcW w:w="1158" w:type="dxa"/>
            <w:tcBorders>
              <w:top w:val="single" w:sz="4" w:space="0" w:color="auto"/>
              <w:left w:val="single" w:sz="4" w:space="0" w:color="auto"/>
              <w:bottom w:val="single" w:sz="4" w:space="0" w:color="auto"/>
              <w:right w:val="single" w:sz="4" w:space="0" w:color="auto"/>
            </w:tcBorders>
          </w:tcPr>
          <w:p w14:paraId="0E38E660" w14:textId="77777777"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4" w:space="0" w:color="auto"/>
            </w:tcBorders>
            <w:vAlign w:val="center"/>
          </w:tcPr>
          <w:p w14:paraId="37EAB3A3" w14:textId="0B388DD1"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4" w:space="0" w:color="auto"/>
            </w:tcBorders>
          </w:tcPr>
          <w:p w14:paraId="41FA47FC" w14:textId="77777777" w:rsidR="00101630" w:rsidRDefault="00101630">
            <w:pPr>
              <w:tabs>
                <w:tab w:val="center" w:pos="4513"/>
                <w:tab w:val="right" w:pos="9026"/>
              </w:tabs>
              <w:rPr>
                <w:rFonts w:ascii="Calibri" w:hAnsi="Calibri"/>
                <w:szCs w:val="20"/>
              </w:rPr>
            </w:pPr>
          </w:p>
        </w:tc>
      </w:tr>
      <w:tr w:rsidR="00101630" w14:paraId="40653B1A"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0D26AABA" w14:textId="77777777" w:rsidR="00101630" w:rsidRDefault="00101630">
            <w:pPr>
              <w:tabs>
                <w:tab w:val="center" w:pos="4513"/>
                <w:tab w:val="right" w:pos="9026"/>
              </w:tabs>
              <w:rPr>
                <w:rFonts w:ascii="Calibri" w:hAnsi="Calibri"/>
                <w:szCs w:val="20"/>
              </w:rPr>
            </w:pPr>
            <w:r>
              <w:rPr>
                <w:rFonts w:ascii="Calibri" w:hAnsi="Calibri"/>
                <w:szCs w:val="20"/>
              </w:rPr>
              <w:t>Does the organisation use a systematic or some other methodological approach to synthesise the evidence (i.e. to assess and summarise the information provided in the studies)?</w:t>
            </w:r>
          </w:p>
        </w:tc>
        <w:tc>
          <w:tcPr>
            <w:tcW w:w="1158" w:type="dxa"/>
            <w:tcBorders>
              <w:top w:val="single" w:sz="4" w:space="0" w:color="auto"/>
              <w:left w:val="single" w:sz="4" w:space="0" w:color="auto"/>
              <w:bottom w:val="single" w:sz="4" w:space="0" w:color="auto"/>
              <w:right w:val="single" w:sz="4" w:space="0" w:color="auto"/>
            </w:tcBorders>
          </w:tcPr>
          <w:p w14:paraId="1F705174" w14:textId="47EA0979"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32F1853D" w14:textId="13A54F90"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7691548A" w14:textId="77777777" w:rsidR="00101630" w:rsidRDefault="00101630">
            <w:pPr>
              <w:tabs>
                <w:tab w:val="center" w:pos="4513"/>
                <w:tab w:val="right" w:pos="9026"/>
              </w:tabs>
              <w:rPr>
                <w:rFonts w:ascii="Calibri" w:hAnsi="Calibri"/>
                <w:szCs w:val="20"/>
              </w:rPr>
            </w:pPr>
          </w:p>
        </w:tc>
      </w:tr>
      <w:tr w:rsidR="00101630" w14:paraId="1BF2C069" w14:textId="77777777" w:rsidTr="00EC0F9C">
        <w:trPr>
          <w:cantSplit/>
        </w:trPr>
        <w:tc>
          <w:tcPr>
            <w:tcW w:w="6487" w:type="dxa"/>
            <w:tcBorders>
              <w:top w:val="single" w:sz="4" w:space="0" w:color="auto"/>
              <w:left w:val="single" w:sz="4" w:space="0" w:color="auto"/>
              <w:bottom w:val="single" w:sz="4" w:space="0" w:color="auto"/>
              <w:right w:val="single" w:sz="4" w:space="0" w:color="auto"/>
            </w:tcBorders>
            <w:vAlign w:val="center"/>
            <w:hideMark/>
          </w:tcPr>
          <w:p w14:paraId="06992FC9" w14:textId="77777777" w:rsidR="00101630" w:rsidRDefault="00101630">
            <w:pPr>
              <w:tabs>
                <w:tab w:val="center" w:pos="4513"/>
                <w:tab w:val="right" w:pos="9026"/>
              </w:tabs>
              <w:rPr>
                <w:rFonts w:ascii="Calibri" w:hAnsi="Calibri"/>
                <w:szCs w:val="20"/>
              </w:rPr>
            </w:pPr>
            <w:r>
              <w:rPr>
                <w:rFonts w:ascii="Calibri" w:hAnsi="Calibri"/>
                <w:szCs w:val="20"/>
              </w:rPr>
              <w:t xml:space="preserve">Does the organisation assess the overall certainty of the evidence and reach recommendations? </w:t>
            </w:r>
          </w:p>
        </w:tc>
        <w:tc>
          <w:tcPr>
            <w:tcW w:w="1158" w:type="dxa"/>
            <w:tcBorders>
              <w:top w:val="single" w:sz="4" w:space="0" w:color="auto"/>
              <w:left w:val="single" w:sz="4" w:space="0" w:color="auto"/>
              <w:bottom w:val="single" w:sz="4" w:space="0" w:color="auto"/>
              <w:right w:val="single" w:sz="4" w:space="0" w:color="auto"/>
            </w:tcBorders>
          </w:tcPr>
          <w:p w14:paraId="3DCAF59B" w14:textId="4F921473"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6F334AAC" w14:textId="61031D90"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1DC4A4CB" w14:textId="77777777" w:rsidR="00101630" w:rsidRDefault="00101630">
            <w:pPr>
              <w:tabs>
                <w:tab w:val="center" w:pos="4513"/>
                <w:tab w:val="right" w:pos="9026"/>
              </w:tabs>
              <w:rPr>
                <w:rFonts w:ascii="Calibri" w:hAnsi="Calibri"/>
                <w:szCs w:val="20"/>
              </w:rPr>
            </w:pPr>
          </w:p>
        </w:tc>
      </w:tr>
    </w:tbl>
    <w:p w14:paraId="4ACC4C9E" w14:textId="5B0CF7E7" w:rsidR="00101630" w:rsidRPr="00AE571B" w:rsidRDefault="00101630" w:rsidP="00365D07">
      <w:pPr>
        <w:rPr>
          <w:b/>
          <w:bCs/>
        </w:rPr>
      </w:pPr>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87"/>
        <w:gridCol w:w="1158"/>
        <w:gridCol w:w="6071"/>
        <w:gridCol w:w="851"/>
      </w:tblGrid>
      <w:tr w:rsidR="005D78B4" w14:paraId="1D4D90E6" w14:textId="77777777" w:rsidTr="00AE571B">
        <w:trPr>
          <w:tblHeader/>
        </w:trPr>
        <w:tc>
          <w:tcPr>
            <w:tcW w:w="6487" w:type="dxa"/>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0757F770" w14:textId="54305C74" w:rsidR="005D78B4" w:rsidRPr="00AE571B" w:rsidRDefault="005D78B4" w:rsidP="00211F4C">
            <w:pPr>
              <w:pStyle w:val="ListParagraph"/>
              <w:numPr>
                <w:ilvl w:val="0"/>
                <w:numId w:val="75"/>
              </w:numPr>
              <w:ind w:left="447"/>
              <w:rPr>
                <w:b/>
                <w:bCs/>
              </w:rPr>
            </w:pPr>
            <w:r w:rsidRPr="000E4A16">
              <w:rPr>
                <w:b/>
                <w:bCs/>
              </w:rPr>
              <w:t xml:space="preserve">Derivation of nutrient reference values </w:t>
            </w:r>
          </w:p>
        </w:tc>
        <w:tc>
          <w:tcPr>
            <w:tcW w:w="1158" w:type="dxa"/>
            <w:tcBorders>
              <w:top w:val="single" w:sz="8" w:space="0" w:color="auto"/>
              <w:left w:val="single" w:sz="4" w:space="0" w:color="auto"/>
              <w:bottom w:val="single" w:sz="8" w:space="0" w:color="auto"/>
              <w:right w:val="single" w:sz="8" w:space="0" w:color="auto"/>
            </w:tcBorders>
            <w:shd w:val="clear" w:color="auto" w:fill="000000" w:themeFill="text1"/>
          </w:tcPr>
          <w:p w14:paraId="54BC4972" w14:textId="77777777" w:rsidR="005D78B4" w:rsidRDefault="005D78B4">
            <w:pPr>
              <w:tabs>
                <w:tab w:val="center" w:pos="4513"/>
                <w:tab w:val="right" w:pos="9026"/>
              </w:tabs>
              <w:rPr>
                <w:rFonts w:ascii="Calibri" w:hAnsi="Calibri"/>
                <w:szCs w:val="20"/>
              </w:rPr>
            </w:pPr>
          </w:p>
        </w:tc>
        <w:tc>
          <w:tcPr>
            <w:tcW w:w="6071" w:type="dxa"/>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565A7860" w14:textId="77777777" w:rsidR="005D78B4" w:rsidRDefault="005D78B4">
            <w:pPr>
              <w:tabs>
                <w:tab w:val="center" w:pos="4513"/>
                <w:tab w:val="right" w:pos="9026"/>
              </w:tabs>
              <w:rPr>
                <w:rFonts w:ascii="Calibri" w:hAnsi="Calibri"/>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000000" w:themeFill="text1"/>
          </w:tcPr>
          <w:p w14:paraId="67C8CC2C" w14:textId="77777777" w:rsidR="005D78B4" w:rsidRDefault="005D78B4">
            <w:pPr>
              <w:tabs>
                <w:tab w:val="center" w:pos="4513"/>
                <w:tab w:val="right" w:pos="9026"/>
              </w:tabs>
              <w:rPr>
                <w:rFonts w:ascii="Calibri" w:hAnsi="Calibri"/>
                <w:szCs w:val="20"/>
              </w:rPr>
            </w:pPr>
          </w:p>
        </w:tc>
      </w:tr>
      <w:tr w:rsidR="00EC0F9C" w14:paraId="4276BC2C" w14:textId="77777777" w:rsidTr="00EC0F9C">
        <w:trPr>
          <w:tblHeader/>
        </w:trPr>
        <w:tc>
          <w:tcPr>
            <w:tcW w:w="648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1AA42663" w14:textId="77777777" w:rsidR="00101630" w:rsidRDefault="00101630">
            <w:pPr>
              <w:tabs>
                <w:tab w:val="center" w:pos="4513"/>
                <w:tab w:val="right" w:pos="9026"/>
              </w:tabs>
              <w:rPr>
                <w:rFonts w:ascii="Calibri" w:hAnsi="Calibri"/>
                <w:b/>
                <w:bCs/>
                <w:szCs w:val="20"/>
                <w:vertAlign w:val="superscript"/>
              </w:rPr>
            </w:pPr>
            <w:r>
              <w:rPr>
                <w:rFonts w:ascii="Calibri" w:hAnsi="Calibri"/>
                <w:b/>
                <w:bCs/>
                <w:szCs w:val="20"/>
              </w:rPr>
              <w:t>Criteria</w:t>
            </w:r>
          </w:p>
        </w:tc>
        <w:tc>
          <w:tcPr>
            <w:tcW w:w="1158" w:type="dxa"/>
            <w:tcBorders>
              <w:top w:val="single" w:sz="8" w:space="0" w:color="auto"/>
              <w:left w:val="single" w:sz="4" w:space="0" w:color="auto"/>
              <w:bottom w:val="single" w:sz="8" w:space="0" w:color="auto"/>
              <w:right w:val="single" w:sz="8" w:space="0" w:color="auto"/>
            </w:tcBorders>
            <w:shd w:val="clear" w:color="auto" w:fill="BFBFBF" w:themeFill="background1" w:themeFillShade="BF"/>
            <w:hideMark/>
          </w:tcPr>
          <w:p w14:paraId="26616767" w14:textId="77777777" w:rsidR="00101630" w:rsidRDefault="00101630">
            <w:pPr>
              <w:tabs>
                <w:tab w:val="center" w:pos="4513"/>
                <w:tab w:val="right" w:pos="9026"/>
              </w:tabs>
              <w:rPr>
                <w:rFonts w:ascii="Calibri" w:hAnsi="Calibri"/>
                <w:szCs w:val="20"/>
              </w:rPr>
            </w:pPr>
            <w:r>
              <w:rPr>
                <w:rFonts w:ascii="Calibri" w:hAnsi="Calibri"/>
                <w:szCs w:val="20"/>
              </w:rPr>
              <w:t>Yes/No/NA</w:t>
            </w:r>
          </w:p>
        </w:tc>
        <w:tc>
          <w:tcPr>
            <w:tcW w:w="6071"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01C8A02E" w14:textId="77777777" w:rsidR="00101630" w:rsidRDefault="00101630">
            <w:pPr>
              <w:tabs>
                <w:tab w:val="center" w:pos="4513"/>
                <w:tab w:val="right" w:pos="9026"/>
              </w:tabs>
              <w:rPr>
                <w:rFonts w:ascii="Calibri" w:hAnsi="Calibri"/>
                <w:szCs w:val="20"/>
              </w:rPr>
            </w:pPr>
            <w:r>
              <w:rPr>
                <w:rFonts w:ascii="Calibri" w:hAnsi="Calibri"/>
                <w:szCs w:val="20"/>
              </w:rPr>
              <w:t>Comment</w:t>
            </w:r>
          </w:p>
        </w:tc>
        <w:tc>
          <w:tcPr>
            <w:tcW w:w="85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8B5BC50" w14:textId="77777777" w:rsidR="00101630" w:rsidRDefault="00101630">
            <w:pPr>
              <w:tabs>
                <w:tab w:val="center" w:pos="4513"/>
                <w:tab w:val="right" w:pos="9026"/>
              </w:tabs>
              <w:rPr>
                <w:rFonts w:ascii="Calibri" w:hAnsi="Calibri"/>
                <w:szCs w:val="20"/>
              </w:rPr>
            </w:pPr>
            <w:r>
              <w:rPr>
                <w:rFonts w:ascii="Calibri" w:hAnsi="Calibri"/>
                <w:szCs w:val="20"/>
              </w:rPr>
              <w:t>Page #</w:t>
            </w:r>
          </w:p>
        </w:tc>
      </w:tr>
      <w:tr w:rsidR="00101630" w14:paraId="262A7CDA" w14:textId="77777777" w:rsidTr="00EC0F9C">
        <w:tc>
          <w:tcPr>
            <w:tcW w:w="6487" w:type="dxa"/>
            <w:tcBorders>
              <w:top w:val="single" w:sz="4" w:space="0" w:color="auto"/>
              <w:left w:val="single" w:sz="4" w:space="0" w:color="auto"/>
              <w:bottom w:val="single" w:sz="4" w:space="0" w:color="auto"/>
              <w:right w:val="single" w:sz="4" w:space="0" w:color="auto"/>
            </w:tcBorders>
            <w:vAlign w:val="center"/>
            <w:hideMark/>
          </w:tcPr>
          <w:p w14:paraId="626E718A" w14:textId="77777777" w:rsidR="00101630" w:rsidRPr="00EC0F9C" w:rsidRDefault="00101630">
            <w:pPr>
              <w:pStyle w:val="pf0"/>
              <w:rPr>
                <w:rFonts w:ascii="Calibri" w:hAnsi="Calibri" w:cs="Calibri"/>
                <w:sz w:val="20"/>
                <w:szCs w:val="20"/>
              </w:rPr>
            </w:pPr>
            <w:r w:rsidRPr="00EC0F9C">
              <w:rPr>
                <w:rStyle w:val="cf01"/>
                <w:rFonts w:ascii="Calibri" w:hAnsi="Calibri" w:cs="Calibri"/>
                <w:sz w:val="20"/>
                <w:szCs w:val="20"/>
              </w:rPr>
              <w:t xml:space="preserve">Is the method selected to calculate </w:t>
            </w:r>
            <w:r w:rsidRPr="00EC0F9C">
              <w:rPr>
                <w:rStyle w:val="cf11"/>
                <w:rFonts w:ascii="Calibri" w:hAnsi="Calibri" w:cs="Calibri"/>
                <w:sz w:val="20"/>
                <w:szCs w:val="20"/>
              </w:rPr>
              <w:t>NRV(s) documented and justified? (factorial, dose response or risk assessment)</w:t>
            </w:r>
          </w:p>
          <w:p w14:paraId="4206ABFA" w14:textId="77777777" w:rsidR="00101630" w:rsidRPr="008E45BE" w:rsidRDefault="00101630">
            <w:pPr>
              <w:tabs>
                <w:tab w:val="center" w:pos="4513"/>
                <w:tab w:val="right" w:pos="9026"/>
              </w:tabs>
              <w:rPr>
                <w:rFonts w:ascii="Calibri" w:hAnsi="Calibri"/>
                <w:color w:val="005F85" w:themeColor="accent2"/>
                <w:highlight w:val="yellow"/>
              </w:rPr>
            </w:pPr>
          </w:p>
        </w:tc>
        <w:tc>
          <w:tcPr>
            <w:tcW w:w="1158" w:type="dxa"/>
            <w:tcBorders>
              <w:top w:val="single" w:sz="4" w:space="0" w:color="auto"/>
              <w:left w:val="single" w:sz="4" w:space="0" w:color="auto"/>
              <w:bottom w:val="single" w:sz="4" w:space="0" w:color="auto"/>
              <w:right w:val="single" w:sz="4" w:space="0" w:color="auto"/>
            </w:tcBorders>
          </w:tcPr>
          <w:p w14:paraId="15005E6E" w14:textId="0C31AD8C"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2AD920F5" w14:textId="77777777"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66D22035" w14:textId="77777777" w:rsidR="00101630" w:rsidRDefault="00101630">
            <w:pPr>
              <w:tabs>
                <w:tab w:val="center" w:pos="4513"/>
                <w:tab w:val="right" w:pos="9026"/>
              </w:tabs>
              <w:rPr>
                <w:rFonts w:ascii="Calibri" w:hAnsi="Calibri"/>
                <w:szCs w:val="20"/>
              </w:rPr>
            </w:pPr>
          </w:p>
        </w:tc>
      </w:tr>
      <w:tr w:rsidR="00101630" w14:paraId="6A6D1C9A" w14:textId="77777777" w:rsidTr="00EC0F9C">
        <w:tc>
          <w:tcPr>
            <w:tcW w:w="6487" w:type="dxa"/>
            <w:tcBorders>
              <w:top w:val="single" w:sz="4" w:space="0" w:color="auto"/>
              <w:left w:val="single" w:sz="4" w:space="0" w:color="auto"/>
              <w:bottom w:val="single" w:sz="4" w:space="0" w:color="auto"/>
              <w:right w:val="single" w:sz="4" w:space="0" w:color="auto"/>
            </w:tcBorders>
            <w:vAlign w:val="center"/>
            <w:hideMark/>
          </w:tcPr>
          <w:p w14:paraId="47048ABE" w14:textId="77777777" w:rsidR="00101630" w:rsidRPr="00096736" w:rsidRDefault="00101630">
            <w:pPr>
              <w:tabs>
                <w:tab w:val="center" w:pos="4513"/>
                <w:tab w:val="right" w:pos="9026"/>
              </w:tabs>
              <w:rPr>
                <w:rFonts w:ascii="Calibri" w:hAnsi="Calibri"/>
                <w:color w:val="005F85" w:themeColor="accent2"/>
                <w:szCs w:val="20"/>
              </w:rPr>
            </w:pPr>
            <w:r w:rsidRPr="001557C2">
              <w:rPr>
                <w:rFonts w:ascii="Calibri" w:hAnsi="Calibri"/>
                <w:szCs w:val="20"/>
              </w:rPr>
              <w:t xml:space="preserve">Are the algorithms and calculations clearly documented and explained? </w:t>
            </w:r>
          </w:p>
        </w:tc>
        <w:tc>
          <w:tcPr>
            <w:tcW w:w="1158" w:type="dxa"/>
            <w:tcBorders>
              <w:top w:val="single" w:sz="4" w:space="0" w:color="auto"/>
              <w:left w:val="single" w:sz="4" w:space="0" w:color="auto"/>
              <w:bottom w:val="single" w:sz="4" w:space="0" w:color="auto"/>
              <w:right w:val="single" w:sz="4" w:space="0" w:color="auto"/>
            </w:tcBorders>
          </w:tcPr>
          <w:p w14:paraId="144B62CF" w14:textId="26A6D74E" w:rsidR="00101630" w:rsidRDefault="00101630">
            <w:pPr>
              <w:tabs>
                <w:tab w:val="center" w:pos="4513"/>
                <w:tab w:val="right" w:pos="9026"/>
              </w:tabs>
              <w:rPr>
                <w:rFonts w:ascii="Calibri" w:hAnsi="Calibri"/>
              </w:rPr>
            </w:pPr>
          </w:p>
        </w:tc>
        <w:tc>
          <w:tcPr>
            <w:tcW w:w="6071" w:type="dxa"/>
            <w:tcBorders>
              <w:top w:val="single" w:sz="4" w:space="0" w:color="auto"/>
              <w:left w:val="single" w:sz="4" w:space="0" w:color="auto"/>
              <w:bottom w:val="single" w:sz="4" w:space="0" w:color="auto"/>
              <w:right w:val="single" w:sz="8" w:space="0" w:color="auto"/>
            </w:tcBorders>
            <w:vAlign w:val="center"/>
          </w:tcPr>
          <w:p w14:paraId="12A8E233" w14:textId="77777777"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73FA7526" w14:textId="6935B182" w:rsidR="00101630" w:rsidRDefault="00101630">
            <w:pPr>
              <w:tabs>
                <w:tab w:val="center" w:pos="4513"/>
                <w:tab w:val="right" w:pos="9026"/>
              </w:tabs>
              <w:rPr>
                <w:rFonts w:ascii="Calibri" w:hAnsi="Calibri"/>
                <w:szCs w:val="20"/>
              </w:rPr>
            </w:pPr>
          </w:p>
        </w:tc>
      </w:tr>
      <w:tr w:rsidR="00101630" w14:paraId="7ADEAF1C" w14:textId="77777777" w:rsidTr="00EC0F9C">
        <w:tc>
          <w:tcPr>
            <w:tcW w:w="6487" w:type="dxa"/>
            <w:tcBorders>
              <w:top w:val="single" w:sz="4" w:space="0" w:color="auto"/>
              <w:left w:val="single" w:sz="4" w:space="0" w:color="auto"/>
              <w:bottom w:val="single" w:sz="4" w:space="0" w:color="auto"/>
              <w:right w:val="single" w:sz="4" w:space="0" w:color="auto"/>
            </w:tcBorders>
            <w:vAlign w:val="center"/>
          </w:tcPr>
          <w:p w14:paraId="76EF2C10" w14:textId="77777777" w:rsidR="00101630" w:rsidRPr="00BE02F0" w:rsidRDefault="00101630">
            <w:pPr>
              <w:tabs>
                <w:tab w:val="center" w:pos="4513"/>
                <w:tab w:val="right" w:pos="9026"/>
              </w:tabs>
              <w:rPr>
                <w:rFonts w:ascii="Calibri" w:hAnsi="Calibri"/>
                <w:szCs w:val="20"/>
              </w:rPr>
            </w:pPr>
            <w:r w:rsidRPr="00BE02F0">
              <w:rPr>
                <w:rFonts w:ascii="Calibri" w:hAnsi="Calibri"/>
                <w:szCs w:val="20"/>
              </w:rPr>
              <w:lastRenderedPageBreak/>
              <w:t>Are the assumptions and reference data (intake, body weights for age groups etc) used for the calculations clearly documented and explained?</w:t>
            </w:r>
          </w:p>
          <w:p w14:paraId="507A6623" w14:textId="77777777" w:rsidR="00101630" w:rsidRPr="00096736" w:rsidRDefault="00101630">
            <w:pPr>
              <w:tabs>
                <w:tab w:val="center" w:pos="4513"/>
                <w:tab w:val="right" w:pos="9026"/>
              </w:tabs>
              <w:rPr>
                <w:rFonts w:ascii="Calibri" w:hAnsi="Calibri"/>
                <w:color w:val="005F85" w:themeColor="accent2"/>
                <w:szCs w:val="20"/>
              </w:rPr>
            </w:pPr>
          </w:p>
        </w:tc>
        <w:tc>
          <w:tcPr>
            <w:tcW w:w="1158" w:type="dxa"/>
            <w:tcBorders>
              <w:top w:val="single" w:sz="4" w:space="0" w:color="auto"/>
              <w:left w:val="single" w:sz="4" w:space="0" w:color="auto"/>
              <w:bottom w:val="single" w:sz="4" w:space="0" w:color="auto"/>
              <w:right w:val="single" w:sz="4" w:space="0" w:color="auto"/>
            </w:tcBorders>
          </w:tcPr>
          <w:p w14:paraId="02AD1E2A" w14:textId="77777777"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69454910" w14:textId="77777777"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2210D596" w14:textId="77777777" w:rsidR="00101630" w:rsidRDefault="00101630">
            <w:pPr>
              <w:tabs>
                <w:tab w:val="center" w:pos="4513"/>
                <w:tab w:val="right" w:pos="9026"/>
              </w:tabs>
              <w:rPr>
                <w:rFonts w:ascii="Calibri" w:hAnsi="Calibri"/>
                <w:szCs w:val="20"/>
              </w:rPr>
            </w:pPr>
          </w:p>
        </w:tc>
      </w:tr>
      <w:tr w:rsidR="00101630" w14:paraId="6E73E44B" w14:textId="77777777" w:rsidTr="00EC0F9C">
        <w:tc>
          <w:tcPr>
            <w:tcW w:w="6487" w:type="dxa"/>
            <w:tcBorders>
              <w:top w:val="single" w:sz="8" w:space="0" w:color="auto"/>
              <w:left w:val="single" w:sz="4" w:space="0" w:color="auto"/>
              <w:bottom w:val="single" w:sz="4" w:space="0" w:color="auto"/>
              <w:right w:val="single" w:sz="4" w:space="0" w:color="auto"/>
            </w:tcBorders>
            <w:vAlign w:val="center"/>
            <w:hideMark/>
          </w:tcPr>
          <w:p w14:paraId="4BF0BA49" w14:textId="77777777" w:rsidR="00101630" w:rsidRDefault="00101630">
            <w:pPr>
              <w:tabs>
                <w:tab w:val="center" w:pos="4513"/>
                <w:tab w:val="right" w:pos="9026"/>
              </w:tabs>
              <w:rPr>
                <w:rFonts w:ascii="Calibri" w:hAnsi="Calibri"/>
                <w:szCs w:val="20"/>
              </w:rPr>
            </w:pPr>
            <w:r>
              <w:rPr>
                <w:rFonts w:ascii="Calibri" w:hAnsi="Calibri"/>
                <w:szCs w:val="20"/>
              </w:rPr>
              <w:t xml:space="preserve">Is there justification for the choice of uncertainty and safety factors? </w:t>
            </w:r>
          </w:p>
        </w:tc>
        <w:tc>
          <w:tcPr>
            <w:tcW w:w="1158" w:type="dxa"/>
            <w:tcBorders>
              <w:top w:val="single" w:sz="8" w:space="0" w:color="auto"/>
              <w:left w:val="single" w:sz="4" w:space="0" w:color="auto"/>
              <w:bottom w:val="single" w:sz="4" w:space="0" w:color="auto"/>
              <w:right w:val="single" w:sz="4" w:space="0" w:color="auto"/>
            </w:tcBorders>
          </w:tcPr>
          <w:p w14:paraId="6D2758C2" w14:textId="5DF97AA3" w:rsidR="00101630" w:rsidRDefault="00101630">
            <w:pPr>
              <w:tabs>
                <w:tab w:val="center" w:pos="4513"/>
                <w:tab w:val="right" w:pos="9026"/>
              </w:tabs>
              <w:rPr>
                <w:rFonts w:ascii="Calibri" w:hAnsi="Calibri"/>
                <w:szCs w:val="20"/>
              </w:rPr>
            </w:pPr>
          </w:p>
        </w:tc>
        <w:tc>
          <w:tcPr>
            <w:tcW w:w="6071" w:type="dxa"/>
            <w:tcBorders>
              <w:top w:val="single" w:sz="8" w:space="0" w:color="auto"/>
              <w:left w:val="single" w:sz="4" w:space="0" w:color="auto"/>
              <w:bottom w:val="single" w:sz="4" w:space="0" w:color="auto"/>
              <w:right w:val="single" w:sz="8" w:space="0" w:color="auto"/>
            </w:tcBorders>
            <w:vAlign w:val="center"/>
          </w:tcPr>
          <w:p w14:paraId="14DF748F" w14:textId="77777777" w:rsidR="00101630" w:rsidRDefault="00101630">
            <w:pPr>
              <w:tabs>
                <w:tab w:val="center" w:pos="4513"/>
                <w:tab w:val="right" w:pos="9026"/>
              </w:tabs>
              <w:rPr>
                <w:rFonts w:ascii="Calibri" w:hAnsi="Calibri"/>
                <w:szCs w:val="20"/>
              </w:rPr>
            </w:pPr>
          </w:p>
        </w:tc>
        <w:tc>
          <w:tcPr>
            <w:tcW w:w="851" w:type="dxa"/>
            <w:tcBorders>
              <w:top w:val="single" w:sz="8" w:space="0" w:color="auto"/>
              <w:left w:val="single" w:sz="4" w:space="0" w:color="auto"/>
              <w:bottom w:val="single" w:sz="4" w:space="0" w:color="auto"/>
              <w:right w:val="single" w:sz="8" w:space="0" w:color="auto"/>
            </w:tcBorders>
          </w:tcPr>
          <w:p w14:paraId="5B873E75" w14:textId="0FB92666" w:rsidR="00101630" w:rsidRDefault="00101630">
            <w:pPr>
              <w:tabs>
                <w:tab w:val="center" w:pos="4513"/>
                <w:tab w:val="right" w:pos="9026"/>
              </w:tabs>
              <w:rPr>
                <w:rFonts w:ascii="Calibri" w:hAnsi="Calibri"/>
                <w:szCs w:val="20"/>
              </w:rPr>
            </w:pPr>
          </w:p>
        </w:tc>
      </w:tr>
      <w:tr w:rsidR="00101630" w14:paraId="754CB741" w14:textId="77777777" w:rsidTr="00EC0F9C">
        <w:tc>
          <w:tcPr>
            <w:tcW w:w="6487" w:type="dxa"/>
            <w:tcBorders>
              <w:top w:val="single" w:sz="8" w:space="0" w:color="auto"/>
              <w:left w:val="single" w:sz="4" w:space="0" w:color="auto"/>
              <w:bottom w:val="single" w:sz="4" w:space="0" w:color="auto"/>
              <w:right w:val="single" w:sz="4" w:space="0" w:color="auto"/>
            </w:tcBorders>
            <w:vAlign w:val="center"/>
          </w:tcPr>
          <w:p w14:paraId="6F0A109F" w14:textId="77777777" w:rsidR="00101630" w:rsidRPr="00EC0F9C" w:rsidRDefault="00101630">
            <w:pPr>
              <w:pStyle w:val="pf0"/>
              <w:rPr>
                <w:rFonts w:ascii="Calibri" w:hAnsi="Calibri" w:cs="Calibri"/>
                <w:sz w:val="20"/>
                <w:szCs w:val="20"/>
              </w:rPr>
            </w:pPr>
            <w:r w:rsidRPr="00EC0F9C">
              <w:rPr>
                <w:rStyle w:val="cf01"/>
                <w:rFonts w:ascii="Calibri" w:hAnsi="Calibri" w:cs="Calibri"/>
                <w:sz w:val="20"/>
                <w:szCs w:val="20"/>
              </w:rPr>
              <w:t>Is justification provided for any clinical/chronic endpoints selected as</w:t>
            </w:r>
            <w:r w:rsidRPr="00B33B07">
              <w:rPr>
                <w:rStyle w:val="cf01"/>
                <w:rFonts w:ascii="Calibri" w:hAnsi="Calibri" w:cs="Calibri"/>
                <w:sz w:val="22"/>
                <w:szCs w:val="22"/>
              </w:rPr>
              <w:t xml:space="preserve"> </w:t>
            </w:r>
            <w:r w:rsidRPr="00EC0F9C">
              <w:rPr>
                <w:rStyle w:val="cf01"/>
                <w:rFonts w:ascii="Calibri" w:hAnsi="Calibri" w:cs="Calibri"/>
                <w:sz w:val="20"/>
                <w:szCs w:val="20"/>
              </w:rPr>
              <w:t xml:space="preserve">indictors/outcomes? </w:t>
            </w:r>
          </w:p>
          <w:p w14:paraId="702C9BDF" w14:textId="77777777" w:rsidR="00101630" w:rsidRPr="00EC0F9C" w:rsidRDefault="00101630">
            <w:pPr>
              <w:pStyle w:val="pf0"/>
              <w:rPr>
                <w:rFonts w:ascii="Calibri" w:hAnsi="Calibri" w:cs="Calibri"/>
                <w:sz w:val="20"/>
                <w:szCs w:val="20"/>
              </w:rPr>
            </w:pPr>
            <w:r w:rsidRPr="00EC0F9C">
              <w:rPr>
                <w:rStyle w:val="cf01"/>
                <w:rFonts w:ascii="Calibri" w:hAnsi="Calibri" w:cs="Calibri"/>
                <w:sz w:val="20"/>
                <w:szCs w:val="20"/>
              </w:rPr>
              <w:t xml:space="preserve">(Details of endpoints to be provided in a supplementary table.) </w:t>
            </w:r>
          </w:p>
          <w:p w14:paraId="7A649A71" w14:textId="77777777" w:rsidR="00101630" w:rsidRPr="00B33B07" w:rsidRDefault="00101630">
            <w:pPr>
              <w:pStyle w:val="pf0"/>
              <w:rPr>
                <w:rFonts w:ascii="Calibri" w:hAnsi="Calibri" w:cs="Calibri"/>
                <w:sz w:val="22"/>
                <w:szCs w:val="22"/>
              </w:rPr>
            </w:pPr>
          </w:p>
        </w:tc>
        <w:tc>
          <w:tcPr>
            <w:tcW w:w="1158" w:type="dxa"/>
            <w:tcBorders>
              <w:top w:val="single" w:sz="8" w:space="0" w:color="auto"/>
              <w:left w:val="single" w:sz="4" w:space="0" w:color="auto"/>
              <w:bottom w:val="single" w:sz="4" w:space="0" w:color="auto"/>
              <w:right w:val="single" w:sz="4" w:space="0" w:color="auto"/>
            </w:tcBorders>
          </w:tcPr>
          <w:p w14:paraId="0085D891" w14:textId="272254E4" w:rsidR="00101630" w:rsidRDefault="00101630">
            <w:pPr>
              <w:tabs>
                <w:tab w:val="center" w:pos="4513"/>
                <w:tab w:val="right" w:pos="9026"/>
              </w:tabs>
              <w:rPr>
                <w:rFonts w:ascii="Calibri" w:hAnsi="Calibri"/>
                <w:szCs w:val="20"/>
              </w:rPr>
            </w:pPr>
          </w:p>
        </w:tc>
        <w:tc>
          <w:tcPr>
            <w:tcW w:w="6071" w:type="dxa"/>
            <w:tcBorders>
              <w:top w:val="single" w:sz="8" w:space="0" w:color="auto"/>
              <w:left w:val="single" w:sz="4" w:space="0" w:color="auto"/>
              <w:bottom w:val="single" w:sz="4" w:space="0" w:color="auto"/>
              <w:right w:val="single" w:sz="8" w:space="0" w:color="auto"/>
            </w:tcBorders>
            <w:vAlign w:val="center"/>
          </w:tcPr>
          <w:p w14:paraId="1D6E8E6D" w14:textId="01E41C67" w:rsidR="00101630" w:rsidRPr="002B1623" w:rsidRDefault="00101630">
            <w:pPr>
              <w:tabs>
                <w:tab w:val="center" w:pos="4513"/>
                <w:tab w:val="right" w:pos="9026"/>
              </w:tabs>
              <w:rPr>
                <w:rFonts w:ascii="Calibri" w:hAnsi="Calibri"/>
                <w:szCs w:val="20"/>
              </w:rPr>
            </w:pPr>
          </w:p>
        </w:tc>
        <w:tc>
          <w:tcPr>
            <w:tcW w:w="851" w:type="dxa"/>
            <w:tcBorders>
              <w:top w:val="single" w:sz="8" w:space="0" w:color="auto"/>
              <w:left w:val="single" w:sz="4" w:space="0" w:color="auto"/>
              <w:bottom w:val="single" w:sz="4" w:space="0" w:color="auto"/>
              <w:right w:val="single" w:sz="8" w:space="0" w:color="auto"/>
            </w:tcBorders>
          </w:tcPr>
          <w:p w14:paraId="355ABE8B" w14:textId="77777777" w:rsidR="00101630" w:rsidRDefault="00101630">
            <w:pPr>
              <w:tabs>
                <w:tab w:val="center" w:pos="4513"/>
                <w:tab w:val="right" w:pos="9026"/>
              </w:tabs>
              <w:rPr>
                <w:rFonts w:ascii="Calibri" w:hAnsi="Calibri"/>
                <w:szCs w:val="20"/>
              </w:rPr>
            </w:pPr>
          </w:p>
        </w:tc>
      </w:tr>
      <w:tr w:rsidR="00101630" w14:paraId="45833B0C" w14:textId="77777777" w:rsidTr="00EC0F9C">
        <w:tc>
          <w:tcPr>
            <w:tcW w:w="6487" w:type="dxa"/>
            <w:tcBorders>
              <w:top w:val="single" w:sz="8" w:space="0" w:color="auto"/>
              <w:left w:val="single" w:sz="4" w:space="0" w:color="auto"/>
              <w:bottom w:val="single" w:sz="4" w:space="0" w:color="auto"/>
              <w:right w:val="single" w:sz="4" w:space="0" w:color="auto"/>
            </w:tcBorders>
            <w:vAlign w:val="center"/>
          </w:tcPr>
          <w:p w14:paraId="1B1F33DF" w14:textId="77777777" w:rsidR="00101630" w:rsidRPr="00EC0F9C" w:rsidRDefault="00101630">
            <w:pPr>
              <w:pStyle w:val="pf0"/>
              <w:rPr>
                <w:rFonts w:ascii="Calibri" w:hAnsi="Calibri" w:cs="Calibri"/>
                <w:sz w:val="20"/>
                <w:szCs w:val="20"/>
              </w:rPr>
            </w:pPr>
            <w:r w:rsidRPr="00EC0F9C">
              <w:rPr>
                <w:rStyle w:val="cf01"/>
                <w:rFonts w:ascii="Calibri" w:hAnsi="Calibri" w:cs="Calibri"/>
                <w:sz w:val="20"/>
                <w:szCs w:val="20"/>
              </w:rPr>
              <w:t>Is justification provided for the value selected for the reference point^? (including mechanistic evidence, health outcome data, key events, balance studies)</w:t>
            </w:r>
          </w:p>
          <w:p w14:paraId="1715C436" w14:textId="77777777" w:rsidR="00101630" w:rsidRPr="00EC0F9C" w:rsidRDefault="00101630">
            <w:pPr>
              <w:pStyle w:val="pf0"/>
              <w:rPr>
                <w:rFonts w:ascii="Calibri" w:hAnsi="Calibri" w:cs="Calibri"/>
                <w:sz w:val="20"/>
                <w:szCs w:val="20"/>
              </w:rPr>
            </w:pPr>
            <w:r w:rsidRPr="00EC0F9C">
              <w:rPr>
                <w:rStyle w:val="cf01"/>
                <w:rFonts w:ascii="Calibri" w:hAnsi="Calibri" w:cs="Calibri"/>
                <w:sz w:val="20"/>
                <w:szCs w:val="20"/>
              </w:rPr>
              <w:t xml:space="preserve">^ refence point is usually the baseline value to which any scaling and uncertainty factors are applied. </w:t>
            </w:r>
          </w:p>
          <w:p w14:paraId="3915090F" w14:textId="77777777" w:rsidR="00101630" w:rsidRPr="00EC0F9C" w:rsidRDefault="00101630">
            <w:pPr>
              <w:tabs>
                <w:tab w:val="center" w:pos="4513"/>
                <w:tab w:val="right" w:pos="9026"/>
              </w:tabs>
              <w:rPr>
                <w:rFonts w:ascii="Calibri" w:hAnsi="Calibri" w:cs="Calibri"/>
                <w:color w:val="005F85" w:themeColor="accent2"/>
                <w:szCs w:val="20"/>
              </w:rPr>
            </w:pPr>
          </w:p>
        </w:tc>
        <w:tc>
          <w:tcPr>
            <w:tcW w:w="1158" w:type="dxa"/>
            <w:tcBorders>
              <w:top w:val="single" w:sz="8" w:space="0" w:color="auto"/>
              <w:left w:val="single" w:sz="4" w:space="0" w:color="auto"/>
              <w:bottom w:val="single" w:sz="4" w:space="0" w:color="auto"/>
              <w:right w:val="single" w:sz="4" w:space="0" w:color="auto"/>
            </w:tcBorders>
          </w:tcPr>
          <w:p w14:paraId="77095C30" w14:textId="62FB8E85" w:rsidR="00101630" w:rsidRDefault="00101630">
            <w:pPr>
              <w:tabs>
                <w:tab w:val="center" w:pos="4513"/>
                <w:tab w:val="right" w:pos="9026"/>
              </w:tabs>
              <w:rPr>
                <w:rFonts w:ascii="Calibri" w:hAnsi="Calibri"/>
                <w:szCs w:val="20"/>
              </w:rPr>
            </w:pPr>
          </w:p>
        </w:tc>
        <w:tc>
          <w:tcPr>
            <w:tcW w:w="6071" w:type="dxa"/>
            <w:tcBorders>
              <w:top w:val="single" w:sz="8" w:space="0" w:color="auto"/>
              <w:left w:val="single" w:sz="4" w:space="0" w:color="auto"/>
              <w:bottom w:val="single" w:sz="4" w:space="0" w:color="auto"/>
              <w:right w:val="single" w:sz="8" w:space="0" w:color="auto"/>
            </w:tcBorders>
            <w:vAlign w:val="center"/>
          </w:tcPr>
          <w:p w14:paraId="627BFBEC" w14:textId="1E73FE9D" w:rsidR="00101630" w:rsidRPr="006C06DD" w:rsidRDefault="00101630">
            <w:pPr>
              <w:tabs>
                <w:tab w:val="center" w:pos="4513"/>
                <w:tab w:val="right" w:pos="9026"/>
              </w:tabs>
              <w:rPr>
                <w:rFonts w:ascii="Calibri" w:hAnsi="Calibri"/>
                <w:szCs w:val="20"/>
              </w:rPr>
            </w:pPr>
          </w:p>
        </w:tc>
        <w:tc>
          <w:tcPr>
            <w:tcW w:w="851" w:type="dxa"/>
            <w:tcBorders>
              <w:top w:val="single" w:sz="8" w:space="0" w:color="auto"/>
              <w:left w:val="single" w:sz="4" w:space="0" w:color="auto"/>
              <w:bottom w:val="single" w:sz="4" w:space="0" w:color="auto"/>
              <w:right w:val="single" w:sz="8" w:space="0" w:color="auto"/>
            </w:tcBorders>
          </w:tcPr>
          <w:p w14:paraId="497C6D8B" w14:textId="77777777" w:rsidR="00101630" w:rsidRDefault="00101630">
            <w:pPr>
              <w:tabs>
                <w:tab w:val="center" w:pos="4513"/>
                <w:tab w:val="right" w:pos="9026"/>
              </w:tabs>
              <w:rPr>
                <w:rFonts w:ascii="Calibri" w:hAnsi="Calibri"/>
                <w:szCs w:val="20"/>
              </w:rPr>
            </w:pPr>
          </w:p>
        </w:tc>
      </w:tr>
      <w:tr w:rsidR="00101630" w14:paraId="5E00A62F" w14:textId="77777777" w:rsidTr="00EC0F9C">
        <w:tc>
          <w:tcPr>
            <w:tcW w:w="6487" w:type="dxa"/>
            <w:tcBorders>
              <w:top w:val="single" w:sz="8" w:space="0" w:color="auto"/>
              <w:left w:val="single" w:sz="4" w:space="0" w:color="auto"/>
              <w:bottom w:val="single" w:sz="4" w:space="0" w:color="auto"/>
              <w:right w:val="single" w:sz="4" w:space="0" w:color="auto"/>
            </w:tcBorders>
            <w:vAlign w:val="center"/>
          </w:tcPr>
          <w:p w14:paraId="567D151F" w14:textId="77777777" w:rsidR="00101630" w:rsidRDefault="00101630">
            <w:pPr>
              <w:tabs>
                <w:tab w:val="center" w:pos="4513"/>
                <w:tab w:val="right" w:pos="9026"/>
              </w:tabs>
              <w:rPr>
                <w:rFonts w:ascii="Calibri" w:hAnsi="Calibri"/>
                <w:szCs w:val="20"/>
              </w:rPr>
            </w:pPr>
            <w:r w:rsidRPr="001557C2">
              <w:rPr>
                <w:rFonts w:ascii="Calibri" w:hAnsi="Calibri"/>
                <w:szCs w:val="20"/>
              </w:rPr>
              <w:t xml:space="preserve">Is the population group generalisable to the Australian and New Zealand population? </w:t>
            </w:r>
          </w:p>
          <w:p w14:paraId="17A03755" w14:textId="77777777" w:rsidR="00101630" w:rsidRPr="003A322C" w:rsidRDefault="00101630" w:rsidP="00211F4C">
            <w:pPr>
              <w:pStyle w:val="ListParagraph"/>
              <w:numPr>
                <w:ilvl w:val="0"/>
                <w:numId w:val="46"/>
              </w:numPr>
              <w:tabs>
                <w:tab w:val="center" w:pos="4513"/>
                <w:tab w:val="right" w:pos="9026"/>
              </w:tabs>
              <w:spacing w:after="80" w:line="180" w:lineRule="atLeast"/>
              <w:contextualSpacing/>
              <w:rPr>
                <w:rFonts w:ascii="Calibri" w:hAnsi="Calibri"/>
                <w:color w:val="005F85" w:themeColor="accent2"/>
                <w:szCs w:val="20"/>
              </w:rPr>
            </w:pPr>
            <w:r w:rsidRPr="003A322C">
              <w:rPr>
                <w:rFonts w:ascii="Calibri" w:hAnsi="Calibri"/>
                <w:szCs w:val="20"/>
              </w:rPr>
              <w:t>Where are the underlying studies from</w:t>
            </w:r>
            <w:r>
              <w:rPr>
                <w:rFonts w:ascii="Calibri" w:hAnsi="Calibri"/>
                <w:szCs w:val="20"/>
              </w:rPr>
              <w:t>?</w:t>
            </w:r>
          </w:p>
        </w:tc>
        <w:tc>
          <w:tcPr>
            <w:tcW w:w="1158" w:type="dxa"/>
            <w:tcBorders>
              <w:top w:val="single" w:sz="8" w:space="0" w:color="auto"/>
              <w:left w:val="single" w:sz="4" w:space="0" w:color="auto"/>
              <w:bottom w:val="single" w:sz="4" w:space="0" w:color="auto"/>
              <w:right w:val="single" w:sz="4" w:space="0" w:color="auto"/>
            </w:tcBorders>
          </w:tcPr>
          <w:p w14:paraId="78776F06" w14:textId="6A2CFB79" w:rsidR="00101630" w:rsidRDefault="00101630">
            <w:pPr>
              <w:tabs>
                <w:tab w:val="center" w:pos="4513"/>
                <w:tab w:val="right" w:pos="9026"/>
              </w:tabs>
              <w:rPr>
                <w:rFonts w:ascii="Calibri" w:hAnsi="Calibri"/>
                <w:szCs w:val="20"/>
              </w:rPr>
            </w:pPr>
          </w:p>
        </w:tc>
        <w:tc>
          <w:tcPr>
            <w:tcW w:w="6071" w:type="dxa"/>
            <w:tcBorders>
              <w:top w:val="single" w:sz="8" w:space="0" w:color="auto"/>
              <w:left w:val="single" w:sz="4" w:space="0" w:color="auto"/>
              <w:bottom w:val="single" w:sz="4" w:space="0" w:color="auto"/>
              <w:right w:val="single" w:sz="8" w:space="0" w:color="auto"/>
            </w:tcBorders>
            <w:vAlign w:val="center"/>
          </w:tcPr>
          <w:p w14:paraId="18EB2D65" w14:textId="76EC8165" w:rsidR="00101630" w:rsidRPr="008A4DFE" w:rsidRDefault="00101630">
            <w:pPr>
              <w:tabs>
                <w:tab w:val="center" w:pos="4513"/>
                <w:tab w:val="right" w:pos="9026"/>
              </w:tabs>
              <w:rPr>
                <w:rFonts w:ascii="Calibri" w:hAnsi="Calibri"/>
                <w:szCs w:val="20"/>
              </w:rPr>
            </w:pPr>
          </w:p>
        </w:tc>
        <w:tc>
          <w:tcPr>
            <w:tcW w:w="851" w:type="dxa"/>
            <w:tcBorders>
              <w:top w:val="single" w:sz="8" w:space="0" w:color="auto"/>
              <w:left w:val="single" w:sz="4" w:space="0" w:color="auto"/>
              <w:bottom w:val="single" w:sz="4" w:space="0" w:color="auto"/>
              <w:right w:val="single" w:sz="8" w:space="0" w:color="auto"/>
            </w:tcBorders>
          </w:tcPr>
          <w:p w14:paraId="11394B0B" w14:textId="77777777" w:rsidR="00101630" w:rsidRDefault="00101630">
            <w:pPr>
              <w:tabs>
                <w:tab w:val="center" w:pos="4513"/>
                <w:tab w:val="right" w:pos="9026"/>
              </w:tabs>
              <w:rPr>
                <w:rFonts w:ascii="Calibri" w:hAnsi="Calibri"/>
                <w:szCs w:val="20"/>
              </w:rPr>
            </w:pPr>
          </w:p>
        </w:tc>
      </w:tr>
      <w:tr w:rsidR="00101630" w14:paraId="7039CCE6" w14:textId="77777777" w:rsidTr="00EC0F9C">
        <w:tc>
          <w:tcPr>
            <w:tcW w:w="6487" w:type="dxa"/>
            <w:tcBorders>
              <w:top w:val="single" w:sz="4" w:space="0" w:color="auto"/>
              <w:left w:val="single" w:sz="4" w:space="0" w:color="auto"/>
              <w:bottom w:val="single" w:sz="4" w:space="0" w:color="auto"/>
              <w:right w:val="single" w:sz="4" w:space="0" w:color="auto"/>
            </w:tcBorders>
            <w:vAlign w:val="center"/>
            <w:hideMark/>
          </w:tcPr>
          <w:p w14:paraId="59F433F6" w14:textId="77777777" w:rsidR="00101630" w:rsidRDefault="00101630">
            <w:pPr>
              <w:tabs>
                <w:tab w:val="center" w:pos="4513"/>
                <w:tab w:val="right" w:pos="9026"/>
              </w:tabs>
              <w:rPr>
                <w:rFonts w:ascii="Calibri" w:hAnsi="Calibri"/>
                <w:szCs w:val="20"/>
              </w:rPr>
            </w:pPr>
            <w:r>
              <w:rPr>
                <w:rFonts w:ascii="Calibri" w:hAnsi="Calibri"/>
                <w:szCs w:val="20"/>
              </w:rPr>
              <w:t xml:space="preserve">If scaling was applied – was the method described, along with an appropriate rationale for the chosen method? </w:t>
            </w:r>
          </w:p>
        </w:tc>
        <w:tc>
          <w:tcPr>
            <w:tcW w:w="1158" w:type="dxa"/>
            <w:tcBorders>
              <w:top w:val="single" w:sz="4" w:space="0" w:color="auto"/>
              <w:left w:val="single" w:sz="4" w:space="0" w:color="auto"/>
              <w:bottom w:val="single" w:sz="4" w:space="0" w:color="auto"/>
              <w:right w:val="single" w:sz="4" w:space="0" w:color="auto"/>
            </w:tcBorders>
          </w:tcPr>
          <w:p w14:paraId="087A4ADF" w14:textId="6870CD35"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56971312" w14:textId="5AB83908" w:rsidR="00101630" w:rsidRPr="00747D03" w:rsidRDefault="00101630">
            <w:pPr>
              <w:tabs>
                <w:tab w:val="center" w:pos="4513"/>
                <w:tab w:val="right" w:pos="9026"/>
              </w:tabs>
              <w:rPr>
                <w:rFonts w:ascii="Calibri" w:hAnsi="Calibri" w:cs="Calibri"/>
                <w:szCs w:val="20"/>
              </w:rPr>
            </w:pPr>
          </w:p>
        </w:tc>
        <w:tc>
          <w:tcPr>
            <w:tcW w:w="851" w:type="dxa"/>
            <w:tcBorders>
              <w:top w:val="single" w:sz="4" w:space="0" w:color="auto"/>
              <w:left w:val="single" w:sz="4" w:space="0" w:color="auto"/>
              <w:bottom w:val="single" w:sz="4" w:space="0" w:color="auto"/>
              <w:right w:val="single" w:sz="8" w:space="0" w:color="auto"/>
            </w:tcBorders>
          </w:tcPr>
          <w:p w14:paraId="7CC36D01" w14:textId="77777777" w:rsidR="00101630" w:rsidRDefault="00101630">
            <w:pPr>
              <w:tabs>
                <w:tab w:val="center" w:pos="4513"/>
                <w:tab w:val="right" w:pos="9026"/>
              </w:tabs>
              <w:rPr>
                <w:rFonts w:ascii="Calibri" w:hAnsi="Calibri"/>
                <w:szCs w:val="20"/>
              </w:rPr>
            </w:pPr>
          </w:p>
        </w:tc>
      </w:tr>
      <w:tr w:rsidR="009F53E1" w14:paraId="6B545FC0" w14:textId="77777777" w:rsidTr="00EC0F9C">
        <w:tc>
          <w:tcPr>
            <w:tcW w:w="6487" w:type="dxa"/>
            <w:tcBorders>
              <w:top w:val="single" w:sz="4" w:space="0" w:color="auto"/>
              <w:left w:val="single" w:sz="4" w:space="0" w:color="auto"/>
              <w:bottom w:val="single" w:sz="4" w:space="0" w:color="auto"/>
              <w:right w:val="single" w:sz="4" w:space="0" w:color="auto"/>
            </w:tcBorders>
            <w:vAlign w:val="center"/>
          </w:tcPr>
          <w:p w14:paraId="11AB989C" w14:textId="09573E2B" w:rsidR="009F53E1" w:rsidRPr="00A17D8E" w:rsidRDefault="00A17D8E" w:rsidP="00211F4C">
            <w:pPr>
              <w:pStyle w:val="ListParagraph"/>
              <w:numPr>
                <w:ilvl w:val="0"/>
                <w:numId w:val="37"/>
              </w:numPr>
              <w:tabs>
                <w:tab w:val="center" w:pos="4513"/>
                <w:tab w:val="right" w:pos="9026"/>
              </w:tabs>
              <w:rPr>
                <w:rFonts w:ascii="Calibri" w:hAnsi="Calibri"/>
                <w:szCs w:val="20"/>
              </w:rPr>
            </w:pPr>
            <w:r w:rsidRPr="00A17D8E">
              <w:rPr>
                <w:rFonts w:ascii="Calibri" w:hAnsi="Calibri"/>
                <w:szCs w:val="20"/>
              </w:rPr>
              <w:t>Is the method used appropriate for Australian and New Zealand populations?</w:t>
            </w:r>
          </w:p>
        </w:tc>
        <w:tc>
          <w:tcPr>
            <w:tcW w:w="1158" w:type="dxa"/>
            <w:tcBorders>
              <w:top w:val="single" w:sz="4" w:space="0" w:color="auto"/>
              <w:left w:val="single" w:sz="4" w:space="0" w:color="auto"/>
              <w:bottom w:val="single" w:sz="4" w:space="0" w:color="auto"/>
              <w:right w:val="single" w:sz="4" w:space="0" w:color="auto"/>
            </w:tcBorders>
          </w:tcPr>
          <w:p w14:paraId="7F0A5AC1" w14:textId="77777777" w:rsidR="009F53E1" w:rsidRDefault="009F53E1">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4B48A642" w14:textId="77777777" w:rsidR="009F53E1" w:rsidRPr="00747D03" w:rsidRDefault="009F53E1">
            <w:pPr>
              <w:tabs>
                <w:tab w:val="center" w:pos="4513"/>
                <w:tab w:val="right" w:pos="9026"/>
              </w:tabs>
              <w:rPr>
                <w:rFonts w:ascii="Calibri" w:hAnsi="Calibri" w:cs="Calibri"/>
                <w:szCs w:val="20"/>
              </w:rPr>
            </w:pPr>
          </w:p>
        </w:tc>
        <w:tc>
          <w:tcPr>
            <w:tcW w:w="851" w:type="dxa"/>
            <w:tcBorders>
              <w:top w:val="single" w:sz="4" w:space="0" w:color="auto"/>
              <w:left w:val="single" w:sz="4" w:space="0" w:color="auto"/>
              <w:bottom w:val="single" w:sz="4" w:space="0" w:color="auto"/>
              <w:right w:val="single" w:sz="8" w:space="0" w:color="auto"/>
            </w:tcBorders>
          </w:tcPr>
          <w:p w14:paraId="3D1F0D77" w14:textId="77777777" w:rsidR="009F53E1" w:rsidRDefault="009F53E1">
            <w:pPr>
              <w:tabs>
                <w:tab w:val="center" w:pos="4513"/>
                <w:tab w:val="right" w:pos="9026"/>
              </w:tabs>
              <w:rPr>
                <w:rFonts w:ascii="Calibri" w:hAnsi="Calibri"/>
                <w:szCs w:val="20"/>
              </w:rPr>
            </w:pPr>
          </w:p>
        </w:tc>
      </w:tr>
      <w:tr w:rsidR="00101630" w14:paraId="60AA7725" w14:textId="77777777" w:rsidTr="00EC0F9C">
        <w:tc>
          <w:tcPr>
            <w:tcW w:w="6487" w:type="dxa"/>
            <w:tcBorders>
              <w:top w:val="single" w:sz="4" w:space="0" w:color="auto"/>
              <w:left w:val="single" w:sz="4" w:space="0" w:color="auto"/>
              <w:bottom w:val="single" w:sz="4" w:space="0" w:color="auto"/>
              <w:right w:val="single" w:sz="4" w:space="0" w:color="auto"/>
            </w:tcBorders>
            <w:vAlign w:val="center"/>
            <w:hideMark/>
          </w:tcPr>
          <w:p w14:paraId="74769866" w14:textId="0BDE1202" w:rsidR="00101630" w:rsidRDefault="00101630">
            <w:pPr>
              <w:tabs>
                <w:tab w:val="center" w:pos="4513"/>
                <w:tab w:val="right" w:pos="9026"/>
              </w:tabs>
              <w:rPr>
                <w:rFonts w:ascii="Calibri" w:hAnsi="Calibri"/>
                <w:szCs w:val="20"/>
              </w:rPr>
            </w:pPr>
            <w:r>
              <w:rPr>
                <w:rFonts w:ascii="Calibri" w:hAnsi="Calibri"/>
                <w:szCs w:val="20"/>
              </w:rPr>
              <w:t xml:space="preserve"> Are the processes used when expert judgement is applied documented and published? (Evidence</w:t>
            </w:r>
            <w:r w:rsidR="005705E7">
              <w:rPr>
                <w:rFonts w:ascii="Calibri" w:hAnsi="Calibri"/>
                <w:szCs w:val="20"/>
              </w:rPr>
              <w:t>-</w:t>
            </w:r>
            <w:r>
              <w:rPr>
                <w:rFonts w:ascii="Calibri" w:hAnsi="Calibri"/>
                <w:szCs w:val="20"/>
              </w:rPr>
              <w:t>to</w:t>
            </w:r>
            <w:r w:rsidR="005705E7">
              <w:rPr>
                <w:rFonts w:ascii="Calibri" w:hAnsi="Calibri"/>
                <w:szCs w:val="20"/>
              </w:rPr>
              <w:t>-</w:t>
            </w:r>
            <w:r>
              <w:rPr>
                <w:rFonts w:ascii="Calibri" w:hAnsi="Calibri"/>
                <w:szCs w:val="20"/>
              </w:rPr>
              <w:t>decision process used to obtain final conclusions).</w:t>
            </w:r>
          </w:p>
        </w:tc>
        <w:tc>
          <w:tcPr>
            <w:tcW w:w="1158" w:type="dxa"/>
            <w:tcBorders>
              <w:top w:val="single" w:sz="4" w:space="0" w:color="auto"/>
              <w:left w:val="single" w:sz="4" w:space="0" w:color="auto"/>
              <w:bottom w:val="single" w:sz="4" w:space="0" w:color="auto"/>
              <w:right w:val="single" w:sz="4" w:space="0" w:color="auto"/>
            </w:tcBorders>
          </w:tcPr>
          <w:p w14:paraId="04C18336" w14:textId="15E5B59E" w:rsidR="00101630" w:rsidRDefault="00101630">
            <w:pPr>
              <w:tabs>
                <w:tab w:val="center" w:pos="4513"/>
                <w:tab w:val="right" w:pos="9026"/>
              </w:tabs>
              <w:rPr>
                <w:rFonts w:ascii="Calibri" w:hAnsi="Calibri"/>
                <w:szCs w:val="20"/>
              </w:rPr>
            </w:pPr>
          </w:p>
        </w:tc>
        <w:tc>
          <w:tcPr>
            <w:tcW w:w="6071" w:type="dxa"/>
            <w:tcBorders>
              <w:top w:val="single" w:sz="4" w:space="0" w:color="auto"/>
              <w:left w:val="single" w:sz="4" w:space="0" w:color="auto"/>
              <w:bottom w:val="single" w:sz="4" w:space="0" w:color="auto"/>
              <w:right w:val="single" w:sz="8" w:space="0" w:color="auto"/>
            </w:tcBorders>
            <w:vAlign w:val="center"/>
          </w:tcPr>
          <w:p w14:paraId="5793C2DC" w14:textId="77777777" w:rsidR="00101630" w:rsidRDefault="00101630">
            <w:pPr>
              <w:tabs>
                <w:tab w:val="center" w:pos="4513"/>
                <w:tab w:val="right" w:pos="9026"/>
              </w:tabs>
              <w:rPr>
                <w:rFonts w:ascii="Calibri" w:hAnsi="Calibri"/>
                <w:szCs w:val="20"/>
              </w:rPr>
            </w:pPr>
          </w:p>
        </w:tc>
        <w:tc>
          <w:tcPr>
            <w:tcW w:w="851" w:type="dxa"/>
            <w:tcBorders>
              <w:top w:val="single" w:sz="4" w:space="0" w:color="auto"/>
              <w:left w:val="single" w:sz="4" w:space="0" w:color="auto"/>
              <w:bottom w:val="single" w:sz="4" w:space="0" w:color="auto"/>
              <w:right w:val="single" w:sz="8" w:space="0" w:color="auto"/>
            </w:tcBorders>
          </w:tcPr>
          <w:p w14:paraId="5AA75666" w14:textId="77777777" w:rsidR="00101630" w:rsidRDefault="00101630">
            <w:pPr>
              <w:tabs>
                <w:tab w:val="center" w:pos="4513"/>
                <w:tab w:val="right" w:pos="9026"/>
              </w:tabs>
              <w:rPr>
                <w:rFonts w:ascii="Calibri" w:hAnsi="Calibri"/>
                <w:szCs w:val="20"/>
              </w:rPr>
            </w:pPr>
          </w:p>
        </w:tc>
      </w:tr>
    </w:tbl>
    <w:p w14:paraId="06A9BC75" w14:textId="4BFA65E4" w:rsidR="00101630" w:rsidRPr="00AE571B" w:rsidRDefault="00101630" w:rsidP="00365D07">
      <w:pPr>
        <w:rPr>
          <w:b/>
        </w:rPr>
      </w:pPr>
    </w:p>
    <w:tbl>
      <w:tblPr>
        <w:tblStyle w:val="TableGrid1"/>
        <w:tblW w:w="1456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87"/>
        <w:gridCol w:w="1276"/>
        <w:gridCol w:w="5953"/>
        <w:gridCol w:w="851"/>
      </w:tblGrid>
      <w:tr w:rsidR="006726FB" w14:paraId="4E9A14BE" w14:textId="77777777" w:rsidTr="00AE571B">
        <w:trPr>
          <w:tblHeader/>
        </w:trPr>
        <w:tc>
          <w:tcPr>
            <w:tcW w:w="6487" w:type="dxa"/>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3A91E9A9" w14:textId="6FDFA6B6" w:rsidR="006726FB" w:rsidRPr="00AE571B" w:rsidRDefault="004776D7" w:rsidP="00211F4C">
            <w:pPr>
              <w:pStyle w:val="ListParagraph"/>
              <w:numPr>
                <w:ilvl w:val="0"/>
                <w:numId w:val="75"/>
              </w:numPr>
              <w:ind w:left="447"/>
              <w:rPr>
                <w:b/>
              </w:rPr>
            </w:pPr>
            <w:r w:rsidRPr="005D2796">
              <w:rPr>
                <w:b/>
              </w:rPr>
              <w:t>Suitability for adopting vs adapting</w:t>
            </w:r>
          </w:p>
        </w:tc>
        <w:tc>
          <w:tcPr>
            <w:tcW w:w="1276" w:type="dxa"/>
            <w:tcBorders>
              <w:top w:val="single" w:sz="8" w:space="0" w:color="auto"/>
              <w:left w:val="single" w:sz="4" w:space="0" w:color="auto"/>
              <w:bottom w:val="single" w:sz="8" w:space="0" w:color="auto"/>
              <w:right w:val="single" w:sz="8" w:space="0" w:color="auto"/>
            </w:tcBorders>
            <w:shd w:val="clear" w:color="auto" w:fill="000000" w:themeFill="text1"/>
          </w:tcPr>
          <w:p w14:paraId="0ABDD17D" w14:textId="77777777" w:rsidR="006726FB" w:rsidRPr="00AE571B" w:rsidRDefault="006726FB">
            <w:pPr>
              <w:tabs>
                <w:tab w:val="center" w:pos="4513"/>
                <w:tab w:val="right" w:pos="9026"/>
              </w:tabs>
              <w:rPr>
                <w:szCs w:val="20"/>
              </w:rPr>
            </w:pPr>
          </w:p>
        </w:tc>
        <w:tc>
          <w:tcPr>
            <w:tcW w:w="5953" w:type="dxa"/>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2F1A5AC3" w14:textId="77777777" w:rsidR="006726FB" w:rsidRPr="00AE571B" w:rsidRDefault="006726FB">
            <w:pPr>
              <w:tabs>
                <w:tab w:val="center" w:pos="4513"/>
                <w:tab w:val="right" w:pos="9026"/>
              </w:tabs>
              <w:rPr>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000000" w:themeFill="text1"/>
          </w:tcPr>
          <w:p w14:paraId="2118C714" w14:textId="77777777" w:rsidR="006726FB" w:rsidRPr="00AE571B" w:rsidRDefault="006726FB">
            <w:pPr>
              <w:tabs>
                <w:tab w:val="center" w:pos="4513"/>
                <w:tab w:val="right" w:pos="9026"/>
              </w:tabs>
              <w:rPr>
                <w:szCs w:val="20"/>
              </w:rPr>
            </w:pPr>
          </w:p>
        </w:tc>
      </w:tr>
      <w:tr w:rsidR="00EC0F9C" w14:paraId="7761B212" w14:textId="77777777" w:rsidTr="00EC0F9C">
        <w:trPr>
          <w:tblHeader/>
        </w:trPr>
        <w:tc>
          <w:tcPr>
            <w:tcW w:w="648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38AF8B34" w14:textId="77777777" w:rsidR="00101630" w:rsidRDefault="00101630">
            <w:pPr>
              <w:tabs>
                <w:tab w:val="center" w:pos="4513"/>
                <w:tab w:val="right" w:pos="9026"/>
              </w:tabs>
              <w:rPr>
                <w:rFonts w:ascii="Calibri" w:hAnsi="Calibri"/>
                <w:b/>
                <w:bCs/>
                <w:szCs w:val="20"/>
                <w:vertAlign w:val="superscript"/>
              </w:rPr>
            </w:pPr>
            <w:r>
              <w:rPr>
                <w:rFonts w:ascii="Calibri" w:hAnsi="Calibri"/>
                <w:b/>
                <w:bCs/>
                <w:szCs w:val="20"/>
              </w:rPr>
              <w:t>Criteria</w:t>
            </w:r>
          </w:p>
        </w:tc>
        <w:tc>
          <w:tcPr>
            <w:tcW w:w="1276" w:type="dxa"/>
            <w:tcBorders>
              <w:top w:val="single" w:sz="8" w:space="0" w:color="auto"/>
              <w:left w:val="single" w:sz="4" w:space="0" w:color="auto"/>
              <w:bottom w:val="single" w:sz="8" w:space="0" w:color="auto"/>
              <w:right w:val="single" w:sz="8" w:space="0" w:color="auto"/>
            </w:tcBorders>
            <w:shd w:val="clear" w:color="auto" w:fill="BFBFBF" w:themeFill="background1" w:themeFillShade="BF"/>
            <w:hideMark/>
          </w:tcPr>
          <w:p w14:paraId="417C144B" w14:textId="77777777" w:rsidR="00101630" w:rsidRDefault="00101630">
            <w:pPr>
              <w:tabs>
                <w:tab w:val="center" w:pos="4513"/>
                <w:tab w:val="right" w:pos="9026"/>
              </w:tabs>
              <w:rPr>
                <w:rFonts w:ascii="Calibri" w:hAnsi="Calibri"/>
                <w:szCs w:val="20"/>
              </w:rPr>
            </w:pPr>
            <w:r>
              <w:rPr>
                <w:rFonts w:ascii="Calibri" w:hAnsi="Calibri"/>
                <w:szCs w:val="20"/>
              </w:rPr>
              <w:t>Yes/No/NA</w:t>
            </w:r>
          </w:p>
        </w:tc>
        <w:tc>
          <w:tcPr>
            <w:tcW w:w="5953"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5023693F" w14:textId="77777777" w:rsidR="00101630" w:rsidRDefault="00101630">
            <w:pPr>
              <w:tabs>
                <w:tab w:val="center" w:pos="4513"/>
                <w:tab w:val="right" w:pos="9026"/>
              </w:tabs>
              <w:rPr>
                <w:rFonts w:ascii="Calibri" w:hAnsi="Calibri"/>
                <w:szCs w:val="20"/>
              </w:rPr>
            </w:pPr>
            <w:r>
              <w:rPr>
                <w:rFonts w:ascii="Calibri" w:hAnsi="Calibri"/>
                <w:szCs w:val="20"/>
              </w:rPr>
              <w:t>Comment</w:t>
            </w:r>
          </w:p>
        </w:tc>
        <w:tc>
          <w:tcPr>
            <w:tcW w:w="851"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79897438" w14:textId="77777777" w:rsidR="00101630" w:rsidRDefault="00101630">
            <w:pPr>
              <w:tabs>
                <w:tab w:val="center" w:pos="4513"/>
                <w:tab w:val="right" w:pos="9026"/>
              </w:tabs>
              <w:rPr>
                <w:rFonts w:ascii="Calibri" w:hAnsi="Calibri"/>
                <w:szCs w:val="20"/>
              </w:rPr>
            </w:pPr>
            <w:r>
              <w:rPr>
                <w:rFonts w:ascii="Calibri" w:hAnsi="Calibri"/>
                <w:szCs w:val="20"/>
              </w:rPr>
              <w:t>Page #</w:t>
            </w:r>
          </w:p>
        </w:tc>
      </w:tr>
      <w:tr w:rsidR="00101630" w14:paraId="0A41A698" w14:textId="77777777" w:rsidTr="00EC0F9C">
        <w:tc>
          <w:tcPr>
            <w:tcW w:w="6487" w:type="dxa"/>
            <w:tcBorders>
              <w:top w:val="single" w:sz="4" w:space="0" w:color="auto"/>
              <w:left w:val="single" w:sz="4" w:space="0" w:color="auto"/>
              <w:bottom w:val="single" w:sz="8" w:space="0" w:color="auto"/>
              <w:right w:val="single" w:sz="4" w:space="0" w:color="auto"/>
            </w:tcBorders>
            <w:vAlign w:val="center"/>
            <w:hideMark/>
          </w:tcPr>
          <w:p w14:paraId="10806981" w14:textId="77777777" w:rsidR="00101630" w:rsidRDefault="00101630">
            <w:pPr>
              <w:tabs>
                <w:tab w:val="center" w:pos="4513"/>
                <w:tab w:val="right" w:pos="9026"/>
              </w:tabs>
              <w:rPr>
                <w:rFonts w:ascii="Calibri" w:hAnsi="Calibri"/>
                <w:i/>
                <w:iCs/>
                <w:szCs w:val="20"/>
              </w:rPr>
            </w:pPr>
            <w:r w:rsidRPr="00DA470F">
              <w:rPr>
                <w:rFonts w:ascii="Calibri" w:hAnsi="Calibri"/>
                <w:szCs w:val="20"/>
              </w:rPr>
              <w:t xml:space="preserve">How does the Australian and New Zealand context (e.g. food system, dietary patterns, intakes, status) compare with the jurisdiction in which the NRV under consideration was developed? </w:t>
            </w:r>
          </w:p>
        </w:tc>
        <w:tc>
          <w:tcPr>
            <w:tcW w:w="1276" w:type="dxa"/>
            <w:tcBorders>
              <w:top w:val="single" w:sz="4" w:space="0" w:color="auto"/>
              <w:left w:val="single" w:sz="4" w:space="0" w:color="auto"/>
              <w:bottom w:val="single" w:sz="8" w:space="0" w:color="auto"/>
              <w:right w:val="single" w:sz="4" w:space="0" w:color="auto"/>
            </w:tcBorders>
          </w:tcPr>
          <w:p w14:paraId="295C4624" w14:textId="656FFD45" w:rsidR="00101630" w:rsidRDefault="00BC5DD3">
            <w:pPr>
              <w:tabs>
                <w:tab w:val="center" w:pos="4513"/>
                <w:tab w:val="right" w:pos="9026"/>
              </w:tabs>
              <w:rPr>
                <w:rFonts w:ascii="Calibri" w:hAnsi="Calibri"/>
                <w:szCs w:val="20"/>
              </w:rPr>
            </w:pPr>
            <w:r>
              <w:rPr>
                <w:rFonts w:ascii="Calibri" w:hAnsi="Calibri"/>
                <w:szCs w:val="20"/>
              </w:rPr>
              <w:t xml:space="preserve"> </w:t>
            </w:r>
          </w:p>
        </w:tc>
        <w:tc>
          <w:tcPr>
            <w:tcW w:w="5953" w:type="dxa"/>
            <w:tcBorders>
              <w:top w:val="single" w:sz="4" w:space="0" w:color="auto"/>
              <w:left w:val="single" w:sz="4" w:space="0" w:color="auto"/>
              <w:bottom w:val="single" w:sz="8" w:space="0" w:color="auto"/>
              <w:right w:val="single" w:sz="8" w:space="0" w:color="auto"/>
            </w:tcBorders>
            <w:vAlign w:val="center"/>
          </w:tcPr>
          <w:p w14:paraId="0EF802C3" w14:textId="145431BC" w:rsidR="00101630" w:rsidRPr="00002FB3" w:rsidRDefault="00BC5DD3">
            <w:pPr>
              <w:tabs>
                <w:tab w:val="center" w:pos="4513"/>
                <w:tab w:val="right" w:pos="9026"/>
              </w:tabs>
              <w:rPr>
                <w:rFonts w:asciiTheme="minorHAnsi" w:hAnsiTheme="minorHAnsi" w:cstheme="minorHAnsi"/>
              </w:rPr>
            </w:pPr>
            <w:r>
              <w:rPr>
                <w:rFonts w:asciiTheme="minorHAnsi" w:hAnsiTheme="minorHAnsi" w:cstheme="minorHAnsi"/>
              </w:rPr>
              <w:t xml:space="preserve"> </w:t>
            </w:r>
          </w:p>
        </w:tc>
        <w:tc>
          <w:tcPr>
            <w:tcW w:w="851" w:type="dxa"/>
            <w:tcBorders>
              <w:top w:val="single" w:sz="4" w:space="0" w:color="auto"/>
              <w:left w:val="single" w:sz="4" w:space="0" w:color="auto"/>
              <w:bottom w:val="single" w:sz="8" w:space="0" w:color="auto"/>
              <w:right w:val="single" w:sz="8" w:space="0" w:color="auto"/>
            </w:tcBorders>
          </w:tcPr>
          <w:p w14:paraId="5B8EA44B" w14:textId="7D04C1D3" w:rsidR="00101630" w:rsidRDefault="00BC5DD3">
            <w:pPr>
              <w:tabs>
                <w:tab w:val="center" w:pos="4513"/>
                <w:tab w:val="right" w:pos="9026"/>
              </w:tabs>
              <w:rPr>
                <w:rFonts w:ascii="Calibri" w:hAnsi="Calibri"/>
                <w:szCs w:val="20"/>
              </w:rPr>
            </w:pPr>
            <w:r>
              <w:rPr>
                <w:rFonts w:ascii="Calibri" w:hAnsi="Calibri"/>
                <w:szCs w:val="20"/>
              </w:rPr>
              <w:t xml:space="preserve"> </w:t>
            </w:r>
          </w:p>
        </w:tc>
      </w:tr>
    </w:tbl>
    <w:p w14:paraId="13A0C46D" w14:textId="77777777" w:rsidR="00101630" w:rsidRDefault="00101630" w:rsidP="00AE571B">
      <w:pPr>
        <w:ind w:left="360"/>
      </w:pPr>
    </w:p>
    <w:tbl>
      <w:tblPr>
        <w:tblStyle w:val="TableGrid"/>
        <w:tblW w:w="0" w:type="auto"/>
        <w:tblLook w:val="04A0" w:firstRow="1" w:lastRow="0" w:firstColumn="1" w:lastColumn="0" w:noHBand="0" w:noVBand="1"/>
      </w:tblPr>
      <w:tblGrid>
        <w:gridCol w:w="14560"/>
      </w:tblGrid>
      <w:tr w:rsidR="00B61077" w:rsidRPr="00B61077" w14:paraId="41C0016A" w14:textId="77777777" w:rsidTr="00B61077">
        <w:tc>
          <w:tcPr>
            <w:tcW w:w="14560" w:type="dxa"/>
            <w:shd w:val="clear" w:color="auto" w:fill="000000" w:themeFill="text1"/>
          </w:tcPr>
          <w:p w14:paraId="27E2C583" w14:textId="11DB354A" w:rsidR="008222C7" w:rsidRPr="00AE571B" w:rsidRDefault="008222C7" w:rsidP="00211F4C">
            <w:pPr>
              <w:pStyle w:val="ListParagraph"/>
              <w:numPr>
                <w:ilvl w:val="0"/>
                <w:numId w:val="44"/>
              </w:numPr>
              <w:spacing w:before="0" w:after="0"/>
              <w:ind w:left="442" w:hanging="357"/>
              <w:rPr>
                <w:b/>
                <w:bCs/>
                <w:color w:val="FFFFFF" w:themeColor="background1"/>
                <w:sz w:val="22"/>
                <w:szCs w:val="20"/>
              </w:rPr>
            </w:pPr>
            <w:r w:rsidRPr="00AE571B">
              <w:rPr>
                <w:b/>
                <w:bCs/>
                <w:color w:val="FFFFFF" w:themeColor="background1"/>
              </w:rPr>
              <w:t>Overall conclusions</w:t>
            </w:r>
          </w:p>
        </w:tc>
      </w:tr>
      <w:tr w:rsidR="008222C7" w14:paraId="586EB750" w14:textId="77777777">
        <w:tc>
          <w:tcPr>
            <w:tcW w:w="14560" w:type="dxa"/>
          </w:tcPr>
          <w:p w14:paraId="5375FBCC" w14:textId="77777777" w:rsidR="008222C7" w:rsidRDefault="008222C7" w:rsidP="00101630">
            <w:pPr>
              <w:rPr>
                <w:b/>
                <w:bCs/>
                <w:sz w:val="22"/>
                <w:szCs w:val="20"/>
              </w:rPr>
            </w:pPr>
          </w:p>
          <w:p w14:paraId="34FF4905" w14:textId="77777777" w:rsidR="00435540" w:rsidRDefault="00435540" w:rsidP="00101630">
            <w:pPr>
              <w:rPr>
                <w:b/>
                <w:bCs/>
                <w:sz w:val="22"/>
                <w:szCs w:val="20"/>
              </w:rPr>
            </w:pPr>
          </w:p>
          <w:p w14:paraId="56542F5B" w14:textId="77777777" w:rsidR="00435540" w:rsidRDefault="00435540" w:rsidP="00101630">
            <w:pPr>
              <w:rPr>
                <w:b/>
                <w:bCs/>
                <w:sz w:val="22"/>
                <w:szCs w:val="20"/>
              </w:rPr>
            </w:pPr>
          </w:p>
          <w:p w14:paraId="3B19BCE2" w14:textId="77777777" w:rsidR="00BC5DD3" w:rsidRDefault="00BC5DD3" w:rsidP="00101630">
            <w:pPr>
              <w:rPr>
                <w:b/>
                <w:bCs/>
                <w:sz w:val="22"/>
                <w:szCs w:val="20"/>
              </w:rPr>
            </w:pPr>
          </w:p>
          <w:p w14:paraId="7E031CA4" w14:textId="77777777" w:rsidR="00435540" w:rsidRDefault="00435540" w:rsidP="00101630">
            <w:pPr>
              <w:rPr>
                <w:b/>
                <w:bCs/>
                <w:sz w:val="22"/>
                <w:szCs w:val="20"/>
              </w:rPr>
            </w:pPr>
          </w:p>
        </w:tc>
      </w:tr>
    </w:tbl>
    <w:p w14:paraId="4680D75E" w14:textId="77777777" w:rsidR="008222C7" w:rsidRPr="00AE571B" w:rsidRDefault="008222C7" w:rsidP="00101630">
      <w:pPr>
        <w:rPr>
          <w:b/>
          <w:bCs/>
          <w:sz w:val="22"/>
          <w:szCs w:val="20"/>
        </w:rPr>
        <w:sectPr w:rsidR="008222C7" w:rsidRPr="00AE571B" w:rsidSect="00E30AB1">
          <w:headerReference w:type="default" r:id="rId241"/>
          <w:footerReference w:type="default" r:id="rId242"/>
          <w:headerReference w:type="first" r:id="rId243"/>
          <w:footerReference w:type="first" r:id="rId244"/>
          <w:pgSz w:w="16838" w:h="11906" w:orient="landscape" w:code="9"/>
          <w:pgMar w:top="1134" w:right="1134" w:bottom="1134" w:left="1134" w:header="567" w:footer="567" w:gutter="0"/>
          <w:cols w:space="708"/>
          <w:titlePg/>
          <w:docGrid w:linePitch="360"/>
        </w:sectPr>
      </w:pPr>
    </w:p>
    <w:p w14:paraId="0F4F4F95" w14:textId="751BEAAB" w:rsidR="00950D92" w:rsidRDefault="004657FF" w:rsidP="003E2E95">
      <w:pPr>
        <w:pStyle w:val="Heading3-Appendix"/>
      </w:pPr>
      <w:bookmarkStart w:id="302" w:name="_Toc153967167"/>
      <w:bookmarkStart w:id="303" w:name="_Ref194582525"/>
      <w:bookmarkStart w:id="304" w:name="_Ref194582729"/>
      <w:bookmarkStart w:id="305" w:name="_Ref194583498"/>
      <w:bookmarkStart w:id="306" w:name="_Ref197344095"/>
      <w:bookmarkStart w:id="307" w:name="_Toc207801129"/>
      <w:bookmarkStart w:id="308" w:name="_Toc207824599"/>
      <w:r w:rsidRPr="00A17B89">
        <w:lastRenderedPageBreak/>
        <w:t>Decision</w:t>
      </w:r>
      <w:r>
        <w:t xml:space="preserve"> guide for use/update of existing systematic reviews</w:t>
      </w:r>
      <w:bookmarkEnd w:id="302"/>
      <w:bookmarkEnd w:id="303"/>
      <w:bookmarkEnd w:id="304"/>
      <w:bookmarkEnd w:id="305"/>
      <w:bookmarkEnd w:id="306"/>
      <w:bookmarkEnd w:id="307"/>
      <w:bookmarkEnd w:id="308"/>
    </w:p>
    <w:p w14:paraId="2B796645" w14:textId="39981396" w:rsidR="004657FF" w:rsidRDefault="00B75F52" w:rsidP="004657FF">
      <w:pPr>
        <w:pStyle w:val="BodyText"/>
        <w:spacing w:before="8"/>
        <w:jc w:val="center"/>
        <w:rPr>
          <w:sz w:val="11"/>
        </w:rPr>
      </w:pPr>
      <w:r>
        <w:rPr>
          <w:noProof/>
          <w:sz w:val="11"/>
        </w:rPr>
        <mc:AlternateContent>
          <mc:Choice Requires="wpg">
            <w:drawing>
              <wp:anchor distT="0" distB="0" distL="114300" distR="114300" simplePos="0" relativeHeight="251657260" behindDoc="0" locked="0" layoutInCell="1" allowOverlap="1" wp14:anchorId="1A344573" wp14:editId="2BEE0A10">
                <wp:simplePos x="0" y="0"/>
                <wp:positionH relativeFrom="column">
                  <wp:posOffset>-178380</wp:posOffset>
                </wp:positionH>
                <wp:positionV relativeFrom="paragraph">
                  <wp:posOffset>112229</wp:posOffset>
                </wp:positionV>
                <wp:extent cx="6695578" cy="6625922"/>
                <wp:effectExtent l="0" t="0" r="10160" b="22860"/>
                <wp:wrapNone/>
                <wp:docPr id="1025860720" name="Group 2" descr="Decision tree flowchart for determining whether to conduct new, update, or use existing systematic reviews for NRV review. The process begins by assessing whether existing systematic reviews address the relevant NRV question. If yes, sequential checks evaluate whether PI(E)CO criteria align with study questions, whether scientific quality meets recognised standards and whether the review is up to date. If any check fails, the pathway leads to conducting a de novo systematic review. If all checks pass but the review isn't current, a final decision assesses whether sufficient additional evidence exists to warrant updating versus using the existing review as is. "/>
                <wp:cNvGraphicFramePr/>
                <a:graphic xmlns:a="http://schemas.openxmlformats.org/drawingml/2006/main">
                  <a:graphicData uri="http://schemas.microsoft.com/office/word/2010/wordprocessingGroup">
                    <wpg:wgp>
                      <wpg:cNvGrpSpPr/>
                      <wpg:grpSpPr>
                        <a:xfrm>
                          <a:off x="0" y="0"/>
                          <a:ext cx="6695578" cy="6625922"/>
                          <a:chOff x="0" y="0"/>
                          <a:chExt cx="6695578" cy="6625922"/>
                        </a:xfrm>
                      </wpg:grpSpPr>
                      <wps:wsp>
                        <wps:cNvPr id="772833459" name="Text Box 24"/>
                        <wps:cNvSpPr txBox="1">
                          <a:spLocks noChangeArrowheads="1"/>
                        </wps:cNvSpPr>
                        <wps:spPr bwMode="auto">
                          <a:xfrm>
                            <a:off x="1232452" y="2767054"/>
                            <a:ext cx="4589145" cy="516890"/>
                          </a:xfrm>
                          <a:prstGeom prst="rect">
                            <a:avLst/>
                          </a:prstGeom>
                          <a:solidFill>
                            <a:srgbClr val="FFFFFF"/>
                          </a:solidFill>
                          <a:ln w="9525">
                            <a:solidFill>
                              <a:srgbClr val="000000"/>
                            </a:solidFill>
                            <a:miter lim="800000"/>
                            <a:headEnd/>
                            <a:tailEnd/>
                          </a:ln>
                        </wps:spPr>
                        <wps:txbx>
                          <w:txbxContent>
                            <w:p w14:paraId="7785C07E" w14:textId="62FE29F0" w:rsidR="004657FF" w:rsidRPr="005D7BA7" w:rsidRDefault="004657FF" w:rsidP="00A404E4">
                              <w:pPr>
                                <w:spacing w:before="0" w:after="0" w:line="240" w:lineRule="auto"/>
                                <w:jc w:val="center"/>
                                <w:rPr>
                                  <w:vertAlign w:val="superscript"/>
                                </w:rPr>
                              </w:pPr>
                              <w:r w:rsidRPr="00064E6B">
                                <w:t xml:space="preserve">Has the scientific quality of the existing systematic review been assessed </w:t>
                              </w:r>
                              <w:r w:rsidR="00DA1F22">
                                <w:t xml:space="preserve">as meeting </w:t>
                              </w:r>
                              <w:r w:rsidRPr="00064E6B">
                                <w:t>a recogni</w:t>
                              </w:r>
                              <w:r>
                                <w:t>s</w:t>
                              </w:r>
                              <w:r w:rsidRPr="00064E6B">
                                <w:t>ed</w:t>
                              </w:r>
                              <w:r>
                                <w:t xml:space="preserve"> </w:t>
                              </w:r>
                              <w:r w:rsidRPr="00064E6B">
                                <w:t>standard of quality?</w:t>
                              </w:r>
                              <w:r>
                                <w:t xml:space="preserve"> </w:t>
                              </w:r>
                              <w:r>
                                <w:rPr>
                                  <w:vertAlign w:val="superscript"/>
                                </w:rPr>
                                <w:t xml:space="preserve">c </w:t>
                              </w:r>
                            </w:p>
                          </w:txbxContent>
                        </wps:txbx>
                        <wps:bodyPr rot="0" vert="horz" wrap="square" lIns="91440" tIns="45720" rIns="91440" bIns="45720" anchor="t" anchorCtr="0">
                          <a:noAutofit/>
                        </wps:bodyPr>
                      </wps:wsp>
                      <wps:wsp>
                        <wps:cNvPr id="1564089770" name="Text Box 36"/>
                        <wps:cNvSpPr txBox="1">
                          <a:spLocks/>
                        </wps:cNvSpPr>
                        <wps:spPr>
                          <a:xfrm>
                            <a:off x="834887" y="667910"/>
                            <a:ext cx="5204460" cy="330200"/>
                          </a:xfrm>
                          <a:prstGeom prst="rect">
                            <a:avLst/>
                          </a:prstGeom>
                          <a:solidFill>
                            <a:schemeClr val="lt1"/>
                          </a:solidFill>
                          <a:ln w="6350">
                            <a:solidFill>
                              <a:prstClr val="black"/>
                            </a:solidFill>
                          </a:ln>
                        </wps:spPr>
                        <wps:txbx>
                          <w:txbxContent>
                            <w:p w14:paraId="5ED35ABC" w14:textId="623694FA" w:rsidR="004657FF" w:rsidRDefault="004657FF" w:rsidP="00A404E4">
                              <w:pPr>
                                <w:spacing w:before="0" w:after="0" w:line="240" w:lineRule="auto"/>
                                <w:jc w:val="center"/>
                              </w:pPr>
                              <w:r w:rsidRPr="00B924FB">
                                <w:t xml:space="preserve">Does the existing systematic review address the relevant </w:t>
                              </w:r>
                              <w:r w:rsidR="00D463F9">
                                <w:t xml:space="preserve">NRV </w:t>
                              </w:r>
                              <w:r w:rsidRPr="00B924FB">
                                <w:t>question?</w:t>
                              </w:r>
                              <w:r>
                                <w:t xml:space="preserve"> </w:t>
                              </w:r>
                              <w:proofErr w:type="spellStart"/>
                              <w:proofErr w:type="gramStart"/>
                              <w:r w:rsidRPr="00B924FB">
                                <w:rPr>
                                  <w:vertAlign w:val="superscript"/>
                                </w:rPr>
                                <w:t>a,b</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7597962" name="Text Box 30"/>
                        <wps:cNvSpPr txBox="1">
                          <a:spLocks noChangeArrowheads="1"/>
                        </wps:cNvSpPr>
                        <wps:spPr bwMode="auto">
                          <a:xfrm>
                            <a:off x="779228" y="1669774"/>
                            <a:ext cx="5276850" cy="445135"/>
                          </a:xfrm>
                          <a:prstGeom prst="rect">
                            <a:avLst/>
                          </a:prstGeom>
                          <a:solidFill>
                            <a:srgbClr val="FFFFFF"/>
                          </a:solidFill>
                          <a:ln w="9525">
                            <a:solidFill>
                              <a:srgbClr val="000000"/>
                            </a:solidFill>
                            <a:miter lim="800000"/>
                            <a:headEnd/>
                            <a:tailEnd/>
                          </a:ln>
                        </wps:spPr>
                        <wps:txbx>
                          <w:txbxContent>
                            <w:p w14:paraId="28F3D7E6" w14:textId="77777777" w:rsidR="004657FF" w:rsidRDefault="004657FF" w:rsidP="00A404E4">
                              <w:pPr>
                                <w:spacing w:before="0" w:after="0" w:line="240" w:lineRule="auto"/>
                                <w:jc w:val="center"/>
                              </w:pPr>
                              <w:r w:rsidRPr="001B689E">
                                <w:t>Are the PI(E)CO criteria in the existing systematic review closely aligned with the study questions?</w:t>
                              </w:r>
                            </w:p>
                          </w:txbxContent>
                        </wps:txbx>
                        <wps:bodyPr rot="0" vert="horz" wrap="square" lIns="91440" tIns="45720" rIns="91440" bIns="45720" anchor="t" anchorCtr="0">
                          <a:noAutofit/>
                        </wps:bodyPr>
                      </wps:wsp>
                      <wps:wsp>
                        <wps:cNvPr id="2054745636" name="Text Box 17"/>
                        <wps:cNvSpPr txBox="1">
                          <a:spLocks noChangeArrowheads="1"/>
                        </wps:cNvSpPr>
                        <wps:spPr bwMode="auto">
                          <a:xfrm>
                            <a:off x="1693628" y="3967701"/>
                            <a:ext cx="3241675" cy="349885"/>
                          </a:xfrm>
                          <a:prstGeom prst="rect">
                            <a:avLst/>
                          </a:prstGeom>
                          <a:solidFill>
                            <a:srgbClr val="FFFFFF"/>
                          </a:solidFill>
                          <a:ln w="9525">
                            <a:solidFill>
                              <a:srgbClr val="000000"/>
                            </a:solidFill>
                            <a:miter lim="800000"/>
                            <a:headEnd/>
                            <a:tailEnd/>
                          </a:ln>
                        </wps:spPr>
                        <wps:txbx>
                          <w:txbxContent>
                            <w:p w14:paraId="106C302A" w14:textId="453F10B2" w:rsidR="004657FF" w:rsidRDefault="004657FF" w:rsidP="00A404E4">
                              <w:pPr>
                                <w:spacing w:before="0" w:after="0" w:line="240" w:lineRule="auto"/>
                                <w:jc w:val="center"/>
                              </w:pPr>
                              <w:r>
                                <w:t>Is the existing systematic review up</w:t>
                              </w:r>
                              <w:r w:rsidR="001733AE">
                                <w:t xml:space="preserve"> </w:t>
                              </w:r>
                              <w:r>
                                <w:t>to</w:t>
                              </w:r>
                              <w:r w:rsidR="001733AE">
                                <w:t xml:space="preserve"> </w:t>
                              </w:r>
                              <w:r>
                                <w:t xml:space="preserve">date? </w:t>
                              </w:r>
                              <w:r>
                                <w:rPr>
                                  <w:vertAlign w:val="superscript"/>
                                </w:rPr>
                                <w:t>d</w:t>
                              </w:r>
                            </w:p>
                          </w:txbxContent>
                        </wps:txbx>
                        <wps:bodyPr rot="0" vert="horz" wrap="square" lIns="91440" tIns="45720" rIns="91440" bIns="45720" anchor="t" anchorCtr="0">
                          <a:noAutofit/>
                        </wps:bodyPr>
                      </wps:wsp>
                      <wps:wsp>
                        <wps:cNvPr id="364348863" name="Text Box 4"/>
                        <wps:cNvSpPr txBox="1">
                          <a:spLocks noChangeArrowheads="1"/>
                        </wps:cNvSpPr>
                        <wps:spPr bwMode="auto">
                          <a:xfrm>
                            <a:off x="2639833" y="5780599"/>
                            <a:ext cx="2209800" cy="419100"/>
                          </a:xfrm>
                          <a:prstGeom prst="rect">
                            <a:avLst/>
                          </a:prstGeom>
                          <a:solidFill>
                            <a:srgbClr val="FFFFFF"/>
                          </a:solidFill>
                          <a:ln w="9525">
                            <a:solidFill>
                              <a:srgbClr val="000000"/>
                            </a:solidFill>
                            <a:miter lim="800000"/>
                            <a:headEnd/>
                            <a:tailEnd/>
                          </a:ln>
                        </wps:spPr>
                        <wps:txbx>
                          <w:txbxContent>
                            <w:p w14:paraId="601D750B" w14:textId="77777777" w:rsidR="004657FF" w:rsidRPr="00B655D9" w:rsidRDefault="004657FF" w:rsidP="00A404E4">
                              <w:pPr>
                                <w:spacing w:before="0" w:after="0" w:line="240" w:lineRule="auto"/>
                                <w:jc w:val="center"/>
                              </w:pPr>
                              <w:r w:rsidRPr="00B655D9">
                                <w:t>Update the existing systematic</w:t>
                              </w:r>
                            </w:p>
                            <w:p w14:paraId="6520185C" w14:textId="77777777" w:rsidR="004657FF" w:rsidRDefault="004657FF" w:rsidP="00A404E4">
                              <w:pPr>
                                <w:spacing w:before="0" w:after="0" w:line="240" w:lineRule="auto"/>
                                <w:jc w:val="center"/>
                              </w:pPr>
                              <w:r w:rsidRPr="00B655D9">
                                <w:t>review</w:t>
                              </w:r>
                            </w:p>
                          </w:txbxContent>
                        </wps:txbx>
                        <wps:bodyPr rot="0" vert="horz" wrap="square" lIns="91440" tIns="45720" rIns="91440" bIns="45720" anchor="t" anchorCtr="0">
                          <a:noAutofit/>
                        </wps:bodyPr>
                      </wps:wsp>
                      <wps:wsp>
                        <wps:cNvPr id="1577957900" name="Text Box 11"/>
                        <wps:cNvSpPr txBox="1">
                          <a:spLocks noChangeArrowheads="1"/>
                        </wps:cNvSpPr>
                        <wps:spPr bwMode="auto">
                          <a:xfrm>
                            <a:off x="691764" y="4921858"/>
                            <a:ext cx="5674360" cy="252730"/>
                          </a:xfrm>
                          <a:prstGeom prst="rect">
                            <a:avLst/>
                          </a:prstGeom>
                          <a:solidFill>
                            <a:srgbClr val="FFFFFF"/>
                          </a:solidFill>
                          <a:ln w="9525">
                            <a:solidFill>
                              <a:srgbClr val="000000"/>
                            </a:solidFill>
                            <a:miter lim="800000"/>
                            <a:headEnd/>
                            <a:tailEnd/>
                          </a:ln>
                        </wps:spPr>
                        <wps:txbx>
                          <w:txbxContent>
                            <w:p w14:paraId="33D44E39" w14:textId="77777777" w:rsidR="004657FF" w:rsidRDefault="004657FF" w:rsidP="00A404E4">
                              <w:pPr>
                                <w:spacing w:before="0" w:after="0" w:line="240" w:lineRule="auto"/>
                                <w:jc w:val="center"/>
                              </w:pPr>
                              <w:r>
                                <w:t>Is there sufficient additional evidence to update the existing systematic review?</w:t>
                              </w:r>
                            </w:p>
                          </w:txbxContent>
                        </wps:txbx>
                        <wps:bodyPr rot="0" vert="horz" wrap="square" lIns="91440" tIns="45720" rIns="91440" bIns="45720" anchor="t" anchorCtr="0">
                          <a:spAutoFit/>
                        </wps:bodyPr>
                      </wps:wsp>
                      <wps:wsp>
                        <wps:cNvPr id="2118107383" name="Text Box 34"/>
                        <wps:cNvSpPr txBox="1">
                          <a:spLocks/>
                        </wps:cNvSpPr>
                        <wps:spPr>
                          <a:xfrm>
                            <a:off x="1900362" y="938254"/>
                            <a:ext cx="471805" cy="367030"/>
                          </a:xfrm>
                          <a:prstGeom prst="rect">
                            <a:avLst/>
                          </a:prstGeom>
                          <a:noFill/>
                          <a:ln w="6350">
                            <a:noFill/>
                          </a:ln>
                        </wps:spPr>
                        <wps:txbx>
                          <w:txbxContent>
                            <w:p w14:paraId="3848AE73" w14:textId="77777777" w:rsidR="004657FF" w:rsidRDefault="004657FF" w:rsidP="004657FF">
                              <w:pPr>
                                <w:jc w:val="both"/>
                              </w:pPr>
                              <w:r>
                                <w:t>NO</w:t>
                              </w:r>
                              <w:r>
                                <w:tab/>
                              </w:r>
                              <w:r>
                                <w:tab/>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9988285" name="Text Box 5"/>
                        <wps:cNvSpPr txBox="1">
                          <a:spLocks noChangeArrowheads="1"/>
                        </wps:cNvSpPr>
                        <wps:spPr bwMode="auto">
                          <a:xfrm>
                            <a:off x="0" y="5748793"/>
                            <a:ext cx="2152650" cy="400050"/>
                          </a:xfrm>
                          <a:prstGeom prst="rect">
                            <a:avLst/>
                          </a:prstGeom>
                          <a:solidFill>
                            <a:srgbClr val="FFFFFF"/>
                          </a:solidFill>
                          <a:ln w="9525">
                            <a:solidFill>
                              <a:srgbClr val="000000"/>
                            </a:solidFill>
                            <a:miter lim="800000"/>
                            <a:headEnd/>
                            <a:tailEnd/>
                          </a:ln>
                        </wps:spPr>
                        <wps:txbx>
                          <w:txbxContent>
                            <w:p w14:paraId="6C9B1490" w14:textId="77777777" w:rsidR="004657FF" w:rsidRDefault="004657FF" w:rsidP="00A404E4">
                              <w:pPr>
                                <w:spacing w:before="0" w:after="0" w:line="240" w:lineRule="auto"/>
                                <w:jc w:val="center"/>
                              </w:pPr>
                              <w:r>
                                <w:t>Conduct a de novo systematic</w:t>
                              </w:r>
                            </w:p>
                            <w:p w14:paraId="1470CF74" w14:textId="77777777" w:rsidR="004657FF" w:rsidRDefault="004657FF" w:rsidP="00A404E4">
                              <w:pPr>
                                <w:spacing w:before="0" w:after="0" w:line="240" w:lineRule="auto"/>
                                <w:jc w:val="center"/>
                              </w:pPr>
                              <w:r>
                                <w:t>review</w:t>
                              </w:r>
                            </w:p>
                          </w:txbxContent>
                        </wps:txbx>
                        <wps:bodyPr rot="0" vert="horz" wrap="square" lIns="91440" tIns="45720" rIns="91440" bIns="45720" anchor="t" anchorCtr="0">
                          <a:noAutofit/>
                        </wps:bodyPr>
                      </wps:wsp>
                      <wps:wsp>
                        <wps:cNvPr id="319156576" name="Text Box 3"/>
                        <wps:cNvSpPr txBox="1">
                          <a:spLocks noChangeArrowheads="1"/>
                        </wps:cNvSpPr>
                        <wps:spPr bwMode="auto">
                          <a:xfrm>
                            <a:off x="5200153" y="5780599"/>
                            <a:ext cx="1495425" cy="457200"/>
                          </a:xfrm>
                          <a:prstGeom prst="rect">
                            <a:avLst/>
                          </a:prstGeom>
                          <a:solidFill>
                            <a:srgbClr val="FFFFFF"/>
                          </a:solidFill>
                          <a:ln w="9525">
                            <a:solidFill>
                              <a:srgbClr val="000000"/>
                            </a:solidFill>
                            <a:miter lim="800000"/>
                            <a:headEnd/>
                            <a:tailEnd/>
                          </a:ln>
                        </wps:spPr>
                        <wps:txbx>
                          <w:txbxContent>
                            <w:p w14:paraId="423D89F0" w14:textId="77777777" w:rsidR="004657FF" w:rsidRDefault="004657FF" w:rsidP="00A404E4">
                              <w:pPr>
                                <w:spacing w:before="0" w:after="0" w:line="240" w:lineRule="auto"/>
                                <w:jc w:val="center"/>
                              </w:pPr>
                              <w:r>
                                <w:t>Use the existing systematic review</w:t>
                              </w:r>
                            </w:p>
                          </w:txbxContent>
                        </wps:txbx>
                        <wps:bodyPr rot="0" vert="horz" wrap="square" lIns="91440" tIns="45720" rIns="91440" bIns="45720" anchor="t" anchorCtr="0">
                          <a:noAutofit/>
                        </wps:bodyPr>
                      </wps:wsp>
                      <wps:wsp>
                        <wps:cNvPr id="386226271" name="Arrow: Right 32"/>
                        <wps:cNvSpPr>
                          <a:spLocks/>
                        </wps:cNvSpPr>
                        <wps:spPr>
                          <a:xfrm rot="10800000">
                            <a:off x="273492" y="1267405"/>
                            <a:ext cx="1597660" cy="8318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986707" name="Arrow: Right 22"/>
                        <wps:cNvSpPr>
                          <a:spLocks/>
                        </wps:cNvSpPr>
                        <wps:spPr>
                          <a:xfrm rot="5400000">
                            <a:off x="-2009554" y="3438636"/>
                            <a:ext cx="4415155" cy="977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465537" name="Text Box 35"/>
                        <wps:cNvSpPr txBox="1">
                          <a:spLocks/>
                        </wps:cNvSpPr>
                        <wps:spPr>
                          <a:xfrm>
                            <a:off x="4373218" y="954157"/>
                            <a:ext cx="471805" cy="367030"/>
                          </a:xfrm>
                          <a:prstGeom prst="rect">
                            <a:avLst/>
                          </a:prstGeom>
                          <a:noFill/>
                          <a:ln w="6350">
                            <a:noFill/>
                          </a:ln>
                        </wps:spPr>
                        <wps:txbx>
                          <w:txbxContent>
                            <w:p w14:paraId="16F346DE" w14:textId="77777777" w:rsidR="004657FF" w:rsidRDefault="004657FF" w:rsidP="004657FF">
                              <w:pPr>
                                <w:jc w:val="both"/>
                              </w:pPr>
                              <w:r>
                                <w:t>YES</w:t>
                              </w:r>
                              <w:r>
                                <w:tab/>
                              </w:r>
                              <w:r>
                                <w:tab/>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9773567" name="Text Box 37" descr="Decision tree flowchart for determining whether to conduct new, update, or use existing systematic reviews for NRV review. The process begins by assessing whether existing systematic reviews address the relevant NRV question. If yes, sequential checks evaluate whether PI(E)CO criteria align with study questions, whether scientific quality meets recognised standards and whether the review is up to date. If any check fails, the pathway leads to conducting a de novo systematic review. If all checks pass but the review isn't current, a final decision assesses whether sufficient additional evidence exists to warrant updating versus using the existing review as is. "/>
                        <wps:cNvSpPr txBox="1">
                          <a:spLocks/>
                        </wps:cNvSpPr>
                        <wps:spPr>
                          <a:xfrm>
                            <a:off x="564543" y="0"/>
                            <a:ext cx="5564505" cy="434340"/>
                          </a:xfrm>
                          <a:prstGeom prst="rect">
                            <a:avLst/>
                          </a:prstGeom>
                          <a:solidFill>
                            <a:schemeClr val="lt1"/>
                          </a:solidFill>
                          <a:ln w="6350">
                            <a:solidFill>
                              <a:prstClr val="black"/>
                            </a:solidFill>
                          </a:ln>
                        </wps:spPr>
                        <wps:txbx>
                          <w:txbxContent>
                            <w:p w14:paraId="050C527D" w14:textId="6FA32E5D" w:rsidR="004657FF" w:rsidRPr="00F867FB" w:rsidRDefault="004657FF" w:rsidP="00A404E4">
                              <w:pPr>
                                <w:spacing w:before="0" w:after="0" w:line="240" w:lineRule="auto"/>
                                <w:jc w:val="center"/>
                                <w:rPr>
                                  <w:b/>
                                  <w:bCs/>
                                </w:rPr>
                              </w:pPr>
                              <w:r w:rsidRPr="00F867FB">
                                <w:rPr>
                                  <w:b/>
                                  <w:bCs/>
                                </w:rPr>
                                <w:t xml:space="preserve">Are de novo systematic reviews needed </w:t>
                              </w:r>
                              <w:r w:rsidR="00D463F9">
                                <w:rPr>
                                  <w:b/>
                                  <w:bCs/>
                                </w:rPr>
                                <w:t xml:space="preserve">for an </w:t>
                              </w:r>
                              <w:r>
                                <w:rPr>
                                  <w:b/>
                                  <w:bCs/>
                                </w:rPr>
                                <w:t>NRV</w:t>
                              </w:r>
                              <w:r w:rsidRPr="00F867FB">
                                <w:rPr>
                                  <w:b/>
                                  <w:bCs/>
                                </w:rPr>
                                <w:t xml:space="preserve"> review or can eligible systematic reviews be used or updated?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1831137" name="Arrow: Right 31"/>
                        <wps:cNvSpPr>
                          <a:spLocks/>
                        </wps:cNvSpPr>
                        <wps:spPr>
                          <a:xfrm rot="5400000">
                            <a:off x="4116719" y="1254884"/>
                            <a:ext cx="458470" cy="12255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0385027" name="Arrow: Right 27"/>
                        <wps:cNvSpPr>
                          <a:spLocks/>
                        </wps:cNvSpPr>
                        <wps:spPr>
                          <a:xfrm rot="5400000">
                            <a:off x="4124353" y="2376336"/>
                            <a:ext cx="459105" cy="1231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8981808" name="Arrow: Right 8"/>
                        <wps:cNvSpPr>
                          <a:spLocks/>
                        </wps:cNvSpPr>
                        <wps:spPr>
                          <a:xfrm rot="5400000">
                            <a:off x="6084142" y="5110467"/>
                            <a:ext cx="1043305" cy="10985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0172947" name="Rectangle 33"/>
                        <wps:cNvSpPr>
                          <a:spLocks/>
                        </wps:cNvSpPr>
                        <wps:spPr>
                          <a:xfrm rot="5400000">
                            <a:off x="1743738" y="1163127"/>
                            <a:ext cx="214630" cy="4572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845685" name="Rectangle 25"/>
                        <wps:cNvSpPr>
                          <a:spLocks/>
                        </wps:cNvSpPr>
                        <wps:spPr>
                          <a:xfrm rot="5400000">
                            <a:off x="1751689" y="2276310"/>
                            <a:ext cx="214630" cy="4572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3374935" name="Arrow: Right 26"/>
                        <wps:cNvSpPr>
                          <a:spLocks/>
                        </wps:cNvSpPr>
                        <wps:spPr>
                          <a:xfrm rot="10800000">
                            <a:off x="281443" y="2364685"/>
                            <a:ext cx="1597660" cy="8318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3721368" name="Text Box 28"/>
                        <wps:cNvSpPr txBox="1">
                          <a:spLocks/>
                        </wps:cNvSpPr>
                        <wps:spPr>
                          <a:xfrm>
                            <a:off x="1884459" y="2067339"/>
                            <a:ext cx="471805" cy="367030"/>
                          </a:xfrm>
                          <a:prstGeom prst="rect">
                            <a:avLst/>
                          </a:prstGeom>
                          <a:noFill/>
                          <a:ln w="6350">
                            <a:noFill/>
                          </a:ln>
                        </wps:spPr>
                        <wps:txbx>
                          <w:txbxContent>
                            <w:p w14:paraId="5CBBEAD6" w14:textId="77777777" w:rsidR="00D463F9" w:rsidRDefault="00D463F9" w:rsidP="00D463F9">
                              <w:pPr>
                                <w:jc w:val="both"/>
                              </w:pPr>
                              <w:r>
                                <w:t>NO</w:t>
                              </w:r>
                              <w:r>
                                <w:tab/>
                              </w:r>
                              <w:r>
                                <w:tab/>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0317771" name="Text Box 29"/>
                        <wps:cNvSpPr txBox="1">
                          <a:spLocks/>
                        </wps:cNvSpPr>
                        <wps:spPr>
                          <a:xfrm>
                            <a:off x="4381169" y="2027583"/>
                            <a:ext cx="471170" cy="366395"/>
                          </a:xfrm>
                          <a:prstGeom prst="rect">
                            <a:avLst/>
                          </a:prstGeom>
                          <a:noFill/>
                          <a:ln w="6350">
                            <a:noFill/>
                          </a:ln>
                        </wps:spPr>
                        <wps:txbx>
                          <w:txbxContent>
                            <w:p w14:paraId="73C3C5CD" w14:textId="77777777" w:rsidR="00D463F9" w:rsidRDefault="00D463F9" w:rsidP="00D463F9">
                              <w:pPr>
                                <w:jc w:val="both"/>
                              </w:pPr>
                              <w:r>
                                <w:t>YES</w:t>
                              </w:r>
                              <w:r>
                                <w:tab/>
                              </w:r>
                              <w:r>
                                <w:tab/>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4170069" name="Rectangle 18"/>
                        <wps:cNvSpPr>
                          <a:spLocks/>
                        </wps:cNvSpPr>
                        <wps:spPr>
                          <a:xfrm rot="5400000">
                            <a:off x="1744055" y="3444834"/>
                            <a:ext cx="214630" cy="4508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390510" name="Arrow: Right 19"/>
                        <wps:cNvSpPr>
                          <a:spLocks/>
                        </wps:cNvSpPr>
                        <wps:spPr>
                          <a:xfrm rot="10800000">
                            <a:off x="273492" y="3549429"/>
                            <a:ext cx="1597660" cy="8318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5714180" name="Text Box 21"/>
                        <wps:cNvSpPr txBox="1">
                          <a:spLocks/>
                        </wps:cNvSpPr>
                        <wps:spPr>
                          <a:xfrm>
                            <a:off x="1876508" y="3252084"/>
                            <a:ext cx="471805" cy="367030"/>
                          </a:xfrm>
                          <a:prstGeom prst="rect">
                            <a:avLst/>
                          </a:prstGeom>
                          <a:noFill/>
                          <a:ln w="6350">
                            <a:noFill/>
                          </a:ln>
                        </wps:spPr>
                        <wps:txbx>
                          <w:txbxContent>
                            <w:p w14:paraId="57F23D5F" w14:textId="77777777" w:rsidR="00DA1F22" w:rsidRDefault="00DA1F22" w:rsidP="00DA1F22">
                              <w:pPr>
                                <w:jc w:val="both"/>
                              </w:pPr>
                              <w:r>
                                <w:t>NO</w:t>
                              </w:r>
                              <w:r>
                                <w:tab/>
                              </w:r>
                              <w:r>
                                <w:tab/>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9211121" name="Arrow: Right 20"/>
                        <wps:cNvSpPr>
                          <a:spLocks/>
                        </wps:cNvSpPr>
                        <wps:spPr>
                          <a:xfrm rot="5400000">
                            <a:off x="4116401" y="3545178"/>
                            <a:ext cx="459105" cy="1231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9797441" name="Text Box 23"/>
                        <wps:cNvSpPr txBox="1">
                          <a:spLocks/>
                        </wps:cNvSpPr>
                        <wps:spPr>
                          <a:xfrm>
                            <a:off x="4373218" y="3196425"/>
                            <a:ext cx="471170" cy="366395"/>
                          </a:xfrm>
                          <a:prstGeom prst="rect">
                            <a:avLst/>
                          </a:prstGeom>
                          <a:noFill/>
                          <a:ln w="6350">
                            <a:noFill/>
                          </a:ln>
                        </wps:spPr>
                        <wps:txbx>
                          <w:txbxContent>
                            <w:p w14:paraId="085AD037" w14:textId="77777777" w:rsidR="00DA1F22" w:rsidRDefault="00DA1F22" w:rsidP="00DA1F22">
                              <w:pPr>
                                <w:jc w:val="both"/>
                              </w:pPr>
                              <w:r>
                                <w:t>YES</w:t>
                              </w:r>
                              <w:r>
                                <w:tab/>
                              </w:r>
                              <w:r>
                                <w:tab/>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4661773" name="Rectangle 13"/>
                        <wps:cNvSpPr>
                          <a:spLocks/>
                        </wps:cNvSpPr>
                        <wps:spPr>
                          <a:xfrm rot="5400000">
                            <a:off x="4242490" y="4471974"/>
                            <a:ext cx="234315" cy="5588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6210818" name="Rectangle 12"/>
                        <wps:cNvSpPr>
                          <a:spLocks/>
                        </wps:cNvSpPr>
                        <wps:spPr>
                          <a:xfrm>
                            <a:off x="4333461" y="4572000"/>
                            <a:ext cx="2286000" cy="6159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7573678" name="Text Box 16"/>
                        <wps:cNvSpPr txBox="1">
                          <a:spLocks/>
                        </wps:cNvSpPr>
                        <wps:spPr>
                          <a:xfrm>
                            <a:off x="2282025" y="4238046"/>
                            <a:ext cx="471805" cy="367030"/>
                          </a:xfrm>
                          <a:prstGeom prst="rect">
                            <a:avLst/>
                          </a:prstGeom>
                          <a:noFill/>
                          <a:ln w="6350">
                            <a:noFill/>
                          </a:ln>
                        </wps:spPr>
                        <wps:txbx>
                          <w:txbxContent>
                            <w:p w14:paraId="3A090D8F" w14:textId="77777777" w:rsidR="000F6CF0" w:rsidRDefault="000F6CF0" w:rsidP="000F6CF0">
                              <w:pPr>
                                <w:jc w:val="both"/>
                              </w:pPr>
                              <w:r>
                                <w:t>NO</w:t>
                              </w:r>
                              <w:r>
                                <w:tab/>
                              </w:r>
                              <w:r>
                                <w:tab/>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2440837" name="Text Box 15"/>
                        <wps:cNvSpPr txBox="1">
                          <a:spLocks/>
                        </wps:cNvSpPr>
                        <wps:spPr>
                          <a:xfrm>
                            <a:off x="4389120" y="4198289"/>
                            <a:ext cx="471170" cy="366395"/>
                          </a:xfrm>
                          <a:prstGeom prst="rect">
                            <a:avLst/>
                          </a:prstGeom>
                          <a:noFill/>
                          <a:ln w="6350">
                            <a:noFill/>
                          </a:ln>
                        </wps:spPr>
                        <wps:txbx>
                          <w:txbxContent>
                            <w:p w14:paraId="50A25044" w14:textId="77777777" w:rsidR="000F6CF0" w:rsidRDefault="000F6CF0" w:rsidP="000F6CF0">
                              <w:pPr>
                                <w:jc w:val="both"/>
                              </w:pPr>
                              <w:r>
                                <w:t>YES</w:t>
                              </w:r>
                              <w:r>
                                <w:tab/>
                              </w:r>
                              <w:r>
                                <w:tab/>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862517" name="Arrow: Right 6"/>
                        <wps:cNvSpPr>
                          <a:spLocks/>
                        </wps:cNvSpPr>
                        <wps:spPr>
                          <a:xfrm rot="5400000">
                            <a:off x="4187963" y="5421686"/>
                            <a:ext cx="459105" cy="1231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7084970" name="Text Box 9"/>
                        <wps:cNvSpPr txBox="1">
                          <a:spLocks/>
                        </wps:cNvSpPr>
                        <wps:spPr>
                          <a:xfrm>
                            <a:off x="4444779" y="5064981"/>
                            <a:ext cx="471170" cy="366395"/>
                          </a:xfrm>
                          <a:prstGeom prst="rect">
                            <a:avLst/>
                          </a:prstGeom>
                          <a:noFill/>
                          <a:ln w="6350">
                            <a:noFill/>
                          </a:ln>
                        </wps:spPr>
                        <wps:txbx>
                          <w:txbxContent>
                            <w:p w14:paraId="58F7852C" w14:textId="77777777" w:rsidR="000F6CF0" w:rsidRDefault="000F6CF0" w:rsidP="000F6CF0">
                              <w:pPr>
                                <w:jc w:val="both"/>
                              </w:pPr>
                              <w:r>
                                <w:t>YES</w:t>
                              </w:r>
                              <w:r>
                                <w:tab/>
                              </w:r>
                              <w:r>
                                <w:tab/>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6501044" name="Text Box 10"/>
                        <wps:cNvSpPr txBox="1">
                          <a:spLocks/>
                        </wps:cNvSpPr>
                        <wps:spPr>
                          <a:xfrm>
                            <a:off x="2313830" y="5096786"/>
                            <a:ext cx="471805" cy="367030"/>
                          </a:xfrm>
                          <a:prstGeom prst="rect">
                            <a:avLst/>
                          </a:prstGeom>
                          <a:noFill/>
                          <a:ln w="6350">
                            <a:noFill/>
                          </a:ln>
                        </wps:spPr>
                        <wps:txbx>
                          <w:txbxContent>
                            <w:p w14:paraId="36FA60CE" w14:textId="77777777" w:rsidR="007158BC" w:rsidRDefault="007158BC" w:rsidP="007158BC">
                              <w:pPr>
                                <w:jc w:val="both"/>
                              </w:pPr>
                              <w:r>
                                <w:t>NO</w:t>
                              </w:r>
                              <w:r>
                                <w:tab/>
                              </w:r>
                              <w:r>
                                <w:tab/>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7284194" name="Rectangle 7"/>
                        <wps:cNvSpPr>
                          <a:spLocks/>
                        </wps:cNvSpPr>
                        <wps:spPr>
                          <a:xfrm rot="5400000">
                            <a:off x="1608400" y="5945837"/>
                            <a:ext cx="1314450" cy="4572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803764" name="Arrow: Right 14"/>
                        <wps:cNvSpPr>
                          <a:spLocks/>
                        </wps:cNvSpPr>
                        <wps:spPr>
                          <a:xfrm rot="5400000">
                            <a:off x="2090255" y="4529703"/>
                            <a:ext cx="434975" cy="10922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4038587" name="Rectangle 2"/>
                        <wps:cNvSpPr>
                          <a:spLocks/>
                        </wps:cNvSpPr>
                        <wps:spPr>
                          <a:xfrm>
                            <a:off x="2274073" y="6551875"/>
                            <a:ext cx="3733800" cy="5842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114797" name="Arrow: Right 1"/>
                        <wps:cNvSpPr>
                          <a:spLocks/>
                        </wps:cNvSpPr>
                        <wps:spPr>
                          <a:xfrm rot="16200000">
                            <a:off x="5889101" y="6455963"/>
                            <a:ext cx="196850" cy="9906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344573" id="Group 2" o:spid="_x0000_s1102" alt="Decision tree flowchart for determining whether to conduct new, update, or use existing systematic reviews for NRV review. The process begins by assessing whether existing systematic reviews address the relevant NRV question. If yes, sequential checks evaluate whether PI(E)CO criteria align with study questions, whether scientific quality meets recognised standards and whether the review is up to date. If any check fails, the pathway leads to conducting a de novo systematic review. If all checks pass but the review isn't current, a final decision assesses whether sufficient additional evidence exists to warrant updating versus using the existing review as is. " style="position:absolute;left:0;text-align:left;margin-left:-14.05pt;margin-top:8.85pt;width:527.2pt;height:521.75pt;z-index:251657260;mso-position-horizontal-relative:text;mso-position-vertical-relative:text" coordsize="66955,66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">
                <v:shape id="Text Box 24" o:spid="_x0000_s1103" type="#_x0000_t202" style="position:absolute;left:12324;top:27670;width:45891;height:5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">
                  <v:textbox>
                    <w:txbxContent>
                      <w:p w14:paraId="7785C07E" w14:textId="62FE29F0" w:rsidR="004657FF" w:rsidRPr="005D7BA7" w:rsidRDefault="004657FF" w:rsidP="00A404E4">
                        <w:pPr>
                          <w:spacing w:before="0" w:after="0" w:line="240" w:lineRule="auto"/>
                          <w:jc w:val="center"/>
                          <w:rPr>
                            <w:vertAlign w:val="superscript"/>
                          </w:rPr>
                        </w:pPr>
                        <w:r w:rsidRPr="00064E6B">
                          <w:t xml:space="preserve">Has the scientific quality of the existing systematic review been assessed </w:t>
                        </w:r>
                        <w:r w:rsidR="00DA1F22">
                          <w:t xml:space="preserve">as meeting </w:t>
                        </w:r>
                        <w:r w:rsidRPr="00064E6B">
                          <w:t>a recogni</w:t>
                        </w:r>
                        <w:r>
                          <w:t>s</w:t>
                        </w:r>
                        <w:r w:rsidRPr="00064E6B">
                          <w:t>ed</w:t>
                        </w:r>
                        <w:r>
                          <w:t xml:space="preserve"> </w:t>
                        </w:r>
                        <w:r w:rsidRPr="00064E6B">
                          <w:t>standard of quality?</w:t>
                        </w:r>
                        <w:r>
                          <w:t xml:space="preserve"> </w:t>
                        </w:r>
                        <w:r>
                          <w:rPr>
                            <w:vertAlign w:val="superscript"/>
                          </w:rPr>
                          <w:t xml:space="preserve">c </w:t>
                        </w:r>
                      </w:p>
                    </w:txbxContent>
                  </v:textbox>
                </v:shape>
                <v:shape id="Text Box 36" o:spid="_x0000_s1104" type="#_x0000_t202" style="position:absolute;left:8348;top:6679;width:52045;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" fillcolor="white [3201]" strokeweight=".5pt">
                  <v:path arrowok="t"/>
                  <v:textbox>
                    <w:txbxContent>
                      <w:p w14:paraId="5ED35ABC" w14:textId="623694FA" w:rsidR="004657FF" w:rsidRDefault="004657FF" w:rsidP="00A404E4">
                        <w:pPr>
                          <w:spacing w:before="0" w:after="0" w:line="240" w:lineRule="auto"/>
                          <w:jc w:val="center"/>
                        </w:pPr>
                        <w:r w:rsidRPr="00B924FB">
                          <w:t xml:space="preserve">Does the existing systematic review address the relevant </w:t>
                        </w:r>
                        <w:r w:rsidR="00D463F9">
                          <w:t xml:space="preserve">NRV </w:t>
                        </w:r>
                        <w:r w:rsidRPr="00B924FB">
                          <w:t>question?</w:t>
                        </w:r>
                        <w:r>
                          <w:t xml:space="preserve"> </w:t>
                        </w:r>
                        <w:proofErr w:type="spellStart"/>
                        <w:proofErr w:type="gramStart"/>
                        <w:r w:rsidRPr="00B924FB">
                          <w:rPr>
                            <w:vertAlign w:val="superscript"/>
                          </w:rPr>
                          <w:t>a,b</w:t>
                        </w:r>
                        <w:proofErr w:type="spellEnd"/>
                        <w:proofErr w:type="gramEnd"/>
                      </w:p>
                    </w:txbxContent>
                  </v:textbox>
                </v:shape>
                <v:shape id="Text Box 30" o:spid="_x0000_s1105" type="#_x0000_t202" style="position:absolute;left:7792;top:16697;width:52768;height:4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">
                  <v:textbox>
                    <w:txbxContent>
                      <w:p w14:paraId="28F3D7E6" w14:textId="77777777" w:rsidR="004657FF" w:rsidRDefault="004657FF" w:rsidP="00A404E4">
                        <w:pPr>
                          <w:spacing w:before="0" w:after="0" w:line="240" w:lineRule="auto"/>
                          <w:jc w:val="center"/>
                        </w:pPr>
                        <w:r w:rsidRPr="001B689E">
                          <w:t>Are the PI(E)CO criteria in the existing systematic review closely aligned with the study questions?</w:t>
                        </w:r>
                      </w:p>
                    </w:txbxContent>
                  </v:textbox>
                </v:shape>
                <v:shape id="Text Box 17" o:spid="_x0000_s1106" type="#_x0000_t202" style="position:absolute;left:16936;top:39677;width:32417;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">
                  <v:textbox>
                    <w:txbxContent>
                      <w:p w14:paraId="106C302A" w14:textId="453F10B2" w:rsidR="004657FF" w:rsidRDefault="004657FF" w:rsidP="00A404E4">
                        <w:pPr>
                          <w:spacing w:before="0" w:after="0" w:line="240" w:lineRule="auto"/>
                          <w:jc w:val="center"/>
                        </w:pPr>
                        <w:r>
                          <w:t>Is the existing systematic review up</w:t>
                        </w:r>
                        <w:r w:rsidR="001733AE">
                          <w:t xml:space="preserve"> </w:t>
                        </w:r>
                        <w:r>
                          <w:t>to</w:t>
                        </w:r>
                        <w:r w:rsidR="001733AE">
                          <w:t xml:space="preserve"> </w:t>
                        </w:r>
                        <w:r>
                          <w:t xml:space="preserve">date? </w:t>
                        </w:r>
                        <w:r>
                          <w:rPr>
                            <w:vertAlign w:val="superscript"/>
                          </w:rPr>
                          <w:t>d</w:t>
                        </w:r>
                      </w:p>
                    </w:txbxContent>
                  </v:textbox>
                </v:shape>
                <v:shape id="Text Box 4" o:spid="_x0000_s1107" type="#_x0000_t202" style="position:absolute;left:26398;top:57805;width:22098;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">
                  <v:textbox>
                    <w:txbxContent>
                      <w:p w14:paraId="601D750B" w14:textId="77777777" w:rsidR="004657FF" w:rsidRPr="00B655D9" w:rsidRDefault="004657FF" w:rsidP="00A404E4">
                        <w:pPr>
                          <w:spacing w:before="0" w:after="0" w:line="240" w:lineRule="auto"/>
                          <w:jc w:val="center"/>
                        </w:pPr>
                        <w:r w:rsidRPr="00B655D9">
                          <w:t>Update the existing systematic</w:t>
                        </w:r>
                      </w:p>
                      <w:p w14:paraId="6520185C" w14:textId="77777777" w:rsidR="004657FF" w:rsidRDefault="004657FF" w:rsidP="00A404E4">
                        <w:pPr>
                          <w:spacing w:before="0" w:after="0" w:line="240" w:lineRule="auto"/>
                          <w:jc w:val="center"/>
                        </w:pPr>
                        <w:r w:rsidRPr="00B655D9">
                          <w:t>review</w:t>
                        </w:r>
                      </w:p>
                    </w:txbxContent>
                  </v:textbox>
                </v:shape>
                <v:shape id="Text Box 11" o:spid="_x0000_s1108" type="#_x0000_t202" style="position:absolute;left:6917;top:49218;width:56744;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">
                  <v:textbox style="mso-fit-shape-to-text:t">
                    <w:txbxContent>
                      <w:p w14:paraId="33D44E39" w14:textId="77777777" w:rsidR="004657FF" w:rsidRDefault="004657FF" w:rsidP="00A404E4">
                        <w:pPr>
                          <w:spacing w:before="0" w:after="0" w:line="240" w:lineRule="auto"/>
                          <w:jc w:val="center"/>
                        </w:pPr>
                        <w:r>
                          <w:t>Is there sufficient additional evidence to update the existing systematic review?</w:t>
                        </w:r>
                      </w:p>
                    </w:txbxContent>
                  </v:textbox>
                </v:shape>
                <v:shape id="Text Box 34" o:spid="_x0000_s1109" type="#_x0000_t202" style="position:absolute;left:19003;top:9382;width:4718;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" filled="f" stroked="f" strokeweight=".5pt">
                  <v:textbox>
                    <w:txbxContent>
                      <w:p w14:paraId="3848AE73" w14:textId="77777777" w:rsidR="004657FF" w:rsidRDefault="004657FF" w:rsidP="004657FF">
                        <w:pPr>
                          <w:jc w:val="both"/>
                        </w:pPr>
                        <w:r>
                          <w:t>NO</w:t>
                        </w:r>
                        <w:r>
                          <w:tab/>
                        </w:r>
                        <w:r>
                          <w:tab/>
                        </w:r>
                        <w:r>
                          <w:tab/>
                          <w:t xml:space="preserve">                                                     </w:t>
                        </w:r>
                      </w:p>
                    </w:txbxContent>
                  </v:textbox>
                </v:shape>
                <v:shape id="Text Box 5" o:spid="_x0000_s1110" type="#_x0000_t202" style="position:absolute;top:57487;width:21526;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">
                  <v:textbox>
                    <w:txbxContent>
                      <w:p w14:paraId="6C9B1490" w14:textId="77777777" w:rsidR="004657FF" w:rsidRDefault="004657FF" w:rsidP="00A404E4">
                        <w:pPr>
                          <w:spacing w:before="0" w:after="0" w:line="240" w:lineRule="auto"/>
                          <w:jc w:val="center"/>
                        </w:pPr>
                        <w:r>
                          <w:t>Conduct a de novo systematic</w:t>
                        </w:r>
                      </w:p>
                      <w:p w14:paraId="1470CF74" w14:textId="77777777" w:rsidR="004657FF" w:rsidRDefault="004657FF" w:rsidP="00A404E4">
                        <w:pPr>
                          <w:spacing w:before="0" w:after="0" w:line="240" w:lineRule="auto"/>
                          <w:jc w:val="center"/>
                        </w:pPr>
                        <w:r>
                          <w:t>review</w:t>
                        </w:r>
                      </w:p>
                    </w:txbxContent>
                  </v:textbox>
                </v:shape>
                <v:shape id="Text Box 3" o:spid="_x0000_s1111" type="#_x0000_t202" style="position:absolute;left:52001;top:57805;width:14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">
                  <v:textbox>
                    <w:txbxContent>
                      <w:p w14:paraId="423D89F0" w14:textId="77777777" w:rsidR="004657FF" w:rsidRDefault="004657FF" w:rsidP="00A404E4">
                        <w:pPr>
                          <w:spacing w:before="0" w:after="0" w:line="240" w:lineRule="auto"/>
                          <w:jc w:val="center"/>
                        </w:pPr>
                        <w:r>
                          <w:t>Use the existing systematic review</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2" o:spid="_x0000_s1112" type="#_x0000_t13" style="position:absolute;left:2734;top:12674;width:15977;height:83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" adj="21038" fillcolor="black [3200]" strokecolor="black [480]" strokeweight="2pt">
                  <v:path arrowok="t"/>
                </v:shape>
                <v:shape id="Arrow: Right 22" o:spid="_x0000_s1113" type="#_x0000_t13" style="position:absolute;left:-20096;top:34386;width:44152;height:9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" adj="21361" fillcolor="black [3200]" strokecolor="black [480]" strokeweight="2pt">
                  <v:path arrowok="t"/>
                </v:shape>
                <v:shape id="Text Box 35" o:spid="_x0000_s1114" type="#_x0000_t202" style="position:absolute;left:43732;top:9541;width:4718;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" filled="f" stroked="f" strokeweight=".5pt">
                  <v:textbox>
                    <w:txbxContent>
                      <w:p w14:paraId="16F346DE" w14:textId="77777777" w:rsidR="004657FF" w:rsidRDefault="004657FF" w:rsidP="004657FF">
                        <w:pPr>
                          <w:jc w:val="both"/>
                        </w:pPr>
                        <w:r>
                          <w:t>YES</w:t>
                        </w:r>
                        <w:r>
                          <w:tab/>
                        </w:r>
                        <w:r>
                          <w:tab/>
                        </w:r>
                        <w:r>
                          <w:tab/>
                          <w:t xml:space="preserve">                                                     </w:t>
                        </w:r>
                      </w:p>
                    </w:txbxContent>
                  </v:textbox>
                </v:shape>
                <v:shape id="Text Box 37" o:spid="_x0000_s1115" type="#_x0000_t202" alt="Decision tree flowchart for determining whether to conduct new, update, or use existing systematic reviews for NRV review. The process begins by assessing whether existing systematic reviews address the relevant NRV question. If yes, sequential checks evaluate whether PI(E)CO criteria align with study questions, whether scientific quality meets recognised standards and whether the review is up to date. If any check fails, the pathway leads to conducting a de novo systematic review. If all checks pass but the review isn't current, a final decision assesses whether sufficient additional evidence exists to warrant updating versus using the existing review as is. " style="position:absolute;left:5645;width:55645;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" fillcolor="white [3201]" strokeweight=".5pt">
                  <v:path arrowok="t"/>
                  <v:textbox>
                    <w:txbxContent>
                      <w:p w14:paraId="050C527D" w14:textId="6FA32E5D" w:rsidR="004657FF" w:rsidRPr="00F867FB" w:rsidRDefault="004657FF" w:rsidP="00A404E4">
                        <w:pPr>
                          <w:spacing w:before="0" w:after="0" w:line="240" w:lineRule="auto"/>
                          <w:jc w:val="center"/>
                          <w:rPr>
                            <w:b/>
                            <w:bCs/>
                          </w:rPr>
                        </w:pPr>
                        <w:r w:rsidRPr="00F867FB">
                          <w:rPr>
                            <w:b/>
                            <w:bCs/>
                          </w:rPr>
                          <w:t xml:space="preserve">Are de novo systematic reviews needed </w:t>
                        </w:r>
                        <w:r w:rsidR="00D463F9">
                          <w:rPr>
                            <w:b/>
                            <w:bCs/>
                          </w:rPr>
                          <w:t xml:space="preserve">for an </w:t>
                        </w:r>
                        <w:r>
                          <w:rPr>
                            <w:b/>
                            <w:bCs/>
                          </w:rPr>
                          <w:t>NRV</w:t>
                        </w:r>
                        <w:r w:rsidRPr="00F867FB">
                          <w:rPr>
                            <w:b/>
                            <w:bCs/>
                          </w:rPr>
                          <w:t xml:space="preserve"> review or can eligible systematic reviews be used or updated?</w:t>
                        </w:r>
                      </w:p>
                    </w:txbxContent>
                  </v:textbox>
                </v:shape>
                <v:shape id="Arrow: Right 31" o:spid="_x0000_s1116" type="#_x0000_t13" style="position:absolute;left:41167;top:12548;width:4584;height:122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" adj="18713" fillcolor="black [3200]" strokecolor="black [480]" strokeweight="2pt">
                  <v:path arrowok="t"/>
                </v:shape>
                <v:shape id="Arrow: Right 27" o:spid="_x0000_s1117" type="#_x0000_t13" style="position:absolute;left:41243;top:23763;width:4591;height:12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" adj="18702" fillcolor="black [3200]" strokecolor="black [480]" strokeweight="2pt">
                  <v:path arrowok="t"/>
                </v:shape>
                <v:shape id="Arrow: Right 8" o:spid="_x0000_s1118" type="#_x0000_t13" style="position:absolute;left:60841;top:51104;width:10433;height:1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" adj="20463" fillcolor="black [3200]" strokecolor="black [480]" strokeweight="2pt">
                  <v:path arrowok="t"/>
                </v:shape>
                <v:rect id="Rectangle 33" o:spid="_x0000_s1119" style="position:absolute;left:17436;top:11631;width:2147;height:4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" fillcolor="black [3200]" strokecolor="black [480]" strokeweight="2pt">
                  <v:path arrowok="t"/>
                </v:rect>
                <v:rect id="Rectangle 25" o:spid="_x0000_s1120" style="position:absolute;left:17517;top:22762;width:2146;height:4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" fillcolor="black [3200]" strokecolor="black [480]" strokeweight="2pt">
                  <v:path arrowok="t"/>
                </v:rect>
                <v:shape id="Arrow: Right 26" o:spid="_x0000_s1121" type="#_x0000_t13" style="position:absolute;left:2814;top:23646;width:15977;height:83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" adj="21038" fillcolor="black [3200]" strokecolor="black [480]" strokeweight="2pt">
                  <v:path arrowok="t"/>
                </v:shape>
                <v:shape id="Text Box 28" o:spid="_x0000_s1122" type="#_x0000_t202" style="position:absolute;left:18844;top:20673;width:4718;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" filled="f" stroked="f" strokeweight=".5pt">
                  <v:textbox>
                    <w:txbxContent>
                      <w:p w14:paraId="5CBBEAD6" w14:textId="77777777" w:rsidR="00D463F9" w:rsidRDefault="00D463F9" w:rsidP="00D463F9">
                        <w:pPr>
                          <w:jc w:val="both"/>
                        </w:pPr>
                        <w:r>
                          <w:t>NO</w:t>
                        </w:r>
                        <w:r>
                          <w:tab/>
                        </w:r>
                        <w:r>
                          <w:tab/>
                        </w:r>
                        <w:r>
                          <w:tab/>
                          <w:t xml:space="preserve">                                                     </w:t>
                        </w:r>
                      </w:p>
                    </w:txbxContent>
                  </v:textbox>
                </v:shape>
                <v:shape id="Text Box 29" o:spid="_x0000_s1123" type="#_x0000_t202" style="position:absolute;left:43811;top:20275;width:4712;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" filled="f" stroked="f" strokeweight=".5pt">
                  <v:textbox>
                    <w:txbxContent>
                      <w:p w14:paraId="73C3C5CD" w14:textId="77777777" w:rsidR="00D463F9" w:rsidRDefault="00D463F9" w:rsidP="00D463F9">
                        <w:pPr>
                          <w:jc w:val="both"/>
                        </w:pPr>
                        <w:r>
                          <w:t>YES</w:t>
                        </w:r>
                        <w:r>
                          <w:tab/>
                        </w:r>
                        <w:r>
                          <w:tab/>
                        </w:r>
                        <w:r>
                          <w:tab/>
                          <w:t xml:space="preserve">                                                     </w:t>
                        </w:r>
                      </w:p>
                    </w:txbxContent>
                  </v:textbox>
                </v:shape>
                <v:rect id="Rectangle 18" o:spid="_x0000_s1124" style="position:absolute;left:17441;top:34447;width:2146;height:45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" fillcolor="black [3200]" strokecolor="black [480]" strokeweight="2pt">
                  <v:path arrowok="t"/>
                </v:rect>
                <v:shape id="Arrow: Right 19" o:spid="_x0000_s1125" type="#_x0000_t13" style="position:absolute;left:2734;top:35494;width:15977;height:83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" adj="21038" fillcolor="black [3200]" strokecolor="black [480]" strokeweight="2pt">
                  <v:path arrowok="t"/>
                </v:shape>
                <v:shape id="Text Box 21" o:spid="_x0000_s1126" type="#_x0000_t202" style="position:absolute;left:18765;top:32520;width:4718;height:3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" filled="f" stroked="f" strokeweight=".5pt">
                  <v:textbox>
                    <w:txbxContent>
                      <w:p w14:paraId="57F23D5F" w14:textId="77777777" w:rsidR="00DA1F22" w:rsidRDefault="00DA1F22" w:rsidP="00DA1F22">
                        <w:pPr>
                          <w:jc w:val="both"/>
                        </w:pPr>
                        <w:r>
                          <w:t>NO</w:t>
                        </w:r>
                        <w:r>
                          <w:tab/>
                        </w:r>
                        <w:r>
                          <w:tab/>
                        </w:r>
                        <w:r>
                          <w:tab/>
                          <w:t xml:space="preserve">                                                     </w:t>
                        </w:r>
                      </w:p>
                    </w:txbxContent>
                  </v:textbox>
                </v:shape>
                <v:shape id="Arrow: Right 20" o:spid="_x0000_s1127" type="#_x0000_t13" style="position:absolute;left:41163;top:35452;width:4591;height:12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" adj="18702" fillcolor="black [3200]" strokecolor="black [480]" strokeweight="2pt">
                  <v:path arrowok="t"/>
                </v:shape>
                <v:shape id="Text Box 23" o:spid="_x0000_s1128" type="#_x0000_t202" style="position:absolute;left:43732;top:31964;width:4711;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" filled="f" stroked="f" strokeweight=".5pt">
                  <v:textbox>
                    <w:txbxContent>
                      <w:p w14:paraId="085AD037" w14:textId="77777777" w:rsidR="00DA1F22" w:rsidRDefault="00DA1F22" w:rsidP="00DA1F22">
                        <w:pPr>
                          <w:jc w:val="both"/>
                        </w:pPr>
                        <w:r>
                          <w:t>YES</w:t>
                        </w:r>
                        <w:r>
                          <w:tab/>
                        </w:r>
                        <w:r>
                          <w:tab/>
                        </w:r>
                        <w:r>
                          <w:tab/>
                          <w:t xml:space="preserve">                                                     </w:t>
                        </w:r>
                      </w:p>
                    </w:txbxContent>
                  </v:textbox>
                </v:shape>
                <v:rect id="Rectangle 13" o:spid="_x0000_s1129" style="position:absolute;left:42424;top:44720;width:2343;height:5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" fillcolor="black [3200]" strokecolor="black [480]" strokeweight="2pt">
                  <v:path arrowok="t"/>
                </v:rect>
                <v:rect id="Rectangle 12" o:spid="_x0000_s1130" style="position:absolute;left:43334;top:45720;width:22860;height: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" fillcolor="black [3200]" strokecolor="black [480]" strokeweight="2pt">
                  <v:path arrowok="t"/>
                </v:rect>
                <v:shape id="Text Box 16" o:spid="_x0000_s1131" type="#_x0000_t202" style="position:absolute;left:22820;top:42380;width:4718;height:3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" filled="f" stroked="f" strokeweight=".5pt">
                  <v:textbox>
                    <w:txbxContent>
                      <w:p w14:paraId="3A090D8F" w14:textId="77777777" w:rsidR="000F6CF0" w:rsidRDefault="000F6CF0" w:rsidP="000F6CF0">
                        <w:pPr>
                          <w:jc w:val="both"/>
                        </w:pPr>
                        <w:r>
                          <w:t>NO</w:t>
                        </w:r>
                        <w:r>
                          <w:tab/>
                        </w:r>
                        <w:r>
                          <w:tab/>
                        </w:r>
                        <w:r>
                          <w:tab/>
                          <w:t xml:space="preserve">                                                     </w:t>
                        </w:r>
                      </w:p>
                    </w:txbxContent>
                  </v:textbox>
                </v:shape>
                <v:shape id="Text Box 15" o:spid="_x0000_s1132" type="#_x0000_t202" style="position:absolute;left:43891;top:41982;width:4711;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" filled="f" stroked="f" strokeweight=".5pt">
                  <v:textbox>
                    <w:txbxContent>
                      <w:p w14:paraId="50A25044" w14:textId="77777777" w:rsidR="000F6CF0" w:rsidRDefault="000F6CF0" w:rsidP="000F6CF0">
                        <w:pPr>
                          <w:jc w:val="both"/>
                        </w:pPr>
                        <w:r>
                          <w:t>YES</w:t>
                        </w:r>
                        <w:r>
                          <w:tab/>
                        </w:r>
                        <w:r>
                          <w:tab/>
                        </w:r>
                        <w:r>
                          <w:tab/>
                          <w:t xml:space="preserve">                                                     </w:t>
                        </w:r>
                      </w:p>
                    </w:txbxContent>
                  </v:textbox>
                </v:shape>
                <v:shape id="Arrow: Right 6" o:spid="_x0000_s1133" type="#_x0000_t13" style="position:absolute;left:41879;top:54217;width:4591;height:12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" adj="18702" fillcolor="black [3200]" strokecolor="black [480]" strokeweight="2pt">
                  <v:path arrowok="t"/>
                </v:shape>
                <v:shape id="Text Box 9" o:spid="_x0000_s1134" type="#_x0000_t202" style="position:absolute;left:44447;top:50649;width:4712;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" filled="f" stroked="f" strokeweight=".5pt">
                  <v:textbox>
                    <w:txbxContent>
                      <w:p w14:paraId="58F7852C" w14:textId="77777777" w:rsidR="000F6CF0" w:rsidRDefault="000F6CF0" w:rsidP="000F6CF0">
                        <w:pPr>
                          <w:jc w:val="both"/>
                        </w:pPr>
                        <w:r>
                          <w:t>YES</w:t>
                        </w:r>
                        <w:r>
                          <w:tab/>
                        </w:r>
                        <w:r>
                          <w:tab/>
                        </w:r>
                        <w:r>
                          <w:tab/>
                          <w:t xml:space="preserve">                                                     </w:t>
                        </w:r>
                      </w:p>
                    </w:txbxContent>
                  </v:textbox>
                </v:shape>
                <v:shape id="Text Box 10" o:spid="_x0000_s1135" type="#_x0000_t202" style="position:absolute;left:23138;top:50967;width:4718;height:3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" filled="f" stroked="f" strokeweight=".5pt">
                  <v:textbox>
                    <w:txbxContent>
                      <w:p w14:paraId="36FA60CE" w14:textId="77777777" w:rsidR="007158BC" w:rsidRDefault="007158BC" w:rsidP="007158BC">
                        <w:pPr>
                          <w:jc w:val="both"/>
                        </w:pPr>
                        <w:r>
                          <w:t>NO</w:t>
                        </w:r>
                        <w:r>
                          <w:tab/>
                        </w:r>
                        <w:r>
                          <w:tab/>
                        </w:r>
                        <w:r>
                          <w:tab/>
                          <w:t xml:space="preserve">                                                     </w:t>
                        </w:r>
                      </w:p>
                    </w:txbxContent>
                  </v:textbox>
                </v:shape>
                <v:rect id="Rectangle 7" o:spid="_x0000_s1136" style="position:absolute;left:16083;top:59458;width:13145;height:4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" fillcolor="black [3200]" strokecolor="black [480]" strokeweight="2pt">
                  <v:path arrowok="t"/>
                </v:rect>
                <v:shape id="Arrow: Right 14" o:spid="_x0000_s1137" type="#_x0000_t13" style="position:absolute;left:20902;top:45297;width:4350;height:109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" adj="18888" fillcolor="black [3200]" strokecolor="black [480]" strokeweight="2pt">
                  <v:path arrowok="t"/>
                </v:shape>
                <v:rect id="Rectangle 2" o:spid="_x0000_s1138" style="position:absolute;left:22740;top:65518;width:37338;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" fillcolor="black [3200]" strokecolor="black [480]" strokeweight="2pt">
                  <v:path arrowok="t"/>
                </v:rect>
                <v:shape id="Arrow: Right 1" o:spid="_x0000_s1139" type="#_x0000_t13" style="position:absolute;left:58890;top:64559;width:1969;height:99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" adj="16165" fillcolor="black [3200]" strokecolor="black [480]" strokeweight="2pt">
                  <v:path arrowok="t"/>
                </v:shape>
              </v:group>
            </w:pict>
          </mc:Fallback>
        </mc:AlternateContent>
      </w:r>
    </w:p>
    <w:p w14:paraId="6B552042" w14:textId="7ABEFBFA" w:rsidR="004657FF" w:rsidRDefault="004657FF" w:rsidP="004657FF">
      <w:pPr>
        <w:pStyle w:val="BodyText"/>
        <w:spacing w:line="253" w:lineRule="exact"/>
        <w:ind w:left="1269"/>
      </w:pPr>
    </w:p>
    <w:p w14:paraId="5C9BB37B" w14:textId="77777777" w:rsidR="004657FF" w:rsidRDefault="004657FF" w:rsidP="004657FF">
      <w:pPr>
        <w:pStyle w:val="BodyText"/>
        <w:spacing w:line="253" w:lineRule="exact"/>
        <w:ind w:left="1269"/>
      </w:pPr>
    </w:p>
    <w:p w14:paraId="60A5BA48" w14:textId="77777777" w:rsidR="004657FF" w:rsidRDefault="004657FF" w:rsidP="004657FF">
      <w:pPr>
        <w:pStyle w:val="BodyText"/>
        <w:spacing w:line="253" w:lineRule="exact"/>
        <w:ind w:left="1269"/>
      </w:pPr>
    </w:p>
    <w:p w14:paraId="3BC370D9" w14:textId="77777777" w:rsidR="004657FF" w:rsidRDefault="004657FF" w:rsidP="004657FF">
      <w:pPr>
        <w:pStyle w:val="BodyText"/>
        <w:rPr>
          <w:sz w:val="6"/>
        </w:rPr>
      </w:pPr>
    </w:p>
    <w:p w14:paraId="53CD0BD3" w14:textId="77777777" w:rsidR="004657FF" w:rsidRDefault="004657FF" w:rsidP="004657FF">
      <w:pPr>
        <w:pStyle w:val="BodyText"/>
        <w:spacing w:before="5"/>
        <w:rPr>
          <w:sz w:val="10"/>
        </w:rPr>
      </w:pPr>
    </w:p>
    <w:p w14:paraId="7C4B7311" w14:textId="41F4E04D" w:rsidR="004657FF" w:rsidRDefault="004657FF" w:rsidP="004657FF">
      <w:pPr>
        <w:spacing w:after="0" w:line="240" w:lineRule="auto"/>
        <w:rPr>
          <w:sz w:val="16"/>
          <w:szCs w:val="16"/>
        </w:rPr>
      </w:pPr>
    </w:p>
    <w:p w14:paraId="758A5613" w14:textId="584B61F3" w:rsidR="004657FF" w:rsidRDefault="004657FF" w:rsidP="004657FF">
      <w:pPr>
        <w:spacing w:line="240" w:lineRule="auto"/>
        <w:ind w:left="142" w:hanging="142"/>
        <w:rPr>
          <w:sz w:val="16"/>
          <w:szCs w:val="16"/>
        </w:rPr>
      </w:pPr>
    </w:p>
    <w:p w14:paraId="5714FD54" w14:textId="789DAAF0" w:rsidR="004657FF" w:rsidRDefault="004657FF" w:rsidP="004657FF">
      <w:pPr>
        <w:spacing w:line="240" w:lineRule="auto"/>
        <w:ind w:left="142" w:hanging="142"/>
        <w:rPr>
          <w:sz w:val="16"/>
          <w:szCs w:val="16"/>
        </w:rPr>
      </w:pPr>
    </w:p>
    <w:p w14:paraId="5B47650B" w14:textId="552D67E2" w:rsidR="004657FF" w:rsidRDefault="004657FF" w:rsidP="004657FF">
      <w:pPr>
        <w:spacing w:line="240" w:lineRule="auto"/>
        <w:ind w:left="142" w:hanging="142"/>
        <w:rPr>
          <w:sz w:val="16"/>
          <w:szCs w:val="16"/>
        </w:rPr>
      </w:pPr>
    </w:p>
    <w:p w14:paraId="5CFC358E" w14:textId="065DCA5C" w:rsidR="004657FF" w:rsidRDefault="004657FF" w:rsidP="004657FF">
      <w:pPr>
        <w:spacing w:line="240" w:lineRule="auto"/>
        <w:rPr>
          <w:b/>
          <w:bCs/>
          <w:sz w:val="16"/>
          <w:szCs w:val="16"/>
        </w:rPr>
      </w:pPr>
    </w:p>
    <w:p w14:paraId="529F6B44" w14:textId="4315A45D" w:rsidR="004657FF" w:rsidRDefault="004657FF" w:rsidP="004657FF">
      <w:pPr>
        <w:spacing w:line="240" w:lineRule="auto"/>
        <w:rPr>
          <w:b/>
          <w:bCs/>
          <w:sz w:val="16"/>
          <w:szCs w:val="16"/>
        </w:rPr>
      </w:pPr>
    </w:p>
    <w:p w14:paraId="48E2F202" w14:textId="1DBD7B64" w:rsidR="004657FF" w:rsidRDefault="004657FF" w:rsidP="004657FF">
      <w:pPr>
        <w:spacing w:line="240" w:lineRule="auto"/>
        <w:rPr>
          <w:b/>
          <w:bCs/>
          <w:sz w:val="16"/>
          <w:szCs w:val="16"/>
        </w:rPr>
      </w:pPr>
    </w:p>
    <w:p w14:paraId="456B1C8E" w14:textId="732F50AE" w:rsidR="004657FF" w:rsidRDefault="004657FF" w:rsidP="004657FF">
      <w:pPr>
        <w:spacing w:line="240" w:lineRule="auto"/>
        <w:rPr>
          <w:b/>
          <w:bCs/>
          <w:sz w:val="16"/>
          <w:szCs w:val="16"/>
        </w:rPr>
      </w:pPr>
    </w:p>
    <w:p w14:paraId="393347A8" w14:textId="4AF90410" w:rsidR="004657FF" w:rsidRDefault="004657FF" w:rsidP="004657FF">
      <w:pPr>
        <w:spacing w:line="240" w:lineRule="auto"/>
        <w:rPr>
          <w:b/>
          <w:bCs/>
          <w:sz w:val="16"/>
          <w:szCs w:val="16"/>
        </w:rPr>
      </w:pPr>
    </w:p>
    <w:p w14:paraId="7F50CA39" w14:textId="44926D6C" w:rsidR="004657FF" w:rsidRDefault="004657FF" w:rsidP="004657FF">
      <w:pPr>
        <w:spacing w:line="240" w:lineRule="auto"/>
        <w:rPr>
          <w:b/>
          <w:bCs/>
          <w:sz w:val="16"/>
          <w:szCs w:val="16"/>
        </w:rPr>
      </w:pPr>
    </w:p>
    <w:p w14:paraId="596AF6E0" w14:textId="25894DA7" w:rsidR="004657FF" w:rsidRDefault="004657FF" w:rsidP="004657FF">
      <w:pPr>
        <w:spacing w:line="240" w:lineRule="auto"/>
        <w:rPr>
          <w:b/>
          <w:bCs/>
          <w:sz w:val="16"/>
          <w:szCs w:val="16"/>
        </w:rPr>
      </w:pPr>
    </w:p>
    <w:p w14:paraId="778DC71D" w14:textId="0ACDF569" w:rsidR="004657FF" w:rsidRDefault="004657FF" w:rsidP="004657FF">
      <w:pPr>
        <w:spacing w:line="240" w:lineRule="auto"/>
        <w:rPr>
          <w:b/>
          <w:bCs/>
          <w:sz w:val="16"/>
          <w:szCs w:val="16"/>
        </w:rPr>
      </w:pPr>
    </w:p>
    <w:p w14:paraId="151C9847" w14:textId="37301222" w:rsidR="004657FF" w:rsidRDefault="004657FF" w:rsidP="004657FF">
      <w:pPr>
        <w:spacing w:line="240" w:lineRule="auto"/>
        <w:rPr>
          <w:b/>
          <w:bCs/>
          <w:sz w:val="16"/>
          <w:szCs w:val="16"/>
        </w:rPr>
      </w:pPr>
    </w:p>
    <w:p w14:paraId="050A8F46" w14:textId="446B7423" w:rsidR="004657FF" w:rsidRDefault="004657FF" w:rsidP="004657FF">
      <w:pPr>
        <w:spacing w:line="240" w:lineRule="auto"/>
        <w:rPr>
          <w:b/>
          <w:bCs/>
          <w:sz w:val="16"/>
          <w:szCs w:val="16"/>
        </w:rPr>
      </w:pPr>
    </w:p>
    <w:p w14:paraId="01271BBE" w14:textId="44CF3BF2" w:rsidR="004657FF" w:rsidRDefault="004657FF" w:rsidP="004657FF">
      <w:pPr>
        <w:spacing w:line="240" w:lineRule="auto"/>
        <w:rPr>
          <w:b/>
          <w:bCs/>
          <w:sz w:val="16"/>
          <w:szCs w:val="16"/>
        </w:rPr>
      </w:pPr>
    </w:p>
    <w:p w14:paraId="545FFB0C" w14:textId="22061EE1" w:rsidR="004657FF" w:rsidRDefault="004657FF" w:rsidP="004657FF">
      <w:pPr>
        <w:spacing w:line="240" w:lineRule="auto"/>
        <w:rPr>
          <w:b/>
          <w:bCs/>
          <w:sz w:val="16"/>
          <w:szCs w:val="16"/>
        </w:rPr>
      </w:pPr>
    </w:p>
    <w:p w14:paraId="012EEFF4" w14:textId="1B5CCBDD" w:rsidR="004657FF" w:rsidRDefault="004657FF" w:rsidP="004657FF">
      <w:pPr>
        <w:spacing w:line="240" w:lineRule="auto"/>
        <w:rPr>
          <w:b/>
          <w:bCs/>
          <w:sz w:val="16"/>
          <w:szCs w:val="16"/>
        </w:rPr>
      </w:pPr>
    </w:p>
    <w:p w14:paraId="00B81480" w14:textId="51522FC8" w:rsidR="004657FF" w:rsidRDefault="004657FF" w:rsidP="004657FF">
      <w:pPr>
        <w:spacing w:line="240" w:lineRule="auto"/>
        <w:rPr>
          <w:b/>
          <w:bCs/>
          <w:sz w:val="16"/>
          <w:szCs w:val="16"/>
        </w:rPr>
      </w:pPr>
    </w:p>
    <w:p w14:paraId="30F71019" w14:textId="5F506BEC" w:rsidR="004657FF" w:rsidRDefault="004657FF" w:rsidP="004657FF">
      <w:pPr>
        <w:spacing w:line="240" w:lineRule="auto"/>
        <w:rPr>
          <w:b/>
          <w:bCs/>
          <w:sz w:val="16"/>
          <w:szCs w:val="16"/>
        </w:rPr>
      </w:pPr>
    </w:p>
    <w:p w14:paraId="11316AC2" w14:textId="1B2ABB4D" w:rsidR="004657FF" w:rsidRDefault="004657FF" w:rsidP="004657FF">
      <w:pPr>
        <w:spacing w:line="240" w:lineRule="auto"/>
        <w:rPr>
          <w:b/>
          <w:bCs/>
          <w:sz w:val="16"/>
          <w:szCs w:val="16"/>
        </w:rPr>
      </w:pPr>
    </w:p>
    <w:p w14:paraId="2FD94D3C" w14:textId="21E71F12" w:rsidR="004657FF" w:rsidRDefault="004657FF" w:rsidP="004657FF">
      <w:pPr>
        <w:spacing w:line="240" w:lineRule="auto"/>
        <w:rPr>
          <w:b/>
          <w:bCs/>
          <w:sz w:val="16"/>
          <w:szCs w:val="16"/>
        </w:rPr>
      </w:pPr>
    </w:p>
    <w:p w14:paraId="3E74D432" w14:textId="3EF303C1" w:rsidR="004657FF" w:rsidRDefault="004657FF" w:rsidP="004657FF">
      <w:pPr>
        <w:spacing w:line="240" w:lineRule="auto"/>
        <w:rPr>
          <w:b/>
          <w:bCs/>
          <w:sz w:val="16"/>
          <w:szCs w:val="16"/>
        </w:rPr>
      </w:pPr>
    </w:p>
    <w:p w14:paraId="22FD58BF" w14:textId="1EF76608" w:rsidR="004657FF" w:rsidRDefault="004657FF" w:rsidP="004657FF">
      <w:pPr>
        <w:spacing w:line="240" w:lineRule="auto"/>
        <w:rPr>
          <w:b/>
          <w:bCs/>
          <w:sz w:val="16"/>
          <w:szCs w:val="16"/>
        </w:rPr>
      </w:pPr>
    </w:p>
    <w:p w14:paraId="6C42599F" w14:textId="35FEE9AB" w:rsidR="004657FF" w:rsidRDefault="004657FF" w:rsidP="004657FF">
      <w:pPr>
        <w:spacing w:line="240" w:lineRule="auto"/>
        <w:rPr>
          <w:b/>
          <w:bCs/>
          <w:sz w:val="16"/>
          <w:szCs w:val="16"/>
        </w:rPr>
      </w:pPr>
    </w:p>
    <w:p w14:paraId="4875187B" w14:textId="257D0018" w:rsidR="004657FF" w:rsidRDefault="004657FF" w:rsidP="004657FF">
      <w:pPr>
        <w:spacing w:line="240" w:lineRule="auto"/>
        <w:rPr>
          <w:b/>
          <w:bCs/>
          <w:sz w:val="16"/>
          <w:szCs w:val="16"/>
        </w:rPr>
      </w:pPr>
    </w:p>
    <w:p w14:paraId="4F38F9EE" w14:textId="590D77D9" w:rsidR="004657FF" w:rsidRDefault="004657FF" w:rsidP="004657FF">
      <w:pPr>
        <w:spacing w:line="240" w:lineRule="auto"/>
        <w:rPr>
          <w:b/>
          <w:bCs/>
          <w:sz w:val="16"/>
          <w:szCs w:val="16"/>
        </w:rPr>
      </w:pPr>
    </w:p>
    <w:p w14:paraId="57D8F1BB" w14:textId="42E9EE86" w:rsidR="004657FF" w:rsidRDefault="004657FF" w:rsidP="004657FF">
      <w:pPr>
        <w:spacing w:line="240" w:lineRule="auto"/>
        <w:rPr>
          <w:b/>
          <w:bCs/>
          <w:sz w:val="16"/>
          <w:szCs w:val="16"/>
        </w:rPr>
      </w:pPr>
    </w:p>
    <w:p w14:paraId="38BE7DB5" w14:textId="37989B83" w:rsidR="004657FF" w:rsidRDefault="004657FF" w:rsidP="004657FF">
      <w:pPr>
        <w:spacing w:line="240" w:lineRule="auto"/>
        <w:rPr>
          <w:b/>
          <w:bCs/>
          <w:sz w:val="16"/>
          <w:szCs w:val="16"/>
        </w:rPr>
      </w:pPr>
    </w:p>
    <w:p w14:paraId="7EE95C5F" w14:textId="0790B797" w:rsidR="004657FF" w:rsidRDefault="004657FF" w:rsidP="004657FF">
      <w:pPr>
        <w:spacing w:line="240" w:lineRule="auto"/>
        <w:rPr>
          <w:b/>
          <w:bCs/>
          <w:sz w:val="16"/>
          <w:szCs w:val="16"/>
        </w:rPr>
      </w:pPr>
    </w:p>
    <w:p w14:paraId="553FBE7C" w14:textId="2C6A576F" w:rsidR="00894D17" w:rsidRDefault="00894D17" w:rsidP="00894D17">
      <w:pPr>
        <w:spacing w:line="240" w:lineRule="auto"/>
        <w:rPr>
          <w:rFonts w:cs="Arial"/>
          <w:b/>
          <w:bCs/>
          <w:sz w:val="16"/>
          <w:szCs w:val="16"/>
        </w:rPr>
      </w:pPr>
    </w:p>
    <w:p w14:paraId="0704245E" w14:textId="5C12B893" w:rsidR="00894D17" w:rsidRPr="00AC6C4E" w:rsidRDefault="00894D17" w:rsidP="00894D17">
      <w:pPr>
        <w:spacing w:line="240" w:lineRule="auto"/>
        <w:rPr>
          <w:rFonts w:cs="Arial"/>
          <w:b/>
          <w:bCs/>
          <w:sz w:val="16"/>
          <w:szCs w:val="16"/>
        </w:rPr>
      </w:pPr>
      <w:r w:rsidRPr="00AC6C4E">
        <w:rPr>
          <w:rFonts w:cs="Arial"/>
          <w:b/>
          <w:bCs/>
          <w:sz w:val="16"/>
          <w:szCs w:val="16"/>
        </w:rPr>
        <w:t xml:space="preserve">Footnotes </w:t>
      </w:r>
    </w:p>
    <w:p w14:paraId="44F3DDD9" w14:textId="094D5F56" w:rsidR="00894D17" w:rsidRPr="00AC6C4E" w:rsidRDefault="00894D17" w:rsidP="00211F4C">
      <w:pPr>
        <w:pStyle w:val="ListParagraph"/>
        <w:widowControl w:val="0"/>
        <w:numPr>
          <w:ilvl w:val="0"/>
          <w:numId w:val="42"/>
        </w:numPr>
        <w:autoSpaceDE w:val="0"/>
        <w:autoSpaceDN w:val="0"/>
        <w:spacing w:before="0" w:after="0" w:line="232" w:lineRule="auto"/>
        <w:contextualSpacing/>
        <w:rPr>
          <w:rFonts w:cs="Arial"/>
          <w:sz w:val="16"/>
          <w:szCs w:val="16"/>
        </w:rPr>
      </w:pPr>
      <w:r w:rsidRPr="00AC6C4E">
        <w:rPr>
          <w:rFonts w:cs="Arial"/>
          <w:color w:val="231F20"/>
          <w:sz w:val="16"/>
          <w:szCs w:val="16"/>
        </w:rPr>
        <w:t>A</w:t>
      </w:r>
      <w:r w:rsidRPr="00AC6C4E">
        <w:rPr>
          <w:rFonts w:cs="Arial"/>
          <w:color w:val="231F20"/>
          <w:spacing w:val="-13"/>
          <w:sz w:val="16"/>
          <w:szCs w:val="16"/>
        </w:rPr>
        <w:t xml:space="preserve"> </w:t>
      </w:r>
      <w:r w:rsidRPr="00AC6C4E">
        <w:rPr>
          <w:rFonts w:cs="Arial"/>
          <w:color w:val="231F20"/>
          <w:sz w:val="16"/>
          <w:szCs w:val="16"/>
        </w:rPr>
        <w:t>relevant</w:t>
      </w:r>
      <w:r w:rsidRPr="00AC6C4E">
        <w:rPr>
          <w:rFonts w:cs="Arial"/>
          <w:color w:val="231F20"/>
          <w:spacing w:val="-4"/>
          <w:sz w:val="16"/>
          <w:szCs w:val="16"/>
        </w:rPr>
        <w:t xml:space="preserve"> </w:t>
      </w:r>
      <w:r>
        <w:rPr>
          <w:rFonts w:cs="Arial"/>
          <w:color w:val="231F20"/>
          <w:sz w:val="16"/>
          <w:szCs w:val="16"/>
        </w:rPr>
        <w:t>NRV</w:t>
      </w:r>
      <w:r w:rsidRPr="00AC6C4E">
        <w:rPr>
          <w:rFonts w:cs="Arial"/>
          <w:color w:val="231F20"/>
          <w:spacing w:val="-4"/>
          <w:sz w:val="16"/>
          <w:szCs w:val="16"/>
        </w:rPr>
        <w:t xml:space="preserve"> </w:t>
      </w:r>
      <w:r w:rsidRPr="00AC6C4E">
        <w:rPr>
          <w:rFonts w:cs="Arial"/>
          <w:color w:val="231F20"/>
          <w:sz w:val="16"/>
          <w:szCs w:val="16"/>
        </w:rPr>
        <w:t>question</w:t>
      </w:r>
      <w:r w:rsidRPr="00AC6C4E">
        <w:rPr>
          <w:rFonts w:cs="Arial"/>
          <w:color w:val="231F20"/>
          <w:spacing w:val="-4"/>
          <w:sz w:val="16"/>
          <w:szCs w:val="16"/>
        </w:rPr>
        <w:t xml:space="preserve"> </w:t>
      </w:r>
      <w:r w:rsidRPr="00AC6C4E">
        <w:rPr>
          <w:rFonts w:cs="Arial"/>
          <w:color w:val="231F20"/>
          <w:sz w:val="16"/>
          <w:szCs w:val="16"/>
        </w:rPr>
        <w:t>would</w:t>
      </w:r>
      <w:r w:rsidRPr="00AC6C4E">
        <w:rPr>
          <w:rFonts w:cs="Arial"/>
          <w:color w:val="231F20"/>
          <w:spacing w:val="-4"/>
          <w:sz w:val="16"/>
          <w:szCs w:val="16"/>
        </w:rPr>
        <w:t xml:space="preserve"> </w:t>
      </w:r>
      <w:r w:rsidRPr="00AC6C4E">
        <w:rPr>
          <w:rFonts w:cs="Arial"/>
          <w:color w:val="231F20"/>
          <w:sz w:val="16"/>
          <w:szCs w:val="16"/>
        </w:rPr>
        <w:t>include</w:t>
      </w:r>
      <w:r w:rsidRPr="00AC6C4E">
        <w:rPr>
          <w:rFonts w:cs="Arial"/>
          <w:color w:val="231F20"/>
          <w:spacing w:val="-4"/>
          <w:sz w:val="16"/>
          <w:szCs w:val="16"/>
        </w:rPr>
        <w:t xml:space="preserve"> </w:t>
      </w:r>
      <w:r w:rsidRPr="00AC6C4E">
        <w:rPr>
          <w:rFonts w:cs="Arial"/>
          <w:color w:val="231F20"/>
          <w:sz w:val="16"/>
          <w:szCs w:val="16"/>
        </w:rPr>
        <w:t>specific</w:t>
      </w:r>
      <w:r w:rsidRPr="00AC6C4E">
        <w:rPr>
          <w:rFonts w:cs="Arial"/>
          <w:color w:val="231F20"/>
          <w:spacing w:val="-4"/>
          <w:sz w:val="16"/>
          <w:szCs w:val="16"/>
        </w:rPr>
        <w:t xml:space="preserve"> </w:t>
      </w:r>
      <w:r>
        <w:rPr>
          <w:rFonts w:cs="Arial"/>
          <w:color w:val="231F20"/>
          <w:sz w:val="16"/>
          <w:szCs w:val="16"/>
        </w:rPr>
        <w:t xml:space="preserve">NRVs </w:t>
      </w:r>
      <w:r w:rsidRPr="00AC6C4E">
        <w:rPr>
          <w:rFonts w:cs="Arial"/>
          <w:color w:val="231F20"/>
          <w:sz w:val="16"/>
          <w:szCs w:val="16"/>
        </w:rPr>
        <w:t>to</w:t>
      </w:r>
      <w:r w:rsidRPr="00AC6C4E">
        <w:rPr>
          <w:rFonts w:cs="Arial"/>
          <w:color w:val="231F20"/>
          <w:spacing w:val="-4"/>
          <w:sz w:val="16"/>
          <w:szCs w:val="16"/>
        </w:rPr>
        <w:t xml:space="preserve"> </w:t>
      </w:r>
      <w:r w:rsidRPr="00AC6C4E">
        <w:rPr>
          <w:rFonts w:cs="Arial"/>
          <w:color w:val="231F20"/>
          <w:sz w:val="16"/>
          <w:szCs w:val="16"/>
        </w:rPr>
        <w:t>be</w:t>
      </w:r>
      <w:r w:rsidRPr="00AC6C4E">
        <w:rPr>
          <w:rFonts w:cs="Arial"/>
          <w:color w:val="231F20"/>
          <w:spacing w:val="-4"/>
          <w:sz w:val="16"/>
          <w:szCs w:val="16"/>
        </w:rPr>
        <w:t xml:space="preserve"> </w:t>
      </w:r>
      <w:r w:rsidRPr="00AC6C4E">
        <w:rPr>
          <w:rFonts w:cs="Arial"/>
          <w:color w:val="231F20"/>
          <w:sz w:val="16"/>
          <w:szCs w:val="16"/>
        </w:rPr>
        <w:t>addressed</w:t>
      </w:r>
      <w:r w:rsidRPr="00AC6C4E">
        <w:rPr>
          <w:rFonts w:cs="Arial"/>
          <w:color w:val="231F20"/>
          <w:spacing w:val="-4"/>
          <w:sz w:val="16"/>
          <w:szCs w:val="16"/>
        </w:rPr>
        <w:t xml:space="preserve"> </w:t>
      </w:r>
      <w:r w:rsidRPr="00AC6C4E">
        <w:rPr>
          <w:rFonts w:cs="Arial"/>
          <w:color w:val="231F20"/>
          <w:sz w:val="16"/>
          <w:szCs w:val="16"/>
        </w:rPr>
        <w:t>in</w:t>
      </w:r>
      <w:r w:rsidRPr="00AC6C4E">
        <w:rPr>
          <w:rFonts w:cs="Arial"/>
          <w:color w:val="231F20"/>
          <w:spacing w:val="-4"/>
          <w:sz w:val="16"/>
          <w:szCs w:val="16"/>
        </w:rPr>
        <w:t xml:space="preserve"> </w:t>
      </w:r>
      <w:r w:rsidRPr="00AC6C4E">
        <w:rPr>
          <w:rFonts w:cs="Arial"/>
          <w:color w:val="231F20"/>
          <w:sz w:val="16"/>
          <w:szCs w:val="16"/>
        </w:rPr>
        <w:t>the</w:t>
      </w:r>
      <w:r w:rsidRPr="00AC6C4E">
        <w:rPr>
          <w:rFonts w:cs="Arial"/>
          <w:color w:val="231F20"/>
          <w:spacing w:val="-4"/>
          <w:sz w:val="16"/>
          <w:szCs w:val="16"/>
        </w:rPr>
        <w:t xml:space="preserve"> </w:t>
      </w:r>
      <w:r w:rsidRPr="00AC6C4E">
        <w:rPr>
          <w:rFonts w:cs="Arial"/>
          <w:color w:val="231F20"/>
          <w:sz w:val="16"/>
          <w:szCs w:val="16"/>
        </w:rPr>
        <w:t>review</w:t>
      </w:r>
      <w:r w:rsidRPr="00AC6C4E">
        <w:rPr>
          <w:rFonts w:cs="Arial"/>
          <w:color w:val="231F20"/>
          <w:spacing w:val="-4"/>
          <w:sz w:val="16"/>
          <w:szCs w:val="16"/>
        </w:rPr>
        <w:t xml:space="preserve"> </w:t>
      </w:r>
      <w:r w:rsidRPr="00AC6C4E">
        <w:rPr>
          <w:rFonts w:cs="Arial"/>
          <w:color w:val="231F20"/>
          <w:sz w:val="16"/>
          <w:szCs w:val="16"/>
        </w:rPr>
        <w:t>such</w:t>
      </w:r>
      <w:r w:rsidRPr="00AC6C4E">
        <w:rPr>
          <w:rFonts w:cs="Arial"/>
          <w:color w:val="231F20"/>
          <w:spacing w:val="-4"/>
          <w:sz w:val="16"/>
          <w:szCs w:val="16"/>
        </w:rPr>
        <w:t xml:space="preserve"> </w:t>
      </w:r>
      <w:r w:rsidRPr="00AC6C4E">
        <w:rPr>
          <w:rFonts w:cs="Arial"/>
          <w:color w:val="231F20"/>
          <w:sz w:val="16"/>
          <w:szCs w:val="16"/>
        </w:rPr>
        <w:t>as</w:t>
      </w:r>
      <w:r w:rsidRPr="00AC6C4E">
        <w:rPr>
          <w:rFonts w:cs="Arial"/>
          <w:color w:val="231F20"/>
          <w:spacing w:val="-4"/>
          <w:sz w:val="16"/>
          <w:szCs w:val="16"/>
        </w:rPr>
        <w:t xml:space="preserve"> </w:t>
      </w:r>
      <w:r w:rsidRPr="00AC6C4E">
        <w:rPr>
          <w:rFonts w:cs="Arial"/>
          <w:color w:val="231F20"/>
          <w:sz w:val="16"/>
          <w:szCs w:val="16"/>
        </w:rPr>
        <w:t>setting</w:t>
      </w:r>
      <w:r w:rsidRPr="00AC6C4E">
        <w:rPr>
          <w:rFonts w:cs="Arial"/>
          <w:color w:val="231F20"/>
          <w:spacing w:val="-4"/>
          <w:sz w:val="16"/>
          <w:szCs w:val="16"/>
        </w:rPr>
        <w:t xml:space="preserve"> </w:t>
      </w:r>
      <w:r w:rsidRPr="00AC6C4E">
        <w:rPr>
          <w:rFonts w:cs="Arial"/>
          <w:color w:val="231F20"/>
          <w:sz w:val="16"/>
          <w:szCs w:val="16"/>
        </w:rPr>
        <w:t>a</w:t>
      </w:r>
      <w:r w:rsidRPr="00AC6C4E">
        <w:rPr>
          <w:rFonts w:cs="Arial"/>
          <w:color w:val="231F20"/>
          <w:spacing w:val="-4"/>
          <w:sz w:val="16"/>
          <w:szCs w:val="16"/>
        </w:rPr>
        <w:t xml:space="preserve"> </w:t>
      </w:r>
      <w:r w:rsidRPr="00AC6C4E">
        <w:rPr>
          <w:rFonts w:cs="Arial"/>
          <w:color w:val="231F20"/>
          <w:sz w:val="16"/>
          <w:szCs w:val="16"/>
        </w:rPr>
        <w:t>Tolerable</w:t>
      </w:r>
      <w:r w:rsidRPr="00AC6C4E">
        <w:rPr>
          <w:rFonts w:cs="Arial"/>
          <w:color w:val="231F20"/>
          <w:spacing w:val="-4"/>
          <w:sz w:val="16"/>
          <w:szCs w:val="16"/>
        </w:rPr>
        <w:t xml:space="preserve"> </w:t>
      </w:r>
      <w:r w:rsidRPr="00AC6C4E">
        <w:rPr>
          <w:rFonts w:cs="Arial"/>
          <w:color w:val="231F20"/>
          <w:sz w:val="16"/>
          <w:szCs w:val="16"/>
        </w:rPr>
        <w:t>Upper</w:t>
      </w:r>
      <w:r w:rsidRPr="00AC6C4E">
        <w:rPr>
          <w:rFonts w:cs="Arial"/>
          <w:color w:val="231F20"/>
          <w:spacing w:val="-4"/>
          <w:sz w:val="16"/>
          <w:szCs w:val="16"/>
        </w:rPr>
        <w:t xml:space="preserve"> </w:t>
      </w:r>
      <w:r w:rsidRPr="00AC6C4E">
        <w:rPr>
          <w:rFonts w:cs="Arial"/>
          <w:color w:val="231F20"/>
          <w:sz w:val="16"/>
          <w:szCs w:val="16"/>
        </w:rPr>
        <w:t>Intake Level (UL) vs. Chronic Disease Risk Reduction (CDRR) value.</w:t>
      </w:r>
    </w:p>
    <w:p w14:paraId="5A92B468" w14:textId="661DF3F9" w:rsidR="00894D17" w:rsidRPr="00AC6C4E" w:rsidRDefault="00894D17" w:rsidP="00211F4C">
      <w:pPr>
        <w:pStyle w:val="ListParagraph"/>
        <w:widowControl w:val="0"/>
        <w:numPr>
          <w:ilvl w:val="0"/>
          <w:numId w:val="42"/>
        </w:numPr>
        <w:autoSpaceDE w:val="0"/>
        <w:autoSpaceDN w:val="0"/>
        <w:spacing w:before="0" w:after="0" w:line="232" w:lineRule="auto"/>
        <w:contextualSpacing/>
        <w:rPr>
          <w:rFonts w:cs="Arial"/>
          <w:sz w:val="16"/>
          <w:szCs w:val="16"/>
        </w:rPr>
      </w:pPr>
      <w:r w:rsidRPr="00AC6C4E">
        <w:rPr>
          <w:rFonts w:cs="Arial"/>
          <w:color w:val="231F20"/>
          <w:sz w:val="16"/>
          <w:szCs w:val="16"/>
        </w:rPr>
        <w:t>Th</w:t>
      </w:r>
      <w:r w:rsidR="00D63657">
        <w:rPr>
          <w:rFonts w:cs="Arial"/>
          <w:color w:val="231F20"/>
          <w:sz w:val="16"/>
          <w:szCs w:val="16"/>
        </w:rPr>
        <w:t>is includes th</w:t>
      </w:r>
      <w:r w:rsidRPr="00AC6C4E">
        <w:rPr>
          <w:rFonts w:cs="Arial"/>
          <w:color w:val="231F20"/>
          <w:sz w:val="16"/>
          <w:szCs w:val="16"/>
        </w:rPr>
        <w:t>e</w:t>
      </w:r>
      <w:r w:rsidRPr="00AC6C4E">
        <w:rPr>
          <w:rFonts w:cs="Arial"/>
          <w:color w:val="231F20"/>
          <w:spacing w:val="7"/>
          <w:sz w:val="16"/>
          <w:szCs w:val="16"/>
        </w:rPr>
        <w:t xml:space="preserve"> </w:t>
      </w:r>
      <w:r w:rsidRPr="00AC6C4E">
        <w:rPr>
          <w:rFonts w:cs="Arial"/>
          <w:color w:val="231F20"/>
          <w:sz w:val="16"/>
          <w:szCs w:val="16"/>
        </w:rPr>
        <w:t>process</w:t>
      </w:r>
      <w:r w:rsidRPr="00AC6C4E">
        <w:rPr>
          <w:rFonts w:cs="Arial"/>
          <w:color w:val="231F20"/>
          <w:spacing w:val="7"/>
          <w:sz w:val="16"/>
          <w:szCs w:val="16"/>
        </w:rPr>
        <w:t xml:space="preserve"> </w:t>
      </w:r>
      <w:r w:rsidRPr="00AC6C4E">
        <w:rPr>
          <w:rFonts w:cs="Arial"/>
          <w:color w:val="231F20"/>
          <w:sz w:val="16"/>
          <w:szCs w:val="16"/>
        </w:rPr>
        <w:t>of</w:t>
      </w:r>
      <w:r w:rsidRPr="00AC6C4E">
        <w:rPr>
          <w:rFonts w:cs="Arial"/>
          <w:color w:val="231F20"/>
          <w:spacing w:val="7"/>
          <w:sz w:val="16"/>
          <w:szCs w:val="16"/>
        </w:rPr>
        <w:t xml:space="preserve"> </w:t>
      </w:r>
      <w:r w:rsidRPr="00AC6C4E">
        <w:rPr>
          <w:rFonts w:cs="Arial"/>
          <w:color w:val="231F20"/>
          <w:sz w:val="16"/>
          <w:szCs w:val="16"/>
        </w:rPr>
        <w:t>setting</w:t>
      </w:r>
      <w:r w:rsidRPr="00AC6C4E">
        <w:rPr>
          <w:rFonts w:cs="Arial"/>
          <w:color w:val="231F20"/>
          <w:spacing w:val="7"/>
          <w:sz w:val="16"/>
          <w:szCs w:val="16"/>
        </w:rPr>
        <w:t xml:space="preserve"> </w:t>
      </w:r>
      <w:r w:rsidRPr="00AC6C4E">
        <w:rPr>
          <w:rFonts w:cs="Arial"/>
          <w:color w:val="231F20"/>
          <w:sz w:val="16"/>
          <w:szCs w:val="16"/>
        </w:rPr>
        <w:t>the</w:t>
      </w:r>
      <w:r w:rsidRPr="00AC6C4E">
        <w:rPr>
          <w:rFonts w:cs="Arial"/>
          <w:color w:val="231F20"/>
          <w:spacing w:val="7"/>
          <w:sz w:val="16"/>
          <w:szCs w:val="16"/>
        </w:rPr>
        <w:t xml:space="preserve"> </w:t>
      </w:r>
      <w:r w:rsidRPr="00AC6C4E">
        <w:rPr>
          <w:rFonts w:cs="Arial"/>
          <w:color w:val="231F20"/>
          <w:sz w:val="16"/>
          <w:szCs w:val="16"/>
        </w:rPr>
        <w:t>study</w:t>
      </w:r>
      <w:r w:rsidRPr="00AC6C4E">
        <w:rPr>
          <w:rFonts w:cs="Arial"/>
          <w:color w:val="231F20"/>
          <w:spacing w:val="6"/>
          <w:sz w:val="16"/>
          <w:szCs w:val="16"/>
        </w:rPr>
        <w:t xml:space="preserve"> </w:t>
      </w:r>
      <w:r w:rsidRPr="00AC6C4E">
        <w:rPr>
          <w:rFonts w:cs="Arial"/>
          <w:color w:val="231F20"/>
          <w:sz w:val="16"/>
          <w:szCs w:val="16"/>
        </w:rPr>
        <w:t>questions</w:t>
      </w:r>
      <w:r w:rsidRPr="00AC6C4E">
        <w:rPr>
          <w:rFonts w:cs="Arial"/>
          <w:color w:val="231F20"/>
          <w:spacing w:val="7"/>
          <w:sz w:val="16"/>
          <w:szCs w:val="16"/>
        </w:rPr>
        <w:t xml:space="preserve"> </w:t>
      </w:r>
      <w:r w:rsidRPr="00AC6C4E">
        <w:rPr>
          <w:rFonts w:cs="Arial"/>
          <w:color w:val="231F20"/>
          <w:sz w:val="16"/>
          <w:szCs w:val="16"/>
        </w:rPr>
        <w:t>and</w:t>
      </w:r>
      <w:r w:rsidRPr="00AC6C4E">
        <w:rPr>
          <w:rFonts w:cs="Arial"/>
          <w:color w:val="231F20"/>
          <w:spacing w:val="7"/>
          <w:sz w:val="16"/>
          <w:szCs w:val="16"/>
        </w:rPr>
        <w:t xml:space="preserve"> </w:t>
      </w:r>
      <w:r w:rsidRPr="00AC6C4E">
        <w:rPr>
          <w:rFonts w:cs="Arial"/>
          <w:color w:val="231F20"/>
          <w:sz w:val="16"/>
          <w:szCs w:val="16"/>
        </w:rPr>
        <w:t>development</w:t>
      </w:r>
      <w:r w:rsidRPr="00AC6C4E">
        <w:rPr>
          <w:rFonts w:cs="Arial"/>
          <w:color w:val="231F20"/>
          <w:spacing w:val="7"/>
          <w:sz w:val="16"/>
          <w:szCs w:val="16"/>
        </w:rPr>
        <w:t xml:space="preserve"> </w:t>
      </w:r>
      <w:r w:rsidRPr="00AC6C4E">
        <w:rPr>
          <w:rFonts w:cs="Arial"/>
          <w:color w:val="231F20"/>
          <w:sz w:val="16"/>
          <w:szCs w:val="16"/>
        </w:rPr>
        <w:t>of</w:t>
      </w:r>
      <w:r w:rsidRPr="00AC6C4E">
        <w:rPr>
          <w:rFonts w:cs="Arial"/>
          <w:color w:val="231F20"/>
          <w:spacing w:val="7"/>
          <w:sz w:val="16"/>
          <w:szCs w:val="16"/>
        </w:rPr>
        <w:t xml:space="preserve"> </w:t>
      </w:r>
      <w:r w:rsidRPr="00AC6C4E">
        <w:rPr>
          <w:rFonts w:cs="Arial"/>
          <w:color w:val="231F20"/>
          <w:sz w:val="16"/>
          <w:szCs w:val="16"/>
        </w:rPr>
        <w:t>the</w:t>
      </w:r>
      <w:r w:rsidRPr="00AC6C4E">
        <w:rPr>
          <w:rFonts w:cs="Arial"/>
          <w:color w:val="231F20"/>
          <w:spacing w:val="7"/>
          <w:sz w:val="16"/>
          <w:szCs w:val="16"/>
        </w:rPr>
        <w:t xml:space="preserve"> </w:t>
      </w:r>
      <w:r w:rsidRPr="00AC6C4E">
        <w:rPr>
          <w:rFonts w:cs="Arial"/>
          <w:color w:val="231F20"/>
          <w:sz w:val="16"/>
          <w:szCs w:val="16"/>
        </w:rPr>
        <w:t>PI(E)CO</w:t>
      </w:r>
      <w:r w:rsidRPr="00AC6C4E">
        <w:rPr>
          <w:rFonts w:cs="Arial"/>
          <w:color w:val="231F20"/>
          <w:spacing w:val="7"/>
          <w:sz w:val="16"/>
          <w:szCs w:val="16"/>
        </w:rPr>
        <w:t xml:space="preserve"> </w:t>
      </w:r>
      <w:r w:rsidRPr="00AC6C4E">
        <w:rPr>
          <w:rFonts w:cs="Arial"/>
          <w:color w:val="231F20"/>
          <w:sz w:val="16"/>
          <w:szCs w:val="16"/>
        </w:rPr>
        <w:t>criteria</w:t>
      </w:r>
      <w:r w:rsidRPr="00AC6C4E">
        <w:rPr>
          <w:rFonts w:cs="Arial"/>
          <w:color w:val="231F20"/>
          <w:spacing w:val="-2"/>
          <w:sz w:val="16"/>
          <w:szCs w:val="16"/>
        </w:rPr>
        <w:t>.</w:t>
      </w:r>
    </w:p>
    <w:p w14:paraId="491FED2C" w14:textId="2185F7B6" w:rsidR="00894D17" w:rsidRPr="00AC6C4E" w:rsidRDefault="002E73E9" w:rsidP="00211F4C">
      <w:pPr>
        <w:pStyle w:val="ListParagraph"/>
        <w:widowControl w:val="0"/>
        <w:numPr>
          <w:ilvl w:val="0"/>
          <w:numId w:val="42"/>
        </w:numPr>
        <w:autoSpaceDE w:val="0"/>
        <w:autoSpaceDN w:val="0"/>
        <w:spacing w:before="0" w:after="0" w:line="232" w:lineRule="auto"/>
        <w:contextualSpacing/>
        <w:rPr>
          <w:rFonts w:cs="Arial"/>
          <w:sz w:val="16"/>
          <w:szCs w:val="16"/>
        </w:rPr>
      </w:pPr>
      <w:r>
        <w:rPr>
          <w:rFonts w:cs="Arial"/>
          <w:sz w:val="16"/>
          <w:szCs w:val="16"/>
        </w:rPr>
        <w:t xml:space="preserve">For example, a recognised risk of bias tool for systematic reviews. </w:t>
      </w:r>
      <w:r w:rsidR="00894D17" w:rsidRPr="00AC6C4E">
        <w:rPr>
          <w:rFonts w:cs="Arial"/>
          <w:sz w:val="16"/>
          <w:szCs w:val="16"/>
        </w:rPr>
        <w:t xml:space="preserve">Use the criteria outlined in </w:t>
      </w:r>
      <w:r w:rsidR="00894D17" w:rsidRPr="00AC6C4E">
        <w:rPr>
          <w:rFonts w:cs="Arial"/>
          <w:i/>
          <w:iCs/>
          <w:sz w:val="16"/>
          <w:szCs w:val="16"/>
        </w:rPr>
        <w:t>Table 1. Administrative and technical criteria for assessing the suitability of existing nutrient reference values</w:t>
      </w:r>
      <w:r w:rsidR="00894D17" w:rsidRPr="00AC6C4E">
        <w:rPr>
          <w:rFonts w:cs="Arial"/>
          <w:sz w:val="16"/>
          <w:szCs w:val="16"/>
        </w:rPr>
        <w:t xml:space="preserve"> as a guide to assess whether recommended processes have been followed.</w:t>
      </w:r>
    </w:p>
    <w:p w14:paraId="68DA8055" w14:textId="77777777" w:rsidR="00894D17" w:rsidRPr="00AC6C4E" w:rsidRDefault="00894D17" w:rsidP="00211F4C">
      <w:pPr>
        <w:pStyle w:val="ListParagraph"/>
        <w:widowControl w:val="0"/>
        <w:numPr>
          <w:ilvl w:val="0"/>
          <w:numId w:val="42"/>
        </w:numPr>
        <w:autoSpaceDE w:val="0"/>
        <w:autoSpaceDN w:val="0"/>
        <w:spacing w:before="0" w:after="0" w:line="232" w:lineRule="auto"/>
        <w:contextualSpacing/>
        <w:rPr>
          <w:rFonts w:cs="Arial"/>
          <w:sz w:val="16"/>
          <w:szCs w:val="16"/>
        </w:rPr>
      </w:pPr>
      <w:r w:rsidRPr="00AC6C4E">
        <w:rPr>
          <w:rFonts w:cs="Arial"/>
          <w:sz w:val="16"/>
          <w:szCs w:val="16"/>
        </w:rPr>
        <w:t>Is the review less than 5 years old?</w:t>
      </w:r>
    </w:p>
    <w:p w14:paraId="61DD6AA5" w14:textId="6F11EF11" w:rsidR="0071188D" w:rsidRDefault="00894D17" w:rsidP="007C5D2A">
      <w:pPr>
        <w:autoSpaceDE w:val="0"/>
        <w:autoSpaceDN w:val="0"/>
        <w:adjustRightInd w:val="0"/>
        <w:spacing w:after="0" w:line="240" w:lineRule="auto"/>
        <w:rPr>
          <w:i/>
          <w:iCs/>
          <w:sz w:val="16"/>
          <w:szCs w:val="16"/>
        </w:rPr>
        <w:sectPr w:rsidR="0071188D" w:rsidSect="006D1105">
          <w:headerReference w:type="even" r:id="rId245"/>
          <w:headerReference w:type="default" r:id="rId246"/>
          <w:footerReference w:type="default" r:id="rId247"/>
          <w:headerReference w:type="first" r:id="rId248"/>
          <w:footerReference w:type="first" r:id="rId249"/>
          <w:pgSz w:w="11906" w:h="16838" w:code="9"/>
          <w:pgMar w:top="1701" w:right="1134" w:bottom="1276" w:left="907" w:header="0" w:footer="227" w:gutter="0"/>
          <w:cols w:space="708"/>
          <w:titlePg/>
          <w:docGrid w:linePitch="360"/>
        </w:sectPr>
      </w:pPr>
      <w:r w:rsidRPr="0067460C">
        <w:rPr>
          <w:i/>
          <w:iCs/>
          <w:sz w:val="16"/>
          <w:szCs w:val="16"/>
        </w:rPr>
        <w:t xml:space="preserve">Adapted </w:t>
      </w:r>
      <w:r w:rsidR="006E663F" w:rsidRPr="0067460C">
        <w:rPr>
          <w:i/>
          <w:iCs/>
          <w:sz w:val="16"/>
          <w:szCs w:val="16"/>
        </w:rPr>
        <w:t xml:space="preserve">with permission </w:t>
      </w:r>
      <w:r w:rsidRPr="0067460C">
        <w:rPr>
          <w:i/>
          <w:iCs/>
          <w:sz w:val="16"/>
          <w:szCs w:val="16"/>
        </w:rPr>
        <w:t xml:space="preserve">from National Academies of Sciences, Engineering, and Medicine. </w:t>
      </w:r>
      <w:r w:rsidR="005B7B42">
        <w:rPr>
          <w:i/>
          <w:iCs/>
          <w:sz w:val="16"/>
          <w:szCs w:val="16"/>
        </w:rPr>
        <w:t>(</w:t>
      </w:r>
      <w:r w:rsidRPr="0067460C">
        <w:rPr>
          <w:i/>
          <w:iCs/>
          <w:sz w:val="16"/>
          <w:szCs w:val="16"/>
        </w:rPr>
        <w:t>2023</w:t>
      </w:r>
      <w:r w:rsidR="000B18F2">
        <w:rPr>
          <w:i/>
          <w:iCs/>
          <w:sz w:val="16"/>
          <w:szCs w:val="16"/>
        </w:rPr>
        <w:t>)</w:t>
      </w:r>
      <w:r w:rsidRPr="0067460C">
        <w:rPr>
          <w:i/>
          <w:iCs/>
          <w:sz w:val="16"/>
          <w:szCs w:val="16"/>
        </w:rPr>
        <w:t xml:space="preserve">. Using Systematic Reviews to Support Future Dietary Reference Intakes: A Letter Report. Washington, DC: The National Academies Press. </w:t>
      </w:r>
      <w:hyperlink r:id="rId250" w:history="1">
        <w:r w:rsidRPr="0067460C">
          <w:rPr>
            <w:rStyle w:val="Hyperlink"/>
            <w:i/>
            <w:iCs/>
            <w:sz w:val="16"/>
            <w:szCs w:val="16"/>
          </w:rPr>
          <w:t>https://doi.org/10.17226/27031</w:t>
        </w:r>
      </w:hyperlink>
    </w:p>
    <w:p w14:paraId="34638ED6" w14:textId="427288DC" w:rsidR="003A6C79" w:rsidRPr="003A6C79" w:rsidRDefault="003A6C79" w:rsidP="003E2E95">
      <w:pPr>
        <w:pStyle w:val="Heading3-Appendix"/>
      </w:pPr>
      <w:bookmarkStart w:id="309" w:name="_Toc207801130"/>
      <w:bookmarkStart w:id="310" w:name="_Toc207824600"/>
      <w:bookmarkStart w:id="311" w:name="_Ref207824601"/>
      <w:bookmarkStart w:id="312" w:name="_Ref207824602"/>
      <w:r>
        <w:lastRenderedPageBreak/>
        <w:t>S</w:t>
      </w:r>
      <w:r w:rsidRPr="004B7C59">
        <w:t xml:space="preserve">caling methods </w:t>
      </w:r>
      <w:r>
        <w:t>used internationally for NRVs</w:t>
      </w:r>
      <w:bookmarkEnd w:id="309"/>
      <w:bookmarkEnd w:id="310"/>
      <w:bookmarkEnd w:id="311"/>
      <w:bookmarkEnd w:id="312"/>
      <w:r>
        <w:t xml:space="preserve"> </w:t>
      </w:r>
    </w:p>
    <w:p w14:paraId="7754F556" w14:textId="57716DE5" w:rsidR="00777E73" w:rsidRDefault="004F6D1C" w:rsidP="00561D83">
      <w:pPr>
        <w:pStyle w:val="Heading4-Appendix"/>
      </w:pPr>
      <w:r>
        <w:t>Background and Context</w:t>
      </w:r>
    </w:p>
    <w:p w14:paraId="44AF1DF2" w14:textId="73642B6A" w:rsidR="004F6D1C" w:rsidRPr="004F6D1C" w:rsidRDefault="00A90C6E" w:rsidP="000905DF">
      <w:r>
        <w:t xml:space="preserve">The following tables compile NRV derivation approaches from two international initiatives that addressed methodological harmonisation from different perspectives. </w:t>
      </w:r>
      <w:r w:rsidR="0090637C">
        <w:t>The NASEM (2018) study focused on young children and women of reproductive age</w:t>
      </w:r>
      <w:r w:rsidR="0010094C">
        <w:t xml:space="preserve"> as </w:t>
      </w:r>
      <w:r w:rsidR="009B5C52">
        <w:t>p</w:t>
      </w:r>
      <w:r w:rsidR="0010094C">
        <w:t xml:space="preserve">art of North American efforts to standardise derivation methods globally. The </w:t>
      </w:r>
      <w:r w:rsidR="00E65DFA">
        <w:fldChar w:fldCharType="begin"/>
      </w:r>
      <w:r w:rsidR="00E65DFA">
        <w:instrText xml:space="preserve"> ADDIN EN.CITE &lt;EndNote&gt;&lt;Cite&gt;&lt;Author&gt;FAO&lt;/Author&gt;&lt;Year&gt;2024&lt;/Year&gt;&lt;RecNum&gt;112&lt;/RecNum&gt;&lt;DisplayText&gt;(FAO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rsidR="00E65DFA">
        <w:fldChar w:fldCharType="separate"/>
      </w:r>
      <w:r w:rsidR="00E65DFA">
        <w:rPr>
          <w:noProof/>
        </w:rPr>
        <w:t>(FAO 2024)</w:t>
      </w:r>
      <w:r w:rsidR="00E65DFA">
        <w:fldChar w:fldCharType="end"/>
      </w:r>
      <w:r w:rsidR="00332820">
        <w:t>report</w:t>
      </w:r>
      <w:r w:rsidR="00BA1C24">
        <w:t xml:space="preserve"> was commissioned to provide </w:t>
      </w:r>
      <w:r w:rsidR="00D17310">
        <w:t xml:space="preserve">scientific advice for Codex </w:t>
      </w:r>
      <w:r w:rsidR="002F760A" w:rsidRPr="002F760A">
        <w:t xml:space="preserve">Committee on Foods for Special Dietary Uses (CCNFSDU) on the details of </w:t>
      </w:r>
      <w:r w:rsidR="0065196D">
        <w:t xml:space="preserve">nutrient reference </w:t>
      </w:r>
      <w:r w:rsidR="002F760A" w:rsidRPr="002F760A">
        <w:t xml:space="preserve">values </w:t>
      </w:r>
      <w:r w:rsidR="00D17310">
        <w:t xml:space="preserve">across six major scientific bodies for </w:t>
      </w:r>
      <w:r w:rsidR="00EC0848">
        <w:t xml:space="preserve">older </w:t>
      </w:r>
      <w:r w:rsidR="00D17310">
        <w:t>infants and young children. W</w:t>
      </w:r>
      <w:r w:rsidR="00B634D3">
        <w:t xml:space="preserve">hile their differing analytical frameworks precluded direct synthesis, both reviews document the widespread reliance on </w:t>
      </w:r>
      <w:r w:rsidR="00520270">
        <w:t xml:space="preserve">extrapolation methods when direct evidence from target populations is unavailable. In addition, both </w:t>
      </w:r>
      <w:r w:rsidR="00EC0848">
        <w:t>reports</w:t>
      </w:r>
      <w:r w:rsidR="00520270">
        <w:t xml:space="preserve"> emphasised the need for clearly reporting limitations and assumptions in NRV development. The </w:t>
      </w:r>
      <w:r w:rsidR="005B14DC" w:rsidRPr="008D7251">
        <w:rPr>
          <w:b/>
        </w:rPr>
        <w:fldChar w:fldCharType="begin"/>
      </w:r>
      <w:r w:rsidR="005B14DC" w:rsidRPr="008D7251">
        <w:rPr>
          <w:b/>
        </w:rPr>
        <w:instrText xml:space="preserve"> ADDIN EN.CITE &lt;EndNote&gt;&lt;Cite AuthorYear="1"&gt;&lt;Author&gt;NASEM&lt;/Author&gt;&lt;Year&gt;2018&lt;/Year&gt;&lt;RecNum&gt;67&lt;/RecNum&gt;&lt;DisplayText&gt;NASEM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sidR="005B14DC" w:rsidRPr="008D7251">
        <w:rPr>
          <w:b/>
        </w:rPr>
        <w:fldChar w:fldCharType="separate"/>
      </w:r>
      <w:r w:rsidR="005B14DC" w:rsidRPr="008D7251">
        <w:rPr>
          <w:b/>
          <w:noProof/>
        </w:rPr>
        <w:t>NASEM (2018)</w:t>
      </w:r>
      <w:r w:rsidR="005B14DC" w:rsidRPr="008D7251">
        <w:rPr>
          <w:b/>
        </w:rPr>
        <w:fldChar w:fldCharType="end"/>
      </w:r>
      <w:r w:rsidR="00520270" w:rsidRPr="0072551F">
        <w:t xml:space="preserve"> </w:t>
      </w:r>
      <w:r w:rsidR="00520270">
        <w:t>data presented here in Table</w:t>
      </w:r>
      <w:r w:rsidR="00C90206">
        <w:t>s</w:t>
      </w:r>
      <w:r w:rsidR="00520270">
        <w:t xml:space="preserve"> </w:t>
      </w:r>
      <w:r w:rsidR="00414D32">
        <w:t>F</w:t>
      </w:r>
      <w:r w:rsidR="00E1556D">
        <w:t>.</w:t>
      </w:r>
      <w:r w:rsidR="004B3C69">
        <w:t>4</w:t>
      </w:r>
      <w:r w:rsidR="00E1556D">
        <w:t>.</w:t>
      </w:r>
      <w:r w:rsidR="00414D32">
        <w:t>1</w:t>
      </w:r>
      <w:r w:rsidR="00C90206">
        <w:t xml:space="preserve"> &amp; </w:t>
      </w:r>
      <w:r w:rsidR="00E1556D">
        <w:t>F.</w:t>
      </w:r>
      <w:r w:rsidR="004B3C69">
        <w:t>4</w:t>
      </w:r>
      <w:r w:rsidR="00E1556D">
        <w:t>.2</w:t>
      </w:r>
      <w:r w:rsidR="00520270">
        <w:t xml:space="preserve"> represent genera</w:t>
      </w:r>
      <w:r w:rsidR="00666F44">
        <w:t xml:space="preserve">l scaling methodology from their technical appendix, while the FAO </w:t>
      </w:r>
      <w:r w:rsidR="00884630">
        <w:t>data</w:t>
      </w:r>
      <w:r w:rsidR="00C66A8A">
        <w:t xml:space="preserve"> in Table</w:t>
      </w:r>
      <w:r w:rsidR="00C90206">
        <w:t>s</w:t>
      </w:r>
      <w:r w:rsidR="00C66A8A">
        <w:t xml:space="preserve"> </w:t>
      </w:r>
      <w:r w:rsidR="00E1556D">
        <w:t>F</w:t>
      </w:r>
      <w:r w:rsidR="00DB0D04">
        <w:t>.5</w:t>
      </w:r>
      <w:r w:rsidR="00E1556D">
        <w:t>.</w:t>
      </w:r>
      <w:r w:rsidR="00DB0D04">
        <w:t>1</w:t>
      </w:r>
      <w:r w:rsidR="00C90206">
        <w:t xml:space="preserve"> &amp; </w:t>
      </w:r>
      <w:r w:rsidR="00E1556D">
        <w:t>F</w:t>
      </w:r>
      <w:r w:rsidR="00DB0D04">
        <w:t>.5.</w:t>
      </w:r>
      <w:r w:rsidR="00E1556D">
        <w:t>2</w:t>
      </w:r>
      <w:r w:rsidR="00884630">
        <w:t xml:space="preserve"> shows derivation methods used by different international organisations for specific nutrients</w:t>
      </w:r>
      <w:r w:rsidR="004D52E3">
        <w:t xml:space="preserve"> in older infants (</w:t>
      </w:r>
      <w:r w:rsidR="00714B4D">
        <w:t>~</w:t>
      </w:r>
      <w:r w:rsidR="00603396">
        <w:t>6-12 months) and young children (</w:t>
      </w:r>
      <w:r w:rsidR="00714B4D">
        <w:t>~1-5 years)</w:t>
      </w:r>
      <w:r w:rsidR="00884630">
        <w:t xml:space="preserve">. </w:t>
      </w:r>
    </w:p>
    <w:p w14:paraId="7CD8CD59" w14:textId="1F4FB53C" w:rsidR="004F6D1C" w:rsidRDefault="00FE2CB3" w:rsidP="00561D83">
      <w:pPr>
        <w:pStyle w:val="Heading4-Appendix"/>
      </w:pPr>
      <w:r>
        <w:t>Key Framework Differences</w:t>
      </w:r>
    </w:p>
    <w:p w14:paraId="317B08F1" w14:textId="64E27BB7" w:rsidR="00FE2CB3" w:rsidRDefault="0000253F" w:rsidP="00FE2CB3">
      <w:r w:rsidRPr="008B64CE">
        <w:rPr>
          <w:b/>
        </w:rPr>
        <w:fldChar w:fldCharType="begin"/>
      </w:r>
      <w:r w:rsidR="00FA4BCA" w:rsidRPr="007A406F">
        <w:rPr>
          <w:b/>
        </w:rPr>
        <w:instrText xml:space="preserve"> ADDIN EN.CITE &lt;EndNote&gt;&lt;Cite AuthorYear="1"&gt;&lt;Author&gt;NASEM&lt;/Author&gt;&lt;Year&gt;2018&lt;/Year&gt;&lt;RecNum&gt;67&lt;/RecNum&gt;&lt;DisplayText&gt;NASEM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sidRPr="008B64CE">
        <w:rPr>
          <w:b/>
        </w:rPr>
        <w:fldChar w:fldCharType="separate"/>
      </w:r>
      <w:r w:rsidR="00FA4BCA" w:rsidRPr="008B64CE">
        <w:rPr>
          <w:b/>
        </w:rPr>
        <w:t>NASEM (2018)</w:t>
      </w:r>
      <w:r w:rsidRPr="008B64CE">
        <w:rPr>
          <w:b/>
        </w:rPr>
        <w:fldChar w:fldCharType="end"/>
      </w:r>
      <w:r w:rsidR="00360EA2" w:rsidRPr="008B64CE">
        <w:rPr>
          <w:b/>
        </w:rPr>
        <w:t>:</w:t>
      </w:r>
      <w:r w:rsidR="00360EA2">
        <w:t xml:space="preserve"> Technical reference documenting extrapolation and scaling methods used across nutrients and age groups.</w:t>
      </w:r>
    </w:p>
    <w:p w14:paraId="4BB1E4C1" w14:textId="32A0DF47" w:rsidR="00360EA2" w:rsidRDefault="007A6696" w:rsidP="00FE2CB3">
      <w:r w:rsidRPr="007A6696">
        <w:rPr>
          <w:b/>
        </w:rPr>
        <w:fldChar w:fldCharType="begin"/>
      </w:r>
      <w:r w:rsidRPr="007A6696">
        <w:rPr>
          <w:b/>
        </w:rPr>
        <w:instrText xml:space="preserve"> ADDIN EN.CITE &lt;EndNote&gt;&lt;Cite&gt;&lt;Author&gt;FAO&lt;/Author&gt;&lt;Year&gt;2024&lt;/Year&gt;&lt;RecNum&gt;112&lt;/RecNum&gt;&lt;DisplayText&gt;(FAO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rsidRPr="007A6696">
        <w:rPr>
          <w:b/>
        </w:rPr>
        <w:fldChar w:fldCharType="separate"/>
      </w:r>
      <w:r w:rsidRPr="007A6696">
        <w:rPr>
          <w:b/>
          <w:noProof/>
        </w:rPr>
        <w:t>(FAO 2024)</w:t>
      </w:r>
      <w:r w:rsidRPr="007A6696">
        <w:rPr>
          <w:b/>
        </w:rPr>
        <w:fldChar w:fldCharType="end"/>
      </w:r>
      <w:r w:rsidR="00360EA2" w:rsidRPr="007A6696">
        <w:rPr>
          <w:b/>
        </w:rPr>
        <w:t>:</w:t>
      </w:r>
      <w:r w:rsidR="00360EA2">
        <w:t xml:space="preserve"> Systematic analysis of derivation methods used by international organisations for older infants and young children. Table </w:t>
      </w:r>
      <w:r w:rsidR="004B3C69">
        <w:t>F</w:t>
      </w:r>
      <w:r w:rsidR="00E140E6">
        <w:t>.</w:t>
      </w:r>
      <w:r w:rsidR="00DB0D04">
        <w:t>5</w:t>
      </w:r>
      <w:r w:rsidR="004B3C69">
        <w:t>.</w:t>
      </w:r>
      <w:r w:rsidR="00DB0D04">
        <w:t>1</w:t>
      </w:r>
      <w:r w:rsidR="004B3C69">
        <w:t xml:space="preserve"> &amp; </w:t>
      </w:r>
      <w:proofErr w:type="gramStart"/>
      <w:r w:rsidR="004B3C69">
        <w:t>F</w:t>
      </w:r>
      <w:r w:rsidR="00E140E6">
        <w:t>.</w:t>
      </w:r>
      <w:r w:rsidR="00DB0D04">
        <w:t>5</w:t>
      </w:r>
      <w:r w:rsidR="004B3C69">
        <w:t>.</w:t>
      </w:r>
      <w:r w:rsidR="00DB0D04">
        <w:t>2</w:t>
      </w:r>
      <w:r w:rsidR="004B3C69">
        <w:t xml:space="preserve"> </w:t>
      </w:r>
      <w:r w:rsidR="00360EA2">
        <w:t xml:space="preserve"> focus</w:t>
      </w:r>
      <w:proofErr w:type="gramEnd"/>
      <w:r w:rsidR="00360EA2">
        <w:t xml:space="preserve"> on documenting which specific methods were used by each organisation. </w:t>
      </w:r>
    </w:p>
    <w:p w14:paraId="0A0552B4" w14:textId="027B9896" w:rsidR="0042694E" w:rsidRDefault="00B44F84" w:rsidP="00561D83">
      <w:pPr>
        <w:pStyle w:val="Heading4-Appendix"/>
      </w:pPr>
      <w:r>
        <w:t>Limitations and Considerations</w:t>
      </w:r>
    </w:p>
    <w:p w14:paraId="2A13C820" w14:textId="783A0D50" w:rsidR="00B44F84" w:rsidRDefault="00396596" w:rsidP="008B64CE">
      <w:r>
        <w:t>Several important considerations apply</w:t>
      </w:r>
      <w:r w:rsidR="00797479">
        <w:t>:</w:t>
      </w:r>
    </w:p>
    <w:p w14:paraId="565F0AEA" w14:textId="5BDA6E92" w:rsidR="00797479" w:rsidRDefault="0097211C" w:rsidP="008B64CE">
      <w:pPr>
        <w:pStyle w:val="ListBullet"/>
        <w:ind w:left="357" w:hanging="357"/>
        <w:contextualSpacing w:val="0"/>
      </w:pPr>
      <w:r>
        <w:t>Both reviews found that extrapolation from other age groups is commonly used when direct research on target populations is unavailable</w:t>
      </w:r>
      <w:r w:rsidR="001422F9">
        <w:t>.</w:t>
      </w:r>
    </w:p>
    <w:p w14:paraId="600BDA04" w14:textId="08B326E6" w:rsidR="0097211C" w:rsidRDefault="00221236" w:rsidP="008B64CE">
      <w:pPr>
        <w:pStyle w:val="ListBullet"/>
        <w:ind w:left="357" w:hanging="357"/>
        <w:contextualSpacing w:val="0"/>
      </w:pPr>
      <w:r>
        <w:t>Final reference values depend on both the derivation method and the specific parameters used (such as body weights and growth factors)</w:t>
      </w:r>
      <w:r w:rsidR="001422F9">
        <w:t>.</w:t>
      </w:r>
    </w:p>
    <w:p w14:paraId="7C15FA66" w14:textId="15148CF5" w:rsidR="00221236" w:rsidRDefault="00221236" w:rsidP="008B64CE">
      <w:pPr>
        <w:pStyle w:val="ListBullet"/>
        <w:ind w:left="357" w:hanging="357"/>
        <w:contextualSpacing w:val="0"/>
      </w:pPr>
      <w:r>
        <w:t>Estimated values carry forward any uncertainties from their original data sources</w:t>
      </w:r>
      <w:r w:rsidR="001422F9">
        <w:t>.</w:t>
      </w:r>
    </w:p>
    <w:p w14:paraId="5A0FE3A3" w14:textId="1DBB83F0" w:rsidR="00221236" w:rsidRDefault="001422F9" w:rsidP="008B64CE">
      <w:pPr>
        <w:pStyle w:val="ListBullet"/>
        <w:ind w:left="357" w:hanging="357"/>
        <w:contextualSpacing w:val="0"/>
      </w:pPr>
      <w:r>
        <w:t>Some international organisations have “Not set” values for certain nutrients due to insufficient evidence.</w:t>
      </w:r>
    </w:p>
    <w:p w14:paraId="77E186F1" w14:textId="79FCCC84" w:rsidR="005F5F62" w:rsidRDefault="00B410FE" w:rsidP="008B64CE">
      <w:pPr>
        <w:pStyle w:val="ListBullet"/>
        <w:ind w:left="357" w:hanging="357"/>
        <w:contextualSpacing w:val="0"/>
      </w:pPr>
      <w:r>
        <w:t>Extrapolation</w:t>
      </w:r>
      <w:r w:rsidR="003234C9">
        <w:t xml:space="preserve"> methods often result in lower confidence classifications </w:t>
      </w:r>
      <w:r>
        <w:t xml:space="preserve">when compared to direct evidence </w:t>
      </w:r>
      <w:r w:rsidR="007A6696">
        <w:fldChar w:fldCharType="begin"/>
      </w:r>
      <w:r w:rsidR="007A6696">
        <w:instrText xml:space="preserve"> ADDIN EN.CITE &lt;EndNote&gt;&lt;Cite&gt;&lt;Author&gt;FAO&lt;/Author&gt;&lt;Year&gt;2024&lt;/Year&gt;&lt;RecNum&gt;112&lt;/RecNum&gt;&lt;DisplayText&gt;(FAO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rsidR="007A6696">
        <w:fldChar w:fldCharType="separate"/>
      </w:r>
      <w:r w:rsidR="007A6696">
        <w:rPr>
          <w:noProof/>
        </w:rPr>
        <w:t>(FAO 2024)</w:t>
      </w:r>
      <w:r w:rsidR="007A6696">
        <w:fldChar w:fldCharType="end"/>
      </w:r>
    </w:p>
    <w:p w14:paraId="067FEB85" w14:textId="6CFAB717" w:rsidR="005F5F62" w:rsidRDefault="00FA4BCA" w:rsidP="00561D83">
      <w:pPr>
        <w:pStyle w:val="Heading4-Appendix"/>
      </w:pPr>
      <w:r w:rsidRPr="008D7251">
        <w:fldChar w:fldCharType="begin"/>
      </w:r>
      <w:r w:rsidRPr="008D7251">
        <w:instrText xml:space="preserve"> ADDIN EN.CITE &lt;EndNote&gt;&lt;Cite AuthorYear="1"&gt;&lt;Author&gt;NASEM&lt;/Author&gt;&lt;Year&gt;2018&lt;/Year&gt;&lt;RecNum&gt;67&lt;/RecNum&gt;&lt;DisplayText&gt;NASEM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sidRPr="008D7251">
        <w:fldChar w:fldCharType="separate"/>
      </w:r>
      <w:r w:rsidRPr="008D7251">
        <w:rPr>
          <w:noProof/>
        </w:rPr>
        <w:t>NASEM (2018)</w:t>
      </w:r>
      <w:r w:rsidRPr="008D7251">
        <w:fldChar w:fldCharType="end"/>
      </w:r>
      <w:r w:rsidR="005F5F62">
        <w:t xml:space="preserve"> Data</w:t>
      </w:r>
    </w:p>
    <w:p w14:paraId="71D68121" w14:textId="57C95027" w:rsidR="00DA0CF9" w:rsidRDefault="001C000A" w:rsidP="008B64CE">
      <w:r>
        <w:t>Tables F.4.1 and F.4.2 document the scaling methods using by NASEM</w:t>
      </w:r>
      <w:r w:rsidR="00BB4137">
        <w:t xml:space="preserve"> (2018) for extrapolating nutrient reference values when direct evidence is insufficient. The data represents general methodology from their technical appendix showing which extrapolation approaches (allometric, isometric, growth factors) were applied to specific nutrients.</w:t>
      </w:r>
    </w:p>
    <w:p w14:paraId="0DA04F58" w14:textId="77777777" w:rsidR="00BB4137" w:rsidRDefault="00BB4137" w:rsidP="004F41D4"/>
    <w:p w14:paraId="216E767F" w14:textId="77777777" w:rsidR="006D1105" w:rsidRDefault="006D1105">
      <w:pPr>
        <w:spacing w:line="240" w:lineRule="atLeast"/>
      </w:pPr>
    </w:p>
    <w:p w14:paraId="50A81112" w14:textId="2C1AF67A" w:rsidR="00383061" w:rsidRDefault="00DA0CF9">
      <w:pPr>
        <w:spacing w:line="240" w:lineRule="atLeast"/>
      </w:pPr>
      <w:r>
        <w:lastRenderedPageBreak/>
        <w:t>Table F</w:t>
      </w:r>
      <w:r w:rsidR="00627537">
        <w:t>.</w:t>
      </w:r>
      <w:r w:rsidR="005043D7">
        <w:t>4</w:t>
      </w:r>
      <w:r w:rsidR="00627537">
        <w:t xml:space="preserve">.1 </w:t>
      </w:r>
      <w:r w:rsidR="00BB4137">
        <w:t>Mineral</w:t>
      </w:r>
      <w:r w:rsidR="00627537">
        <w:t xml:space="preserve"> Deriva</w:t>
      </w:r>
      <w:r w:rsidR="00383061">
        <w:t xml:space="preserve">tion Methods – </w:t>
      </w:r>
      <w:r w:rsidR="00FA4BCA" w:rsidRPr="008D7251">
        <w:rPr>
          <w:b/>
        </w:rPr>
        <w:fldChar w:fldCharType="begin"/>
      </w:r>
      <w:r w:rsidR="00FA4BCA" w:rsidRPr="008D7251">
        <w:rPr>
          <w:b/>
        </w:rPr>
        <w:instrText xml:space="preserve"> ADDIN EN.CITE &lt;EndNote&gt;&lt;Cite AuthorYear="1"&gt;&lt;Author&gt;NASEM&lt;/Author&gt;&lt;Year&gt;2018&lt;/Year&gt;&lt;RecNum&gt;67&lt;/RecNum&gt;&lt;DisplayText&gt;NASEM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sidR="00FA4BCA" w:rsidRPr="008D7251">
        <w:rPr>
          <w:b/>
        </w:rPr>
        <w:fldChar w:fldCharType="separate"/>
      </w:r>
      <w:r w:rsidR="00FA4BCA" w:rsidRPr="008D7251">
        <w:rPr>
          <w:b/>
          <w:noProof/>
        </w:rPr>
        <w:t>NASEM (2018)</w:t>
      </w:r>
      <w:r w:rsidR="00FA4BCA" w:rsidRPr="008D7251">
        <w:rPr>
          <w:b/>
        </w:rPr>
        <w:fldChar w:fldCharType="end"/>
      </w:r>
    </w:p>
    <w:p w14:paraId="6DE80AFD" w14:textId="46364C53" w:rsidR="00046865" w:rsidRDefault="00383061">
      <w:pPr>
        <w:spacing w:line="240" w:lineRule="atLeast"/>
      </w:pPr>
      <w:r>
        <w:t>Extrapolation methods used to derive NRVs when direct evidence is insufficient. Allometric scaling uses 0.75 exponent.</w:t>
      </w:r>
      <w:r w:rsidR="00BF71C7">
        <w:t xml:space="preserve"> AI: adequate intake; </w:t>
      </w:r>
      <w:r w:rsidR="00046865">
        <w:t xml:space="preserve">EAR: estimated average requirement; UL: upper level. </w:t>
      </w:r>
    </w:p>
    <w:tbl>
      <w:tblPr>
        <w:tblW w:w="10627" w:type="dxa"/>
        <w:tblLayout w:type="fixed"/>
        <w:tblLook w:val="04A0" w:firstRow="1" w:lastRow="0" w:firstColumn="1" w:lastColumn="0" w:noHBand="0" w:noVBand="1"/>
      </w:tblPr>
      <w:tblGrid>
        <w:gridCol w:w="1696"/>
        <w:gridCol w:w="2835"/>
        <w:gridCol w:w="1418"/>
        <w:gridCol w:w="1276"/>
        <w:gridCol w:w="1134"/>
        <w:gridCol w:w="2268"/>
      </w:tblGrid>
      <w:tr w:rsidR="00F70710" w:rsidRPr="00C90206" w14:paraId="69F16247" w14:textId="77777777" w:rsidTr="00AB733B">
        <w:trPr>
          <w:trHeight w:val="340"/>
        </w:trPr>
        <w:tc>
          <w:tcPr>
            <w:tcW w:w="1696" w:type="dxa"/>
            <w:vMerge w:val="restart"/>
            <w:tcBorders>
              <w:top w:val="single" w:sz="4" w:space="0" w:color="auto"/>
              <w:left w:val="single" w:sz="4" w:space="0" w:color="auto"/>
              <w:bottom w:val="single" w:sz="4" w:space="0" w:color="auto"/>
              <w:right w:val="single" w:sz="4" w:space="0" w:color="auto"/>
            </w:tcBorders>
            <w:noWrap/>
            <w:vAlign w:val="center"/>
            <w:hideMark/>
          </w:tcPr>
          <w:p w14:paraId="3A0F77EF" w14:textId="77777777" w:rsidR="007E6E09" w:rsidRPr="00C90206" w:rsidRDefault="007E6E09"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Nutrient</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7E78EA28" w14:textId="08EF852F" w:rsidR="007E6E09" w:rsidRPr="00C90206" w:rsidRDefault="007E6E09"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 xml:space="preserve">Extrapolation </w:t>
            </w:r>
            <w:r w:rsidR="00260928">
              <w:rPr>
                <w:rFonts w:ascii="Aptos Narrow" w:eastAsia="Times New Roman" w:hAnsi="Aptos Narrow"/>
                <w:b/>
                <w:bCs/>
                <w:color w:val="000000"/>
                <w:sz w:val="22"/>
                <w:szCs w:val="22"/>
              </w:rPr>
              <w:t>M</w:t>
            </w:r>
            <w:r w:rsidRPr="00C90206">
              <w:rPr>
                <w:rFonts w:ascii="Aptos Narrow" w:eastAsia="Times New Roman" w:hAnsi="Aptos Narrow"/>
                <w:b/>
                <w:bCs/>
                <w:color w:val="000000"/>
                <w:sz w:val="22"/>
                <w:szCs w:val="22"/>
              </w:rPr>
              <w:t xml:space="preserve">ethod </w:t>
            </w:r>
          </w:p>
        </w:tc>
        <w:tc>
          <w:tcPr>
            <w:tcW w:w="2694" w:type="dxa"/>
            <w:gridSpan w:val="2"/>
            <w:tcBorders>
              <w:top w:val="single" w:sz="4" w:space="0" w:color="auto"/>
              <w:left w:val="nil"/>
              <w:bottom w:val="single" w:sz="4" w:space="0" w:color="auto"/>
              <w:right w:val="single" w:sz="4" w:space="0" w:color="auto"/>
            </w:tcBorders>
            <w:noWrap/>
            <w:vAlign w:val="center"/>
            <w:hideMark/>
          </w:tcPr>
          <w:p w14:paraId="7FBBF4AB" w14:textId="3E54E651" w:rsidR="007E6E09" w:rsidRPr="00C90206" w:rsidRDefault="007E6E09" w:rsidP="0020225B">
            <w:pPr>
              <w:spacing w:before="0" w:after="0" w:line="240" w:lineRule="auto"/>
              <w:jc w:val="center"/>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 xml:space="preserve">Scaling </w:t>
            </w:r>
            <w:r w:rsidR="00260928">
              <w:rPr>
                <w:rFonts w:ascii="Aptos Narrow" w:eastAsia="Times New Roman" w:hAnsi="Aptos Narrow"/>
                <w:b/>
                <w:bCs/>
                <w:color w:val="000000"/>
                <w:sz w:val="22"/>
                <w:szCs w:val="22"/>
              </w:rPr>
              <w:t>M</w:t>
            </w:r>
            <w:r w:rsidRPr="00C90206">
              <w:rPr>
                <w:rFonts w:ascii="Aptos Narrow" w:eastAsia="Times New Roman" w:hAnsi="Aptos Narrow"/>
                <w:b/>
                <w:bCs/>
                <w:color w:val="000000"/>
                <w:sz w:val="22"/>
                <w:szCs w:val="22"/>
              </w:rPr>
              <w:t>ethod</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8A632F0" w14:textId="496B0C07" w:rsidR="007E6E09" w:rsidRPr="00C90206" w:rsidRDefault="007E6E09"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Growth Factor</w:t>
            </w:r>
          </w:p>
        </w:tc>
        <w:tc>
          <w:tcPr>
            <w:tcW w:w="2268" w:type="dxa"/>
            <w:tcBorders>
              <w:top w:val="single" w:sz="4" w:space="0" w:color="auto"/>
              <w:left w:val="single" w:sz="4" w:space="0" w:color="auto"/>
              <w:right w:val="single" w:sz="4" w:space="0" w:color="auto"/>
            </w:tcBorders>
            <w:noWrap/>
            <w:vAlign w:val="center"/>
            <w:hideMark/>
          </w:tcPr>
          <w:p w14:paraId="4AFD13E7" w14:textId="40960301" w:rsidR="007E6E09" w:rsidRPr="00C90206" w:rsidRDefault="007E6E09"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 xml:space="preserve">Other </w:t>
            </w:r>
            <w:r w:rsidR="00260928">
              <w:rPr>
                <w:rFonts w:ascii="Aptos Narrow" w:eastAsia="Times New Roman" w:hAnsi="Aptos Narrow"/>
                <w:b/>
                <w:bCs/>
                <w:color w:val="000000"/>
                <w:sz w:val="22"/>
                <w:szCs w:val="22"/>
              </w:rPr>
              <w:t>M</w:t>
            </w:r>
            <w:r w:rsidRPr="00C90206">
              <w:rPr>
                <w:rFonts w:ascii="Aptos Narrow" w:eastAsia="Times New Roman" w:hAnsi="Aptos Narrow"/>
                <w:b/>
                <w:bCs/>
                <w:color w:val="000000"/>
                <w:sz w:val="22"/>
                <w:szCs w:val="22"/>
              </w:rPr>
              <w:t>ethodology</w:t>
            </w:r>
          </w:p>
        </w:tc>
      </w:tr>
      <w:tr w:rsidR="00AB733B" w:rsidRPr="00C90206" w14:paraId="1DFCCC5D" w14:textId="77777777" w:rsidTr="00AB733B">
        <w:trPr>
          <w:trHeight w:val="34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6C542411" w14:textId="77777777" w:rsidR="007E6E09" w:rsidRPr="00C90206" w:rsidRDefault="007E6E09" w:rsidP="00C90206">
            <w:pPr>
              <w:spacing w:before="0" w:after="0" w:line="240" w:lineRule="auto"/>
              <w:rPr>
                <w:rFonts w:ascii="Aptos Narrow" w:eastAsia="Times New Roman" w:hAnsi="Aptos Narrow"/>
                <w:b/>
                <w:bCs/>
                <w:color w:val="000000"/>
                <w:sz w:val="22"/>
                <w:szCs w:val="2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2F89E0D" w14:textId="77777777" w:rsidR="007E6E09" w:rsidRPr="00C90206" w:rsidRDefault="007E6E09" w:rsidP="00C90206">
            <w:pPr>
              <w:spacing w:before="0" w:after="0" w:line="240" w:lineRule="auto"/>
              <w:rPr>
                <w:rFonts w:ascii="Aptos Narrow" w:eastAsia="Times New Roman" w:hAnsi="Aptos Narrow"/>
                <w:b/>
                <w:bCs/>
                <w:color w:val="000000"/>
                <w:sz w:val="22"/>
                <w:szCs w:val="22"/>
              </w:rPr>
            </w:pPr>
          </w:p>
        </w:tc>
        <w:tc>
          <w:tcPr>
            <w:tcW w:w="1418" w:type="dxa"/>
            <w:tcBorders>
              <w:top w:val="nil"/>
              <w:left w:val="nil"/>
              <w:bottom w:val="single" w:sz="4" w:space="0" w:color="auto"/>
              <w:right w:val="single" w:sz="4" w:space="0" w:color="auto"/>
            </w:tcBorders>
            <w:vAlign w:val="center"/>
            <w:hideMark/>
          </w:tcPr>
          <w:p w14:paraId="46D45EEB" w14:textId="40E127F8" w:rsidR="007E6E09" w:rsidRPr="00C90206" w:rsidRDefault="007E6E09"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Allometric</w:t>
            </w:r>
          </w:p>
        </w:tc>
        <w:tc>
          <w:tcPr>
            <w:tcW w:w="1276" w:type="dxa"/>
            <w:tcBorders>
              <w:top w:val="nil"/>
              <w:left w:val="nil"/>
              <w:bottom w:val="single" w:sz="4" w:space="0" w:color="auto"/>
              <w:right w:val="single" w:sz="4" w:space="0" w:color="auto"/>
            </w:tcBorders>
            <w:noWrap/>
            <w:vAlign w:val="center"/>
            <w:hideMark/>
          </w:tcPr>
          <w:p w14:paraId="5C4A437F" w14:textId="77777777" w:rsidR="007E6E09" w:rsidRPr="00C90206" w:rsidRDefault="007E6E09"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Isometric</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0C4F15" w14:textId="77777777" w:rsidR="007E6E09" w:rsidRPr="00C90206" w:rsidRDefault="007E6E09" w:rsidP="00C90206">
            <w:pPr>
              <w:spacing w:before="0" w:after="0" w:line="240" w:lineRule="auto"/>
              <w:rPr>
                <w:rFonts w:ascii="Aptos Narrow" w:eastAsia="Times New Roman" w:hAnsi="Aptos Narrow"/>
                <w:b/>
                <w:bCs/>
                <w:color w:val="000000"/>
                <w:sz w:val="22"/>
                <w:szCs w:val="22"/>
              </w:rPr>
            </w:pPr>
          </w:p>
        </w:tc>
        <w:tc>
          <w:tcPr>
            <w:tcW w:w="2268" w:type="dxa"/>
            <w:tcBorders>
              <w:left w:val="single" w:sz="4" w:space="0" w:color="auto"/>
              <w:bottom w:val="single" w:sz="4" w:space="0" w:color="auto"/>
              <w:right w:val="single" w:sz="4" w:space="0" w:color="auto"/>
            </w:tcBorders>
            <w:vAlign w:val="center"/>
            <w:hideMark/>
          </w:tcPr>
          <w:p w14:paraId="7B429A56" w14:textId="77777777" w:rsidR="007E6E09" w:rsidRPr="00C90206" w:rsidRDefault="007E6E09" w:rsidP="00C90206">
            <w:pPr>
              <w:spacing w:before="0" w:after="0" w:line="240" w:lineRule="auto"/>
              <w:rPr>
                <w:rFonts w:ascii="Aptos Narrow" w:eastAsia="Times New Roman" w:hAnsi="Aptos Narrow"/>
                <w:b/>
                <w:bCs/>
                <w:color w:val="000000"/>
                <w:sz w:val="22"/>
                <w:szCs w:val="22"/>
              </w:rPr>
            </w:pPr>
          </w:p>
        </w:tc>
      </w:tr>
      <w:tr w:rsidR="00FB0830" w:rsidRPr="00C90206" w14:paraId="70B3EF7B" w14:textId="77777777" w:rsidTr="00AB733B">
        <w:trPr>
          <w:trHeight w:val="372"/>
        </w:trPr>
        <w:tc>
          <w:tcPr>
            <w:tcW w:w="1696" w:type="dxa"/>
            <w:vMerge w:val="restart"/>
            <w:tcBorders>
              <w:top w:val="nil"/>
              <w:left w:val="single" w:sz="4" w:space="0" w:color="auto"/>
              <w:right w:val="single" w:sz="4" w:space="0" w:color="auto"/>
            </w:tcBorders>
            <w:shd w:val="clear" w:color="000000" w:fill="E8E8E8"/>
            <w:noWrap/>
            <w:vAlign w:val="center"/>
            <w:hideMark/>
          </w:tcPr>
          <w:p w14:paraId="3EE6927D" w14:textId="77777777" w:rsidR="00FB0830" w:rsidRPr="00C90206" w:rsidRDefault="00FB0830"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Choline</w:t>
            </w:r>
          </w:p>
        </w:tc>
        <w:tc>
          <w:tcPr>
            <w:tcW w:w="2835" w:type="dxa"/>
            <w:tcBorders>
              <w:top w:val="nil"/>
              <w:left w:val="nil"/>
              <w:bottom w:val="single" w:sz="4" w:space="0" w:color="auto"/>
              <w:right w:val="single" w:sz="4" w:space="0" w:color="auto"/>
            </w:tcBorders>
            <w:shd w:val="clear" w:color="000000" w:fill="E8E8E8"/>
            <w:noWrap/>
            <w:vAlign w:val="bottom"/>
            <w:hideMark/>
          </w:tcPr>
          <w:p w14:paraId="2E8E9ECD" w14:textId="77777777" w:rsidR="00FB0830" w:rsidRPr="00C90206" w:rsidRDefault="00FB0830"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adult</w:t>
            </w:r>
            <w:r w:rsidRPr="00C90206">
              <w:rPr>
                <w:rFonts w:ascii="Aptos Narrow" w:eastAsia="Times New Roman" w:hAnsi="Aptos Narrow"/>
                <w:color w:val="auto"/>
                <w:sz w:val="22"/>
                <w:szCs w:val="22"/>
              </w:rPr>
              <w:t xml:space="preserve"> → AI </w:t>
            </w:r>
            <w:r w:rsidRPr="00C90206">
              <w:rPr>
                <w:rFonts w:ascii="Aptos Narrow" w:eastAsia="Times New Roman" w:hAnsi="Aptos Narrow"/>
                <w:color w:val="auto"/>
                <w:sz w:val="22"/>
                <w:szCs w:val="22"/>
                <w:vertAlign w:val="subscript"/>
              </w:rPr>
              <w:t>child</w:t>
            </w:r>
          </w:p>
        </w:tc>
        <w:tc>
          <w:tcPr>
            <w:tcW w:w="1418" w:type="dxa"/>
            <w:tcBorders>
              <w:top w:val="nil"/>
              <w:left w:val="nil"/>
              <w:bottom w:val="single" w:sz="4" w:space="0" w:color="auto"/>
              <w:right w:val="single" w:sz="4" w:space="0" w:color="auto"/>
            </w:tcBorders>
            <w:shd w:val="clear" w:color="000000" w:fill="E8E8E8"/>
            <w:noWrap/>
            <w:vAlign w:val="bottom"/>
            <w:hideMark/>
          </w:tcPr>
          <w:p w14:paraId="306EECB3"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shd w:val="clear" w:color="000000" w:fill="E8E8E8"/>
            <w:noWrap/>
            <w:vAlign w:val="bottom"/>
            <w:hideMark/>
          </w:tcPr>
          <w:p w14:paraId="2A7B5AC8"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595676A2"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2268" w:type="dxa"/>
            <w:tcBorders>
              <w:top w:val="nil"/>
              <w:left w:val="nil"/>
              <w:bottom w:val="single" w:sz="4" w:space="0" w:color="auto"/>
              <w:right w:val="single" w:sz="4" w:space="0" w:color="auto"/>
            </w:tcBorders>
            <w:shd w:val="clear" w:color="000000" w:fill="E8E8E8"/>
            <w:noWrap/>
            <w:vAlign w:val="bottom"/>
            <w:hideMark/>
          </w:tcPr>
          <w:p w14:paraId="651205BB" w14:textId="519C52CF"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FB0830" w:rsidRPr="00C90206" w14:paraId="6173B032" w14:textId="77777777" w:rsidTr="00AB733B">
        <w:trPr>
          <w:trHeight w:val="312"/>
        </w:trPr>
        <w:tc>
          <w:tcPr>
            <w:tcW w:w="1696" w:type="dxa"/>
            <w:vMerge/>
            <w:tcBorders>
              <w:left w:val="single" w:sz="4" w:space="0" w:color="auto"/>
              <w:bottom w:val="single" w:sz="4" w:space="0" w:color="auto"/>
              <w:right w:val="single" w:sz="4" w:space="0" w:color="auto"/>
            </w:tcBorders>
            <w:vAlign w:val="center"/>
            <w:hideMark/>
          </w:tcPr>
          <w:p w14:paraId="20FB3F6E" w14:textId="77777777" w:rsidR="00FB0830" w:rsidRPr="00C90206" w:rsidRDefault="00FB0830"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center"/>
            <w:hideMark/>
          </w:tcPr>
          <w:p w14:paraId="61BD1EDF" w14:textId="77777777" w:rsidR="00FB0830" w:rsidRPr="00C90206" w:rsidRDefault="00FB0830"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0–6m</w:t>
            </w: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7–12m</w:t>
            </w:r>
          </w:p>
        </w:tc>
        <w:tc>
          <w:tcPr>
            <w:tcW w:w="1418" w:type="dxa"/>
            <w:tcBorders>
              <w:top w:val="nil"/>
              <w:left w:val="nil"/>
              <w:bottom w:val="single" w:sz="4" w:space="0" w:color="auto"/>
              <w:right w:val="single" w:sz="4" w:space="0" w:color="auto"/>
            </w:tcBorders>
            <w:shd w:val="clear" w:color="000000" w:fill="E8E8E8"/>
            <w:noWrap/>
            <w:vAlign w:val="bottom"/>
            <w:hideMark/>
          </w:tcPr>
          <w:p w14:paraId="2F564EE5"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shd w:val="clear" w:color="000000" w:fill="E8E8E8"/>
            <w:noWrap/>
            <w:vAlign w:val="bottom"/>
            <w:hideMark/>
          </w:tcPr>
          <w:p w14:paraId="1D1D60AA"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0B121973"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2268" w:type="dxa"/>
            <w:tcBorders>
              <w:top w:val="nil"/>
              <w:left w:val="nil"/>
              <w:bottom w:val="single" w:sz="4" w:space="0" w:color="auto"/>
              <w:right w:val="single" w:sz="4" w:space="0" w:color="auto"/>
            </w:tcBorders>
            <w:shd w:val="clear" w:color="000000" w:fill="E8E8E8"/>
            <w:noWrap/>
            <w:vAlign w:val="bottom"/>
            <w:hideMark/>
          </w:tcPr>
          <w:p w14:paraId="50671363" w14:textId="7521B313"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AB733B" w:rsidRPr="00C90206" w14:paraId="008BF46E" w14:textId="77777777" w:rsidTr="00AB733B">
        <w:trPr>
          <w:trHeight w:val="312"/>
        </w:trPr>
        <w:tc>
          <w:tcPr>
            <w:tcW w:w="1696" w:type="dxa"/>
            <w:vMerge w:val="restart"/>
            <w:tcBorders>
              <w:top w:val="nil"/>
              <w:left w:val="single" w:sz="4" w:space="0" w:color="auto"/>
              <w:bottom w:val="single" w:sz="4" w:space="0" w:color="auto"/>
              <w:right w:val="single" w:sz="4" w:space="0" w:color="auto"/>
            </w:tcBorders>
            <w:noWrap/>
            <w:vAlign w:val="center"/>
            <w:hideMark/>
          </w:tcPr>
          <w:p w14:paraId="79E96ED2" w14:textId="77777777" w:rsidR="00C90206" w:rsidRPr="00C90206" w:rsidRDefault="00C90206"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Chromium</w:t>
            </w:r>
          </w:p>
        </w:tc>
        <w:tc>
          <w:tcPr>
            <w:tcW w:w="2835" w:type="dxa"/>
            <w:tcBorders>
              <w:top w:val="nil"/>
              <w:left w:val="nil"/>
              <w:bottom w:val="single" w:sz="4" w:space="0" w:color="auto"/>
              <w:right w:val="single" w:sz="4" w:space="0" w:color="auto"/>
            </w:tcBorders>
            <w:noWrap/>
            <w:vAlign w:val="bottom"/>
            <w:hideMark/>
          </w:tcPr>
          <w:p w14:paraId="0B4D61D5" w14:textId="77777777" w:rsidR="00C90206" w:rsidRPr="00C90206" w:rsidRDefault="00C90206"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EAR/AI </w:t>
            </w:r>
            <w:proofErr w:type="spellStart"/>
            <w:r w:rsidRPr="00C90206">
              <w:rPr>
                <w:rFonts w:ascii="Aptos Narrow" w:eastAsia="Times New Roman" w:hAnsi="Aptos Narrow"/>
                <w:color w:val="auto"/>
                <w:sz w:val="22"/>
                <w:szCs w:val="22"/>
                <w:vertAlign w:val="subscript"/>
              </w:rPr>
              <w:t>adult</w:t>
            </w:r>
            <w:r w:rsidRPr="00C90206">
              <w:rPr>
                <w:rFonts w:ascii="Aptos Narrow" w:eastAsia="Times New Roman" w:hAnsi="Aptos Narrow"/>
                <w:color w:val="auto"/>
                <w:sz w:val="22"/>
                <w:szCs w:val="22"/>
              </w:rPr>
              <w:t>→EAR</w:t>
            </w:r>
            <w:proofErr w:type="spellEnd"/>
            <w:r w:rsidRPr="00C90206">
              <w:rPr>
                <w:rFonts w:ascii="Aptos Narrow" w:eastAsia="Times New Roman" w:hAnsi="Aptos Narrow"/>
                <w:color w:val="auto"/>
                <w:sz w:val="22"/>
                <w:szCs w:val="22"/>
              </w:rPr>
              <w:t>/AI</w:t>
            </w:r>
            <w:r w:rsidRPr="00C90206">
              <w:rPr>
                <w:rFonts w:ascii="Aptos Narrow" w:eastAsia="Times New Roman" w:hAnsi="Aptos Narrow"/>
                <w:color w:val="auto"/>
                <w:sz w:val="22"/>
                <w:szCs w:val="22"/>
                <w:vertAlign w:val="subscript"/>
              </w:rPr>
              <w:t xml:space="preserve"> child</w:t>
            </w:r>
          </w:p>
        </w:tc>
        <w:tc>
          <w:tcPr>
            <w:tcW w:w="1418" w:type="dxa"/>
            <w:tcBorders>
              <w:top w:val="nil"/>
              <w:left w:val="nil"/>
              <w:bottom w:val="single" w:sz="4" w:space="0" w:color="auto"/>
              <w:right w:val="single" w:sz="4" w:space="0" w:color="auto"/>
            </w:tcBorders>
            <w:noWrap/>
            <w:vAlign w:val="bottom"/>
            <w:hideMark/>
          </w:tcPr>
          <w:p w14:paraId="32AEDF74"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noWrap/>
            <w:vAlign w:val="bottom"/>
            <w:hideMark/>
          </w:tcPr>
          <w:p w14:paraId="79BF2C05"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3608B593"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2268" w:type="dxa"/>
            <w:tcBorders>
              <w:top w:val="nil"/>
              <w:left w:val="nil"/>
              <w:bottom w:val="single" w:sz="4" w:space="0" w:color="auto"/>
              <w:right w:val="single" w:sz="4" w:space="0" w:color="auto"/>
            </w:tcBorders>
            <w:noWrap/>
            <w:vAlign w:val="bottom"/>
            <w:hideMark/>
          </w:tcPr>
          <w:p w14:paraId="072AA8B0" w14:textId="28DFE4FA"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AB733B" w:rsidRPr="00C90206" w14:paraId="01825009" w14:textId="77777777" w:rsidTr="00AB733B">
        <w:trPr>
          <w:trHeight w:val="576"/>
        </w:trPr>
        <w:tc>
          <w:tcPr>
            <w:tcW w:w="1696" w:type="dxa"/>
            <w:vMerge/>
            <w:tcBorders>
              <w:top w:val="nil"/>
              <w:left w:val="single" w:sz="4" w:space="0" w:color="auto"/>
              <w:bottom w:val="single" w:sz="4" w:space="0" w:color="auto"/>
              <w:right w:val="single" w:sz="4" w:space="0" w:color="auto"/>
            </w:tcBorders>
            <w:vAlign w:val="center"/>
            <w:hideMark/>
          </w:tcPr>
          <w:p w14:paraId="3DFF4827" w14:textId="77777777" w:rsidR="00C90206" w:rsidRPr="00C90206" w:rsidRDefault="00C90206"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vAlign w:val="bottom"/>
            <w:hideMark/>
          </w:tcPr>
          <w:p w14:paraId="057FC841" w14:textId="77777777" w:rsidR="00C90206" w:rsidRPr="00C90206" w:rsidRDefault="00C90206"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(no extrapolation for iodine EAR/AI for 1–3 y and 4–8 y old)</w:t>
            </w:r>
          </w:p>
        </w:tc>
        <w:tc>
          <w:tcPr>
            <w:tcW w:w="1418" w:type="dxa"/>
            <w:tcBorders>
              <w:top w:val="nil"/>
              <w:left w:val="nil"/>
              <w:bottom w:val="single" w:sz="4" w:space="0" w:color="auto"/>
              <w:right w:val="single" w:sz="4" w:space="0" w:color="auto"/>
            </w:tcBorders>
            <w:noWrap/>
            <w:vAlign w:val="bottom"/>
            <w:hideMark/>
          </w:tcPr>
          <w:p w14:paraId="12320F0D"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noWrap/>
            <w:vAlign w:val="bottom"/>
            <w:hideMark/>
          </w:tcPr>
          <w:p w14:paraId="25782A5C"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0DFDCD96" w14:textId="428E2C95"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c>
          <w:tcPr>
            <w:tcW w:w="2268" w:type="dxa"/>
            <w:tcBorders>
              <w:top w:val="nil"/>
              <w:left w:val="nil"/>
              <w:bottom w:val="single" w:sz="4" w:space="0" w:color="auto"/>
              <w:right w:val="single" w:sz="4" w:space="0" w:color="auto"/>
            </w:tcBorders>
            <w:noWrap/>
            <w:vAlign w:val="bottom"/>
            <w:hideMark/>
          </w:tcPr>
          <w:p w14:paraId="5CC4B5E1" w14:textId="30601513"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AB733B" w:rsidRPr="00C90206" w14:paraId="5231F879" w14:textId="77777777" w:rsidTr="00AB733B">
        <w:trPr>
          <w:trHeight w:val="312"/>
        </w:trPr>
        <w:tc>
          <w:tcPr>
            <w:tcW w:w="1696" w:type="dxa"/>
            <w:vMerge/>
            <w:tcBorders>
              <w:top w:val="nil"/>
              <w:left w:val="single" w:sz="4" w:space="0" w:color="auto"/>
              <w:bottom w:val="single" w:sz="4" w:space="0" w:color="auto"/>
              <w:right w:val="single" w:sz="4" w:space="0" w:color="auto"/>
            </w:tcBorders>
            <w:vAlign w:val="center"/>
            <w:hideMark/>
          </w:tcPr>
          <w:p w14:paraId="7F450DD5" w14:textId="77777777" w:rsidR="00C90206" w:rsidRPr="00C90206" w:rsidRDefault="00C90206"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noWrap/>
            <w:vAlign w:val="center"/>
            <w:hideMark/>
          </w:tcPr>
          <w:p w14:paraId="173096CC" w14:textId="77777777" w:rsidR="00C90206" w:rsidRPr="00C90206" w:rsidRDefault="00C90206"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0–6m</w:t>
            </w: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7–12m</w:t>
            </w:r>
          </w:p>
        </w:tc>
        <w:tc>
          <w:tcPr>
            <w:tcW w:w="1418" w:type="dxa"/>
            <w:tcBorders>
              <w:top w:val="nil"/>
              <w:left w:val="nil"/>
              <w:bottom w:val="single" w:sz="4" w:space="0" w:color="auto"/>
              <w:right w:val="single" w:sz="4" w:space="0" w:color="auto"/>
            </w:tcBorders>
            <w:noWrap/>
            <w:vAlign w:val="bottom"/>
            <w:hideMark/>
          </w:tcPr>
          <w:p w14:paraId="3E15DD36"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67D436EF"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534C5241"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2268" w:type="dxa"/>
            <w:tcBorders>
              <w:top w:val="nil"/>
              <w:left w:val="nil"/>
              <w:bottom w:val="single" w:sz="4" w:space="0" w:color="auto"/>
              <w:right w:val="single" w:sz="4" w:space="0" w:color="auto"/>
            </w:tcBorders>
            <w:noWrap/>
            <w:vAlign w:val="bottom"/>
            <w:hideMark/>
          </w:tcPr>
          <w:p w14:paraId="31FC62E1" w14:textId="711553F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FB0830" w:rsidRPr="00C90206" w14:paraId="3FCE351E" w14:textId="77777777" w:rsidTr="00AB733B">
        <w:trPr>
          <w:trHeight w:val="312"/>
        </w:trPr>
        <w:tc>
          <w:tcPr>
            <w:tcW w:w="1696" w:type="dxa"/>
            <w:vMerge w:val="restart"/>
            <w:tcBorders>
              <w:top w:val="nil"/>
              <w:left w:val="single" w:sz="4" w:space="0" w:color="auto"/>
              <w:right w:val="single" w:sz="4" w:space="0" w:color="auto"/>
            </w:tcBorders>
            <w:shd w:val="clear" w:color="000000" w:fill="E8E8E8"/>
            <w:noWrap/>
            <w:vAlign w:val="center"/>
            <w:hideMark/>
          </w:tcPr>
          <w:p w14:paraId="7F72D1D0" w14:textId="77777777" w:rsidR="00FB0830" w:rsidRPr="00C90206" w:rsidRDefault="00FB0830"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Copper</w:t>
            </w:r>
          </w:p>
        </w:tc>
        <w:tc>
          <w:tcPr>
            <w:tcW w:w="2835" w:type="dxa"/>
            <w:tcBorders>
              <w:top w:val="nil"/>
              <w:left w:val="nil"/>
              <w:bottom w:val="single" w:sz="4" w:space="0" w:color="auto"/>
              <w:right w:val="single" w:sz="4" w:space="0" w:color="auto"/>
            </w:tcBorders>
            <w:shd w:val="clear" w:color="000000" w:fill="E8E8E8"/>
            <w:noWrap/>
            <w:vAlign w:val="bottom"/>
            <w:hideMark/>
          </w:tcPr>
          <w:p w14:paraId="72E81491" w14:textId="77777777" w:rsidR="00FB0830" w:rsidRPr="00C90206" w:rsidRDefault="00FB0830"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EAR/AI </w:t>
            </w:r>
            <w:proofErr w:type="spellStart"/>
            <w:r w:rsidRPr="00C90206">
              <w:rPr>
                <w:rFonts w:ascii="Aptos Narrow" w:eastAsia="Times New Roman" w:hAnsi="Aptos Narrow"/>
                <w:color w:val="auto"/>
                <w:sz w:val="22"/>
                <w:szCs w:val="22"/>
                <w:vertAlign w:val="subscript"/>
              </w:rPr>
              <w:t>adult</w:t>
            </w:r>
            <w:r w:rsidRPr="00C90206">
              <w:rPr>
                <w:rFonts w:ascii="Aptos Narrow" w:eastAsia="Times New Roman" w:hAnsi="Aptos Narrow"/>
                <w:color w:val="auto"/>
                <w:sz w:val="22"/>
                <w:szCs w:val="22"/>
              </w:rPr>
              <w:t>→EAR</w:t>
            </w:r>
            <w:proofErr w:type="spellEnd"/>
            <w:r w:rsidRPr="00C90206">
              <w:rPr>
                <w:rFonts w:ascii="Aptos Narrow" w:eastAsia="Times New Roman" w:hAnsi="Aptos Narrow"/>
                <w:color w:val="auto"/>
                <w:sz w:val="22"/>
                <w:szCs w:val="22"/>
              </w:rPr>
              <w:t>/AI</w:t>
            </w:r>
            <w:r w:rsidRPr="00C90206">
              <w:rPr>
                <w:rFonts w:ascii="Aptos Narrow" w:eastAsia="Times New Roman" w:hAnsi="Aptos Narrow"/>
                <w:color w:val="auto"/>
                <w:sz w:val="22"/>
                <w:szCs w:val="22"/>
                <w:vertAlign w:val="subscript"/>
              </w:rPr>
              <w:t xml:space="preserve"> child</w:t>
            </w:r>
          </w:p>
        </w:tc>
        <w:tc>
          <w:tcPr>
            <w:tcW w:w="1418" w:type="dxa"/>
            <w:tcBorders>
              <w:top w:val="nil"/>
              <w:left w:val="nil"/>
              <w:bottom w:val="single" w:sz="4" w:space="0" w:color="auto"/>
              <w:right w:val="single" w:sz="4" w:space="0" w:color="auto"/>
            </w:tcBorders>
            <w:shd w:val="clear" w:color="000000" w:fill="E8E8E8"/>
            <w:noWrap/>
            <w:vAlign w:val="bottom"/>
            <w:hideMark/>
          </w:tcPr>
          <w:p w14:paraId="4C69F031"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shd w:val="clear" w:color="000000" w:fill="E8E8E8"/>
            <w:noWrap/>
            <w:vAlign w:val="bottom"/>
            <w:hideMark/>
          </w:tcPr>
          <w:p w14:paraId="173068D6"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373295D6"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2268" w:type="dxa"/>
            <w:tcBorders>
              <w:top w:val="nil"/>
              <w:left w:val="nil"/>
              <w:bottom w:val="single" w:sz="4" w:space="0" w:color="auto"/>
              <w:right w:val="single" w:sz="4" w:space="0" w:color="auto"/>
            </w:tcBorders>
            <w:shd w:val="clear" w:color="000000" w:fill="E8E8E8"/>
            <w:noWrap/>
            <w:vAlign w:val="bottom"/>
            <w:hideMark/>
          </w:tcPr>
          <w:p w14:paraId="2AAB0025" w14:textId="5A43114E"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FB0830" w:rsidRPr="00C90206" w14:paraId="746691C4" w14:textId="77777777" w:rsidTr="00AB733B">
        <w:trPr>
          <w:trHeight w:val="576"/>
        </w:trPr>
        <w:tc>
          <w:tcPr>
            <w:tcW w:w="1696" w:type="dxa"/>
            <w:vMerge/>
            <w:tcBorders>
              <w:left w:val="single" w:sz="4" w:space="0" w:color="auto"/>
              <w:right w:val="single" w:sz="4" w:space="0" w:color="auto"/>
            </w:tcBorders>
            <w:vAlign w:val="center"/>
            <w:hideMark/>
          </w:tcPr>
          <w:p w14:paraId="41C4A616" w14:textId="77777777" w:rsidR="00FB0830" w:rsidRPr="00C90206" w:rsidRDefault="00FB0830"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vAlign w:val="bottom"/>
            <w:hideMark/>
          </w:tcPr>
          <w:p w14:paraId="30248058" w14:textId="77777777" w:rsidR="00FB0830" w:rsidRPr="00C90206" w:rsidRDefault="00FB0830"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(no extrapolation for iodine EAR/AI for 1–3 y and 4–8 y old)</w:t>
            </w:r>
          </w:p>
        </w:tc>
        <w:tc>
          <w:tcPr>
            <w:tcW w:w="1418" w:type="dxa"/>
            <w:tcBorders>
              <w:top w:val="nil"/>
              <w:left w:val="nil"/>
              <w:bottom w:val="single" w:sz="4" w:space="0" w:color="auto"/>
              <w:right w:val="single" w:sz="4" w:space="0" w:color="auto"/>
            </w:tcBorders>
            <w:shd w:val="clear" w:color="000000" w:fill="E8E8E8"/>
            <w:noWrap/>
            <w:vAlign w:val="bottom"/>
            <w:hideMark/>
          </w:tcPr>
          <w:p w14:paraId="035C8E75"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shd w:val="clear" w:color="000000" w:fill="E8E8E8"/>
            <w:noWrap/>
            <w:vAlign w:val="bottom"/>
            <w:hideMark/>
          </w:tcPr>
          <w:p w14:paraId="10D1D3DB"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5CB9389F" w14:textId="48FD901B"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c>
          <w:tcPr>
            <w:tcW w:w="2268" w:type="dxa"/>
            <w:tcBorders>
              <w:top w:val="nil"/>
              <w:left w:val="nil"/>
              <w:bottom w:val="single" w:sz="4" w:space="0" w:color="auto"/>
              <w:right w:val="single" w:sz="4" w:space="0" w:color="auto"/>
            </w:tcBorders>
            <w:shd w:val="clear" w:color="000000" w:fill="E8E8E8"/>
            <w:noWrap/>
            <w:vAlign w:val="bottom"/>
            <w:hideMark/>
          </w:tcPr>
          <w:p w14:paraId="48BE1137" w14:textId="59FBD0CD"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FB0830" w:rsidRPr="00C90206" w14:paraId="5E950BCF" w14:textId="77777777" w:rsidTr="00AB733B">
        <w:trPr>
          <w:trHeight w:val="312"/>
        </w:trPr>
        <w:tc>
          <w:tcPr>
            <w:tcW w:w="1696" w:type="dxa"/>
            <w:vMerge/>
            <w:tcBorders>
              <w:left w:val="single" w:sz="4" w:space="0" w:color="auto"/>
              <w:bottom w:val="single" w:sz="4" w:space="0" w:color="auto"/>
              <w:right w:val="single" w:sz="4" w:space="0" w:color="auto"/>
            </w:tcBorders>
            <w:vAlign w:val="center"/>
            <w:hideMark/>
          </w:tcPr>
          <w:p w14:paraId="31B1C1D8" w14:textId="77777777" w:rsidR="00FB0830" w:rsidRPr="00C90206" w:rsidRDefault="00FB0830"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center"/>
            <w:hideMark/>
          </w:tcPr>
          <w:p w14:paraId="0B66370A" w14:textId="77777777" w:rsidR="00FB0830" w:rsidRPr="00C90206" w:rsidRDefault="00FB0830"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0–6m</w:t>
            </w: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7–12m</w:t>
            </w:r>
          </w:p>
        </w:tc>
        <w:tc>
          <w:tcPr>
            <w:tcW w:w="1418" w:type="dxa"/>
            <w:tcBorders>
              <w:top w:val="nil"/>
              <w:left w:val="nil"/>
              <w:bottom w:val="single" w:sz="4" w:space="0" w:color="auto"/>
              <w:right w:val="single" w:sz="4" w:space="0" w:color="auto"/>
            </w:tcBorders>
            <w:shd w:val="clear" w:color="000000" w:fill="E8E8E8"/>
            <w:noWrap/>
            <w:vAlign w:val="bottom"/>
            <w:hideMark/>
          </w:tcPr>
          <w:p w14:paraId="6B5A3D9E"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276" w:type="dxa"/>
            <w:tcBorders>
              <w:top w:val="nil"/>
              <w:left w:val="nil"/>
              <w:bottom w:val="single" w:sz="4" w:space="0" w:color="auto"/>
              <w:right w:val="single" w:sz="4" w:space="0" w:color="auto"/>
            </w:tcBorders>
            <w:shd w:val="clear" w:color="000000" w:fill="E8E8E8"/>
            <w:noWrap/>
            <w:vAlign w:val="bottom"/>
            <w:hideMark/>
          </w:tcPr>
          <w:p w14:paraId="7FFABF12"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51810C4D" w14:textId="77777777"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2268" w:type="dxa"/>
            <w:tcBorders>
              <w:top w:val="nil"/>
              <w:left w:val="nil"/>
              <w:bottom w:val="single" w:sz="4" w:space="0" w:color="auto"/>
              <w:right w:val="single" w:sz="4" w:space="0" w:color="auto"/>
            </w:tcBorders>
            <w:shd w:val="clear" w:color="000000" w:fill="E8E8E8"/>
            <w:noWrap/>
            <w:vAlign w:val="bottom"/>
            <w:hideMark/>
          </w:tcPr>
          <w:p w14:paraId="5EC1BC10" w14:textId="2C861ECB" w:rsidR="00FB0830" w:rsidRPr="00C90206" w:rsidRDefault="00FB0830"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AB733B" w:rsidRPr="00C90206" w14:paraId="5F6FE9B2" w14:textId="77777777" w:rsidTr="00AB733B">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0008A7" w14:textId="77777777" w:rsidR="00C90206" w:rsidRPr="00C90206" w:rsidRDefault="00C90206"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Fluoride</w:t>
            </w:r>
          </w:p>
        </w:tc>
        <w:tc>
          <w:tcPr>
            <w:tcW w:w="2835" w:type="dxa"/>
            <w:tcBorders>
              <w:top w:val="nil"/>
              <w:left w:val="nil"/>
              <w:bottom w:val="single" w:sz="4" w:space="0" w:color="auto"/>
              <w:right w:val="single" w:sz="4" w:space="0" w:color="auto"/>
            </w:tcBorders>
            <w:noWrap/>
            <w:vAlign w:val="bottom"/>
            <w:hideMark/>
          </w:tcPr>
          <w:p w14:paraId="4158D086" w14:textId="77777777" w:rsidR="00C90206" w:rsidRPr="00C90206" w:rsidRDefault="00C90206"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0.05 mg/kg/d</w:t>
            </w:r>
          </w:p>
        </w:tc>
        <w:tc>
          <w:tcPr>
            <w:tcW w:w="1418" w:type="dxa"/>
            <w:tcBorders>
              <w:top w:val="nil"/>
              <w:left w:val="nil"/>
              <w:bottom w:val="single" w:sz="4" w:space="0" w:color="auto"/>
              <w:right w:val="single" w:sz="4" w:space="0" w:color="auto"/>
            </w:tcBorders>
            <w:noWrap/>
            <w:vAlign w:val="bottom"/>
            <w:hideMark/>
          </w:tcPr>
          <w:p w14:paraId="07448710"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1276" w:type="dxa"/>
            <w:tcBorders>
              <w:top w:val="nil"/>
              <w:left w:val="nil"/>
              <w:bottom w:val="single" w:sz="4" w:space="0" w:color="auto"/>
              <w:right w:val="single" w:sz="4" w:space="0" w:color="auto"/>
            </w:tcBorders>
            <w:noWrap/>
            <w:vAlign w:val="bottom"/>
            <w:hideMark/>
          </w:tcPr>
          <w:p w14:paraId="6AFE373E"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134" w:type="dxa"/>
            <w:tcBorders>
              <w:top w:val="nil"/>
              <w:left w:val="nil"/>
              <w:bottom w:val="single" w:sz="4" w:space="0" w:color="auto"/>
              <w:right w:val="single" w:sz="4" w:space="0" w:color="auto"/>
            </w:tcBorders>
            <w:noWrap/>
            <w:vAlign w:val="bottom"/>
            <w:hideMark/>
          </w:tcPr>
          <w:p w14:paraId="359A3BD6"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2268" w:type="dxa"/>
            <w:tcBorders>
              <w:top w:val="nil"/>
              <w:left w:val="nil"/>
              <w:bottom w:val="single" w:sz="4" w:space="0" w:color="auto"/>
              <w:right w:val="single" w:sz="4" w:space="0" w:color="auto"/>
            </w:tcBorders>
            <w:noWrap/>
            <w:vAlign w:val="bottom"/>
            <w:hideMark/>
          </w:tcPr>
          <w:p w14:paraId="78F65363" w14:textId="30580ED0"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4A617F" w:rsidRPr="00C90206" w14:paraId="300B7821" w14:textId="77777777" w:rsidTr="00AB733B">
        <w:trPr>
          <w:trHeight w:val="312"/>
        </w:trPr>
        <w:tc>
          <w:tcPr>
            <w:tcW w:w="1696" w:type="dxa"/>
            <w:vMerge w:val="restart"/>
            <w:tcBorders>
              <w:top w:val="nil"/>
              <w:left w:val="single" w:sz="4" w:space="0" w:color="auto"/>
              <w:right w:val="single" w:sz="4" w:space="0" w:color="auto"/>
            </w:tcBorders>
            <w:shd w:val="clear" w:color="000000" w:fill="E8E8E8"/>
            <w:noWrap/>
            <w:vAlign w:val="center"/>
            <w:hideMark/>
          </w:tcPr>
          <w:p w14:paraId="7D315744" w14:textId="77777777" w:rsidR="004A617F" w:rsidRPr="00C90206" w:rsidRDefault="004A617F"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Iodine</w:t>
            </w:r>
          </w:p>
        </w:tc>
        <w:tc>
          <w:tcPr>
            <w:tcW w:w="2835" w:type="dxa"/>
            <w:tcBorders>
              <w:top w:val="nil"/>
              <w:left w:val="nil"/>
              <w:bottom w:val="single" w:sz="4" w:space="0" w:color="auto"/>
              <w:right w:val="single" w:sz="4" w:space="0" w:color="auto"/>
            </w:tcBorders>
            <w:shd w:val="clear" w:color="000000" w:fill="E8E8E8"/>
            <w:noWrap/>
            <w:vAlign w:val="bottom"/>
            <w:hideMark/>
          </w:tcPr>
          <w:p w14:paraId="68EDC503" w14:textId="77777777" w:rsidR="004A617F" w:rsidRPr="00C90206" w:rsidRDefault="004A617F"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EAR/AI </w:t>
            </w:r>
            <w:proofErr w:type="spellStart"/>
            <w:r w:rsidRPr="00C90206">
              <w:rPr>
                <w:rFonts w:ascii="Aptos Narrow" w:eastAsia="Times New Roman" w:hAnsi="Aptos Narrow"/>
                <w:color w:val="auto"/>
                <w:sz w:val="22"/>
                <w:szCs w:val="22"/>
                <w:vertAlign w:val="subscript"/>
              </w:rPr>
              <w:t>adult</w:t>
            </w:r>
            <w:r w:rsidRPr="00C90206">
              <w:rPr>
                <w:rFonts w:ascii="Aptos Narrow" w:eastAsia="Times New Roman" w:hAnsi="Aptos Narrow"/>
                <w:color w:val="auto"/>
                <w:sz w:val="22"/>
                <w:szCs w:val="22"/>
              </w:rPr>
              <w:t>→EAR</w:t>
            </w:r>
            <w:proofErr w:type="spellEnd"/>
            <w:r w:rsidRPr="00C90206">
              <w:rPr>
                <w:rFonts w:ascii="Aptos Narrow" w:eastAsia="Times New Roman" w:hAnsi="Aptos Narrow"/>
                <w:color w:val="auto"/>
                <w:sz w:val="22"/>
                <w:szCs w:val="22"/>
              </w:rPr>
              <w:t>/AI</w:t>
            </w:r>
            <w:r w:rsidRPr="00C90206">
              <w:rPr>
                <w:rFonts w:ascii="Aptos Narrow" w:eastAsia="Times New Roman" w:hAnsi="Aptos Narrow"/>
                <w:color w:val="auto"/>
                <w:sz w:val="22"/>
                <w:szCs w:val="22"/>
                <w:vertAlign w:val="subscript"/>
              </w:rPr>
              <w:t xml:space="preserve"> child</w:t>
            </w:r>
          </w:p>
        </w:tc>
        <w:tc>
          <w:tcPr>
            <w:tcW w:w="1418" w:type="dxa"/>
            <w:tcBorders>
              <w:top w:val="nil"/>
              <w:left w:val="nil"/>
              <w:bottom w:val="single" w:sz="4" w:space="0" w:color="auto"/>
              <w:right w:val="single" w:sz="4" w:space="0" w:color="auto"/>
            </w:tcBorders>
            <w:shd w:val="clear" w:color="000000" w:fill="E8E8E8"/>
            <w:noWrap/>
            <w:vAlign w:val="bottom"/>
            <w:hideMark/>
          </w:tcPr>
          <w:p w14:paraId="04ABE0EE"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shd w:val="clear" w:color="000000" w:fill="E8E8E8"/>
            <w:noWrap/>
            <w:vAlign w:val="bottom"/>
            <w:hideMark/>
          </w:tcPr>
          <w:p w14:paraId="50E0BFF6"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59310E5E"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2268" w:type="dxa"/>
            <w:tcBorders>
              <w:top w:val="nil"/>
              <w:left w:val="nil"/>
              <w:bottom w:val="single" w:sz="4" w:space="0" w:color="auto"/>
              <w:right w:val="single" w:sz="4" w:space="0" w:color="auto"/>
            </w:tcBorders>
            <w:shd w:val="clear" w:color="000000" w:fill="E8E8E8"/>
            <w:noWrap/>
            <w:vAlign w:val="bottom"/>
            <w:hideMark/>
          </w:tcPr>
          <w:p w14:paraId="4A01095C" w14:textId="3D3D1CD3"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4A617F" w:rsidRPr="00C90206" w14:paraId="6EFC342D" w14:textId="77777777" w:rsidTr="00AB733B">
        <w:trPr>
          <w:trHeight w:val="576"/>
        </w:trPr>
        <w:tc>
          <w:tcPr>
            <w:tcW w:w="1696" w:type="dxa"/>
            <w:vMerge/>
            <w:tcBorders>
              <w:left w:val="single" w:sz="4" w:space="0" w:color="auto"/>
              <w:right w:val="single" w:sz="4" w:space="0" w:color="auto"/>
            </w:tcBorders>
            <w:vAlign w:val="center"/>
            <w:hideMark/>
          </w:tcPr>
          <w:p w14:paraId="290AB3A3" w14:textId="77777777" w:rsidR="004A617F" w:rsidRPr="00C90206" w:rsidRDefault="004A617F"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vAlign w:val="bottom"/>
            <w:hideMark/>
          </w:tcPr>
          <w:p w14:paraId="1A9A4BF5" w14:textId="77777777" w:rsidR="004A617F" w:rsidRPr="00C90206" w:rsidRDefault="004A617F"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(no extrapolation for iodine EAR/AI for 1–3 y and 4–8 y old)</w:t>
            </w:r>
          </w:p>
        </w:tc>
        <w:tc>
          <w:tcPr>
            <w:tcW w:w="1418" w:type="dxa"/>
            <w:tcBorders>
              <w:top w:val="nil"/>
              <w:left w:val="nil"/>
              <w:bottom w:val="single" w:sz="4" w:space="0" w:color="auto"/>
              <w:right w:val="single" w:sz="4" w:space="0" w:color="auto"/>
            </w:tcBorders>
            <w:shd w:val="clear" w:color="000000" w:fill="E8E8E8"/>
            <w:noWrap/>
            <w:vAlign w:val="bottom"/>
            <w:hideMark/>
          </w:tcPr>
          <w:p w14:paraId="2C60C461"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shd w:val="clear" w:color="000000" w:fill="E8E8E8"/>
            <w:noWrap/>
            <w:vAlign w:val="bottom"/>
            <w:hideMark/>
          </w:tcPr>
          <w:p w14:paraId="175A96EE"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095CEC33" w14:textId="5C83D7E0"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c>
          <w:tcPr>
            <w:tcW w:w="2268" w:type="dxa"/>
            <w:tcBorders>
              <w:top w:val="nil"/>
              <w:left w:val="nil"/>
              <w:bottom w:val="single" w:sz="4" w:space="0" w:color="auto"/>
              <w:right w:val="single" w:sz="4" w:space="0" w:color="auto"/>
            </w:tcBorders>
            <w:shd w:val="clear" w:color="000000" w:fill="E8E8E8"/>
            <w:noWrap/>
            <w:vAlign w:val="bottom"/>
            <w:hideMark/>
          </w:tcPr>
          <w:p w14:paraId="4CDE1BCC" w14:textId="6C87ADA1"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4A617F" w:rsidRPr="00C90206" w14:paraId="501F3855" w14:textId="77777777" w:rsidTr="00AB733B">
        <w:trPr>
          <w:trHeight w:val="312"/>
        </w:trPr>
        <w:tc>
          <w:tcPr>
            <w:tcW w:w="1696" w:type="dxa"/>
            <w:vMerge/>
            <w:tcBorders>
              <w:left w:val="single" w:sz="4" w:space="0" w:color="auto"/>
              <w:bottom w:val="single" w:sz="4" w:space="0" w:color="auto"/>
              <w:right w:val="single" w:sz="4" w:space="0" w:color="auto"/>
            </w:tcBorders>
            <w:vAlign w:val="center"/>
            <w:hideMark/>
          </w:tcPr>
          <w:p w14:paraId="63510349" w14:textId="77777777" w:rsidR="004A617F" w:rsidRPr="00C90206" w:rsidRDefault="004A617F"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center"/>
            <w:hideMark/>
          </w:tcPr>
          <w:p w14:paraId="35F7FCC9" w14:textId="77777777" w:rsidR="004A617F" w:rsidRPr="00C90206" w:rsidRDefault="004A617F"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0–6m</w:t>
            </w: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7–12m</w:t>
            </w:r>
          </w:p>
        </w:tc>
        <w:tc>
          <w:tcPr>
            <w:tcW w:w="1418" w:type="dxa"/>
            <w:tcBorders>
              <w:top w:val="nil"/>
              <w:left w:val="nil"/>
              <w:bottom w:val="single" w:sz="4" w:space="0" w:color="auto"/>
              <w:right w:val="single" w:sz="4" w:space="0" w:color="auto"/>
            </w:tcBorders>
            <w:shd w:val="clear" w:color="000000" w:fill="E8E8E8"/>
            <w:noWrap/>
            <w:vAlign w:val="bottom"/>
            <w:hideMark/>
          </w:tcPr>
          <w:p w14:paraId="05A968C4"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276" w:type="dxa"/>
            <w:tcBorders>
              <w:top w:val="nil"/>
              <w:left w:val="nil"/>
              <w:bottom w:val="single" w:sz="4" w:space="0" w:color="auto"/>
              <w:right w:val="single" w:sz="4" w:space="0" w:color="auto"/>
            </w:tcBorders>
            <w:shd w:val="clear" w:color="000000" w:fill="E8E8E8"/>
            <w:noWrap/>
            <w:vAlign w:val="bottom"/>
            <w:hideMark/>
          </w:tcPr>
          <w:p w14:paraId="4F24CE17"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52032C9C"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2268" w:type="dxa"/>
            <w:tcBorders>
              <w:top w:val="nil"/>
              <w:left w:val="nil"/>
              <w:bottom w:val="single" w:sz="4" w:space="0" w:color="auto"/>
              <w:right w:val="single" w:sz="4" w:space="0" w:color="auto"/>
            </w:tcBorders>
            <w:shd w:val="clear" w:color="000000" w:fill="E8E8E8"/>
            <w:noWrap/>
            <w:vAlign w:val="bottom"/>
            <w:hideMark/>
          </w:tcPr>
          <w:p w14:paraId="5ED337DC" w14:textId="2C1CF7AB"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AB733B" w:rsidRPr="00C90206" w14:paraId="02C1282F" w14:textId="77777777" w:rsidTr="00AB733B">
        <w:trPr>
          <w:trHeight w:val="288"/>
        </w:trPr>
        <w:tc>
          <w:tcPr>
            <w:tcW w:w="1696" w:type="dxa"/>
            <w:tcBorders>
              <w:top w:val="nil"/>
              <w:left w:val="single" w:sz="4" w:space="0" w:color="auto"/>
              <w:bottom w:val="single" w:sz="4" w:space="0" w:color="auto"/>
              <w:right w:val="single" w:sz="4" w:space="0" w:color="auto"/>
            </w:tcBorders>
            <w:noWrap/>
            <w:vAlign w:val="center"/>
            <w:hideMark/>
          </w:tcPr>
          <w:p w14:paraId="349982C3" w14:textId="77777777" w:rsidR="00C90206" w:rsidRPr="00C90206" w:rsidRDefault="00C90206"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Iron</w:t>
            </w:r>
          </w:p>
        </w:tc>
        <w:tc>
          <w:tcPr>
            <w:tcW w:w="2835" w:type="dxa"/>
            <w:tcBorders>
              <w:top w:val="nil"/>
              <w:left w:val="nil"/>
              <w:bottom w:val="single" w:sz="4" w:space="0" w:color="auto"/>
              <w:right w:val="single" w:sz="4" w:space="0" w:color="auto"/>
            </w:tcBorders>
            <w:vAlign w:val="bottom"/>
            <w:hideMark/>
          </w:tcPr>
          <w:p w14:paraId="003A47D0" w14:textId="77777777" w:rsidR="00C90206" w:rsidRPr="00C90206" w:rsidRDefault="00C90206"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No extrapolation for 7–12m, 1–8y, 9–18 y</w:t>
            </w:r>
          </w:p>
        </w:tc>
        <w:tc>
          <w:tcPr>
            <w:tcW w:w="1418" w:type="dxa"/>
            <w:tcBorders>
              <w:top w:val="nil"/>
              <w:left w:val="nil"/>
              <w:bottom w:val="single" w:sz="4" w:space="0" w:color="auto"/>
              <w:right w:val="single" w:sz="4" w:space="0" w:color="auto"/>
            </w:tcBorders>
            <w:noWrap/>
            <w:vAlign w:val="bottom"/>
            <w:hideMark/>
          </w:tcPr>
          <w:p w14:paraId="56E1A94A"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2A28549A"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68425C34" w14:textId="2B93B49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c>
          <w:tcPr>
            <w:tcW w:w="2268" w:type="dxa"/>
            <w:tcBorders>
              <w:top w:val="nil"/>
              <w:left w:val="nil"/>
              <w:bottom w:val="single" w:sz="4" w:space="0" w:color="auto"/>
              <w:right w:val="single" w:sz="4" w:space="0" w:color="auto"/>
            </w:tcBorders>
            <w:noWrap/>
            <w:vAlign w:val="bottom"/>
            <w:hideMark/>
          </w:tcPr>
          <w:p w14:paraId="54D822F0" w14:textId="6E563076"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4A617F" w:rsidRPr="00C90206" w14:paraId="5146400A" w14:textId="77777777" w:rsidTr="00AB733B">
        <w:trPr>
          <w:trHeight w:val="312"/>
        </w:trPr>
        <w:tc>
          <w:tcPr>
            <w:tcW w:w="1696" w:type="dxa"/>
            <w:vMerge w:val="restart"/>
            <w:tcBorders>
              <w:top w:val="nil"/>
              <w:left w:val="single" w:sz="4" w:space="0" w:color="auto"/>
              <w:right w:val="single" w:sz="4" w:space="0" w:color="auto"/>
            </w:tcBorders>
            <w:shd w:val="clear" w:color="000000" w:fill="E8E8E8"/>
            <w:noWrap/>
            <w:vAlign w:val="center"/>
            <w:hideMark/>
          </w:tcPr>
          <w:p w14:paraId="24D0E6C4" w14:textId="77777777" w:rsidR="004A617F" w:rsidRPr="00C90206" w:rsidRDefault="004A617F" w:rsidP="004A617F">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Magnesium</w:t>
            </w:r>
          </w:p>
        </w:tc>
        <w:tc>
          <w:tcPr>
            <w:tcW w:w="2835" w:type="dxa"/>
            <w:tcBorders>
              <w:top w:val="nil"/>
              <w:left w:val="nil"/>
              <w:bottom w:val="single" w:sz="4" w:space="0" w:color="auto"/>
              <w:right w:val="single" w:sz="4" w:space="0" w:color="auto"/>
            </w:tcBorders>
            <w:shd w:val="clear" w:color="000000" w:fill="E8E8E8"/>
            <w:noWrap/>
            <w:vAlign w:val="bottom"/>
            <w:hideMark/>
          </w:tcPr>
          <w:p w14:paraId="7D31A698" w14:textId="77777777" w:rsidR="004A617F" w:rsidRPr="00C90206" w:rsidRDefault="004A617F"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EAR </w:t>
            </w:r>
            <w:r w:rsidRPr="00C90206">
              <w:rPr>
                <w:rFonts w:ascii="Aptos Narrow" w:eastAsia="Times New Roman" w:hAnsi="Aptos Narrow"/>
                <w:color w:val="auto"/>
                <w:sz w:val="22"/>
                <w:szCs w:val="22"/>
                <w:vertAlign w:val="subscript"/>
              </w:rPr>
              <w:t>10–15y</w:t>
            </w:r>
            <w:r w:rsidRPr="00C90206">
              <w:rPr>
                <w:rFonts w:ascii="Aptos Narrow" w:eastAsia="Times New Roman" w:hAnsi="Aptos Narrow"/>
                <w:color w:val="auto"/>
                <w:sz w:val="22"/>
                <w:szCs w:val="22"/>
              </w:rPr>
              <w:t xml:space="preserve">→EAR </w:t>
            </w:r>
            <w:r w:rsidRPr="00C90206">
              <w:rPr>
                <w:rFonts w:ascii="Aptos Narrow" w:eastAsia="Times New Roman" w:hAnsi="Aptos Narrow"/>
                <w:color w:val="auto"/>
                <w:sz w:val="22"/>
                <w:szCs w:val="22"/>
                <w:vertAlign w:val="subscript"/>
              </w:rPr>
              <w:t>1–3 and 4–8y</w:t>
            </w:r>
          </w:p>
        </w:tc>
        <w:tc>
          <w:tcPr>
            <w:tcW w:w="1418" w:type="dxa"/>
            <w:tcBorders>
              <w:top w:val="nil"/>
              <w:left w:val="nil"/>
              <w:bottom w:val="single" w:sz="4" w:space="0" w:color="auto"/>
              <w:right w:val="single" w:sz="4" w:space="0" w:color="auto"/>
            </w:tcBorders>
            <w:shd w:val="clear" w:color="000000" w:fill="E8E8E8"/>
            <w:noWrap/>
            <w:vAlign w:val="bottom"/>
            <w:hideMark/>
          </w:tcPr>
          <w:p w14:paraId="74D11AAA"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276" w:type="dxa"/>
            <w:tcBorders>
              <w:top w:val="nil"/>
              <w:left w:val="nil"/>
              <w:bottom w:val="single" w:sz="4" w:space="0" w:color="auto"/>
              <w:right w:val="single" w:sz="4" w:space="0" w:color="auto"/>
            </w:tcBorders>
            <w:shd w:val="clear" w:color="000000" w:fill="E8E8E8"/>
            <w:noWrap/>
            <w:vAlign w:val="bottom"/>
            <w:hideMark/>
          </w:tcPr>
          <w:p w14:paraId="14F8D8EE"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134" w:type="dxa"/>
            <w:tcBorders>
              <w:top w:val="nil"/>
              <w:left w:val="nil"/>
              <w:bottom w:val="single" w:sz="4" w:space="0" w:color="auto"/>
              <w:right w:val="single" w:sz="4" w:space="0" w:color="auto"/>
            </w:tcBorders>
            <w:shd w:val="clear" w:color="000000" w:fill="E8E8E8"/>
            <w:noWrap/>
            <w:vAlign w:val="bottom"/>
            <w:hideMark/>
          </w:tcPr>
          <w:p w14:paraId="29A6EEF7"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2268" w:type="dxa"/>
            <w:tcBorders>
              <w:top w:val="nil"/>
              <w:left w:val="nil"/>
              <w:bottom w:val="single" w:sz="4" w:space="0" w:color="auto"/>
              <w:right w:val="single" w:sz="4" w:space="0" w:color="auto"/>
            </w:tcBorders>
            <w:shd w:val="clear" w:color="000000" w:fill="E8E8E8"/>
            <w:noWrap/>
            <w:vAlign w:val="bottom"/>
            <w:hideMark/>
          </w:tcPr>
          <w:p w14:paraId="042A3EAB" w14:textId="7B8E1ACC"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4A617F" w:rsidRPr="00C90206" w14:paraId="2EA5A976" w14:textId="77777777" w:rsidTr="00AB733B">
        <w:trPr>
          <w:trHeight w:val="288"/>
        </w:trPr>
        <w:tc>
          <w:tcPr>
            <w:tcW w:w="1696" w:type="dxa"/>
            <w:vMerge/>
            <w:tcBorders>
              <w:left w:val="single" w:sz="4" w:space="0" w:color="auto"/>
              <w:bottom w:val="single" w:sz="4" w:space="0" w:color="auto"/>
              <w:right w:val="single" w:sz="4" w:space="0" w:color="auto"/>
            </w:tcBorders>
            <w:vAlign w:val="center"/>
            <w:hideMark/>
          </w:tcPr>
          <w:p w14:paraId="2FBCB34E" w14:textId="77777777" w:rsidR="004A617F" w:rsidRPr="00C90206" w:rsidRDefault="004A617F"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75379717" w14:textId="77777777" w:rsidR="004A617F" w:rsidRPr="00C90206" w:rsidRDefault="004A617F"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5mg/kg/d</w:t>
            </w:r>
          </w:p>
        </w:tc>
        <w:tc>
          <w:tcPr>
            <w:tcW w:w="1418" w:type="dxa"/>
            <w:tcBorders>
              <w:top w:val="nil"/>
              <w:left w:val="nil"/>
              <w:bottom w:val="single" w:sz="4" w:space="0" w:color="auto"/>
              <w:right w:val="single" w:sz="4" w:space="0" w:color="auto"/>
            </w:tcBorders>
            <w:shd w:val="clear" w:color="000000" w:fill="E8E8E8"/>
            <w:noWrap/>
            <w:vAlign w:val="bottom"/>
            <w:hideMark/>
          </w:tcPr>
          <w:p w14:paraId="70AC52CD"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276" w:type="dxa"/>
            <w:tcBorders>
              <w:top w:val="nil"/>
              <w:left w:val="nil"/>
              <w:bottom w:val="single" w:sz="4" w:space="0" w:color="auto"/>
              <w:right w:val="single" w:sz="4" w:space="0" w:color="auto"/>
            </w:tcBorders>
            <w:shd w:val="clear" w:color="000000" w:fill="E8E8E8"/>
            <w:noWrap/>
            <w:vAlign w:val="bottom"/>
            <w:hideMark/>
          </w:tcPr>
          <w:p w14:paraId="1DF16FA5" w14:textId="77777777"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5254D971" w14:textId="379A0A8E"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c>
          <w:tcPr>
            <w:tcW w:w="2268" w:type="dxa"/>
            <w:tcBorders>
              <w:top w:val="nil"/>
              <w:left w:val="nil"/>
              <w:bottom w:val="single" w:sz="4" w:space="0" w:color="auto"/>
              <w:right w:val="single" w:sz="4" w:space="0" w:color="auto"/>
            </w:tcBorders>
            <w:shd w:val="clear" w:color="000000" w:fill="E8E8E8"/>
            <w:noWrap/>
            <w:vAlign w:val="bottom"/>
            <w:hideMark/>
          </w:tcPr>
          <w:p w14:paraId="1C26AF5A" w14:textId="15A6EEBC" w:rsidR="004A617F" w:rsidRPr="00C90206" w:rsidRDefault="004A617F"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AB733B" w:rsidRPr="00C90206" w14:paraId="7ADA69C5" w14:textId="77777777" w:rsidTr="00AB733B">
        <w:trPr>
          <w:trHeight w:val="312"/>
        </w:trPr>
        <w:tc>
          <w:tcPr>
            <w:tcW w:w="1696" w:type="dxa"/>
            <w:vMerge w:val="restart"/>
            <w:tcBorders>
              <w:top w:val="nil"/>
              <w:left w:val="single" w:sz="4" w:space="0" w:color="auto"/>
              <w:bottom w:val="single" w:sz="4" w:space="0" w:color="auto"/>
              <w:right w:val="single" w:sz="4" w:space="0" w:color="auto"/>
            </w:tcBorders>
            <w:noWrap/>
            <w:vAlign w:val="center"/>
            <w:hideMark/>
          </w:tcPr>
          <w:p w14:paraId="11EA396B" w14:textId="77777777" w:rsidR="00C90206" w:rsidRPr="00C90206" w:rsidRDefault="00C90206"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Manganese</w:t>
            </w:r>
          </w:p>
        </w:tc>
        <w:tc>
          <w:tcPr>
            <w:tcW w:w="2835" w:type="dxa"/>
            <w:tcBorders>
              <w:top w:val="nil"/>
              <w:left w:val="nil"/>
              <w:bottom w:val="single" w:sz="4" w:space="0" w:color="auto"/>
              <w:right w:val="single" w:sz="4" w:space="0" w:color="auto"/>
            </w:tcBorders>
            <w:noWrap/>
            <w:vAlign w:val="bottom"/>
            <w:hideMark/>
          </w:tcPr>
          <w:p w14:paraId="61A9704C" w14:textId="77777777" w:rsidR="00C90206" w:rsidRPr="00C90206" w:rsidRDefault="00C90206"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EAR </w:t>
            </w:r>
            <w:proofErr w:type="spellStart"/>
            <w:r w:rsidRPr="00C90206">
              <w:rPr>
                <w:rFonts w:ascii="Aptos Narrow" w:eastAsia="Times New Roman" w:hAnsi="Aptos Narrow"/>
                <w:color w:val="auto"/>
                <w:sz w:val="22"/>
                <w:szCs w:val="22"/>
                <w:vertAlign w:val="subscript"/>
              </w:rPr>
              <w:t>adult</w:t>
            </w:r>
            <w:r w:rsidRPr="00C90206">
              <w:rPr>
                <w:rFonts w:ascii="Aptos Narrow" w:eastAsia="Times New Roman" w:hAnsi="Aptos Narrow"/>
                <w:color w:val="auto"/>
                <w:sz w:val="22"/>
                <w:szCs w:val="22"/>
              </w:rPr>
              <w:t>→EAR</w:t>
            </w:r>
            <w:r w:rsidRPr="00C90206">
              <w:rPr>
                <w:rFonts w:ascii="Aptos Narrow" w:eastAsia="Times New Roman" w:hAnsi="Aptos Narrow"/>
                <w:color w:val="auto"/>
                <w:sz w:val="22"/>
                <w:szCs w:val="22"/>
                <w:vertAlign w:val="subscript"/>
              </w:rPr>
              <w:t>child</w:t>
            </w:r>
            <w:proofErr w:type="spellEnd"/>
          </w:p>
        </w:tc>
        <w:tc>
          <w:tcPr>
            <w:tcW w:w="1418" w:type="dxa"/>
            <w:tcBorders>
              <w:top w:val="nil"/>
              <w:left w:val="nil"/>
              <w:bottom w:val="single" w:sz="4" w:space="0" w:color="auto"/>
              <w:right w:val="single" w:sz="4" w:space="0" w:color="auto"/>
            </w:tcBorders>
            <w:noWrap/>
            <w:vAlign w:val="bottom"/>
            <w:hideMark/>
          </w:tcPr>
          <w:p w14:paraId="3C45F6D1"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noWrap/>
            <w:vAlign w:val="bottom"/>
            <w:hideMark/>
          </w:tcPr>
          <w:p w14:paraId="631A7648"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09389781"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2268" w:type="dxa"/>
            <w:tcBorders>
              <w:top w:val="nil"/>
              <w:left w:val="nil"/>
              <w:bottom w:val="single" w:sz="4" w:space="0" w:color="auto"/>
              <w:right w:val="single" w:sz="4" w:space="0" w:color="auto"/>
            </w:tcBorders>
            <w:noWrap/>
            <w:vAlign w:val="bottom"/>
            <w:hideMark/>
          </w:tcPr>
          <w:p w14:paraId="5B18E031" w14:textId="4021680E"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AB733B" w:rsidRPr="00C90206" w14:paraId="1D6FD6C3" w14:textId="77777777" w:rsidTr="00AB733B">
        <w:trPr>
          <w:trHeight w:val="312"/>
        </w:trPr>
        <w:tc>
          <w:tcPr>
            <w:tcW w:w="1696" w:type="dxa"/>
            <w:vMerge/>
            <w:tcBorders>
              <w:top w:val="nil"/>
              <w:left w:val="single" w:sz="4" w:space="0" w:color="auto"/>
              <w:bottom w:val="single" w:sz="4" w:space="0" w:color="auto"/>
              <w:right w:val="single" w:sz="4" w:space="0" w:color="auto"/>
            </w:tcBorders>
            <w:vAlign w:val="center"/>
            <w:hideMark/>
          </w:tcPr>
          <w:p w14:paraId="7591E7C6" w14:textId="77777777" w:rsidR="00C90206" w:rsidRPr="00C90206" w:rsidRDefault="00C90206"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noWrap/>
            <w:vAlign w:val="bottom"/>
            <w:hideMark/>
          </w:tcPr>
          <w:p w14:paraId="79757BC8" w14:textId="77777777" w:rsidR="00C90206" w:rsidRPr="00C90206" w:rsidRDefault="00C90206"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0–6m</w:t>
            </w:r>
            <w:r w:rsidRPr="00C90206">
              <w:rPr>
                <w:rFonts w:ascii="Aptos Narrow" w:eastAsia="Times New Roman" w:hAnsi="Aptos Narrow"/>
                <w:color w:val="auto"/>
                <w:sz w:val="22"/>
                <w:szCs w:val="22"/>
              </w:rPr>
              <w:t xml:space="preserve"> →AI </w:t>
            </w:r>
            <w:r w:rsidRPr="00C90206">
              <w:rPr>
                <w:rFonts w:ascii="Aptos Narrow" w:eastAsia="Times New Roman" w:hAnsi="Aptos Narrow"/>
                <w:color w:val="auto"/>
                <w:sz w:val="22"/>
                <w:szCs w:val="22"/>
                <w:vertAlign w:val="subscript"/>
              </w:rPr>
              <w:t>7–12m</w:t>
            </w:r>
          </w:p>
        </w:tc>
        <w:tc>
          <w:tcPr>
            <w:tcW w:w="1418" w:type="dxa"/>
            <w:tcBorders>
              <w:top w:val="nil"/>
              <w:left w:val="nil"/>
              <w:bottom w:val="single" w:sz="4" w:space="0" w:color="auto"/>
              <w:right w:val="single" w:sz="4" w:space="0" w:color="auto"/>
            </w:tcBorders>
            <w:noWrap/>
            <w:vAlign w:val="bottom"/>
            <w:hideMark/>
          </w:tcPr>
          <w:p w14:paraId="2B1A9461"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1276" w:type="dxa"/>
            <w:tcBorders>
              <w:top w:val="nil"/>
              <w:left w:val="nil"/>
              <w:bottom w:val="single" w:sz="4" w:space="0" w:color="auto"/>
              <w:right w:val="single" w:sz="4" w:space="0" w:color="auto"/>
            </w:tcBorders>
            <w:noWrap/>
            <w:vAlign w:val="bottom"/>
            <w:hideMark/>
          </w:tcPr>
          <w:p w14:paraId="35BB164B"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655318E8"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2268" w:type="dxa"/>
            <w:tcBorders>
              <w:top w:val="nil"/>
              <w:left w:val="nil"/>
              <w:bottom w:val="single" w:sz="4" w:space="0" w:color="auto"/>
              <w:right w:val="single" w:sz="4" w:space="0" w:color="auto"/>
            </w:tcBorders>
            <w:noWrap/>
            <w:vAlign w:val="bottom"/>
            <w:hideMark/>
          </w:tcPr>
          <w:p w14:paraId="3FEF5812" w14:textId="5CA1BF0B"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F801C3" w:rsidRPr="00C90206" w14:paraId="1DCEF6DF" w14:textId="77777777" w:rsidTr="00AB733B">
        <w:trPr>
          <w:trHeight w:val="312"/>
        </w:trPr>
        <w:tc>
          <w:tcPr>
            <w:tcW w:w="1696" w:type="dxa"/>
            <w:vMerge w:val="restart"/>
            <w:tcBorders>
              <w:top w:val="nil"/>
              <w:left w:val="single" w:sz="4" w:space="0" w:color="auto"/>
              <w:right w:val="single" w:sz="4" w:space="0" w:color="auto"/>
            </w:tcBorders>
            <w:shd w:val="clear" w:color="000000" w:fill="E8E8E8"/>
            <w:noWrap/>
            <w:vAlign w:val="center"/>
            <w:hideMark/>
          </w:tcPr>
          <w:p w14:paraId="63B2DDCA" w14:textId="77777777" w:rsidR="00F801C3" w:rsidRPr="00C90206" w:rsidRDefault="00F801C3"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Molybdenum</w:t>
            </w:r>
          </w:p>
        </w:tc>
        <w:tc>
          <w:tcPr>
            <w:tcW w:w="2835" w:type="dxa"/>
            <w:tcBorders>
              <w:top w:val="nil"/>
              <w:left w:val="nil"/>
              <w:bottom w:val="single" w:sz="4" w:space="0" w:color="auto"/>
              <w:right w:val="single" w:sz="4" w:space="0" w:color="auto"/>
            </w:tcBorders>
            <w:shd w:val="clear" w:color="000000" w:fill="E8E8E8"/>
            <w:noWrap/>
            <w:vAlign w:val="bottom"/>
            <w:hideMark/>
          </w:tcPr>
          <w:p w14:paraId="5FF38D03" w14:textId="77777777" w:rsidR="00F801C3" w:rsidRPr="00C90206" w:rsidRDefault="00F801C3"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EAR/AI </w:t>
            </w:r>
            <w:proofErr w:type="spellStart"/>
            <w:r w:rsidRPr="00C90206">
              <w:rPr>
                <w:rFonts w:ascii="Aptos Narrow" w:eastAsia="Times New Roman" w:hAnsi="Aptos Narrow"/>
                <w:color w:val="auto"/>
                <w:sz w:val="22"/>
                <w:szCs w:val="22"/>
                <w:vertAlign w:val="subscript"/>
              </w:rPr>
              <w:t>adult</w:t>
            </w:r>
            <w:r w:rsidRPr="00C90206">
              <w:rPr>
                <w:rFonts w:ascii="Aptos Narrow" w:eastAsia="Times New Roman" w:hAnsi="Aptos Narrow"/>
                <w:color w:val="auto"/>
                <w:sz w:val="22"/>
                <w:szCs w:val="22"/>
              </w:rPr>
              <w:t>→EAR</w:t>
            </w:r>
            <w:proofErr w:type="spellEnd"/>
            <w:r w:rsidRPr="00C90206">
              <w:rPr>
                <w:rFonts w:ascii="Aptos Narrow" w:eastAsia="Times New Roman" w:hAnsi="Aptos Narrow"/>
                <w:color w:val="auto"/>
                <w:sz w:val="22"/>
                <w:szCs w:val="22"/>
              </w:rPr>
              <w:t>/AI</w:t>
            </w:r>
            <w:r w:rsidRPr="00C90206">
              <w:rPr>
                <w:rFonts w:ascii="Aptos Narrow" w:eastAsia="Times New Roman" w:hAnsi="Aptos Narrow"/>
                <w:color w:val="auto"/>
                <w:sz w:val="22"/>
                <w:szCs w:val="22"/>
                <w:vertAlign w:val="subscript"/>
              </w:rPr>
              <w:t xml:space="preserve"> child</w:t>
            </w:r>
          </w:p>
        </w:tc>
        <w:tc>
          <w:tcPr>
            <w:tcW w:w="1418" w:type="dxa"/>
            <w:tcBorders>
              <w:top w:val="nil"/>
              <w:left w:val="nil"/>
              <w:bottom w:val="single" w:sz="4" w:space="0" w:color="auto"/>
              <w:right w:val="single" w:sz="4" w:space="0" w:color="auto"/>
            </w:tcBorders>
            <w:shd w:val="clear" w:color="000000" w:fill="E8E8E8"/>
            <w:noWrap/>
            <w:vAlign w:val="bottom"/>
            <w:hideMark/>
          </w:tcPr>
          <w:p w14:paraId="1D7584E2" w14:textId="77777777"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shd w:val="clear" w:color="000000" w:fill="E8E8E8"/>
            <w:noWrap/>
            <w:vAlign w:val="bottom"/>
            <w:hideMark/>
          </w:tcPr>
          <w:p w14:paraId="40778EF2" w14:textId="77777777"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45B3A046" w14:textId="77777777"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2268" w:type="dxa"/>
            <w:tcBorders>
              <w:top w:val="nil"/>
              <w:left w:val="nil"/>
              <w:bottom w:val="single" w:sz="4" w:space="0" w:color="auto"/>
              <w:right w:val="single" w:sz="4" w:space="0" w:color="auto"/>
            </w:tcBorders>
            <w:shd w:val="clear" w:color="000000" w:fill="E8E8E8"/>
            <w:noWrap/>
            <w:vAlign w:val="bottom"/>
            <w:hideMark/>
          </w:tcPr>
          <w:p w14:paraId="1718666A" w14:textId="442B00A8"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F801C3" w:rsidRPr="00C90206" w14:paraId="134907CD" w14:textId="77777777" w:rsidTr="00AB733B">
        <w:trPr>
          <w:trHeight w:val="576"/>
        </w:trPr>
        <w:tc>
          <w:tcPr>
            <w:tcW w:w="1696" w:type="dxa"/>
            <w:vMerge/>
            <w:tcBorders>
              <w:left w:val="single" w:sz="4" w:space="0" w:color="auto"/>
              <w:right w:val="single" w:sz="4" w:space="0" w:color="auto"/>
            </w:tcBorders>
            <w:vAlign w:val="center"/>
            <w:hideMark/>
          </w:tcPr>
          <w:p w14:paraId="57058E2C" w14:textId="77777777" w:rsidR="00F801C3" w:rsidRPr="00C90206" w:rsidRDefault="00F801C3"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vAlign w:val="bottom"/>
            <w:hideMark/>
          </w:tcPr>
          <w:p w14:paraId="0B2C14B7" w14:textId="77777777" w:rsidR="00F801C3" w:rsidRPr="00C90206" w:rsidRDefault="00F801C3"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(no extrapolation for iodine EAR/AI for 1–3 y and 4–8 y old)</w:t>
            </w:r>
          </w:p>
        </w:tc>
        <w:tc>
          <w:tcPr>
            <w:tcW w:w="1418" w:type="dxa"/>
            <w:tcBorders>
              <w:top w:val="nil"/>
              <w:left w:val="nil"/>
              <w:bottom w:val="single" w:sz="4" w:space="0" w:color="auto"/>
              <w:right w:val="single" w:sz="4" w:space="0" w:color="auto"/>
            </w:tcBorders>
            <w:shd w:val="clear" w:color="000000" w:fill="E8E8E8"/>
            <w:noWrap/>
            <w:vAlign w:val="bottom"/>
            <w:hideMark/>
          </w:tcPr>
          <w:p w14:paraId="35236515" w14:textId="77777777"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shd w:val="clear" w:color="000000" w:fill="E8E8E8"/>
            <w:noWrap/>
            <w:vAlign w:val="bottom"/>
            <w:hideMark/>
          </w:tcPr>
          <w:p w14:paraId="29E99DBD" w14:textId="77777777"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02551D9A" w14:textId="226FD70E"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c>
          <w:tcPr>
            <w:tcW w:w="2268" w:type="dxa"/>
            <w:tcBorders>
              <w:top w:val="nil"/>
              <w:left w:val="nil"/>
              <w:bottom w:val="single" w:sz="4" w:space="0" w:color="auto"/>
              <w:right w:val="single" w:sz="4" w:space="0" w:color="auto"/>
            </w:tcBorders>
            <w:shd w:val="clear" w:color="000000" w:fill="E8E8E8"/>
            <w:noWrap/>
            <w:vAlign w:val="bottom"/>
            <w:hideMark/>
          </w:tcPr>
          <w:p w14:paraId="165D4A6E" w14:textId="40C509F1"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F801C3" w:rsidRPr="00C90206" w14:paraId="4C34A2B0" w14:textId="77777777" w:rsidTr="00AB733B">
        <w:trPr>
          <w:trHeight w:val="312"/>
        </w:trPr>
        <w:tc>
          <w:tcPr>
            <w:tcW w:w="1696" w:type="dxa"/>
            <w:vMerge/>
            <w:tcBorders>
              <w:left w:val="single" w:sz="4" w:space="0" w:color="auto"/>
              <w:bottom w:val="single" w:sz="4" w:space="0" w:color="auto"/>
              <w:right w:val="single" w:sz="4" w:space="0" w:color="auto"/>
            </w:tcBorders>
            <w:vAlign w:val="center"/>
            <w:hideMark/>
          </w:tcPr>
          <w:p w14:paraId="700B6D6B" w14:textId="77777777" w:rsidR="00F801C3" w:rsidRPr="00C90206" w:rsidRDefault="00F801C3"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center"/>
            <w:hideMark/>
          </w:tcPr>
          <w:p w14:paraId="017195CA" w14:textId="77777777" w:rsidR="00F801C3" w:rsidRPr="00C90206" w:rsidRDefault="00F801C3"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0–6m</w:t>
            </w:r>
            <w:r w:rsidRPr="00C90206">
              <w:rPr>
                <w:rFonts w:ascii="Aptos Narrow" w:eastAsia="Times New Roman" w:hAnsi="Aptos Narrow"/>
                <w:color w:val="auto"/>
                <w:sz w:val="22"/>
                <w:szCs w:val="22"/>
              </w:rPr>
              <w:t xml:space="preserve">→AI </w:t>
            </w:r>
            <w:r w:rsidRPr="00C90206">
              <w:rPr>
                <w:rFonts w:ascii="Aptos Narrow" w:eastAsia="Times New Roman" w:hAnsi="Aptos Narrow"/>
                <w:color w:val="auto"/>
                <w:sz w:val="22"/>
                <w:szCs w:val="22"/>
                <w:vertAlign w:val="subscript"/>
              </w:rPr>
              <w:t>7–12m</w:t>
            </w:r>
          </w:p>
        </w:tc>
        <w:tc>
          <w:tcPr>
            <w:tcW w:w="1418" w:type="dxa"/>
            <w:tcBorders>
              <w:top w:val="nil"/>
              <w:left w:val="nil"/>
              <w:bottom w:val="single" w:sz="4" w:space="0" w:color="auto"/>
              <w:right w:val="single" w:sz="4" w:space="0" w:color="auto"/>
            </w:tcBorders>
            <w:shd w:val="clear" w:color="000000" w:fill="E8E8E8"/>
            <w:noWrap/>
            <w:vAlign w:val="bottom"/>
            <w:hideMark/>
          </w:tcPr>
          <w:p w14:paraId="7D8C19DB" w14:textId="77777777"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276" w:type="dxa"/>
            <w:tcBorders>
              <w:top w:val="nil"/>
              <w:left w:val="nil"/>
              <w:bottom w:val="single" w:sz="4" w:space="0" w:color="auto"/>
              <w:right w:val="single" w:sz="4" w:space="0" w:color="auto"/>
            </w:tcBorders>
            <w:shd w:val="clear" w:color="000000" w:fill="E8E8E8"/>
            <w:noWrap/>
            <w:vAlign w:val="bottom"/>
            <w:hideMark/>
          </w:tcPr>
          <w:p w14:paraId="02C8DE99" w14:textId="77777777"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6F105225" w14:textId="77777777"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2268" w:type="dxa"/>
            <w:tcBorders>
              <w:top w:val="nil"/>
              <w:left w:val="nil"/>
              <w:bottom w:val="single" w:sz="4" w:space="0" w:color="auto"/>
              <w:right w:val="single" w:sz="4" w:space="0" w:color="auto"/>
            </w:tcBorders>
            <w:shd w:val="clear" w:color="000000" w:fill="E8E8E8"/>
            <w:noWrap/>
            <w:vAlign w:val="bottom"/>
            <w:hideMark/>
          </w:tcPr>
          <w:p w14:paraId="602C48FB" w14:textId="621B4561" w:rsidR="00F801C3" w:rsidRPr="00C90206" w:rsidRDefault="00F801C3"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322750" w:rsidRPr="00C90206" w14:paraId="46ACA4E3" w14:textId="77777777" w:rsidTr="00AB733B">
        <w:trPr>
          <w:trHeight w:val="802"/>
        </w:trPr>
        <w:tc>
          <w:tcPr>
            <w:tcW w:w="1696" w:type="dxa"/>
            <w:vMerge w:val="restart"/>
            <w:tcBorders>
              <w:top w:val="nil"/>
              <w:left w:val="single" w:sz="4" w:space="0" w:color="auto"/>
              <w:right w:val="single" w:sz="4" w:space="0" w:color="auto"/>
            </w:tcBorders>
            <w:noWrap/>
            <w:vAlign w:val="center"/>
          </w:tcPr>
          <w:p w14:paraId="65FD94FE" w14:textId="281B09FF" w:rsidR="00322750" w:rsidRPr="00C90206" w:rsidRDefault="00322750" w:rsidP="00C90206">
            <w:pPr>
              <w:spacing w:before="0" w:after="0" w:line="240" w:lineRule="auto"/>
              <w:rPr>
                <w:rFonts w:ascii="Aptos Narrow" w:eastAsia="Times New Roman" w:hAnsi="Aptos Narrow"/>
                <w:b/>
                <w:bCs/>
                <w:color w:val="000000"/>
                <w:sz w:val="22"/>
                <w:szCs w:val="22"/>
              </w:rPr>
            </w:pPr>
            <w:r>
              <w:rPr>
                <w:rFonts w:ascii="Aptos Narrow" w:eastAsia="Times New Roman" w:hAnsi="Aptos Narrow"/>
                <w:b/>
                <w:bCs/>
                <w:color w:val="000000"/>
                <w:sz w:val="22"/>
                <w:szCs w:val="22"/>
              </w:rPr>
              <w:t>Potassium</w:t>
            </w:r>
          </w:p>
        </w:tc>
        <w:tc>
          <w:tcPr>
            <w:tcW w:w="2835" w:type="dxa"/>
            <w:tcBorders>
              <w:top w:val="nil"/>
              <w:left w:val="nil"/>
              <w:bottom w:val="single" w:sz="4" w:space="0" w:color="auto"/>
              <w:right w:val="single" w:sz="4" w:space="0" w:color="auto"/>
            </w:tcBorders>
            <w:noWrap/>
            <w:vAlign w:val="center"/>
          </w:tcPr>
          <w:p w14:paraId="4C49D3BA" w14:textId="4DB0FF04" w:rsidR="00322750" w:rsidRPr="00C90206" w:rsidRDefault="00322750" w:rsidP="003C2B06">
            <w:pPr>
              <w:spacing w:before="0" w:after="0" w:line="240" w:lineRule="auto"/>
              <w:rPr>
                <w:rFonts w:ascii="Aptos Narrow" w:eastAsia="Times New Roman" w:hAnsi="Aptos Narrow"/>
                <w:color w:val="auto"/>
                <w:sz w:val="22"/>
                <w:szCs w:val="22"/>
              </w:rPr>
            </w:pPr>
            <w:r w:rsidRPr="00322750">
              <w:rPr>
                <w:rFonts w:ascii="Aptos Narrow" w:eastAsia="Times New Roman" w:hAnsi="Aptos Narrow" w:hint="eastAsia"/>
                <w:color w:val="auto"/>
                <w:sz w:val="22"/>
                <w:szCs w:val="22"/>
              </w:rPr>
              <w:t>AI</w:t>
            </w:r>
            <w:r w:rsidRPr="003C2B06">
              <w:rPr>
                <w:rFonts w:ascii="Aptos Narrow" w:eastAsia="Times New Roman" w:hAnsi="Aptos Narrow" w:hint="eastAsia"/>
                <w:color w:val="auto"/>
                <w:sz w:val="22"/>
                <w:szCs w:val="22"/>
                <w:vertAlign w:val="subscript"/>
              </w:rPr>
              <w:t>adult</w:t>
            </w:r>
            <w:r w:rsidRPr="00322750">
              <w:rPr>
                <w:rFonts w:ascii="Aptos Narrow" w:eastAsia="Times New Roman" w:hAnsi="Aptos Narrow" w:hint="eastAsia"/>
                <w:color w:val="auto"/>
                <w:sz w:val="22"/>
                <w:szCs w:val="22"/>
              </w:rPr>
              <w:t>→AI</w:t>
            </w:r>
            <w:r w:rsidRPr="003C2B06">
              <w:rPr>
                <w:rFonts w:ascii="Aptos Narrow" w:eastAsia="Times New Roman" w:hAnsi="Aptos Narrow" w:hint="eastAsia"/>
                <w:color w:val="auto"/>
                <w:sz w:val="22"/>
                <w:szCs w:val="22"/>
                <w:vertAlign w:val="subscript"/>
              </w:rPr>
              <w:t>1–18y</w:t>
            </w:r>
          </w:p>
        </w:tc>
        <w:tc>
          <w:tcPr>
            <w:tcW w:w="1418" w:type="dxa"/>
            <w:tcBorders>
              <w:top w:val="nil"/>
              <w:left w:val="nil"/>
              <w:bottom w:val="single" w:sz="4" w:space="0" w:color="auto"/>
              <w:right w:val="single" w:sz="4" w:space="0" w:color="auto"/>
            </w:tcBorders>
            <w:noWrap/>
            <w:vAlign w:val="bottom"/>
          </w:tcPr>
          <w:p w14:paraId="474C5F49" w14:textId="77777777" w:rsidR="00322750" w:rsidRPr="00C90206" w:rsidRDefault="00322750" w:rsidP="00C90206">
            <w:pPr>
              <w:spacing w:before="0" w:after="0" w:line="240" w:lineRule="auto"/>
              <w:rPr>
                <w:rFonts w:ascii="Aptos Narrow" w:eastAsia="Times New Roman" w:hAnsi="Aptos Narrow"/>
                <w:color w:val="000000"/>
                <w:sz w:val="22"/>
                <w:szCs w:val="22"/>
              </w:rPr>
            </w:pPr>
          </w:p>
        </w:tc>
        <w:tc>
          <w:tcPr>
            <w:tcW w:w="1276" w:type="dxa"/>
            <w:tcBorders>
              <w:top w:val="nil"/>
              <w:left w:val="nil"/>
              <w:bottom w:val="single" w:sz="4" w:space="0" w:color="auto"/>
              <w:right w:val="single" w:sz="4" w:space="0" w:color="auto"/>
            </w:tcBorders>
            <w:noWrap/>
            <w:vAlign w:val="bottom"/>
          </w:tcPr>
          <w:p w14:paraId="57F04FC1" w14:textId="77777777" w:rsidR="00322750" w:rsidRPr="00C90206" w:rsidRDefault="00322750" w:rsidP="00C90206">
            <w:pPr>
              <w:spacing w:before="0" w:after="0" w:line="240" w:lineRule="auto"/>
              <w:rPr>
                <w:rFonts w:ascii="Aptos Narrow" w:eastAsia="Times New Roman" w:hAnsi="Aptos Narrow"/>
                <w:color w:val="000000"/>
                <w:sz w:val="22"/>
                <w:szCs w:val="22"/>
              </w:rPr>
            </w:pPr>
          </w:p>
        </w:tc>
        <w:tc>
          <w:tcPr>
            <w:tcW w:w="1134" w:type="dxa"/>
            <w:tcBorders>
              <w:top w:val="nil"/>
              <w:left w:val="nil"/>
              <w:bottom w:val="single" w:sz="4" w:space="0" w:color="auto"/>
              <w:right w:val="single" w:sz="4" w:space="0" w:color="auto"/>
            </w:tcBorders>
            <w:noWrap/>
            <w:vAlign w:val="bottom"/>
          </w:tcPr>
          <w:p w14:paraId="39308FF5" w14:textId="233B408C" w:rsidR="00322750" w:rsidRPr="00C90206" w:rsidRDefault="008D6050" w:rsidP="00C90206">
            <w:pPr>
              <w:spacing w:before="0" w:after="0" w:line="240" w:lineRule="auto"/>
              <w:rPr>
                <w:rFonts w:ascii="Aptos Narrow" w:eastAsia="Times New Roman" w:hAnsi="Aptos Narrow"/>
                <w:color w:val="000000"/>
                <w:sz w:val="22"/>
                <w:szCs w:val="22"/>
              </w:rPr>
            </w:pPr>
            <w:r>
              <w:rPr>
                <w:rFonts w:ascii="Aptos Narrow" w:eastAsia="Times New Roman" w:hAnsi="Aptos Narrow"/>
                <w:color w:val="000000"/>
                <w:sz w:val="22"/>
                <w:szCs w:val="22"/>
              </w:rPr>
              <w:t xml:space="preserve"> </w:t>
            </w:r>
          </w:p>
        </w:tc>
        <w:tc>
          <w:tcPr>
            <w:tcW w:w="2268" w:type="dxa"/>
            <w:vMerge w:val="restart"/>
            <w:tcBorders>
              <w:top w:val="nil"/>
              <w:left w:val="nil"/>
              <w:right w:val="single" w:sz="4" w:space="0" w:color="auto"/>
            </w:tcBorders>
            <w:noWrap/>
            <w:vAlign w:val="bottom"/>
          </w:tcPr>
          <w:p w14:paraId="36A42F57" w14:textId="77777777" w:rsidR="00322750" w:rsidRPr="00322750" w:rsidRDefault="00322750" w:rsidP="00322750">
            <w:pPr>
              <w:spacing w:before="0" w:after="0" w:line="240" w:lineRule="auto"/>
              <w:rPr>
                <w:rFonts w:ascii="Aptos Narrow" w:eastAsia="Times New Roman" w:hAnsi="Aptos Narrow"/>
                <w:color w:val="000000"/>
                <w:sz w:val="22"/>
                <w:szCs w:val="22"/>
              </w:rPr>
            </w:pPr>
            <w:r w:rsidRPr="00322750">
              <w:rPr>
                <w:rFonts w:ascii="Aptos Narrow" w:eastAsia="Times New Roman" w:hAnsi="Aptos Narrow"/>
                <w:color w:val="000000"/>
                <w:sz w:val="22"/>
                <w:szCs w:val="22"/>
              </w:rPr>
              <w:t>AI child = AI adult × F</w:t>
            </w:r>
          </w:p>
          <w:p w14:paraId="53B8E9B5" w14:textId="2DBCC084" w:rsidR="00322750" w:rsidRPr="00322750" w:rsidRDefault="00322750" w:rsidP="00322750">
            <w:pPr>
              <w:spacing w:before="0" w:after="0" w:line="240" w:lineRule="auto"/>
              <w:rPr>
                <w:rFonts w:ascii="Aptos Narrow" w:eastAsia="Times New Roman" w:hAnsi="Aptos Narrow"/>
                <w:color w:val="000000"/>
                <w:sz w:val="22"/>
                <w:szCs w:val="22"/>
              </w:rPr>
            </w:pPr>
            <w:r w:rsidRPr="00322750">
              <w:rPr>
                <w:rFonts w:ascii="Aptos Narrow" w:eastAsia="Times New Roman" w:hAnsi="Aptos Narrow"/>
                <w:color w:val="000000"/>
                <w:sz w:val="22"/>
                <w:szCs w:val="22"/>
              </w:rPr>
              <w:t>F = energy intake</w:t>
            </w:r>
            <w:r w:rsidR="003C2B06">
              <w:rPr>
                <w:rFonts w:ascii="Aptos Narrow" w:eastAsia="Times New Roman" w:hAnsi="Aptos Narrow"/>
                <w:color w:val="000000"/>
                <w:sz w:val="22"/>
                <w:szCs w:val="22"/>
              </w:rPr>
              <w:t xml:space="preserve"> </w:t>
            </w:r>
            <w:r w:rsidRPr="00322750">
              <w:rPr>
                <w:rFonts w:ascii="Aptos Narrow" w:eastAsia="Times New Roman" w:hAnsi="Aptos Narrow"/>
                <w:color w:val="000000"/>
                <w:sz w:val="22"/>
                <w:szCs w:val="22"/>
              </w:rPr>
              <w:t>child/</w:t>
            </w:r>
          </w:p>
          <w:p w14:paraId="77EA9B11" w14:textId="77777777" w:rsidR="00322750" w:rsidRPr="00322750" w:rsidRDefault="00322750" w:rsidP="00322750">
            <w:pPr>
              <w:spacing w:before="0" w:after="0" w:line="240" w:lineRule="auto"/>
              <w:rPr>
                <w:rFonts w:ascii="Aptos Narrow" w:eastAsia="Times New Roman" w:hAnsi="Aptos Narrow"/>
                <w:color w:val="000000"/>
                <w:sz w:val="22"/>
                <w:szCs w:val="22"/>
              </w:rPr>
            </w:pPr>
            <w:r w:rsidRPr="00322750">
              <w:rPr>
                <w:rFonts w:ascii="Aptos Narrow" w:eastAsia="Times New Roman" w:hAnsi="Aptos Narrow"/>
                <w:color w:val="000000"/>
                <w:sz w:val="22"/>
                <w:szCs w:val="22"/>
              </w:rPr>
              <w:t>energy intake adult</w:t>
            </w:r>
          </w:p>
          <w:p w14:paraId="7E4BE4F7" w14:textId="77777777" w:rsidR="00322750" w:rsidRPr="00322750" w:rsidRDefault="00322750" w:rsidP="00322750">
            <w:pPr>
              <w:spacing w:before="0" w:after="0" w:line="240" w:lineRule="auto"/>
              <w:rPr>
                <w:rFonts w:ascii="Aptos Narrow" w:eastAsia="Times New Roman" w:hAnsi="Aptos Narrow"/>
                <w:color w:val="000000"/>
                <w:sz w:val="22"/>
                <w:szCs w:val="22"/>
              </w:rPr>
            </w:pPr>
            <w:r w:rsidRPr="00322750">
              <w:rPr>
                <w:rFonts w:ascii="Aptos Narrow" w:eastAsia="Times New Roman" w:hAnsi="Aptos Narrow"/>
                <w:color w:val="000000"/>
                <w:sz w:val="22"/>
                <w:szCs w:val="22"/>
              </w:rPr>
              <w:t>UL child = UL adult × F</w:t>
            </w:r>
          </w:p>
          <w:p w14:paraId="409BD96E" w14:textId="77777777" w:rsidR="00322750" w:rsidRPr="00322750" w:rsidRDefault="00322750" w:rsidP="00322750">
            <w:pPr>
              <w:spacing w:before="0" w:after="0" w:line="240" w:lineRule="auto"/>
              <w:rPr>
                <w:rFonts w:ascii="Aptos Narrow" w:eastAsia="Times New Roman" w:hAnsi="Aptos Narrow"/>
                <w:color w:val="000000"/>
                <w:sz w:val="22"/>
                <w:szCs w:val="22"/>
              </w:rPr>
            </w:pPr>
            <w:r w:rsidRPr="00322750">
              <w:rPr>
                <w:rFonts w:ascii="Aptos Narrow" w:eastAsia="Times New Roman" w:hAnsi="Aptos Narrow"/>
                <w:color w:val="000000"/>
                <w:sz w:val="22"/>
                <w:szCs w:val="22"/>
              </w:rPr>
              <w:t>F= energy intake adult/</w:t>
            </w:r>
          </w:p>
          <w:p w14:paraId="170F729D" w14:textId="35F13AFC" w:rsidR="00322750" w:rsidRPr="00C90206" w:rsidRDefault="00322750" w:rsidP="00322750">
            <w:pPr>
              <w:spacing w:before="0" w:after="0" w:line="240" w:lineRule="auto"/>
              <w:rPr>
                <w:rFonts w:ascii="Aptos Narrow" w:eastAsia="Times New Roman" w:hAnsi="Aptos Narrow"/>
                <w:color w:val="000000"/>
                <w:sz w:val="22"/>
                <w:szCs w:val="22"/>
              </w:rPr>
            </w:pPr>
            <w:r w:rsidRPr="00322750">
              <w:rPr>
                <w:rFonts w:ascii="Aptos Narrow" w:eastAsia="Times New Roman" w:hAnsi="Aptos Narrow"/>
                <w:color w:val="000000"/>
                <w:sz w:val="22"/>
                <w:szCs w:val="22"/>
              </w:rPr>
              <w:t>energy intake child</w:t>
            </w:r>
          </w:p>
        </w:tc>
      </w:tr>
      <w:tr w:rsidR="00322750" w:rsidRPr="00C90206" w14:paraId="12593FF5" w14:textId="77777777" w:rsidTr="00AB733B">
        <w:trPr>
          <w:trHeight w:val="312"/>
        </w:trPr>
        <w:tc>
          <w:tcPr>
            <w:tcW w:w="1696" w:type="dxa"/>
            <w:vMerge/>
            <w:tcBorders>
              <w:left w:val="single" w:sz="4" w:space="0" w:color="auto"/>
              <w:bottom w:val="single" w:sz="4" w:space="0" w:color="auto"/>
              <w:right w:val="single" w:sz="4" w:space="0" w:color="auto"/>
            </w:tcBorders>
            <w:noWrap/>
            <w:vAlign w:val="center"/>
          </w:tcPr>
          <w:p w14:paraId="0C4D463B" w14:textId="77777777" w:rsidR="00322750" w:rsidRPr="00C90206" w:rsidRDefault="00322750"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noWrap/>
            <w:vAlign w:val="center"/>
          </w:tcPr>
          <w:p w14:paraId="0B8C0E58" w14:textId="5D84132E" w:rsidR="00322750" w:rsidRPr="00C90206" w:rsidRDefault="00322750" w:rsidP="003C2B06">
            <w:pPr>
              <w:spacing w:before="0" w:after="0" w:line="240" w:lineRule="auto"/>
              <w:rPr>
                <w:rFonts w:ascii="Aptos Narrow" w:eastAsia="Times New Roman" w:hAnsi="Aptos Narrow"/>
                <w:color w:val="auto"/>
                <w:sz w:val="22"/>
                <w:szCs w:val="22"/>
              </w:rPr>
            </w:pPr>
            <w:proofErr w:type="spellStart"/>
            <w:r w:rsidRPr="00322750">
              <w:rPr>
                <w:rFonts w:ascii="Aptos Narrow" w:eastAsia="Times New Roman" w:hAnsi="Aptos Narrow" w:hint="eastAsia"/>
                <w:color w:val="auto"/>
                <w:sz w:val="22"/>
                <w:szCs w:val="22"/>
              </w:rPr>
              <w:t>UL</w:t>
            </w:r>
            <w:r w:rsidRPr="003C2B06">
              <w:rPr>
                <w:rFonts w:ascii="Aptos Narrow" w:eastAsia="Times New Roman" w:hAnsi="Aptos Narrow" w:hint="eastAsia"/>
                <w:color w:val="auto"/>
                <w:sz w:val="22"/>
                <w:szCs w:val="22"/>
                <w:vertAlign w:val="subscript"/>
              </w:rPr>
              <w:t>adult</w:t>
            </w:r>
            <w:proofErr w:type="spellEnd"/>
            <w:r w:rsidRPr="00322750">
              <w:rPr>
                <w:rFonts w:ascii="Aptos Narrow" w:eastAsia="Times New Roman" w:hAnsi="Aptos Narrow" w:hint="eastAsia"/>
                <w:color w:val="auto"/>
                <w:sz w:val="22"/>
                <w:szCs w:val="22"/>
              </w:rPr>
              <w:t xml:space="preserve"> →</w:t>
            </w:r>
            <w:proofErr w:type="spellStart"/>
            <w:r w:rsidRPr="00322750">
              <w:rPr>
                <w:rFonts w:ascii="Aptos Narrow" w:eastAsia="Times New Roman" w:hAnsi="Aptos Narrow" w:hint="eastAsia"/>
                <w:color w:val="auto"/>
                <w:sz w:val="22"/>
                <w:szCs w:val="22"/>
              </w:rPr>
              <w:t>UL</w:t>
            </w:r>
            <w:r w:rsidRPr="003C2B06">
              <w:rPr>
                <w:rFonts w:ascii="Aptos Narrow" w:eastAsia="Times New Roman" w:hAnsi="Aptos Narrow" w:hint="eastAsia"/>
                <w:color w:val="auto"/>
                <w:sz w:val="22"/>
                <w:szCs w:val="22"/>
                <w:vertAlign w:val="subscript"/>
              </w:rPr>
              <w:t>child</w:t>
            </w:r>
            <w:proofErr w:type="spellEnd"/>
          </w:p>
        </w:tc>
        <w:tc>
          <w:tcPr>
            <w:tcW w:w="1418" w:type="dxa"/>
            <w:tcBorders>
              <w:top w:val="nil"/>
              <w:left w:val="nil"/>
              <w:bottom w:val="single" w:sz="4" w:space="0" w:color="auto"/>
              <w:right w:val="single" w:sz="4" w:space="0" w:color="auto"/>
            </w:tcBorders>
            <w:noWrap/>
            <w:vAlign w:val="bottom"/>
          </w:tcPr>
          <w:p w14:paraId="170EEF55" w14:textId="77777777" w:rsidR="00322750" w:rsidRPr="00C90206" w:rsidRDefault="00322750" w:rsidP="00C90206">
            <w:pPr>
              <w:spacing w:before="0" w:after="0" w:line="240" w:lineRule="auto"/>
              <w:rPr>
                <w:rFonts w:ascii="Aptos Narrow" w:eastAsia="Times New Roman" w:hAnsi="Aptos Narrow"/>
                <w:color w:val="000000"/>
                <w:sz w:val="22"/>
                <w:szCs w:val="22"/>
              </w:rPr>
            </w:pPr>
          </w:p>
        </w:tc>
        <w:tc>
          <w:tcPr>
            <w:tcW w:w="1276" w:type="dxa"/>
            <w:tcBorders>
              <w:top w:val="nil"/>
              <w:left w:val="nil"/>
              <w:bottom w:val="single" w:sz="4" w:space="0" w:color="auto"/>
              <w:right w:val="single" w:sz="4" w:space="0" w:color="auto"/>
            </w:tcBorders>
            <w:noWrap/>
            <w:vAlign w:val="bottom"/>
          </w:tcPr>
          <w:p w14:paraId="33004D8C" w14:textId="77777777" w:rsidR="00322750" w:rsidRPr="00C90206" w:rsidRDefault="00322750" w:rsidP="00C90206">
            <w:pPr>
              <w:spacing w:before="0" w:after="0" w:line="240" w:lineRule="auto"/>
              <w:rPr>
                <w:rFonts w:ascii="Aptos Narrow" w:eastAsia="Times New Roman" w:hAnsi="Aptos Narrow"/>
                <w:color w:val="000000"/>
                <w:sz w:val="22"/>
                <w:szCs w:val="22"/>
              </w:rPr>
            </w:pPr>
          </w:p>
        </w:tc>
        <w:tc>
          <w:tcPr>
            <w:tcW w:w="1134" w:type="dxa"/>
            <w:tcBorders>
              <w:top w:val="nil"/>
              <w:left w:val="nil"/>
              <w:bottom w:val="single" w:sz="4" w:space="0" w:color="auto"/>
              <w:right w:val="single" w:sz="4" w:space="0" w:color="auto"/>
            </w:tcBorders>
            <w:noWrap/>
            <w:vAlign w:val="bottom"/>
          </w:tcPr>
          <w:p w14:paraId="2DABBA25" w14:textId="33280C62" w:rsidR="00322750" w:rsidRPr="00C90206" w:rsidRDefault="008D6050" w:rsidP="00C90206">
            <w:pPr>
              <w:spacing w:before="0" w:after="0" w:line="240" w:lineRule="auto"/>
              <w:rPr>
                <w:rFonts w:ascii="Aptos Narrow" w:eastAsia="Times New Roman" w:hAnsi="Aptos Narrow"/>
                <w:color w:val="000000"/>
                <w:sz w:val="22"/>
                <w:szCs w:val="22"/>
              </w:rPr>
            </w:pPr>
            <w:r>
              <w:rPr>
                <w:rFonts w:ascii="Aptos Narrow" w:eastAsia="Times New Roman" w:hAnsi="Aptos Narrow"/>
                <w:color w:val="000000"/>
                <w:sz w:val="22"/>
                <w:szCs w:val="22"/>
              </w:rPr>
              <w:t xml:space="preserve"> </w:t>
            </w:r>
          </w:p>
        </w:tc>
        <w:tc>
          <w:tcPr>
            <w:tcW w:w="2268" w:type="dxa"/>
            <w:vMerge/>
            <w:tcBorders>
              <w:left w:val="nil"/>
              <w:bottom w:val="single" w:sz="4" w:space="0" w:color="auto"/>
              <w:right w:val="single" w:sz="4" w:space="0" w:color="auto"/>
            </w:tcBorders>
            <w:noWrap/>
            <w:vAlign w:val="bottom"/>
          </w:tcPr>
          <w:p w14:paraId="3010DF74" w14:textId="77777777" w:rsidR="00322750" w:rsidRPr="00C90206" w:rsidRDefault="00322750" w:rsidP="00C90206">
            <w:pPr>
              <w:spacing w:before="0" w:after="0" w:line="240" w:lineRule="auto"/>
              <w:rPr>
                <w:rFonts w:ascii="Aptos Narrow" w:eastAsia="Times New Roman" w:hAnsi="Aptos Narrow"/>
                <w:color w:val="000000"/>
                <w:sz w:val="22"/>
                <w:szCs w:val="22"/>
              </w:rPr>
            </w:pPr>
          </w:p>
        </w:tc>
      </w:tr>
      <w:tr w:rsidR="00BD793B" w:rsidRPr="00C90206" w14:paraId="6A46A18C" w14:textId="77777777" w:rsidTr="00AB733B">
        <w:trPr>
          <w:trHeight w:val="312"/>
        </w:trPr>
        <w:tc>
          <w:tcPr>
            <w:tcW w:w="1696" w:type="dxa"/>
            <w:vMerge w:val="restart"/>
            <w:tcBorders>
              <w:top w:val="nil"/>
              <w:left w:val="single" w:sz="4" w:space="0" w:color="auto"/>
              <w:right w:val="single" w:sz="4" w:space="0" w:color="auto"/>
            </w:tcBorders>
            <w:shd w:val="clear" w:color="000000" w:fill="E8E8E8"/>
            <w:noWrap/>
            <w:vAlign w:val="center"/>
            <w:hideMark/>
          </w:tcPr>
          <w:p w14:paraId="1E1DA0D7" w14:textId="77777777" w:rsidR="00BD793B" w:rsidRPr="00C90206" w:rsidRDefault="00BD793B"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Selenium</w:t>
            </w:r>
          </w:p>
        </w:tc>
        <w:tc>
          <w:tcPr>
            <w:tcW w:w="2835" w:type="dxa"/>
            <w:tcBorders>
              <w:top w:val="nil"/>
              <w:left w:val="nil"/>
              <w:bottom w:val="single" w:sz="4" w:space="0" w:color="auto"/>
              <w:right w:val="single" w:sz="4" w:space="0" w:color="auto"/>
            </w:tcBorders>
            <w:shd w:val="clear" w:color="000000" w:fill="E8E8E8"/>
            <w:noWrap/>
            <w:vAlign w:val="bottom"/>
            <w:hideMark/>
          </w:tcPr>
          <w:p w14:paraId="71B011A6" w14:textId="77777777" w:rsidR="00BD793B" w:rsidRPr="00C90206" w:rsidRDefault="00BD793B"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AI</w:t>
            </w:r>
            <w:r w:rsidRPr="00C90206">
              <w:rPr>
                <w:rFonts w:ascii="Aptos Narrow" w:eastAsia="Times New Roman" w:hAnsi="Aptos Narrow"/>
                <w:color w:val="auto"/>
                <w:sz w:val="22"/>
                <w:szCs w:val="22"/>
                <w:vertAlign w:val="subscript"/>
              </w:rPr>
              <w:t xml:space="preserve"> 0–6m</w:t>
            </w:r>
            <w:r w:rsidRPr="00C90206">
              <w:rPr>
                <w:rFonts w:ascii="Aptos Narrow" w:eastAsia="Times New Roman" w:hAnsi="Aptos Narrow"/>
                <w:color w:val="auto"/>
                <w:sz w:val="22"/>
                <w:szCs w:val="22"/>
              </w:rPr>
              <w:t xml:space="preserve"> →AI </w:t>
            </w:r>
            <w:r w:rsidRPr="00C90206">
              <w:rPr>
                <w:rFonts w:ascii="Aptos Narrow" w:eastAsia="Times New Roman" w:hAnsi="Aptos Narrow"/>
                <w:color w:val="auto"/>
                <w:sz w:val="22"/>
                <w:szCs w:val="22"/>
                <w:vertAlign w:val="subscript"/>
              </w:rPr>
              <w:t>7–12m</w:t>
            </w:r>
          </w:p>
        </w:tc>
        <w:tc>
          <w:tcPr>
            <w:tcW w:w="1418" w:type="dxa"/>
            <w:tcBorders>
              <w:top w:val="nil"/>
              <w:left w:val="nil"/>
              <w:bottom w:val="single" w:sz="4" w:space="0" w:color="auto"/>
              <w:right w:val="single" w:sz="4" w:space="0" w:color="auto"/>
            </w:tcBorders>
            <w:shd w:val="clear" w:color="000000" w:fill="E8E8E8"/>
            <w:noWrap/>
            <w:vAlign w:val="bottom"/>
            <w:hideMark/>
          </w:tcPr>
          <w:p w14:paraId="0AA1FA54" w14:textId="77777777" w:rsidR="00BD793B" w:rsidRPr="00C90206" w:rsidRDefault="00BD793B"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shd w:val="clear" w:color="000000" w:fill="E8E8E8"/>
            <w:noWrap/>
            <w:vAlign w:val="bottom"/>
            <w:hideMark/>
          </w:tcPr>
          <w:p w14:paraId="030D2716" w14:textId="77777777" w:rsidR="00BD793B" w:rsidRPr="00C90206" w:rsidRDefault="00BD793B"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2AA11DCF" w14:textId="77777777" w:rsidR="00BD793B" w:rsidRPr="00C90206" w:rsidRDefault="00BD793B"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no</w:t>
            </w:r>
          </w:p>
        </w:tc>
        <w:tc>
          <w:tcPr>
            <w:tcW w:w="2268" w:type="dxa"/>
            <w:tcBorders>
              <w:top w:val="nil"/>
              <w:left w:val="nil"/>
              <w:bottom w:val="single" w:sz="4" w:space="0" w:color="auto"/>
              <w:right w:val="single" w:sz="4" w:space="0" w:color="auto"/>
            </w:tcBorders>
            <w:shd w:val="clear" w:color="000000" w:fill="E8E8E8"/>
            <w:noWrap/>
            <w:vAlign w:val="bottom"/>
            <w:hideMark/>
          </w:tcPr>
          <w:p w14:paraId="02014521" w14:textId="4B418A7B" w:rsidR="00BD793B" w:rsidRPr="00C90206" w:rsidRDefault="00BD793B"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BD793B" w:rsidRPr="00C90206" w14:paraId="7FB0D587" w14:textId="77777777" w:rsidTr="00AB733B">
        <w:trPr>
          <w:trHeight w:val="312"/>
        </w:trPr>
        <w:tc>
          <w:tcPr>
            <w:tcW w:w="1696" w:type="dxa"/>
            <w:vMerge/>
            <w:tcBorders>
              <w:left w:val="single" w:sz="4" w:space="0" w:color="auto"/>
              <w:bottom w:val="single" w:sz="4" w:space="0" w:color="auto"/>
              <w:right w:val="single" w:sz="4" w:space="0" w:color="auto"/>
            </w:tcBorders>
            <w:vAlign w:val="center"/>
            <w:hideMark/>
          </w:tcPr>
          <w:p w14:paraId="0731B7E2" w14:textId="77777777" w:rsidR="00BD793B" w:rsidRPr="00C90206" w:rsidRDefault="00BD793B" w:rsidP="00C90206">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1968102D" w14:textId="77777777" w:rsidR="00BD793B" w:rsidRPr="00C90206" w:rsidRDefault="00BD793B"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xml:space="preserve">EAR </w:t>
            </w:r>
            <w:proofErr w:type="spellStart"/>
            <w:r w:rsidRPr="00C90206">
              <w:rPr>
                <w:rFonts w:ascii="Aptos Narrow" w:eastAsia="Times New Roman" w:hAnsi="Aptos Narrow"/>
                <w:color w:val="auto"/>
                <w:sz w:val="22"/>
                <w:szCs w:val="22"/>
                <w:vertAlign w:val="subscript"/>
              </w:rPr>
              <w:t>adult</w:t>
            </w:r>
            <w:r w:rsidRPr="00C90206">
              <w:rPr>
                <w:rFonts w:ascii="Aptos Narrow" w:eastAsia="Times New Roman" w:hAnsi="Aptos Narrow"/>
                <w:color w:val="auto"/>
                <w:sz w:val="22"/>
                <w:szCs w:val="22"/>
              </w:rPr>
              <w:t>→EAR</w:t>
            </w:r>
            <w:r w:rsidRPr="00C90206">
              <w:rPr>
                <w:rFonts w:ascii="Aptos Narrow" w:eastAsia="Times New Roman" w:hAnsi="Aptos Narrow"/>
                <w:color w:val="auto"/>
                <w:sz w:val="22"/>
                <w:szCs w:val="22"/>
                <w:vertAlign w:val="subscript"/>
              </w:rPr>
              <w:t>child</w:t>
            </w:r>
            <w:proofErr w:type="spellEnd"/>
          </w:p>
        </w:tc>
        <w:tc>
          <w:tcPr>
            <w:tcW w:w="1418" w:type="dxa"/>
            <w:tcBorders>
              <w:top w:val="nil"/>
              <w:left w:val="nil"/>
              <w:bottom w:val="single" w:sz="4" w:space="0" w:color="auto"/>
              <w:right w:val="single" w:sz="4" w:space="0" w:color="auto"/>
            </w:tcBorders>
            <w:shd w:val="clear" w:color="000000" w:fill="E8E8E8"/>
            <w:noWrap/>
            <w:vAlign w:val="bottom"/>
            <w:hideMark/>
          </w:tcPr>
          <w:p w14:paraId="4841553B" w14:textId="77777777" w:rsidR="00BD793B" w:rsidRPr="00C90206" w:rsidRDefault="00BD793B"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1276" w:type="dxa"/>
            <w:tcBorders>
              <w:top w:val="nil"/>
              <w:left w:val="nil"/>
              <w:bottom w:val="single" w:sz="4" w:space="0" w:color="auto"/>
              <w:right w:val="single" w:sz="4" w:space="0" w:color="auto"/>
            </w:tcBorders>
            <w:shd w:val="clear" w:color="000000" w:fill="E8E8E8"/>
            <w:noWrap/>
            <w:vAlign w:val="bottom"/>
            <w:hideMark/>
          </w:tcPr>
          <w:p w14:paraId="0D6F8BD5" w14:textId="77777777" w:rsidR="00BD793B" w:rsidRPr="00C90206" w:rsidRDefault="00BD793B"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0B54243A" w14:textId="77777777" w:rsidR="00BD793B" w:rsidRPr="00C90206" w:rsidRDefault="00BD793B"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yes</w:t>
            </w:r>
          </w:p>
        </w:tc>
        <w:tc>
          <w:tcPr>
            <w:tcW w:w="2268" w:type="dxa"/>
            <w:tcBorders>
              <w:top w:val="nil"/>
              <w:left w:val="nil"/>
              <w:bottom w:val="single" w:sz="4" w:space="0" w:color="auto"/>
              <w:right w:val="single" w:sz="4" w:space="0" w:color="auto"/>
            </w:tcBorders>
            <w:shd w:val="clear" w:color="000000" w:fill="E8E8E8"/>
            <w:noWrap/>
            <w:vAlign w:val="bottom"/>
            <w:hideMark/>
          </w:tcPr>
          <w:p w14:paraId="35FE813D" w14:textId="2C6A6E45" w:rsidR="00BD793B" w:rsidRPr="00C90206" w:rsidRDefault="00BD793B"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AB733B" w:rsidRPr="00C90206" w14:paraId="47FAD7AB" w14:textId="77777777" w:rsidTr="00AB733B">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FC8A1D" w14:textId="77777777" w:rsidR="00C90206" w:rsidRPr="00C90206" w:rsidRDefault="00C90206"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Sodium</w:t>
            </w:r>
          </w:p>
        </w:tc>
        <w:tc>
          <w:tcPr>
            <w:tcW w:w="2835" w:type="dxa"/>
            <w:tcBorders>
              <w:top w:val="nil"/>
              <w:left w:val="nil"/>
              <w:bottom w:val="single" w:sz="4" w:space="0" w:color="auto"/>
              <w:right w:val="single" w:sz="4" w:space="0" w:color="auto"/>
            </w:tcBorders>
            <w:noWrap/>
            <w:vAlign w:val="bottom"/>
            <w:hideMark/>
          </w:tcPr>
          <w:p w14:paraId="1C4B4DEF" w14:textId="77777777" w:rsidR="00C90206" w:rsidRPr="00C90206" w:rsidRDefault="00C90206"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Same as potassium</w:t>
            </w:r>
          </w:p>
        </w:tc>
        <w:tc>
          <w:tcPr>
            <w:tcW w:w="1418" w:type="dxa"/>
            <w:tcBorders>
              <w:top w:val="nil"/>
              <w:left w:val="nil"/>
              <w:bottom w:val="single" w:sz="4" w:space="0" w:color="auto"/>
              <w:right w:val="single" w:sz="4" w:space="0" w:color="auto"/>
            </w:tcBorders>
            <w:noWrap/>
            <w:vAlign w:val="bottom"/>
            <w:hideMark/>
          </w:tcPr>
          <w:p w14:paraId="0FF983AC"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276" w:type="dxa"/>
            <w:tcBorders>
              <w:top w:val="nil"/>
              <w:left w:val="nil"/>
              <w:bottom w:val="single" w:sz="4" w:space="0" w:color="auto"/>
              <w:right w:val="single" w:sz="4" w:space="0" w:color="auto"/>
            </w:tcBorders>
            <w:noWrap/>
            <w:vAlign w:val="bottom"/>
            <w:hideMark/>
          </w:tcPr>
          <w:p w14:paraId="723D19A6"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noWrap/>
            <w:vAlign w:val="bottom"/>
            <w:hideMark/>
          </w:tcPr>
          <w:p w14:paraId="2D0DF00A" w14:textId="10D3AA5C"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c>
          <w:tcPr>
            <w:tcW w:w="2268" w:type="dxa"/>
            <w:tcBorders>
              <w:top w:val="nil"/>
              <w:left w:val="nil"/>
              <w:bottom w:val="single" w:sz="4" w:space="0" w:color="auto"/>
              <w:right w:val="single" w:sz="4" w:space="0" w:color="auto"/>
            </w:tcBorders>
            <w:noWrap/>
            <w:vAlign w:val="bottom"/>
            <w:hideMark/>
          </w:tcPr>
          <w:p w14:paraId="0ABE777E" w14:textId="0A1521E4"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r>
      <w:tr w:rsidR="00510A07" w:rsidRPr="00C90206" w14:paraId="0ED6E20C" w14:textId="77777777" w:rsidTr="00AB733B">
        <w:trPr>
          <w:trHeight w:val="864"/>
        </w:trPr>
        <w:tc>
          <w:tcPr>
            <w:tcW w:w="1696" w:type="dxa"/>
            <w:tcBorders>
              <w:top w:val="nil"/>
              <w:left w:val="single" w:sz="4" w:space="0" w:color="auto"/>
              <w:bottom w:val="single" w:sz="4" w:space="0" w:color="auto"/>
              <w:right w:val="single" w:sz="4" w:space="0" w:color="auto"/>
            </w:tcBorders>
            <w:shd w:val="clear" w:color="000000" w:fill="E8E8E8"/>
            <w:noWrap/>
            <w:vAlign w:val="center"/>
            <w:hideMark/>
          </w:tcPr>
          <w:p w14:paraId="7D308C1D" w14:textId="77777777" w:rsidR="00C90206" w:rsidRPr="00C90206" w:rsidRDefault="00C90206" w:rsidP="00C90206">
            <w:pPr>
              <w:spacing w:before="0" w:after="0" w:line="240" w:lineRule="auto"/>
              <w:rPr>
                <w:rFonts w:ascii="Aptos Narrow" w:eastAsia="Times New Roman" w:hAnsi="Aptos Narrow"/>
                <w:b/>
                <w:bCs/>
                <w:color w:val="000000"/>
                <w:sz w:val="22"/>
                <w:szCs w:val="22"/>
              </w:rPr>
            </w:pPr>
            <w:r w:rsidRPr="00C90206">
              <w:rPr>
                <w:rFonts w:ascii="Aptos Narrow" w:eastAsia="Times New Roman" w:hAnsi="Aptos Narrow"/>
                <w:b/>
                <w:bCs/>
                <w:color w:val="000000"/>
                <w:sz w:val="22"/>
                <w:szCs w:val="22"/>
              </w:rPr>
              <w:t>Zinc</w:t>
            </w:r>
          </w:p>
        </w:tc>
        <w:tc>
          <w:tcPr>
            <w:tcW w:w="2835" w:type="dxa"/>
            <w:tcBorders>
              <w:top w:val="nil"/>
              <w:left w:val="nil"/>
              <w:bottom w:val="single" w:sz="4" w:space="0" w:color="auto"/>
              <w:right w:val="single" w:sz="4" w:space="0" w:color="auto"/>
            </w:tcBorders>
            <w:shd w:val="clear" w:color="000000" w:fill="E8E8E8"/>
            <w:noWrap/>
            <w:vAlign w:val="bottom"/>
            <w:hideMark/>
          </w:tcPr>
          <w:p w14:paraId="4A7C424D" w14:textId="77777777" w:rsidR="00C90206" w:rsidRPr="00C90206" w:rsidRDefault="00C90206" w:rsidP="00C90206">
            <w:pPr>
              <w:spacing w:before="0" w:after="0" w:line="240" w:lineRule="auto"/>
              <w:rPr>
                <w:rFonts w:ascii="Aptos Narrow" w:eastAsia="Times New Roman" w:hAnsi="Aptos Narrow"/>
                <w:color w:val="auto"/>
                <w:sz w:val="22"/>
                <w:szCs w:val="22"/>
              </w:rPr>
            </w:pPr>
            <w:r w:rsidRPr="00C90206">
              <w:rPr>
                <w:rFonts w:ascii="Aptos Narrow" w:eastAsia="Times New Roman" w:hAnsi="Aptos Narrow"/>
                <w:color w:val="auto"/>
                <w:sz w:val="22"/>
                <w:szCs w:val="22"/>
              </w:rPr>
              <w:t> </w:t>
            </w:r>
          </w:p>
        </w:tc>
        <w:tc>
          <w:tcPr>
            <w:tcW w:w="1418" w:type="dxa"/>
            <w:tcBorders>
              <w:top w:val="nil"/>
              <w:left w:val="nil"/>
              <w:bottom w:val="single" w:sz="4" w:space="0" w:color="auto"/>
              <w:right w:val="single" w:sz="4" w:space="0" w:color="auto"/>
            </w:tcBorders>
            <w:shd w:val="clear" w:color="000000" w:fill="E8E8E8"/>
            <w:noWrap/>
            <w:vAlign w:val="bottom"/>
            <w:hideMark/>
          </w:tcPr>
          <w:p w14:paraId="1C0850ED"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276" w:type="dxa"/>
            <w:tcBorders>
              <w:top w:val="nil"/>
              <w:left w:val="nil"/>
              <w:bottom w:val="single" w:sz="4" w:space="0" w:color="auto"/>
              <w:right w:val="single" w:sz="4" w:space="0" w:color="auto"/>
            </w:tcBorders>
            <w:shd w:val="clear" w:color="000000" w:fill="E8E8E8"/>
            <w:noWrap/>
            <w:vAlign w:val="bottom"/>
            <w:hideMark/>
          </w:tcPr>
          <w:p w14:paraId="06155C7B"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p>
        </w:tc>
        <w:tc>
          <w:tcPr>
            <w:tcW w:w="1134" w:type="dxa"/>
            <w:tcBorders>
              <w:top w:val="nil"/>
              <w:left w:val="nil"/>
              <w:bottom w:val="single" w:sz="4" w:space="0" w:color="auto"/>
              <w:right w:val="single" w:sz="4" w:space="0" w:color="auto"/>
            </w:tcBorders>
            <w:shd w:val="clear" w:color="000000" w:fill="E8E8E8"/>
            <w:noWrap/>
            <w:vAlign w:val="bottom"/>
            <w:hideMark/>
          </w:tcPr>
          <w:p w14:paraId="7C899FFD" w14:textId="67C1CC9E"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w:t>
            </w:r>
            <w:r w:rsidR="008D6050">
              <w:rPr>
                <w:rFonts w:ascii="Aptos Narrow" w:eastAsia="Times New Roman" w:hAnsi="Aptos Narrow"/>
                <w:color w:val="000000"/>
                <w:sz w:val="22"/>
                <w:szCs w:val="22"/>
              </w:rPr>
              <w:t xml:space="preserve"> </w:t>
            </w:r>
          </w:p>
        </w:tc>
        <w:tc>
          <w:tcPr>
            <w:tcW w:w="2268" w:type="dxa"/>
            <w:tcBorders>
              <w:top w:val="nil"/>
              <w:left w:val="nil"/>
              <w:bottom w:val="single" w:sz="4" w:space="0" w:color="auto"/>
              <w:right w:val="single" w:sz="4" w:space="0" w:color="auto"/>
            </w:tcBorders>
            <w:shd w:val="clear" w:color="000000" w:fill="E8E8E8"/>
            <w:vAlign w:val="bottom"/>
            <w:hideMark/>
          </w:tcPr>
          <w:p w14:paraId="46CBADC9" w14:textId="77777777" w:rsidR="00C90206" w:rsidRPr="00C90206" w:rsidRDefault="00C90206" w:rsidP="00C90206">
            <w:pPr>
              <w:spacing w:before="0" w:after="0" w:line="240" w:lineRule="auto"/>
              <w:rPr>
                <w:rFonts w:ascii="Aptos Narrow" w:eastAsia="Times New Roman" w:hAnsi="Aptos Narrow"/>
                <w:color w:val="000000"/>
                <w:sz w:val="22"/>
                <w:szCs w:val="22"/>
              </w:rPr>
            </w:pPr>
            <w:r w:rsidRPr="00C90206">
              <w:rPr>
                <w:rFonts w:ascii="Aptos Narrow" w:eastAsia="Times New Roman" w:hAnsi="Aptos Narrow"/>
                <w:color w:val="000000"/>
                <w:sz w:val="22"/>
                <w:szCs w:val="22"/>
              </w:rPr>
              <w:t xml:space="preserve">Factorial </w:t>
            </w:r>
            <w:proofErr w:type="gramStart"/>
            <w:r w:rsidRPr="00C90206">
              <w:rPr>
                <w:rFonts w:ascii="Aptos Narrow" w:eastAsia="Times New Roman" w:hAnsi="Aptos Narrow"/>
                <w:color w:val="000000"/>
                <w:sz w:val="22"/>
                <w:szCs w:val="22"/>
              </w:rPr>
              <w:t>similar to</w:t>
            </w:r>
            <w:proofErr w:type="gramEnd"/>
            <w:r w:rsidRPr="00C90206">
              <w:rPr>
                <w:rFonts w:ascii="Aptos Narrow" w:eastAsia="Times New Roman" w:hAnsi="Aptos Narrow"/>
                <w:color w:val="000000"/>
                <w:sz w:val="22"/>
                <w:szCs w:val="22"/>
              </w:rPr>
              <w:t xml:space="preserve"> allometric extrapolation from adult plus GF</w:t>
            </w:r>
          </w:p>
        </w:tc>
      </w:tr>
    </w:tbl>
    <w:p w14:paraId="55DE452A" w14:textId="3209AA01" w:rsidR="004F41D4" w:rsidRDefault="004F41D4" w:rsidP="004F41D4">
      <w:pPr>
        <w:spacing w:line="240" w:lineRule="atLeast"/>
      </w:pPr>
      <w:r>
        <w:lastRenderedPageBreak/>
        <w:t xml:space="preserve">Table F.4.2. Vitamin Derivation Methods – </w:t>
      </w:r>
      <w:r w:rsidR="00FA4BCA" w:rsidRPr="008D7251">
        <w:rPr>
          <w:b/>
        </w:rPr>
        <w:fldChar w:fldCharType="begin"/>
      </w:r>
      <w:r w:rsidR="00FA4BCA" w:rsidRPr="008D7251">
        <w:rPr>
          <w:b/>
        </w:rPr>
        <w:instrText xml:space="preserve"> ADDIN EN.CITE &lt;EndNote&gt;&lt;Cite AuthorYear="1"&gt;&lt;Author&gt;NASEM&lt;/Author&gt;&lt;Year&gt;2018&lt;/Year&gt;&lt;RecNum&gt;67&lt;/RecNum&gt;&lt;DisplayText&gt;NASEM (2018)&lt;/DisplayText&gt;&lt;record&gt;&lt;rec-number&gt;67&lt;/rec-number&gt;&lt;foreign-keys&gt;&lt;key app="EN" db-id="zxfaevvrgpsxebez5ec5vspfe2av5dtxt9xx" timestamp="1754957765"&gt;67&lt;/key&gt;&lt;/foreign-keys&gt;&lt;ref-type name="Electronic Book"&gt;44&lt;/ref-type&gt;&lt;contributors&gt;&lt;authors&gt;&lt;author&gt;NASEM,&lt;/author&gt;&lt;/authors&gt;&lt;/contributors&gt;&lt;titles&gt;&lt;title&gt;Harmonization of Approaches to Nutrient Reference Values: Applications to Young Children and Women of Reproductive Age&lt;/title&gt;&lt;/titles&gt;&lt;dates&gt;&lt;year&gt;2018&lt;/year&gt;&lt;/dates&gt;&lt;pub-location&gt;Washington (DC)&lt;/pub-location&gt;&lt;publisher&gt;National Academies Press (US) &lt;/publisher&gt;&lt;accession-num&gt;30222283&lt;/accession-num&gt;&lt;urls&gt;&lt;/urls&gt;&lt;electronic-resource-num&gt;10.17226/25148&lt;/electronic-resource-num&gt;&lt;language&gt;eng&lt;/language&gt;&lt;/record&gt;&lt;/Cite&gt;&lt;/EndNote&gt;</w:instrText>
      </w:r>
      <w:r w:rsidR="00FA4BCA" w:rsidRPr="008D7251">
        <w:rPr>
          <w:b/>
        </w:rPr>
        <w:fldChar w:fldCharType="separate"/>
      </w:r>
      <w:r w:rsidR="00FA4BCA" w:rsidRPr="008D7251">
        <w:rPr>
          <w:b/>
          <w:noProof/>
        </w:rPr>
        <w:t>NASEM (2018)</w:t>
      </w:r>
      <w:r w:rsidR="00FA4BCA" w:rsidRPr="008D7251">
        <w:rPr>
          <w:b/>
        </w:rPr>
        <w:fldChar w:fldCharType="end"/>
      </w:r>
    </w:p>
    <w:p w14:paraId="4B103499" w14:textId="77777777" w:rsidR="004F41D4" w:rsidRDefault="004F41D4" w:rsidP="004F41D4">
      <w:pPr>
        <w:spacing w:line="240" w:lineRule="atLeast"/>
      </w:pPr>
      <w:r>
        <w:t xml:space="preserve">Extrapolation methods used to derive NRVs when direct evidence is insufficient. Allometric scaling uses 0.75 exponent. AI: adequate intake; EAR: estimated average requirement; UL: upper level. </w:t>
      </w:r>
    </w:p>
    <w:p w14:paraId="13BE4995" w14:textId="77777777" w:rsidR="004F41D4" w:rsidRDefault="004F41D4" w:rsidP="004F41D4">
      <w:pPr>
        <w:spacing w:line="240" w:lineRule="atLeast"/>
      </w:pPr>
    </w:p>
    <w:tbl>
      <w:tblPr>
        <w:tblW w:w="10351" w:type="dxa"/>
        <w:tblLook w:val="04A0" w:firstRow="1" w:lastRow="0" w:firstColumn="1" w:lastColumn="0" w:noHBand="0" w:noVBand="1"/>
      </w:tblPr>
      <w:tblGrid>
        <w:gridCol w:w="1553"/>
        <w:gridCol w:w="2835"/>
        <w:gridCol w:w="1491"/>
        <w:gridCol w:w="1491"/>
        <w:gridCol w:w="1280"/>
        <w:gridCol w:w="1693"/>
        <w:gridCol w:w="8"/>
      </w:tblGrid>
      <w:tr w:rsidR="00565261" w:rsidRPr="0020225B" w14:paraId="51231A83" w14:textId="77777777" w:rsidTr="006D77F5">
        <w:trPr>
          <w:trHeight w:val="340"/>
        </w:trPr>
        <w:tc>
          <w:tcPr>
            <w:tcW w:w="1553" w:type="dxa"/>
            <w:vMerge w:val="restart"/>
            <w:tcBorders>
              <w:top w:val="single" w:sz="4" w:space="0" w:color="auto"/>
              <w:left w:val="single" w:sz="4" w:space="0" w:color="auto"/>
              <w:bottom w:val="single" w:sz="4" w:space="0" w:color="auto"/>
              <w:right w:val="single" w:sz="4" w:space="0" w:color="auto"/>
            </w:tcBorders>
            <w:noWrap/>
            <w:vAlign w:val="center"/>
            <w:hideMark/>
          </w:tcPr>
          <w:p w14:paraId="199E6376"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Nutrient</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6C5A682D" w14:textId="75FE7889"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 xml:space="preserve">Extrapolation method </w:t>
            </w:r>
          </w:p>
        </w:tc>
        <w:tc>
          <w:tcPr>
            <w:tcW w:w="2982" w:type="dxa"/>
            <w:gridSpan w:val="2"/>
            <w:tcBorders>
              <w:top w:val="single" w:sz="4" w:space="0" w:color="auto"/>
              <w:left w:val="nil"/>
              <w:bottom w:val="single" w:sz="4" w:space="0" w:color="auto"/>
              <w:right w:val="single" w:sz="4" w:space="0" w:color="auto"/>
            </w:tcBorders>
            <w:noWrap/>
            <w:vAlign w:val="center"/>
            <w:hideMark/>
          </w:tcPr>
          <w:p w14:paraId="635B7D08" w14:textId="77777777" w:rsidR="0020225B" w:rsidRPr="0020225B" w:rsidRDefault="0020225B" w:rsidP="0020225B">
            <w:pPr>
              <w:spacing w:before="0" w:after="0" w:line="240" w:lineRule="auto"/>
              <w:jc w:val="center"/>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Scaling method</w:t>
            </w:r>
          </w:p>
        </w:tc>
        <w:tc>
          <w:tcPr>
            <w:tcW w:w="1280" w:type="dxa"/>
            <w:vMerge w:val="restart"/>
            <w:tcBorders>
              <w:top w:val="single" w:sz="4" w:space="0" w:color="auto"/>
              <w:left w:val="single" w:sz="4" w:space="0" w:color="auto"/>
              <w:right w:val="single" w:sz="4" w:space="0" w:color="auto"/>
            </w:tcBorders>
            <w:vAlign w:val="center"/>
            <w:hideMark/>
          </w:tcPr>
          <w:p w14:paraId="47D89152" w14:textId="0FB83C7E"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Growth Factor</w:t>
            </w:r>
          </w:p>
        </w:tc>
        <w:tc>
          <w:tcPr>
            <w:tcW w:w="1701" w:type="dxa"/>
            <w:gridSpan w:val="2"/>
            <w:vMerge w:val="restart"/>
            <w:tcBorders>
              <w:top w:val="single" w:sz="4" w:space="0" w:color="auto"/>
              <w:left w:val="single" w:sz="4" w:space="0" w:color="auto"/>
              <w:right w:val="single" w:sz="4" w:space="0" w:color="auto"/>
            </w:tcBorders>
            <w:noWrap/>
            <w:vAlign w:val="center"/>
            <w:hideMark/>
          </w:tcPr>
          <w:p w14:paraId="5A4BC277"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Other methodology</w:t>
            </w:r>
          </w:p>
        </w:tc>
      </w:tr>
      <w:tr w:rsidR="00565261" w:rsidRPr="0020225B" w14:paraId="1EEC0666" w14:textId="77777777" w:rsidTr="006D77F5">
        <w:trPr>
          <w:trHeight w:val="340"/>
        </w:trPr>
        <w:tc>
          <w:tcPr>
            <w:tcW w:w="1553" w:type="dxa"/>
            <w:vMerge/>
            <w:tcBorders>
              <w:top w:val="single" w:sz="4" w:space="0" w:color="auto"/>
              <w:left w:val="single" w:sz="4" w:space="0" w:color="auto"/>
              <w:bottom w:val="single" w:sz="4" w:space="0" w:color="auto"/>
              <w:right w:val="single" w:sz="4" w:space="0" w:color="auto"/>
            </w:tcBorders>
            <w:vAlign w:val="center"/>
            <w:hideMark/>
          </w:tcPr>
          <w:p w14:paraId="17850AF4"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601E06B"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1491" w:type="dxa"/>
            <w:tcBorders>
              <w:top w:val="nil"/>
              <w:left w:val="nil"/>
              <w:bottom w:val="single" w:sz="4" w:space="0" w:color="auto"/>
              <w:right w:val="single" w:sz="4" w:space="0" w:color="auto"/>
            </w:tcBorders>
            <w:vAlign w:val="center"/>
            <w:hideMark/>
          </w:tcPr>
          <w:p w14:paraId="710B6865" w14:textId="529B6F4C"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Allometric</w:t>
            </w:r>
          </w:p>
        </w:tc>
        <w:tc>
          <w:tcPr>
            <w:tcW w:w="1491" w:type="dxa"/>
            <w:tcBorders>
              <w:top w:val="nil"/>
              <w:left w:val="nil"/>
              <w:bottom w:val="single" w:sz="4" w:space="0" w:color="auto"/>
              <w:right w:val="single" w:sz="4" w:space="0" w:color="auto"/>
            </w:tcBorders>
            <w:noWrap/>
            <w:vAlign w:val="center"/>
            <w:hideMark/>
          </w:tcPr>
          <w:p w14:paraId="5DB0F0BD"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Isometric</w:t>
            </w:r>
          </w:p>
        </w:tc>
        <w:tc>
          <w:tcPr>
            <w:tcW w:w="1280" w:type="dxa"/>
            <w:vMerge/>
            <w:tcBorders>
              <w:left w:val="single" w:sz="4" w:space="0" w:color="auto"/>
              <w:bottom w:val="single" w:sz="4" w:space="0" w:color="auto"/>
              <w:right w:val="single" w:sz="4" w:space="0" w:color="auto"/>
            </w:tcBorders>
            <w:vAlign w:val="center"/>
            <w:hideMark/>
          </w:tcPr>
          <w:p w14:paraId="68105AD9"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1701" w:type="dxa"/>
            <w:gridSpan w:val="2"/>
            <w:vMerge/>
            <w:tcBorders>
              <w:left w:val="single" w:sz="4" w:space="0" w:color="auto"/>
              <w:bottom w:val="single" w:sz="4" w:space="0" w:color="auto"/>
              <w:right w:val="single" w:sz="4" w:space="0" w:color="auto"/>
            </w:tcBorders>
            <w:vAlign w:val="center"/>
            <w:hideMark/>
          </w:tcPr>
          <w:p w14:paraId="567A2F04"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r>
      <w:tr w:rsidR="0020225B" w:rsidRPr="0020225B" w14:paraId="41BBED15" w14:textId="77777777" w:rsidTr="006D77F5">
        <w:trPr>
          <w:trHeight w:val="432"/>
        </w:trPr>
        <w:tc>
          <w:tcPr>
            <w:tcW w:w="1553" w:type="dxa"/>
            <w:tcBorders>
              <w:top w:val="nil"/>
              <w:left w:val="single" w:sz="4" w:space="0" w:color="auto"/>
              <w:bottom w:val="single" w:sz="4" w:space="0" w:color="auto"/>
              <w:right w:val="single" w:sz="4" w:space="0" w:color="auto"/>
            </w:tcBorders>
            <w:noWrap/>
            <w:vAlign w:val="bottom"/>
            <w:hideMark/>
          </w:tcPr>
          <w:p w14:paraId="5AB111E0"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Biotin</w:t>
            </w:r>
          </w:p>
        </w:tc>
        <w:tc>
          <w:tcPr>
            <w:tcW w:w="2835" w:type="dxa"/>
            <w:tcBorders>
              <w:top w:val="nil"/>
              <w:left w:val="nil"/>
              <w:bottom w:val="single" w:sz="4" w:space="0" w:color="auto"/>
              <w:right w:val="single" w:sz="4" w:space="0" w:color="auto"/>
            </w:tcBorders>
            <w:noWrap/>
            <w:vAlign w:val="bottom"/>
            <w:hideMark/>
          </w:tcPr>
          <w:p w14:paraId="56079897"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0–6m</w:t>
            </w: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7–12m</w:t>
            </w:r>
            <w:r w:rsidRPr="0020225B">
              <w:rPr>
                <w:rFonts w:ascii="Aptos Narrow" w:eastAsia="Times New Roman" w:hAnsi="Aptos Narrow"/>
                <w:color w:val="auto"/>
                <w:sz w:val="22"/>
                <w:szCs w:val="22"/>
              </w:rPr>
              <w:t>, 1–18y, adult</w:t>
            </w:r>
          </w:p>
        </w:tc>
        <w:tc>
          <w:tcPr>
            <w:tcW w:w="1491" w:type="dxa"/>
            <w:tcBorders>
              <w:top w:val="nil"/>
              <w:left w:val="nil"/>
              <w:bottom w:val="single" w:sz="4" w:space="0" w:color="auto"/>
              <w:right w:val="single" w:sz="4" w:space="0" w:color="auto"/>
            </w:tcBorders>
            <w:noWrap/>
            <w:vAlign w:val="bottom"/>
            <w:hideMark/>
          </w:tcPr>
          <w:p w14:paraId="7C75B563"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4ABCA3AE"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41E028D8"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701" w:type="dxa"/>
            <w:gridSpan w:val="2"/>
            <w:tcBorders>
              <w:top w:val="nil"/>
              <w:left w:val="nil"/>
              <w:bottom w:val="single" w:sz="4" w:space="0" w:color="auto"/>
              <w:right w:val="single" w:sz="4" w:space="0" w:color="auto"/>
            </w:tcBorders>
            <w:noWrap/>
            <w:vAlign w:val="bottom"/>
            <w:hideMark/>
          </w:tcPr>
          <w:p w14:paraId="4F8BD01E"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66D265DA" w14:textId="77777777" w:rsidTr="006D77F5">
        <w:trPr>
          <w:trHeight w:val="312"/>
        </w:trPr>
        <w:tc>
          <w:tcPr>
            <w:tcW w:w="1553"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618324D4"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Folate</w:t>
            </w:r>
          </w:p>
        </w:tc>
        <w:tc>
          <w:tcPr>
            <w:tcW w:w="2835" w:type="dxa"/>
            <w:tcBorders>
              <w:top w:val="nil"/>
              <w:left w:val="nil"/>
              <w:bottom w:val="single" w:sz="4" w:space="0" w:color="auto"/>
              <w:right w:val="single" w:sz="4" w:space="0" w:color="auto"/>
            </w:tcBorders>
            <w:shd w:val="clear" w:color="000000" w:fill="E8E8E8"/>
            <w:noWrap/>
            <w:vAlign w:val="bottom"/>
            <w:hideMark/>
          </w:tcPr>
          <w:p w14:paraId="7F28CFEC"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0–6m</w:t>
            </w:r>
            <w:r w:rsidRPr="0020225B">
              <w:rPr>
                <w:rFonts w:ascii="Aptos Narrow" w:eastAsia="Times New Roman" w:hAnsi="Aptos Narrow"/>
                <w:color w:val="auto"/>
                <w:sz w:val="22"/>
                <w:szCs w:val="22"/>
              </w:rPr>
              <w:t xml:space="preserve"> →AI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shd w:val="clear" w:color="000000" w:fill="E8E8E8"/>
            <w:noWrap/>
            <w:vAlign w:val="bottom"/>
            <w:hideMark/>
          </w:tcPr>
          <w:p w14:paraId="5BBD9B0D"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13F2278E"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4BE4204B"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701" w:type="dxa"/>
            <w:gridSpan w:val="2"/>
            <w:tcBorders>
              <w:top w:val="nil"/>
              <w:left w:val="nil"/>
              <w:bottom w:val="single" w:sz="4" w:space="0" w:color="auto"/>
              <w:right w:val="single" w:sz="4" w:space="0" w:color="auto"/>
            </w:tcBorders>
            <w:shd w:val="clear" w:color="000000" w:fill="E8E8E8"/>
            <w:noWrap/>
            <w:vAlign w:val="bottom"/>
            <w:hideMark/>
          </w:tcPr>
          <w:p w14:paraId="09B7AF7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51647683" w14:textId="77777777" w:rsidTr="006D77F5">
        <w:trPr>
          <w:trHeight w:val="312"/>
        </w:trPr>
        <w:tc>
          <w:tcPr>
            <w:tcW w:w="1553" w:type="dxa"/>
            <w:vMerge/>
            <w:tcBorders>
              <w:top w:val="nil"/>
              <w:left w:val="single" w:sz="4" w:space="0" w:color="auto"/>
              <w:bottom w:val="single" w:sz="4" w:space="0" w:color="auto"/>
              <w:right w:val="single" w:sz="4" w:space="0" w:color="auto"/>
            </w:tcBorders>
            <w:vAlign w:val="center"/>
            <w:hideMark/>
          </w:tcPr>
          <w:p w14:paraId="309A5A4D"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2C870A59"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→AI</w:t>
            </w:r>
            <w:proofErr w:type="spellEnd"/>
            <w:r w:rsidRPr="0020225B">
              <w:rPr>
                <w:rFonts w:ascii="Aptos Narrow" w:eastAsia="Times New Roman" w:hAnsi="Aptos Narrow"/>
                <w:color w:val="auto"/>
                <w:sz w:val="22"/>
                <w:szCs w:val="22"/>
              </w:rPr>
              <w:t xml:space="preserve">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shd w:val="clear" w:color="000000" w:fill="E8E8E8"/>
            <w:noWrap/>
            <w:vAlign w:val="bottom"/>
            <w:hideMark/>
          </w:tcPr>
          <w:p w14:paraId="53A4D20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7519F3E9" w14:textId="581C4720" w:rsidR="0020225B" w:rsidRPr="0020225B" w:rsidRDefault="00F15550" w:rsidP="0020225B">
            <w:pPr>
              <w:spacing w:before="0" w:after="0" w:line="240" w:lineRule="auto"/>
              <w:rPr>
                <w:rFonts w:ascii="Aptos Narrow" w:eastAsia="Times New Roman" w:hAnsi="Aptos Narrow"/>
                <w:color w:val="000000"/>
                <w:sz w:val="22"/>
                <w:szCs w:val="22"/>
              </w:rPr>
            </w:pPr>
            <w:r>
              <w:rPr>
                <w:rFonts w:ascii="Aptos Narrow" w:eastAsia="Times New Roman" w:hAnsi="Aptos Narrow"/>
                <w:color w:val="000000"/>
                <w:sz w:val="22"/>
                <w:szCs w:val="22"/>
              </w:rPr>
              <w:t xml:space="preserve"> </w:t>
            </w:r>
          </w:p>
        </w:tc>
        <w:tc>
          <w:tcPr>
            <w:tcW w:w="1280" w:type="dxa"/>
            <w:tcBorders>
              <w:top w:val="nil"/>
              <w:left w:val="nil"/>
              <w:bottom w:val="single" w:sz="4" w:space="0" w:color="auto"/>
              <w:right w:val="single" w:sz="4" w:space="0" w:color="auto"/>
            </w:tcBorders>
            <w:shd w:val="clear" w:color="000000" w:fill="E8E8E8"/>
            <w:noWrap/>
            <w:vAlign w:val="bottom"/>
            <w:hideMark/>
          </w:tcPr>
          <w:p w14:paraId="7FAF39A3"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701" w:type="dxa"/>
            <w:gridSpan w:val="2"/>
            <w:tcBorders>
              <w:top w:val="nil"/>
              <w:left w:val="nil"/>
              <w:bottom w:val="single" w:sz="4" w:space="0" w:color="auto"/>
              <w:right w:val="single" w:sz="4" w:space="0" w:color="auto"/>
            </w:tcBorders>
            <w:shd w:val="clear" w:color="000000" w:fill="E8E8E8"/>
            <w:noWrap/>
            <w:vAlign w:val="bottom"/>
            <w:hideMark/>
          </w:tcPr>
          <w:p w14:paraId="0043162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4912EEDA" w14:textId="77777777" w:rsidTr="006D77F5">
        <w:trPr>
          <w:trHeight w:val="312"/>
        </w:trPr>
        <w:tc>
          <w:tcPr>
            <w:tcW w:w="1553" w:type="dxa"/>
            <w:vMerge/>
            <w:tcBorders>
              <w:top w:val="nil"/>
              <w:left w:val="single" w:sz="4" w:space="0" w:color="auto"/>
              <w:bottom w:val="single" w:sz="4" w:space="0" w:color="auto"/>
              <w:right w:val="single" w:sz="4" w:space="0" w:color="auto"/>
            </w:tcBorders>
            <w:vAlign w:val="center"/>
            <w:hideMark/>
          </w:tcPr>
          <w:p w14:paraId="3AAF9BB1"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7DF496B6"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→EAR</w:t>
            </w:r>
            <w:r w:rsidRPr="0020225B">
              <w:rPr>
                <w:rFonts w:ascii="Aptos Narrow" w:eastAsia="Times New Roman" w:hAnsi="Aptos Narrow"/>
                <w:color w:val="auto"/>
                <w:sz w:val="22"/>
                <w:szCs w:val="22"/>
                <w:vertAlign w:val="subscript"/>
              </w:rPr>
              <w:t>child</w:t>
            </w:r>
            <w:proofErr w:type="spellEnd"/>
          </w:p>
        </w:tc>
        <w:tc>
          <w:tcPr>
            <w:tcW w:w="1491" w:type="dxa"/>
            <w:tcBorders>
              <w:top w:val="nil"/>
              <w:left w:val="nil"/>
              <w:bottom w:val="single" w:sz="4" w:space="0" w:color="auto"/>
              <w:right w:val="single" w:sz="4" w:space="0" w:color="auto"/>
            </w:tcBorders>
            <w:shd w:val="clear" w:color="000000" w:fill="E8E8E8"/>
            <w:noWrap/>
            <w:vAlign w:val="bottom"/>
            <w:hideMark/>
          </w:tcPr>
          <w:p w14:paraId="2B46B3E9"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5270CBC8"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4C46A533"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701" w:type="dxa"/>
            <w:gridSpan w:val="2"/>
            <w:tcBorders>
              <w:top w:val="nil"/>
              <w:left w:val="nil"/>
              <w:bottom w:val="single" w:sz="4" w:space="0" w:color="auto"/>
              <w:right w:val="single" w:sz="4" w:space="0" w:color="auto"/>
            </w:tcBorders>
            <w:shd w:val="clear" w:color="000000" w:fill="E8E8E8"/>
            <w:noWrap/>
            <w:vAlign w:val="bottom"/>
            <w:hideMark/>
          </w:tcPr>
          <w:p w14:paraId="4D3C84CC"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34546A07" w14:textId="77777777" w:rsidTr="006D77F5">
        <w:trPr>
          <w:trHeight w:val="312"/>
        </w:trPr>
        <w:tc>
          <w:tcPr>
            <w:tcW w:w="1553" w:type="dxa"/>
            <w:vMerge/>
            <w:tcBorders>
              <w:top w:val="nil"/>
              <w:left w:val="single" w:sz="4" w:space="0" w:color="auto"/>
              <w:bottom w:val="single" w:sz="4" w:space="0" w:color="auto"/>
              <w:right w:val="single" w:sz="4" w:space="0" w:color="auto"/>
            </w:tcBorders>
            <w:vAlign w:val="center"/>
            <w:hideMark/>
          </w:tcPr>
          <w:p w14:paraId="384CB069"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7118726D"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UL </w:t>
            </w:r>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 xml:space="preserve"> →UL </w:t>
            </w:r>
            <w:r w:rsidRPr="0020225B">
              <w:rPr>
                <w:rFonts w:ascii="Aptos Narrow" w:eastAsia="Times New Roman" w:hAnsi="Aptos Narrow"/>
                <w:color w:val="auto"/>
                <w:sz w:val="22"/>
                <w:szCs w:val="22"/>
                <w:vertAlign w:val="subscript"/>
              </w:rPr>
              <w:t>child</w:t>
            </w:r>
          </w:p>
        </w:tc>
        <w:tc>
          <w:tcPr>
            <w:tcW w:w="1491" w:type="dxa"/>
            <w:tcBorders>
              <w:top w:val="nil"/>
              <w:left w:val="nil"/>
              <w:bottom w:val="single" w:sz="4" w:space="0" w:color="auto"/>
              <w:right w:val="single" w:sz="4" w:space="0" w:color="auto"/>
            </w:tcBorders>
            <w:shd w:val="clear" w:color="000000" w:fill="E8E8E8"/>
            <w:noWrap/>
            <w:vAlign w:val="bottom"/>
            <w:hideMark/>
          </w:tcPr>
          <w:p w14:paraId="51EAA7F9"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323AD659"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163DD479"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701" w:type="dxa"/>
            <w:gridSpan w:val="2"/>
            <w:tcBorders>
              <w:top w:val="nil"/>
              <w:left w:val="nil"/>
              <w:bottom w:val="single" w:sz="4" w:space="0" w:color="auto"/>
              <w:right w:val="single" w:sz="4" w:space="0" w:color="auto"/>
            </w:tcBorders>
            <w:shd w:val="clear" w:color="000000" w:fill="E8E8E8"/>
            <w:noWrap/>
            <w:vAlign w:val="bottom"/>
            <w:hideMark/>
          </w:tcPr>
          <w:p w14:paraId="5D0CEC03"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49B79CE0" w14:textId="77777777" w:rsidTr="006D77F5">
        <w:trPr>
          <w:trHeight w:val="312"/>
        </w:trPr>
        <w:tc>
          <w:tcPr>
            <w:tcW w:w="1553" w:type="dxa"/>
            <w:vMerge w:val="restart"/>
            <w:tcBorders>
              <w:top w:val="nil"/>
              <w:left w:val="single" w:sz="4" w:space="0" w:color="auto"/>
              <w:bottom w:val="single" w:sz="4" w:space="0" w:color="auto"/>
              <w:right w:val="single" w:sz="4" w:space="0" w:color="auto"/>
            </w:tcBorders>
            <w:noWrap/>
            <w:vAlign w:val="center"/>
            <w:hideMark/>
          </w:tcPr>
          <w:p w14:paraId="1A79CCEA"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Niacin</w:t>
            </w:r>
          </w:p>
        </w:tc>
        <w:tc>
          <w:tcPr>
            <w:tcW w:w="2835" w:type="dxa"/>
            <w:tcBorders>
              <w:top w:val="nil"/>
              <w:left w:val="nil"/>
              <w:bottom w:val="single" w:sz="4" w:space="0" w:color="auto"/>
              <w:right w:val="single" w:sz="4" w:space="0" w:color="auto"/>
            </w:tcBorders>
            <w:noWrap/>
            <w:vAlign w:val="bottom"/>
            <w:hideMark/>
          </w:tcPr>
          <w:p w14:paraId="4DB6E50E"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→EAR</w:t>
            </w:r>
            <w:r w:rsidRPr="0020225B">
              <w:rPr>
                <w:rFonts w:ascii="Aptos Narrow" w:eastAsia="Times New Roman" w:hAnsi="Aptos Narrow"/>
                <w:color w:val="auto"/>
                <w:sz w:val="22"/>
                <w:szCs w:val="22"/>
                <w:vertAlign w:val="subscript"/>
              </w:rPr>
              <w:t>child</w:t>
            </w:r>
            <w:proofErr w:type="spellEnd"/>
          </w:p>
        </w:tc>
        <w:tc>
          <w:tcPr>
            <w:tcW w:w="1491" w:type="dxa"/>
            <w:tcBorders>
              <w:top w:val="nil"/>
              <w:left w:val="nil"/>
              <w:bottom w:val="single" w:sz="4" w:space="0" w:color="auto"/>
              <w:right w:val="single" w:sz="4" w:space="0" w:color="auto"/>
            </w:tcBorders>
            <w:noWrap/>
            <w:vAlign w:val="bottom"/>
            <w:hideMark/>
          </w:tcPr>
          <w:p w14:paraId="7C7E1ED4"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0D719591"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59839A8A"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701" w:type="dxa"/>
            <w:gridSpan w:val="2"/>
            <w:tcBorders>
              <w:top w:val="nil"/>
              <w:left w:val="nil"/>
              <w:bottom w:val="single" w:sz="4" w:space="0" w:color="auto"/>
              <w:right w:val="single" w:sz="4" w:space="0" w:color="auto"/>
            </w:tcBorders>
            <w:noWrap/>
            <w:vAlign w:val="bottom"/>
            <w:hideMark/>
          </w:tcPr>
          <w:p w14:paraId="28CC892F"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7DC8CAFA" w14:textId="77777777" w:rsidTr="006D77F5">
        <w:trPr>
          <w:trHeight w:val="312"/>
        </w:trPr>
        <w:tc>
          <w:tcPr>
            <w:tcW w:w="1553" w:type="dxa"/>
            <w:vMerge/>
            <w:tcBorders>
              <w:top w:val="nil"/>
              <w:left w:val="single" w:sz="4" w:space="0" w:color="auto"/>
              <w:bottom w:val="single" w:sz="4" w:space="0" w:color="auto"/>
              <w:right w:val="single" w:sz="4" w:space="0" w:color="auto"/>
            </w:tcBorders>
            <w:vAlign w:val="center"/>
            <w:hideMark/>
          </w:tcPr>
          <w:p w14:paraId="240A1E2F"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noWrap/>
            <w:vAlign w:val="bottom"/>
            <w:hideMark/>
          </w:tcPr>
          <w:p w14:paraId="3334BEA0"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→AI</w:t>
            </w:r>
            <w:proofErr w:type="spellEnd"/>
            <w:r w:rsidRPr="0020225B">
              <w:rPr>
                <w:rFonts w:ascii="Aptos Narrow" w:eastAsia="Times New Roman" w:hAnsi="Aptos Narrow"/>
                <w:color w:val="auto"/>
                <w:sz w:val="22"/>
                <w:szCs w:val="22"/>
              </w:rPr>
              <w:t xml:space="preserve">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noWrap/>
            <w:vAlign w:val="bottom"/>
            <w:hideMark/>
          </w:tcPr>
          <w:p w14:paraId="0981D9E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5590CA88"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2EB6A0EB"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701" w:type="dxa"/>
            <w:gridSpan w:val="2"/>
            <w:tcBorders>
              <w:top w:val="nil"/>
              <w:left w:val="nil"/>
              <w:bottom w:val="single" w:sz="4" w:space="0" w:color="auto"/>
              <w:right w:val="single" w:sz="4" w:space="0" w:color="auto"/>
            </w:tcBorders>
            <w:noWrap/>
            <w:vAlign w:val="bottom"/>
            <w:hideMark/>
          </w:tcPr>
          <w:p w14:paraId="2F482539"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365D3467" w14:textId="77777777" w:rsidTr="006D77F5">
        <w:trPr>
          <w:trHeight w:val="312"/>
        </w:trPr>
        <w:tc>
          <w:tcPr>
            <w:tcW w:w="1553" w:type="dxa"/>
            <w:vMerge/>
            <w:tcBorders>
              <w:top w:val="nil"/>
              <w:left w:val="single" w:sz="4" w:space="0" w:color="auto"/>
              <w:bottom w:val="single" w:sz="4" w:space="0" w:color="auto"/>
              <w:right w:val="single" w:sz="4" w:space="0" w:color="auto"/>
            </w:tcBorders>
            <w:vAlign w:val="center"/>
            <w:hideMark/>
          </w:tcPr>
          <w:p w14:paraId="1B1FDFC5"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noWrap/>
            <w:vAlign w:val="bottom"/>
            <w:hideMark/>
          </w:tcPr>
          <w:p w14:paraId="30D8414A"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UL </w:t>
            </w:r>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 xml:space="preserve"> →UL </w:t>
            </w:r>
            <w:r w:rsidRPr="0020225B">
              <w:rPr>
                <w:rFonts w:ascii="Aptos Narrow" w:eastAsia="Times New Roman" w:hAnsi="Aptos Narrow"/>
                <w:color w:val="auto"/>
                <w:sz w:val="22"/>
                <w:szCs w:val="22"/>
                <w:vertAlign w:val="subscript"/>
              </w:rPr>
              <w:t>child</w:t>
            </w:r>
          </w:p>
        </w:tc>
        <w:tc>
          <w:tcPr>
            <w:tcW w:w="1491" w:type="dxa"/>
            <w:tcBorders>
              <w:top w:val="nil"/>
              <w:left w:val="nil"/>
              <w:bottom w:val="single" w:sz="4" w:space="0" w:color="auto"/>
              <w:right w:val="single" w:sz="4" w:space="0" w:color="auto"/>
            </w:tcBorders>
            <w:noWrap/>
            <w:vAlign w:val="bottom"/>
            <w:hideMark/>
          </w:tcPr>
          <w:p w14:paraId="734D7A9D"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7E65C4DA"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213DEE16"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701" w:type="dxa"/>
            <w:gridSpan w:val="2"/>
            <w:tcBorders>
              <w:top w:val="nil"/>
              <w:left w:val="nil"/>
              <w:bottom w:val="single" w:sz="4" w:space="0" w:color="auto"/>
              <w:right w:val="single" w:sz="4" w:space="0" w:color="auto"/>
            </w:tcBorders>
            <w:noWrap/>
            <w:vAlign w:val="bottom"/>
            <w:hideMark/>
          </w:tcPr>
          <w:p w14:paraId="5FE38474"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11CCBCAA" w14:textId="77777777" w:rsidTr="006D77F5">
        <w:trPr>
          <w:gridAfter w:val="1"/>
          <w:wAfter w:w="8" w:type="dxa"/>
          <w:trHeight w:val="288"/>
        </w:trPr>
        <w:tc>
          <w:tcPr>
            <w:tcW w:w="1553"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30B01A3A"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Pantothenic acid</w:t>
            </w:r>
          </w:p>
        </w:tc>
        <w:tc>
          <w:tcPr>
            <w:tcW w:w="2835" w:type="dxa"/>
            <w:tcBorders>
              <w:top w:val="nil"/>
              <w:left w:val="nil"/>
              <w:bottom w:val="single" w:sz="4" w:space="0" w:color="auto"/>
              <w:right w:val="single" w:sz="4" w:space="0" w:color="auto"/>
            </w:tcBorders>
            <w:shd w:val="clear" w:color="000000" w:fill="E8E8E8"/>
            <w:noWrap/>
            <w:vAlign w:val="bottom"/>
            <w:hideMark/>
          </w:tcPr>
          <w:p w14:paraId="6EEAEF7F" w14:textId="77777777" w:rsidR="0020225B" w:rsidRPr="0020225B" w:rsidRDefault="0020225B" w:rsidP="0020225B">
            <w:pPr>
              <w:spacing w:before="0" w:after="0" w:line="240" w:lineRule="auto"/>
              <w:rPr>
                <w:rFonts w:ascii="Aptos Narrow" w:eastAsia="Times New Roman" w:hAnsi="Aptos Narrow"/>
                <w:color w:val="auto"/>
                <w:sz w:val="22"/>
                <w:szCs w:val="22"/>
              </w:rPr>
            </w:pPr>
            <w:proofErr w:type="spellStart"/>
            <w:r w:rsidRPr="0020225B">
              <w:rPr>
                <w:rFonts w:ascii="Aptos Narrow" w:eastAsia="Times New Roman" w:hAnsi="Aptos Narrow"/>
                <w:color w:val="auto"/>
                <w:sz w:val="22"/>
                <w:szCs w:val="22"/>
              </w:rPr>
              <w:t>adult→children</w:t>
            </w:r>
            <w:proofErr w:type="spellEnd"/>
          </w:p>
        </w:tc>
        <w:tc>
          <w:tcPr>
            <w:tcW w:w="1491" w:type="dxa"/>
            <w:tcBorders>
              <w:top w:val="nil"/>
              <w:left w:val="nil"/>
              <w:bottom w:val="single" w:sz="4" w:space="0" w:color="auto"/>
              <w:right w:val="single" w:sz="4" w:space="0" w:color="auto"/>
            </w:tcBorders>
            <w:shd w:val="clear" w:color="000000" w:fill="E8E8E8"/>
            <w:noWrap/>
            <w:vAlign w:val="bottom"/>
            <w:hideMark/>
          </w:tcPr>
          <w:p w14:paraId="45F2BF77"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0CA81A77"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280BFFBA"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693" w:type="dxa"/>
            <w:tcBorders>
              <w:top w:val="nil"/>
              <w:left w:val="nil"/>
              <w:bottom w:val="single" w:sz="4" w:space="0" w:color="auto"/>
              <w:right w:val="single" w:sz="4" w:space="0" w:color="auto"/>
            </w:tcBorders>
            <w:shd w:val="clear" w:color="000000" w:fill="E8E8E8"/>
            <w:noWrap/>
            <w:vAlign w:val="bottom"/>
            <w:hideMark/>
          </w:tcPr>
          <w:p w14:paraId="6F5E5AC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5A3DC392" w14:textId="77777777" w:rsidTr="006D77F5">
        <w:trPr>
          <w:gridAfter w:val="1"/>
          <w:wAfter w:w="8" w:type="dxa"/>
          <w:trHeight w:val="312"/>
        </w:trPr>
        <w:tc>
          <w:tcPr>
            <w:tcW w:w="1553" w:type="dxa"/>
            <w:vMerge/>
            <w:tcBorders>
              <w:top w:val="nil"/>
              <w:left w:val="single" w:sz="4" w:space="0" w:color="auto"/>
              <w:bottom w:val="single" w:sz="4" w:space="0" w:color="auto"/>
              <w:right w:val="single" w:sz="4" w:space="0" w:color="auto"/>
            </w:tcBorders>
            <w:vAlign w:val="center"/>
            <w:hideMark/>
          </w:tcPr>
          <w:p w14:paraId="766E86B8"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center"/>
            <w:hideMark/>
          </w:tcPr>
          <w:p w14:paraId="09332D32"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0–6m</w:t>
            </w: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shd w:val="clear" w:color="000000" w:fill="E8E8E8"/>
            <w:noWrap/>
            <w:vAlign w:val="bottom"/>
            <w:hideMark/>
          </w:tcPr>
          <w:p w14:paraId="0B597D7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032E9E04"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2E70AEE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693" w:type="dxa"/>
            <w:tcBorders>
              <w:top w:val="nil"/>
              <w:left w:val="nil"/>
              <w:bottom w:val="single" w:sz="4" w:space="0" w:color="auto"/>
              <w:right w:val="single" w:sz="4" w:space="0" w:color="auto"/>
            </w:tcBorders>
            <w:shd w:val="clear" w:color="000000" w:fill="E8E8E8"/>
            <w:noWrap/>
            <w:vAlign w:val="bottom"/>
            <w:hideMark/>
          </w:tcPr>
          <w:p w14:paraId="33F1ED1F"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198C409D" w14:textId="77777777" w:rsidTr="006D77F5">
        <w:trPr>
          <w:gridAfter w:val="1"/>
          <w:wAfter w:w="8" w:type="dxa"/>
          <w:trHeight w:val="312"/>
        </w:trPr>
        <w:tc>
          <w:tcPr>
            <w:tcW w:w="1553" w:type="dxa"/>
            <w:vMerge w:val="restart"/>
            <w:tcBorders>
              <w:top w:val="nil"/>
              <w:left w:val="single" w:sz="4" w:space="0" w:color="auto"/>
              <w:bottom w:val="single" w:sz="4" w:space="0" w:color="auto"/>
              <w:right w:val="single" w:sz="4" w:space="0" w:color="auto"/>
            </w:tcBorders>
            <w:noWrap/>
            <w:vAlign w:val="center"/>
            <w:hideMark/>
          </w:tcPr>
          <w:p w14:paraId="3DAE3799"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Riboflavin</w:t>
            </w:r>
          </w:p>
        </w:tc>
        <w:tc>
          <w:tcPr>
            <w:tcW w:w="2835" w:type="dxa"/>
            <w:tcBorders>
              <w:top w:val="nil"/>
              <w:left w:val="nil"/>
              <w:bottom w:val="single" w:sz="4" w:space="0" w:color="auto"/>
              <w:right w:val="single" w:sz="4" w:space="0" w:color="auto"/>
            </w:tcBorders>
            <w:noWrap/>
            <w:vAlign w:val="bottom"/>
            <w:hideMark/>
          </w:tcPr>
          <w:p w14:paraId="5F97B382"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→EAR</w:t>
            </w:r>
            <w:r w:rsidRPr="0020225B">
              <w:rPr>
                <w:rFonts w:ascii="Aptos Narrow" w:eastAsia="Times New Roman" w:hAnsi="Aptos Narrow"/>
                <w:color w:val="auto"/>
                <w:sz w:val="22"/>
                <w:szCs w:val="22"/>
                <w:vertAlign w:val="subscript"/>
              </w:rPr>
              <w:t>child</w:t>
            </w:r>
            <w:proofErr w:type="spellEnd"/>
          </w:p>
        </w:tc>
        <w:tc>
          <w:tcPr>
            <w:tcW w:w="1491" w:type="dxa"/>
            <w:tcBorders>
              <w:top w:val="nil"/>
              <w:left w:val="nil"/>
              <w:bottom w:val="single" w:sz="4" w:space="0" w:color="auto"/>
              <w:right w:val="single" w:sz="4" w:space="0" w:color="auto"/>
            </w:tcBorders>
            <w:noWrap/>
            <w:vAlign w:val="bottom"/>
            <w:hideMark/>
          </w:tcPr>
          <w:p w14:paraId="59CE74A4"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605D9F6D"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02BA0F5D"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693" w:type="dxa"/>
            <w:tcBorders>
              <w:top w:val="nil"/>
              <w:left w:val="nil"/>
              <w:bottom w:val="single" w:sz="4" w:space="0" w:color="auto"/>
              <w:right w:val="single" w:sz="4" w:space="0" w:color="auto"/>
            </w:tcBorders>
            <w:noWrap/>
            <w:vAlign w:val="bottom"/>
            <w:hideMark/>
          </w:tcPr>
          <w:p w14:paraId="36EC1271"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44F8F44A" w14:textId="77777777" w:rsidTr="006D77F5">
        <w:trPr>
          <w:gridAfter w:val="1"/>
          <w:wAfter w:w="8" w:type="dxa"/>
          <w:trHeight w:val="312"/>
        </w:trPr>
        <w:tc>
          <w:tcPr>
            <w:tcW w:w="1553" w:type="dxa"/>
            <w:vMerge/>
            <w:tcBorders>
              <w:top w:val="nil"/>
              <w:left w:val="single" w:sz="4" w:space="0" w:color="auto"/>
              <w:bottom w:val="single" w:sz="4" w:space="0" w:color="auto"/>
              <w:right w:val="single" w:sz="4" w:space="0" w:color="auto"/>
            </w:tcBorders>
            <w:vAlign w:val="center"/>
            <w:hideMark/>
          </w:tcPr>
          <w:p w14:paraId="34977D0F"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noWrap/>
            <w:vAlign w:val="bottom"/>
            <w:hideMark/>
          </w:tcPr>
          <w:p w14:paraId="32A580DE"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0–6m</w:t>
            </w:r>
            <w:r w:rsidRPr="0020225B">
              <w:rPr>
                <w:rFonts w:ascii="Aptos Narrow" w:eastAsia="Times New Roman" w:hAnsi="Aptos Narrow"/>
                <w:color w:val="auto"/>
                <w:sz w:val="22"/>
                <w:szCs w:val="22"/>
              </w:rPr>
              <w:t xml:space="preserve"> →AI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noWrap/>
            <w:vAlign w:val="bottom"/>
            <w:hideMark/>
          </w:tcPr>
          <w:p w14:paraId="124D8504"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42F49F0E"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3D86A33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693" w:type="dxa"/>
            <w:tcBorders>
              <w:top w:val="nil"/>
              <w:left w:val="nil"/>
              <w:bottom w:val="single" w:sz="4" w:space="0" w:color="auto"/>
              <w:right w:val="single" w:sz="4" w:space="0" w:color="auto"/>
            </w:tcBorders>
            <w:noWrap/>
            <w:vAlign w:val="bottom"/>
            <w:hideMark/>
          </w:tcPr>
          <w:p w14:paraId="712F7719"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1B5D3BF9" w14:textId="77777777" w:rsidTr="006D77F5">
        <w:trPr>
          <w:gridAfter w:val="1"/>
          <w:wAfter w:w="8" w:type="dxa"/>
          <w:trHeight w:val="312"/>
        </w:trPr>
        <w:tc>
          <w:tcPr>
            <w:tcW w:w="1553"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1DC09E9D"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roofErr w:type="spellStart"/>
            <w:r w:rsidRPr="0020225B">
              <w:rPr>
                <w:rFonts w:ascii="Aptos Narrow" w:eastAsia="Times New Roman" w:hAnsi="Aptos Narrow"/>
                <w:b/>
                <w:bCs/>
                <w:color w:val="000000"/>
                <w:sz w:val="22"/>
                <w:szCs w:val="22"/>
              </w:rPr>
              <w:t>Thiamin</w:t>
            </w:r>
            <w:proofErr w:type="spellEnd"/>
          </w:p>
        </w:tc>
        <w:tc>
          <w:tcPr>
            <w:tcW w:w="2835" w:type="dxa"/>
            <w:tcBorders>
              <w:top w:val="nil"/>
              <w:left w:val="nil"/>
              <w:bottom w:val="single" w:sz="4" w:space="0" w:color="auto"/>
              <w:right w:val="single" w:sz="4" w:space="0" w:color="auto"/>
            </w:tcBorders>
            <w:shd w:val="clear" w:color="000000" w:fill="E8E8E8"/>
            <w:noWrap/>
            <w:vAlign w:val="bottom"/>
            <w:hideMark/>
          </w:tcPr>
          <w:p w14:paraId="0191BDD0"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→EAR</w:t>
            </w:r>
            <w:r w:rsidRPr="0020225B">
              <w:rPr>
                <w:rFonts w:ascii="Aptos Narrow" w:eastAsia="Times New Roman" w:hAnsi="Aptos Narrow"/>
                <w:color w:val="auto"/>
                <w:sz w:val="22"/>
                <w:szCs w:val="22"/>
                <w:vertAlign w:val="subscript"/>
              </w:rPr>
              <w:t>child</w:t>
            </w:r>
            <w:proofErr w:type="spellEnd"/>
          </w:p>
        </w:tc>
        <w:tc>
          <w:tcPr>
            <w:tcW w:w="1491" w:type="dxa"/>
            <w:tcBorders>
              <w:top w:val="nil"/>
              <w:left w:val="nil"/>
              <w:bottom w:val="single" w:sz="4" w:space="0" w:color="auto"/>
              <w:right w:val="single" w:sz="4" w:space="0" w:color="auto"/>
            </w:tcBorders>
            <w:shd w:val="clear" w:color="000000" w:fill="E8E8E8"/>
            <w:noWrap/>
            <w:vAlign w:val="bottom"/>
            <w:hideMark/>
          </w:tcPr>
          <w:p w14:paraId="4F2B80B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52F505FB"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1CF340E8"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693" w:type="dxa"/>
            <w:tcBorders>
              <w:top w:val="nil"/>
              <w:left w:val="nil"/>
              <w:bottom w:val="single" w:sz="4" w:space="0" w:color="auto"/>
              <w:right w:val="single" w:sz="4" w:space="0" w:color="auto"/>
            </w:tcBorders>
            <w:shd w:val="clear" w:color="000000" w:fill="E8E8E8"/>
            <w:noWrap/>
            <w:vAlign w:val="bottom"/>
            <w:hideMark/>
          </w:tcPr>
          <w:p w14:paraId="3B0DCC23"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4EE42ACE" w14:textId="77777777" w:rsidTr="006D77F5">
        <w:trPr>
          <w:gridAfter w:val="1"/>
          <w:wAfter w:w="8" w:type="dxa"/>
          <w:trHeight w:val="312"/>
        </w:trPr>
        <w:tc>
          <w:tcPr>
            <w:tcW w:w="1553" w:type="dxa"/>
            <w:vMerge/>
            <w:tcBorders>
              <w:top w:val="nil"/>
              <w:left w:val="single" w:sz="4" w:space="0" w:color="auto"/>
              <w:bottom w:val="single" w:sz="4" w:space="0" w:color="auto"/>
              <w:right w:val="single" w:sz="4" w:space="0" w:color="auto"/>
            </w:tcBorders>
            <w:vAlign w:val="center"/>
            <w:hideMark/>
          </w:tcPr>
          <w:p w14:paraId="62D29074"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42FC998B"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→AI</w:t>
            </w:r>
            <w:proofErr w:type="spellEnd"/>
            <w:r w:rsidRPr="0020225B">
              <w:rPr>
                <w:rFonts w:ascii="Aptos Narrow" w:eastAsia="Times New Roman" w:hAnsi="Aptos Narrow"/>
                <w:color w:val="auto"/>
                <w:sz w:val="22"/>
                <w:szCs w:val="22"/>
              </w:rPr>
              <w:t xml:space="preserve">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shd w:val="clear" w:color="000000" w:fill="E8E8E8"/>
            <w:noWrap/>
            <w:vAlign w:val="bottom"/>
            <w:hideMark/>
          </w:tcPr>
          <w:p w14:paraId="6F9B367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3084A229"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6B4DC45A"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693" w:type="dxa"/>
            <w:tcBorders>
              <w:top w:val="nil"/>
              <w:left w:val="nil"/>
              <w:bottom w:val="single" w:sz="4" w:space="0" w:color="auto"/>
              <w:right w:val="single" w:sz="4" w:space="0" w:color="auto"/>
            </w:tcBorders>
            <w:shd w:val="clear" w:color="000000" w:fill="E8E8E8"/>
            <w:noWrap/>
            <w:vAlign w:val="bottom"/>
            <w:hideMark/>
          </w:tcPr>
          <w:p w14:paraId="21729926"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017AE116" w14:textId="77777777" w:rsidTr="006D77F5">
        <w:trPr>
          <w:gridAfter w:val="1"/>
          <w:wAfter w:w="8" w:type="dxa"/>
          <w:trHeight w:val="312"/>
        </w:trPr>
        <w:tc>
          <w:tcPr>
            <w:tcW w:w="1553" w:type="dxa"/>
            <w:vMerge w:val="restart"/>
            <w:tcBorders>
              <w:top w:val="nil"/>
              <w:left w:val="single" w:sz="4" w:space="0" w:color="auto"/>
              <w:bottom w:val="single" w:sz="4" w:space="0" w:color="auto"/>
              <w:right w:val="single" w:sz="4" w:space="0" w:color="auto"/>
            </w:tcBorders>
            <w:vAlign w:val="center"/>
            <w:hideMark/>
          </w:tcPr>
          <w:p w14:paraId="31E9DFDD"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Vitamin A</w:t>
            </w:r>
          </w:p>
        </w:tc>
        <w:tc>
          <w:tcPr>
            <w:tcW w:w="2835" w:type="dxa"/>
            <w:tcBorders>
              <w:top w:val="nil"/>
              <w:left w:val="nil"/>
              <w:bottom w:val="single" w:sz="4" w:space="0" w:color="auto"/>
              <w:right w:val="single" w:sz="4" w:space="0" w:color="auto"/>
            </w:tcBorders>
            <w:noWrap/>
            <w:vAlign w:val="bottom"/>
            <w:hideMark/>
          </w:tcPr>
          <w:p w14:paraId="743DE398"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EAR/AI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→EAR</w:t>
            </w:r>
            <w:proofErr w:type="spellEnd"/>
            <w:r w:rsidRPr="0020225B">
              <w:rPr>
                <w:rFonts w:ascii="Aptos Narrow" w:eastAsia="Times New Roman" w:hAnsi="Aptos Narrow"/>
                <w:color w:val="auto"/>
                <w:sz w:val="22"/>
                <w:szCs w:val="22"/>
              </w:rPr>
              <w:t>/AI</w:t>
            </w:r>
            <w:r w:rsidRPr="0020225B">
              <w:rPr>
                <w:rFonts w:ascii="Aptos Narrow" w:eastAsia="Times New Roman" w:hAnsi="Aptos Narrow"/>
                <w:color w:val="auto"/>
                <w:sz w:val="22"/>
                <w:szCs w:val="22"/>
                <w:vertAlign w:val="subscript"/>
              </w:rPr>
              <w:t xml:space="preserve"> child</w:t>
            </w:r>
          </w:p>
        </w:tc>
        <w:tc>
          <w:tcPr>
            <w:tcW w:w="1491" w:type="dxa"/>
            <w:tcBorders>
              <w:top w:val="nil"/>
              <w:left w:val="nil"/>
              <w:bottom w:val="single" w:sz="4" w:space="0" w:color="auto"/>
              <w:right w:val="single" w:sz="4" w:space="0" w:color="auto"/>
            </w:tcBorders>
            <w:noWrap/>
            <w:vAlign w:val="bottom"/>
            <w:hideMark/>
          </w:tcPr>
          <w:p w14:paraId="055134E9"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1767775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7759C38E"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693" w:type="dxa"/>
            <w:tcBorders>
              <w:top w:val="nil"/>
              <w:left w:val="nil"/>
              <w:bottom w:val="single" w:sz="4" w:space="0" w:color="auto"/>
              <w:right w:val="single" w:sz="4" w:space="0" w:color="auto"/>
            </w:tcBorders>
            <w:noWrap/>
            <w:vAlign w:val="bottom"/>
            <w:hideMark/>
          </w:tcPr>
          <w:p w14:paraId="49B009F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3F86D244" w14:textId="77777777" w:rsidTr="006D77F5">
        <w:trPr>
          <w:gridAfter w:val="1"/>
          <w:wAfter w:w="8" w:type="dxa"/>
          <w:trHeight w:val="576"/>
        </w:trPr>
        <w:tc>
          <w:tcPr>
            <w:tcW w:w="1553" w:type="dxa"/>
            <w:vMerge/>
            <w:tcBorders>
              <w:top w:val="nil"/>
              <w:left w:val="single" w:sz="4" w:space="0" w:color="auto"/>
              <w:bottom w:val="single" w:sz="4" w:space="0" w:color="auto"/>
              <w:right w:val="single" w:sz="4" w:space="0" w:color="auto"/>
            </w:tcBorders>
            <w:vAlign w:val="center"/>
            <w:hideMark/>
          </w:tcPr>
          <w:p w14:paraId="6219BDBD"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vAlign w:val="bottom"/>
            <w:hideMark/>
          </w:tcPr>
          <w:p w14:paraId="1090F712"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(no extrapolation for iodine EAR/AI for 1–3 y and 4–8 y old)</w:t>
            </w:r>
          </w:p>
        </w:tc>
        <w:tc>
          <w:tcPr>
            <w:tcW w:w="1491" w:type="dxa"/>
            <w:tcBorders>
              <w:top w:val="nil"/>
              <w:left w:val="nil"/>
              <w:bottom w:val="single" w:sz="4" w:space="0" w:color="auto"/>
              <w:right w:val="single" w:sz="4" w:space="0" w:color="auto"/>
            </w:tcBorders>
            <w:noWrap/>
            <w:vAlign w:val="bottom"/>
            <w:hideMark/>
          </w:tcPr>
          <w:p w14:paraId="246332B3"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0C9CC99C"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75EF0B3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693" w:type="dxa"/>
            <w:tcBorders>
              <w:top w:val="nil"/>
              <w:left w:val="nil"/>
              <w:bottom w:val="single" w:sz="4" w:space="0" w:color="auto"/>
              <w:right w:val="single" w:sz="4" w:space="0" w:color="auto"/>
            </w:tcBorders>
            <w:noWrap/>
            <w:vAlign w:val="bottom"/>
            <w:hideMark/>
          </w:tcPr>
          <w:p w14:paraId="6E8DF087"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0F505C1D" w14:textId="77777777" w:rsidTr="006D77F5">
        <w:trPr>
          <w:gridAfter w:val="1"/>
          <w:wAfter w:w="8" w:type="dxa"/>
          <w:trHeight w:val="312"/>
        </w:trPr>
        <w:tc>
          <w:tcPr>
            <w:tcW w:w="1553" w:type="dxa"/>
            <w:vMerge/>
            <w:tcBorders>
              <w:top w:val="nil"/>
              <w:left w:val="single" w:sz="4" w:space="0" w:color="auto"/>
              <w:bottom w:val="single" w:sz="4" w:space="0" w:color="auto"/>
              <w:right w:val="single" w:sz="4" w:space="0" w:color="auto"/>
            </w:tcBorders>
            <w:vAlign w:val="center"/>
            <w:hideMark/>
          </w:tcPr>
          <w:p w14:paraId="0C5E23B5"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noWrap/>
            <w:vAlign w:val="center"/>
            <w:hideMark/>
          </w:tcPr>
          <w:p w14:paraId="128C85F6"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0–6m</w:t>
            </w: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noWrap/>
            <w:vAlign w:val="bottom"/>
            <w:hideMark/>
          </w:tcPr>
          <w:p w14:paraId="33FBF27A"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491" w:type="dxa"/>
            <w:tcBorders>
              <w:top w:val="nil"/>
              <w:left w:val="nil"/>
              <w:bottom w:val="single" w:sz="4" w:space="0" w:color="auto"/>
              <w:right w:val="single" w:sz="4" w:space="0" w:color="auto"/>
            </w:tcBorders>
            <w:noWrap/>
            <w:vAlign w:val="bottom"/>
            <w:hideMark/>
          </w:tcPr>
          <w:p w14:paraId="6392106E"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758D2B31"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693" w:type="dxa"/>
            <w:tcBorders>
              <w:top w:val="nil"/>
              <w:left w:val="nil"/>
              <w:bottom w:val="single" w:sz="4" w:space="0" w:color="auto"/>
              <w:right w:val="single" w:sz="4" w:space="0" w:color="auto"/>
            </w:tcBorders>
            <w:noWrap/>
            <w:vAlign w:val="bottom"/>
            <w:hideMark/>
          </w:tcPr>
          <w:p w14:paraId="43BEF1D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1B44A7B0" w14:textId="77777777" w:rsidTr="006D77F5">
        <w:trPr>
          <w:gridAfter w:val="1"/>
          <w:wAfter w:w="8" w:type="dxa"/>
          <w:trHeight w:val="312"/>
        </w:trPr>
        <w:tc>
          <w:tcPr>
            <w:tcW w:w="1553"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18EA6EF3"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Vitamin B6</w:t>
            </w:r>
          </w:p>
        </w:tc>
        <w:tc>
          <w:tcPr>
            <w:tcW w:w="2835" w:type="dxa"/>
            <w:tcBorders>
              <w:top w:val="nil"/>
              <w:left w:val="nil"/>
              <w:bottom w:val="single" w:sz="4" w:space="0" w:color="auto"/>
              <w:right w:val="single" w:sz="4" w:space="0" w:color="auto"/>
            </w:tcBorders>
            <w:shd w:val="clear" w:color="000000" w:fill="E8E8E8"/>
            <w:noWrap/>
            <w:vAlign w:val="bottom"/>
            <w:hideMark/>
          </w:tcPr>
          <w:p w14:paraId="74AF0C68"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→EAR</w:t>
            </w:r>
            <w:r w:rsidRPr="0020225B">
              <w:rPr>
                <w:rFonts w:ascii="Aptos Narrow" w:eastAsia="Times New Roman" w:hAnsi="Aptos Narrow"/>
                <w:color w:val="auto"/>
                <w:sz w:val="22"/>
                <w:szCs w:val="22"/>
                <w:vertAlign w:val="subscript"/>
              </w:rPr>
              <w:t>child</w:t>
            </w:r>
            <w:proofErr w:type="spellEnd"/>
          </w:p>
        </w:tc>
        <w:tc>
          <w:tcPr>
            <w:tcW w:w="1491" w:type="dxa"/>
            <w:tcBorders>
              <w:top w:val="nil"/>
              <w:left w:val="nil"/>
              <w:bottom w:val="single" w:sz="4" w:space="0" w:color="auto"/>
              <w:right w:val="single" w:sz="4" w:space="0" w:color="auto"/>
            </w:tcBorders>
            <w:shd w:val="clear" w:color="000000" w:fill="E8E8E8"/>
            <w:noWrap/>
            <w:vAlign w:val="bottom"/>
            <w:hideMark/>
          </w:tcPr>
          <w:p w14:paraId="7A7BF17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7FEB031F"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75E3B29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693" w:type="dxa"/>
            <w:tcBorders>
              <w:top w:val="nil"/>
              <w:left w:val="nil"/>
              <w:bottom w:val="single" w:sz="4" w:space="0" w:color="auto"/>
              <w:right w:val="single" w:sz="4" w:space="0" w:color="auto"/>
            </w:tcBorders>
            <w:shd w:val="clear" w:color="000000" w:fill="E8E8E8"/>
            <w:noWrap/>
            <w:vAlign w:val="bottom"/>
            <w:hideMark/>
          </w:tcPr>
          <w:p w14:paraId="3B46840D"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3F87E52A" w14:textId="77777777" w:rsidTr="006D77F5">
        <w:trPr>
          <w:gridAfter w:val="1"/>
          <w:wAfter w:w="8" w:type="dxa"/>
          <w:trHeight w:val="312"/>
        </w:trPr>
        <w:tc>
          <w:tcPr>
            <w:tcW w:w="1553" w:type="dxa"/>
            <w:vMerge/>
            <w:tcBorders>
              <w:top w:val="nil"/>
              <w:left w:val="single" w:sz="4" w:space="0" w:color="auto"/>
              <w:bottom w:val="single" w:sz="4" w:space="0" w:color="auto"/>
              <w:right w:val="single" w:sz="4" w:space="0" w:color="auto"/>
            </w:tcBorders>
            <w:vAlign w:val="center"/>
            <w:hideMark/>
          </w:tcPr>
          <w:p w14:paraId="33E1D0EC"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7918BA3C"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7–12m from mean of extrapolations:</w:t>
            </w:r>
          </w:p>
        </w:tc>
        <w:tc>
          <w:tcPr>
            <w:tcW w:w="1491" w:type="dxa"/>
            <w:tcBorders>
              <w:top w:val="nil"/>
              <w:left w:val="nil"/>
              <w:bottom w:val="single" w:sz="4" w:space="0" w:color="auto"/>
              <w:right w:val="single" w:sz="4" w:space="0" w:color="auto"/>
            </w:tcBorders>
            <w:shd w:val="clear" w:color="000000" w:fill="E8E8E8"/>
            <w:noWrap/>
            <w:vAlign w:val="bottom"/>
            <w:hideMark/>
          </w:tcPr>
          <w:p w14:paraId="44AD7B18"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w:t>
            </w:r>
          </w:p>
        </w:tc>
        <w:tc>
          <w:tcPr>
            <w:tcW w:w="1491" w:type="dxa"/>
            <w:tcBorders>
              <w:top w:val="nil"/>
              <w:left w:val="nil"/>
              <w:bottom w:val="single" w:sz="4" w:space="0" w:color="auto"/>
              <w:right w:val="single" w:sz="4" w:space="0" w:color="auto"/>
            </w:tcBorders>
            <w:shd w:val="clear" w:color="000000" w:fill="E8E8E8"/>
            <w:noWrap/>
            <w:vAlign w:val="bottom"/>
            <w:hideMark/>
          </w:tcPr>
          <w:p w14:paraId="4E5825C1"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26AD3561"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w:t>
            </w:r>
          </w:p>
        </w:tc>
        <w:tc>
          <w:tcPr>
            <w:tcW w:w="1693" w:type="dxa"/>
            <w:tcBorders>
              <w:top w:val="nil"/>
              <w:left w:val="nil"/>
              <w:bottom w:val="single" w:sz="4" w:space="0" w:color="auto"/>
              <w:right w:val="single" w:sz="4" w:space="0" w:color="auto"/>
            </w:tcBorders>
            <w:shd w:val="clear" w:color="000000" w:fill="E8E8E8"/>
            <w:noWrap/>
            <w:vAlign w:val="bottom"/>
            <w:hideMark/>
          </w:tcPr>
          <w:p w14:paraId="5DE5A307"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709796AC" w14:textId="77777777" w:rsidTr="006D77F5">
        <w:trPr>
          <w:gridAfter w:val="1"/>
          <w:wAfter w:w="8" w:type="dxa"/>
          <w:trHeight w:val="312"/>
        </w:trPr>
        <w:tc>
          <w:tcPr>
            <w:tcW w:w="1553" w:type="dxa"/>
            <w:vMerge/>
            <w:tcBorders>
              <w:top w:val="nil"/>
              <w:left w:val="single" w:sz="4" w:space="0" w:color="auto"/>
              <w:bottom w:val="single" w:sz="4" w:space="0" w:color="auto"/>
              <w:right w:val="single" w:sz="4" w:space="0" w:color="auto"/>
            </w:tcBorders>
            <w:vAlign w:val="center"/>
            <w:hideMark/>
          </w:tcPr>
          <w:p w14:paraId="60575A1B"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1228AD28"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AI</w:t>
            </w:r>
            <w:r w:rsidRPr="0020225B">
              <w:rPr>
                <w:rFonts w:ascii="Aptos Narrow" w:eastAsia="Times New Roman" w:hAnsi="Aptos Narrow"/>
                <w:color w:val="auto"/>
                <w:sz w:val="22"/>
                <w:szCs w:val="22"/>
                <w:vertAlign w:val="subscript"/>
              </w:rPr>
              <w:t xml:space="preserve"> 0–6m</w:t>
            </w:r>
            <w:r w:rsidRPr="0020225B">
              <w:rPr>
                <w:rFonts w:ascii="Aptos Narrow" w:eastAsia="Times New Roman" w:hAnsi="Aptos Narrow"/>
                <w:color w:val="auto"/>
                <w:sz w:val="22"/>
                <w:szCs w:val="22"/>
              </w:rPr>
              <w:t xml:space="preserve"> →AI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shd w:val="clear" w:color="000000" w:fill="E8E8E8"/>
            <w:noWrap/>
            <w:vAlign w:val="bottom"/>
            <w:hideMark/>
          </w:tcPr>
          <w:p w14:paraId="3D8787DC"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1373E2D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5FD1CC09"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693" w:type="dxa"/>
            <w:tcBorders>
              <w:top w:val="nil"/>
              <w:left w:val="nil"/>
              <w:bottom w:val="single" w:sz="4" w:space="0" w:color="auto"/>
              <w:right w:val="single" w:sz="4" w:space="0" w:color="auto"/>
            </w:tcBorders>
            <w:shd w:val="clear" w:color="000000" w:fill="E8E8E8"/>
            <w:noWrap/>
            <w:vAlign w:val="bottom"/>
            <w:hideMark/>
          </w:tcPr>
          <w:p w14:paraId="0E8D5A20"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2FC7E490" w14:textId="77777777" w:rsidTr="006D77F5">
        <w:trPr>
          <w:gridAfter w:val="1"/>
          <w:wAfter w:w="8" w:type="dxa"/>
          <w:trHeight w:val="312"/>
        </w:trPr>
        <w:tc>
          <w:tcPr>
            <w:tcW w:w="1553" w:type="dxa"/>
            <w:vMerge/>
            <w:tcBorders>
              <w:top w:val="nil"/>
              <w:left w:val="single" w:sz="4" w:space="0" w:color="auto"/>
              <w:bottom w:val="single" w:sz="4" w:space="0" w:color="auto"/>
              <w:right w:val="single" w:sz="4" w:space="0" w:color="auto"/>
            </w:tcBorders>
            <w:vAlign w:val="center"/>
            <w:hideMark/>
          </w:tcPr>
          <w:p w14:paraId="7A8223C8"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6DA3B4F4"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→AI</w:t>
            </w:r>
            <w:proofErr w:type="spellEnd"/>
            <w:r w:rsidRPr="0020225B">
              <w:rPr>
                <w:rFonts w:ascii="Aptos Narrow" w:eastAsia="Times New Roman" w:hAnsi="Aptos Narrow"/>
                <w:color w:val="auto"/>
                <w:sz w:val="22"/>
                <w:szCs w:val="22"/>
              </w:rPr>
              <w:t xml:space="preserve">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shd w:val="clear" w:color="000000" w:fill="E8E8E8"/>
            <w:noWrap/>
            <w:vAlign w:val="bottom"/>
            <w:hideMark/>
          </w:tcPr>
          <w:p w14:paraId="3C61D3E0"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100A0D1F"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6CA6227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693" w:type="dxa"/>
            <w:tcBorders>
              <w:top w:val="nil"/>
              <w:left w:val="nil"/>
              <w:bottom w:val="single" w:sz="4" w:space="0" w:color="auto"/>
              <w:right w:val="single" w:sz="4" w:space="0" w:color="auto"/>
            </w:tcBorders>
            <w:shd w:val="clear" w:color="000000" w:fill="E8E8E8"/>
            <w:noWrap/>
            <w:vAlign w:val="bottom"/>
            <w:hideMark/>
          </w:tcPr>
          <w:p w14:paraId="3C84547E"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3E53A5B7" w14:textId="77777777" w:rsidTr="006D77F5">
        <w:trPr>
          <w:gridAfter w:val="1"/>
          <w:wAfter w:w="8" w:type="dxa"/>
          <w:trHeight w:val="312"/>
        </w:trPr>
        <w:tc>
          <w:tcPr>
            <w:tcW w:w="1553" w:type="dxa"/>
            <w:vMerge/>
            <w:tcBorders>
              <w:top w:val="nil"/>
              <w:left w:val="single" w:sz="4" w:space="0" w:color="auto"/>
              <w:bottom w:val="single" w:sz="4" w:space="0" w:color="auto"/>
              <w:right w:val="single" w:sz="4" w:space="0" w:color="auto"/>
            </w:tcBorders>
            <w:vAlign w:val="center"/>
            <w:hideMark/>
          </w:tcPr>
          <w:p w14:paraId="0D8AF962"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278DDA2D"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UL </w:t>
            </w:r>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 xml:space="preserve"> →UL </w:t>
            </w:r>
            <w:r w:rsidRPr="0020225B">
              <w:rPr>
                <w:rFonts w:ascii="Aptos Narrow" w:eastAsia="Times New Roman" w:hAnsi="Aptos Narrow"/>
                <w:color w:val="auto"/>
                <w:sz w:val="22"/>
                <w:szCs w:val="22"/>
                <w:vertAlign w:val="subscript"/>
              </w:rPr>
              <w:t>child</w:t>
            </w:r>
          </w:p>
        </w:tc>
        <w:tc>
          <w:tcPr>
            <w:tcW w:w="1491" w:type="dxa"/>
            <w:tcBorders>
              <w:top w:val="nil"/>
              <w:left w:val="nil"/>
              <w:bottom w:val="single" w:sz="4" w:space="0" w:color="auto"/>
              <w:right w:val="single" w:sz="4" w:space="0" w:color="auto"/>
            </w:tcBorders>
            <w:shd w:val="clear" w:color="000000" w:fill="E8E8E8"/>
            <w:noWrap/>
            <w:vAlign w:val="bottom"/>
            <w:hideMark/>
          </w:tcPr>
          <w:p w14:paraId="07F7C55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47598D84"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5196D9AB"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693" w:type="dxa"/>
            <w:tcBorders>
              <w:top w:val="nil"/>
              <w:left w:val="nil"/>
              <w:bottom w:val="single" w:sz="4" w:space="0" w:color="auto"/>
              <w:right w:val="single" w:sz="4" w:space="0" w:color="auto"/>
            </w:tcBorders>
            <w:shd w:val="clear" w:color="000000" w:fill="E8E8E8"/>
            <w:noWrap/>
            <w:vAlign w:val="bottom"/>
            <w:hideMark/>
          </w:tcPr>
          <w:p w14:paraId="2329515C"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284DB430" w14:textId="77777777" w:rsidTr="006D77F5">
        <w:trPr>
          <w:gridAfter w:val="1"/>
          <w:wAfter w:w="8" w:type="dxa"/>
          <w:trHeight w:val="408"/>
        </w:trPr>
        <w:tc>
          <w:tcPr>
            <w:tcW w:w="1553" w:type="dxa"/>
            <w:vMerge w:val="restart"/>
            <w:tcBorders>
              <w:top w:val="nil"/>
              <w:left w:val="single" w:sz="4" w:space="0" w:color="auto"/>
              <w:bottom w:val="single" w:sz="4" w:space="0" w:color="auto"/>
              <w:right w:val="single" w:sz="4" w:space="0" w:color="auto"/>
            </w:tcBorders>
            <w:noWrap/>
            <w:vAlign w:val="center"/>
            <w:hideMark/>
          </w:tcPr>
          <w:p w14:paraId="70E66685"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Vitamin B12</w:t>
            </w:r>
          </w:p>
        </w:tc>
        <w:tc>
          <w:tcPr>
            <w:tcW w:w="2835" w:type="dxa"/>
            <w:tcBorders>
              <w:top w:val="nil"/>
              <w:left w:val="nil"/>
              <w:bottom w:val="single" w:sz="4" w:space="0" w:color="auto"/>
              <w:right w:val="single" w:sz="4" w:space="0" w:color="auto"/>
            </w:tcBorders>
            <w:noWrap/>
            <w:vAlign w:val="bottom"/>
            <w:hideMark/>
          </w:tcPr>
          <w:p w14:paraId="51F7FCE5"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→EAR</w:t>
            </w:r>
            <w:r w:rsidRPr="0020225B">
              <w:rPr>
                <w:rFonts w:ascii="Aptos Narrow" w:eastAsia="Times New Roman" w:hAnsi="Aptos Narrow"/>
                <w:color w:val="auto"/>
                <w:sz w:val="22"/>
                <w:szCs w:val="22"/>
                <w:vertAlign w:val="subscript"/>
              </w:rPr>
              <w:t>child</w:t>
            </w:r>
            <w:proofErr w:type="spellEnd"/>
          </w:p>
        </w:tc>
        <w:tc>
          <w:tcPr>
            <w:tcW w:w="1491" w:type="dxa"/>
            <w:tcBorders>
              <w:top w:val="nil"/>
              <w:left w:val="nil"/>
              <w:bottom w:val="single" w:sz="4" w:space="0" w:color="auto"/>
              <w:right w:val="single" w:sz="4" w:space="0" w:color="auto"/>
            </w:tcBorders>
            <w:noWrap/>
            <w:vAlign w:val="bottom"/>
            <w:hideMark/>
          </w:tcPr>
          <w:p w14:paraId="31ADC26C"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72086BEB"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48210989"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693" w:type="dxa"/>
            <w:tcBorders>
              <w:top w:val="nil"/>
              <w:left w:val="nil"/>
              <w:bottom w:val="single" w:sz="4" w:space="0" w:color="auto"/>
              <w:right w:val="single" w:sz="4" w:space="0" w:color="auto"/>
            </w:tcBorders>
            <w:noWrap/>
            <w:vAlign w:val="bottom"/>
            <w:hideMark/>
          </w:tcPr>
          <w:p w14:paraId="3677ADA7"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66368D87" w14:textId="77777777" w:rsidTr="006D77F5">
        <w:trPr>
          <w:gridAfter w:val="1"/>
          <w:wAfter w:w="8" w:type="dxa"/>
          <w:trHeight w:val="564"/>
        </w:trPr>
        <w:tc>
          <w:tcPr>
            <w:tcW w:w="1553" w:type="dxa"/>
            <w:vMerge/>
            <w:tcBorders>
              <w:top w:val="nil"/>
              <w:left w:val="single" w:sz="4" w:space="0" w:color="auto"/>
              <w:bottom w:val="single" w:sz="4" w:space="0" w:color="auto"/>
              <w:right w:val="single" w:sz="4" w:space="0" w:color="auto"/>
            </w:tcBorders>
            <w:vAlign w:val="center"/>
            <w:hideMark/>
          </w:tcPr>
          <w:p w14:paraId="48066B15"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noWrap/>
            <w:vAlign w:val="bottom"/>
            <w:hideMark/>
          </w:tcPr>
          <w:p w14:paraId="3946CFB5"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→AI</w:t>
            </w:r>
            <w:proofErr w:type="spellEnd"/>
            <w:r w:rsidRPr="0020225B">
              <w:rPr>
                <w:rFonts w:ascii="Aptos Narrow" w:eastAsia="Times New Roman" w:hAnsi="Aptos Narrow"/>
                <w:color w:val="auto"/>
                <w:sz w:val="22"/>
                <w:szCs w:val="22"/>
              </w:rPr>
              <w:t xml:space="preserve">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noWrap/>
            <w:vAlign w:val="bottom"/>
            <w:hideMark/>
          </w:tcPr>
          <w:p w14:paraId="6C9B2CBE"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181054A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458B9C00"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693" w:type="dxa"/>
            <w:tcBorders>
              <w:top w:val="nil"/>
              <w:left w:val="nil"/>
              <w:bottom w:val="single" w:sz="4" w:space="0" w:color="auto"/>
              <w:right w:val="single" w:sz="4" w:space="0" w:color="auto"/>
            </w:tcBorders>
            <w:noWrap/>
            <w:vAlign w:val="bottom"/>
            <w:hideMark/>
          </w:tcPr>
          <w:p w14:paraId="17EC7AFA"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4ED92FF4" w14:textId="77777777" w:rsidTr="006D77F5">
        <w:trPr>
          <w:gridAfter w:val="1"/>
          <w:wAfter w:w="8" w:type="dxa"/>
          <w:trHeight w:val="312"/>
        </w:trPr>
        <w:tc>
          <w:tcPr>
            <w:tcW w:w="1553"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55E06389"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Vitamin C</w:t>
            </w:r>
          </w:p>
        </w:tc>
        <w:tc>
          <w:tcPr>
            <w:tcW w:w="2835" w:type="dxa"/>
            <w:tcBorders>
              <w:top w:val="nil"/>
              <w:left w:val="nil"/>
              <w:bottom w:val="single" w:sz="4" w:space="0" w:color="auto"/>
              <w:right w:val="single" w:sz="4" w:space="0" w:color="auto"/>
            </w:tcBorders>
            <w:shd w:val="clear" w:color="000000" w:fill="E8E8E8"/>
            <w:noWrap/>
            <w:vAlign w:val="bottom"/>
            <w:hideMark/>
          </w:tcPr>
          <w:p w14:paraId="1C576367"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0–6m</w:t>
            </w:r>
            <w:r w:rsidRPr="0020225B">
              <w:rPr>
                <w:rFonts w:ascii="Aptos Narrow" w:eastAsia="Times New Roman" w:hAnsi="Aptos Narrow"/>
                <w:color w:val="auto"/>
                <w:sz w:val="22"/>
                <w:szCs w:val="22"/>
              </w:rPr>
              <w:t xml:space="preserve"> →AI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shd w:val="clear" w:color="000000" w:fill="E8E8E8"/>
            <w:noWrap/>
            <w:vAlign w:val="bottom"/>
            <w:hideMark/>
          </w:tcPr>
          <w:p w14:paraId="5F8D17B8"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42D3DB9D"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549CF3D8"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693" w:type="dxa"/>
            <w:tcBorders>
              <w:top w:val="nil"/>
              <w:left w:val="nil"/>
              <w:bottom w:val="single" w:sz="4" w:space="0" w:color="auto"/>
              <w:right w:val="single" w:sz="4" w:space="0" w:color="auto"/>
            </w:tcBorders>
            <w:shd w:val="clear" w:color="000000" w:fill="E8E8E8"/>
            <w:noWrap/>
            <w:vAlign w:val="bottom"/>
            <w:hideMark/>
          </w:tcPr>
          <w:p w14:paraId="24438F3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304DCA40" w14:textId="77777777" w:rsidTr="006D77F5">
        <w:trPr>
          <w:gridAfter w:val="1"/>
          <w:wAfter w:w="8" w:type="dxa"/>
          <w:trHeight w:val="312"/>
        </w:trPr>
        <w:tc>
          <w:tcPr>
            <w:tcW w:w="1553" w:type="dxa"/>
            <w:vMerge/>
            <w:tcBorders>
              <w:top w:val="nil"/>
              <w:left w:val="single" w:sz="4" w:space="0" w:color="auto"/>
              <w:bottom w:val="single" w:sz="4" w:space="0" w:color="auto"/>
              <w:right w:val="single" w:sz="4" w:space="0" w:color="auto"/>
            </w:tcBorders>
            <w:vAlign w:val="center"/>
            <w:hideMark/>
          </w:tcPr>
          <w:p w14:paraId="7D1185B8"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2443DB22"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→EAR</w:t>
            </w:r>
            <w:r w:rsidRPr="0020225B">
              <w:rPr>
                <w:rFonts w:ascii="Aptos Narrow" w:eastAsia="Times New Roman" w:hAnsi="Aptos Narrow"/>
                <w:color w:val="auto"/>
                <w:sz w:val="22"/>
                <w:szCs w:val="22"/>
                <w:vertAlign w:val="subscript"/>
              </w:rPr>
              <w:t>child</w:t>
            </w:r>
            <w:proofErr w:type="spellEnd"/>
          </w:p>
        </w:tc>
        <w:tc>
          <w:tcPr>
            <w:tcW w:w="1491" w:type="dxa"/>
            <w:tcBorders>
              <w:top w:val="nil"/>
              <w:left w:val="nil"/>
              <w:bottom w:val="single" w:sz="4" w:space="0" w:color="auto"/>
              <w:right w:val="single" w:sz="4" w:space="0" w:color="auto"/>
            </w:tcBorders>
            <w:shd w:val="clear" w:color="000000" w:fill="E8E8E8"/>
            <w:noWrap/>
            <w:vAlign w:val="bottom"/>
            <w:hideMark/>
          </w:tcPr>
          <w:p w14:paraId="5A3A616B"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491" w:type="dxa"/>
            <w:tcBorders>
              <w:top w:val="nil"/>
              <w:left w:val="nil"/>
              <w:bottom w:val="single" w:sz="4" w:space="0" w:color="auto"/>
              <w:right w:val="single" w:sz="4" w:space="0" w:color="auto"/>
            </w:tcBorders>
            <w:shd w:val="clear" w:color="000000" w:fill="E8E8E8"/>
            <w:noWrap/>
            <w:vAlign w:val="bottom"/>
            <w:hideMark/>
          </w:tcPr>
          <w:p w14:paraId="0CB83D4F"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1314C7B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693" w:type="dxa"/>
            <w:tcBorders>
              <w:top w:val="nil"/>
              <w:left w:val="nil"/>
              <w:bottom w:val="single" w:sz="4" w:space="0" w:color="auto"/>
              <w:right w:val="single" w:sz="4" w:space="0" w:color="auto"/>
            </w:tcBorders>
            <w:shd w:val="clear" w:color="000000" w:fill="E8E8E8"/>
            <w:noWrap/>
            <w:vAlign w:val="bottom"/>
            <w:hideMark/>
          </w:tcPr>
          <w:p w14:paraId="1F3E3396"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20225B" w:rsidRPr="0020225B" w14:paraId="32D2CDF4" w14:textId="77777777" w:rsidTr="006D77F5">
        <w:trPr>
          <w:gridAfter w:val="1"/>
          <w:wAfter w:w="8" w:type="dxa"/>
          <w:trHeight w:val="288"/>
        </w:trPr>
        <w:tc>
          <w:tcPr>
            <w:tcW w:w="1553" w:type="dxa"/>
            <w:tcBorders>
              <w:top w:val="nil"/>
              <w:left w:val="single" w:sz="4" w:space="0" w:color="auto"/>
              <w:bottom w:val="single" w:sz="4" w:space="0" w:color="auto"/>
              <w:right w:val="single" w:sz="4" w:space="0" w:color="auto"/>
            </w:tcBorders>
            <w:noWrap/>
            <w:vAlign w:val="bottom"/>
            <w:hideMark/>
          </w:tcPr>
          <w:p w14:paraId="3354BB0A"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Vitamin D</w:t>
            </w:r>
          </w:p>
        </w:tc>
        <w:tc>
          <w:tcPr>
            <w:tcW w:w="2835" w:type="dxa"/>
            <w:tcBorders>
              <w:top w:val="nil"/>
              <w:left w:val="nil"/>
              <w:bottom w:val="single" w:sz="4" w:space="0" w:color="auto"/>
              <w:right w:val="single" w:sz="4" w:space="0" w:color="auto"/>
            </w:tcBorders>
            <w:noWrap/>
            <w:vAlign w:val="bottom"/>
            <w:hideMark/>
          </w:tcPr>
          <w:p w14:paraId="5498348A"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adult→1–9y</w:t>
            </w:r>
          </w:p>
        </w:tc>
        <w:tc>
          <w:tcPr>
            <w:tcW w:w="1491" w:type="dxa"/>
            <w:tcBorders>
              <w:top w:val="nil"/>
              <w:left w:val="nil"/>
              <w:bottom w:val="single" w:sz="4" w:space="0" w:color="auto"/>
              <w:right w:val="single" w:sz="4" w:space="0" w:color="auto"/>
            </w:tcBorders>
            <w:noWrap/>
            <w:vAlign w:val="bottom"/>
            <w:hideMark/>
          </w:tcPr>
          <w:p w14:paraId="6E247E07"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491" w:type="dxa"/>
            <w:tcBorders>
              <w:top w:val="nil"/>
              <w:left w:val="nil"/>
              <w:bottom w:val="single" w:sz="4" w:space="0" w:color="auto"/>
              <w:right w:val="single" w:sz="4" w:space="0" w:color="auto"/>
            </w:tcBorders>
            <w:noWrap/>
            <w:vAlign w:val="bottom"/>
            <w:hideMark/>
          </w:tcPr>
          <w:p w14:paraId="0903C1F7"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280" w:type="dxa"/>
            <w:tcBorders>
              <w:top w:val="nil"/>
              <w:left w:val="nil"/>
              <w:bottom w:val="single" w:sz="4" w:space="0" w:color="auto"/>
              <w:right w:val="single" w:sz="4" w:space="0" w:color="auto"/>
            </w:tcBorders>
            <w:noWrap/>
            <w:vAlign w:val="bottom"/>
            <w:hideMark/>
          </w:tcPr>
          <w:p w14:paraId="7034D81A"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693" w:type="dxa"/>
            <w:tcBorders>
              <w:top w:val="nil"/>
              <w:left w:val="nil"/>
              <w:bottom w:val="single" w:sz="4" w:space="0" w:color="auto"/>
              <w:right w:val="single" w:sz="4" w:space="0" w:color="auto"/>
            </w:tcBorders>
            <w:noWrap/>
            <w:vAlign w:val="bottom"/>
            <w:hideMark/>
          </w:tcPr>
          <w:p w14:paraId="36534034"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35FBB704" w14:textId="77777777" w:rsidTr="006D77F5">
        <w:trPr>
          <w:gridAfter w:val="1"/>
          <w:wAfter w:w="8" w:type="dxa"/>
          <w:trHeight w:val="312"/>
        </w:trPr>
        <w:tc>
          <w:tcPr>
            <w:tcW w:w="1553" w:type="dxa"/>
            <w:vMerge w:val="restart"/>
            <w:tcBorders>
              <w:top w:val="nil"/>
              <w:left w:val="single" w:sz="4" w:space="0" w:color="auto"/>
              <w:bottom w:val="single" w:sz="4" w:space="0" w:color="auto"/>
              <w:right w:val="single" w:sz="4" w:space="0" w:color="auto"/>
            </w:tcBorders>
            <w:shd w:val="clear" w:color="000000" w:fill="E8E8E8"/>
            <w:noWrap/>
            <w:vAlign w:val="center"/>
            <w:hideMark/>
          </w:tcPr>
          <w:p w14:paraId="5C33D2EB"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Vitamin E</w:t>
            </w:r>
          </w:p>
        </w:tc>
        <w:tc>
          <w:tcPr>
            <w:tcW w:w="2835" w:type="dxa"/>
            <w:tcBorders>
              <w:top w:val="nil"/>
              <w:left w:val="nil"/>
              <w:bottom w:val="single" w:sz="4" w:space="0" w:color="auto"/>
              <w:right w:val="single" w:sz="4" w:space="0" w:color="auto"/>
            </w:tcBorders>
            <w:shd w:val="clear" w:color="000000" w:fill="E8E8E8"/>
            <w:noWrap/>
            <w:vAlign w:val="bottom"/>
            <w:hideMark/>
          </w:tcPr>
          <w:p w14:paraId="4B2F73F0"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0–6m</w:t>
            </w:r>
            <w:r w:rsidRPr="0020225B">
              <w:rPr>
                <w:rFonts w:ascii="Aptos Narrow" w:eastAsia="Times New Roman" w:hAnsi="Aptos Narrow"/>
                <w:color w:val="auto"/>
                <w:sz w:val="22"/>
                <w:szCs w:val="22"/>
              </w:rPr>
              <w:t xml:space="preserve"> →AI </w:t>
            </w:r>
            <w:r w:rsidRPr="0020225B">
              <w:rPr>
                <w:rFonts w:ascii="Aptos Narrow" w:eastAsia="Times New Roman" w:hAnsi="Aptos Narrow"/>
                <w:color w:val="auto"/>
                <w:sz w:val="22"/>
                <w:szCs w:val="22"/>
                <w:vertAlign w:val="subscript"/>
              </w:rPr>
              <w:t>7–12m</w:t>
            </w:r>
          </w:p>
        </w:tc>
        <w:tc>
          <w:tcPr>
            <w:tcW w:w="1491" w:type="dxa"/>
            <w:tcBorders>
              <w:top w:val="nil"/>
              <w:left w:val="nil"/>
              <w:bottom w:val="single" w:sz="4" w:space="0" w:color="auto"/>
              <w:right w:val="single" w:sz="4" w:space="0" w:color="auto"/>
            </w:tcBorders>
            <w:shd w:val="clear" w:color="000000" w:fill="E8E8E8"/>
            <w:noWrap/>
            <w:vAlign w:val="bottom"/>
            <w:hideMark/>
          </w:tcPr>
          <w:p w14:paraId="767F8D9C"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16688832"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433D96A5"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693" w:type="dxa"/>
            <w:tcBorders>
              <w:top w:val="nil"/>
              <w:left w:val="nil"/>
              <w:bottom w:val="single" w:sz="4" w:space="0" w:color="auto"/>
              <w:right w:val="single" w:sz="4" w:space="0" w:color="auto"/>
            </w:tcBorders>
            <w:shd w:val="clear" w:color="000000" w:fill="E8E8E8"/>
            <w:noWrap/>
            <w:vAlign w:val="bottom"/>
            <w:hideMark/>
          </w:tcPr>
          <w:p w14:paraId="2CC8FF6D"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565261" w:rsidRPr="0020225B" w14:paraId="551FC6BD" w14:textId="77777777" w:rsidTr="006D77F5">
        <w:trPr>
          <w:gridAfter w:val="1"/>
          <w:wAfter w:w="8" w:type="dxa"/>
          <w:trHeight w:val="312"/>
        </w:trPr>
        <w:tc>
          <w:tcPr>
            <w:tcW w:w="1553" w:type="dxa"/>
            <w:vMerge/>
            <w:tcBorders>
              <w:top w:val="nil"/>
              <w:left w:val="single" w:sz="4" w:space="0" w:color="auto"/>
              <w:bottom w:val="single" w:sz="4" w:space="0" w:color="auto"/>
              <w:right w:val="single" w:sz="4" w:space="0" w:color="auto"/>
            </w:tcBorders>
            <w:vAlign w:val="center"/>
            <w:hideMark/>
          </w:tcPr>
          <w:p w14:paraId="14A8D3B2" w14:textId="77777777" w:rsidR="0020225B" w:rsidRPr="0020225B" w:rsidRDefault="0020225B" w:rsidP="0020225B">
            <w:pPr>
              <w:spacing w:before="0" w:after="0" w:line="240" w:lineRule="auto"/>
              <w:rPr>
                <w:rFonts w:ascii="Aptos Narrow" w:eastAsia="Times New Roman" w:hAnsi="Aptos Narrow"/>
                <w:b/>
                <w:bCs/>
                <w:color w:val="000000"/>
                <w:sz w:val="22"/>
                <w:szCs w:val="22"/>
              </w:rPr>
            </w:pPr>
          </w:p>
        </w:tc>
        <w:tc>
          <w:tcPr>
            <w:tcW w:w="2835" w:type="dxa"/>
            <w:tcBorders>
              <w:top w:val="nil"/>
              <w:left w:val="nil"/>
              <w:bottom w:val="single" w:sz="4" w:space="0" w:color="auto"/>
              <w:right w:val="single" w:sz="4" w:space="0" w:color="auto"/>
            </w:tcBorders>
            <w:shd w:val="clear" w:color="000000" w:fill="E8E8E8"/>
            <w:noWrap/>
            <w:vAlign w:val="bottom"/>
            <w:hideMark/>
          </w:tcPr>
          <w:p w14:paraId="2BCE12D5"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EAR </w:t>
            </w:r>
            <w:proofErr w:type="spellStart"/>
            <w:r w:rsidRPr="0020225B">
              <w:rPr>
                <w:rFonts w:ascii="Aptos Narrow" w:eastAsia="Times New Roman" w:hAnsi="Aptos Narrow"/>
                <w:color w:val="auto"/>
                <w:sz w:val="22"/>
                <w:szCs w:val="22"/>
                <w:vertAlign w:val="subscript"/>
              </w:rPr>
              <w:t>adult</w:t>
            </w:r>
            <w:r w:rsidRPr="0020225B">
              <w:rPr>
                <w:rFonts w:ascii="Aptos Narrow" w:eastAsia="Times New Roman" w:hAnsi="Aptos Narrow"/>
                <w:color w:val="auto"/>
                <w:sz w:val="22"/>
                <w:szCs w:val="22"/>
              </w:rPr>
              <w:t>→EAR</w:t>
            </w:r>
            <w:r w:rsidRPr="0020225B">
              <w:rPr>
                <w:rFonts w:ascii="Aptos Narrow" w:eastAsia="Times New Roman" w:hAnsi="Aptos Narrow"/>
                <w:color w:val="auto"/>
                <w:sz w:val="22"/>
                <w:szCs w:val="22"/>
                <w:vertAlign w:val="subscript"/>
              </w:rPr>
              <w:t>child</w:t>
            </w:r>
            <w:proofErr w:type="spellEnd"/>
          </w:p>
        </w:tc>
        <w:tc>
          <w:tcPr>
            <w:tcW w:w="1491" w:type="dxa"/>
            <w:tcBorders>
              <w:top w:val="nil"/>
              <w:left w:val="nil"/>
              <w:bottom w:val="single" w:sz="4" w:space="0" w:color="auto"/>
              <w:right w:val="single" w:sz="4" w:space="0" w:color="auto"/>
            </w:tcBorders>
            <w:shd w:val="clear" w:color="000000" w:fill="E8E8E8"/>
            <w:noWrap/>
            <w:vAlign w:val="bottom"/>
            <w:hideMark/>
          </w:tcPr>
          <w:p w14:paraId="1BB52D94"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shd w:val="clear" w:color="000000" w:fill="E8E8E8"/>
            <w:noWrap/>
            <w:vAlign w:val="bottom"/>
            <w:hideMark/>
          </w:tcPr>
          <w:p w14:paraId="10A24316"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shd w:val="clear" w:color="000000" w:fill="E8E8E8"/>
            <w:noWrap/>
            <w:vAlign w:val="bottom"/>
            <w:hideMark/>
          </w:tcPr>
          <w:p w14:paraId="3BF45EEF"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693" w:type="dxa"/>
            <w:tcBorders>
              <w:top w:val="nil"/>
              <w:left w:val="nil"/>
              <w:bottom w:val="single" w:sz="4" w:space="0" w:color="auto"/>
              <w:right w:val="single" w:sz="4" w:space="0" w:color="auto"/>
            </w:tcBorders>
            <w:shd w:val="clear" w:color="000000" w:fill="E8E8E8"/>
            <w:noWrap/>
            <w:vAlign w:val="bottom"/>
            <w:hideMark/>
          </w:tcPr>
          <w:p w14:paraId="28EADCA7"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r w:rsidR="0020225B" w:rsidRPr="0020225B" w14:paraId="26AE9AF3" w14:textId="77777777" w:rsidTr="006D77F5">
        <w:trPr>
          <w:gridAfter w:val="1"/>
          <w:wAfter w:w="8" w:type="dxa"/>
          <w:trHeight w:val="312"/>
        </w:trPr>
        <w:tc>
          <w:tcPr>
            <w:tcW w:w="1553" w:type="dxa"/>
            <w:tcBorders>
              <w:top w:val="nil"/>
              <w:left w:val="single" w:sz="4" w:space="0" w:color="auto"/>
              <w:bottom w:val="single" w:sz="4" w:space="0" w:color="auto"/>
              <w:right w:val="single" w:sz="4" w:space="0" w:color="auto"/>
            </w:tcBorders>
            <w:noWrap/>
            <w:vAlign w:val="bottom"/>
            <w:hideMark/>
          </w:tcPr>
          <w:p w14:paraId="3F1812DB" w14:textId="77777777" w:rsidR="0020225B" w:rsidRPr="0020225B" w:rsidRDefault="0020225B" w:rsidP="0020225B">
            <w:pPr>
              <w:spacing w:before="0" w:after="0" w:line="240" w:lineRule="auto"/>
              <w:rPr>
                <w:rFonts w:ascii="Aptos Narrow" w:eastAsia="Times New Roman" w:hAnsi="Aptos Narrow"/>
                <w:b/>
                <w:bCs/>
                <w:color w:val="000000"/>
                <w:sz w:val="22"/>
                <w:szCs w:val="22"/>
              </w:rPr>
            </w:pPr>
            <w:r w:rsidRPr="0020225B">
              <w:rPr>
                <w:rFonts w:ascii="Aptos Narrow" w:eastAsia="Times New Roman" w:hAnsi="Aptos Narrow"/>
                <w:b/>
                <w:bCs/>
                <w:color w:val="000000"/>
                <w:sz w:val="22"/>
                <w:szCs w:val="22"/>
              </w:rPr>
              <w:t>Vitamin K</w:t>
            </w:r>
          </w:p>
        </w:tc>
        <w:tc>
          <w:tcPr>
            <w:tcW w:w="2835" w:type="dxa"/>
            <w:tcBorders>
              <w:top w:val="nil"/>
              <w:left w:val="nil"/>
              <w:bottom w:val="single" w:sz="4" w:space="0" w:color="auto"/>
              <w:right w:val="single" w:sz="4" w:space="0" w:color="auto"/>
            </w:tcBorders>
            <w:noWrap/>
            <w:vAlign w:val="bottom"/>
            <w:hideMark/>
          </w:tcPr>
          <w:p w14:paraId="19983F5E" w14:textId="77777777" w:rsidR="0020225B" w:rsidRPr="0020225B" w:rsidRDefault="0020225B" w:rsidP="0020225B">
            <w:pPr>
              <w:spacing w:before="0" w:after="0" w:line="240" w:lineRule="auto"/>
              <w:rPr>
                <w:rFonts w:ascii="Aptos Narrow" w:eastAsia="Times New Roman" w:hAnsi="Aptos Narrow"/>
                <w:color w:val="auto"/>
                <w:sz w:val="22"/>
                <w:szCs w:val="22"/>
              </w:rPr>
            </w:pP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7–12m</w:t>
            </w:r>
            <w:r w:rsidRPr="0020225B">
              <w:rPr>
                <w:rFonts w:ascii="Aptos Narrow" w:eastAsia="Times New Roman" w:hAnsi="Aptos Narrow"/>
                <w:color w:val="auto"/>
                <w:sz w:val="22"/>
                <w:szCs w:val="22"/>
              </w:rPr>
              <w:t xml:space="preserve">→AI </w:t>
            </w:r>
            <w:r w:rsidRPr="0020225B">
              <w:rPr>
                <w:rFonts w:ascii="Aptos Narrow" w:eastAsia="Times New Roman" w:hAnsi="Aptos Narrow"/>
                <w:color w:val="auto"/>
                <w:sz w:val="22"/>
                <w:szCs w:val="22"/>
                <w:vertAlign w:val="subscript"/>
              </w:rPr>
              <w:t>0–6m</w:t>
            </w:r>
          </w:p>
        </w:tc>
        <w:tc>
          <w:tcPr>
            <w:tcW w:w="1491" w:type="dxa"/>
            <w:tcBorders>
              <w:top w:val="nil"/>
              <w:left w:val="nil"/>
              <w:bottom w:val="single" w:sz="4" w:space="0" w:color="auto"/>
              <w:right w:val="single" w:sz="4" w:space="0" w:color="auto"/>
            </w:tcBorders>
            <w:noWrap/>
            <w:vAlign w:val="bottom"/>
            <w:hideMark/>
          </w:tcPr>
          <w:p w14:paraId="00C3AA88"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yes</w:t>
            </w:r>
          </w:p>
        </w:tc>
        <w:tc>
          <w:tcPr>
            <w:tcW w:w="1491" w:type="dxa"/>
            <w:tcBorders>
              <w:top w:val="nil"/>
              <w:left w:val="nil"/>
              <w:bottom w:val="single" w:sz="4" w:space="0" w:color="auto"/>
              <w:right w:val="single" w:sz="4" w:space="0" w:color="auto"/>
            </w:tcBorders>
            <w:noWrap/>
            <w:vAlign w:val="bottom"/>
            <w:hideMark/>
          </w:tcPr>
          <w:p w14:paraId="6D71CB6A"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c>
          <w:tcPr>
            <w:tcW w:w="1280" w:type="dxa"/>
            <w:tcBorders>
              <w:top w:val="nil"/>
              <w:left w:val="nil"/>
              <w:bottom w:val="single" w:sz="4" w:space="0" w:color="auto"/>
              <w:right w:val="single" w:sz="4" w:space="0" w:color="auto"/>
            </w:tcBorders>
            <w:noWrap/>
            <w:vAlign w:val="bottom"/>
            <w:hideMark/>
          </w:tcPr>
          <w:p w14:paraId="4195A190"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no</w:t>
            </w:r>
          </w:p>
        </w:tc>
        <w:tc>
          <w:tcPr>
            <w:tcW w:w="1693" w:type="dxa"/>
            <w:tcBorders>
              <w:top w:val="nil"/>
              <w:left w:val="nil"/>
              <w:bottom w:val="single" w:sz="4" w:space="0" w:color="auto"/>
              <w:right w:val="single" w:sz="4" w:space="0" w:color="auto"/>
            </w:tcBorders>
            <w:noWrap/>
            <w:vAlign w:val="bottom"/>
            <w:hideMark/>
          </w:tcPr>
          <w:p w14:paraId="2463E0AA" w14:textId="77777777" w:rsidR="0020225B" w:rsidRPr="0020225B" w:rsidRDefault="0020225B" w:rsidP="0020225B">
            <w:pPr>
              <w:spacing w:before="0" w:after="0" w:line="240" w:lineRule="auto"/>
              <w:rPr>
                <w:rFonts w:ascii="Aptos Narrow" w:eastAsia="Times New Roman" w:hAnsi="Aptos Narrow"/>
                <w:color w:val="000000"/>
                <w:sz w:val="22"/>
                <w:szCs w:val="22"/>
              </w:rPr>
            </w:pPr>
            <w:r w:rsidRPr="0020225B">
              <w:rPr>
                <w:rFonts w:ascii="Aptos Narrow" w:eastAsia="Times New Roman" w:hAnsi="Aptos Narrow"/>
                <w:color w:val="000000"/>
                <w:sz w:val="22"/>
                <w:szCs w:val="22"/>
              </w:rPr>
              <w:t> </w:t>
            </w:r>
          </w:p>
        </w:tc>
      </w:tr>
    </w:tbl>
    <w:p w14:paraId="3623BEB6" w14:textId="41F7351C" w:rsidR="0020225B" w:rsidRDefault="0020225B" w:rsidP="002D322F">
      <w:r>
        <w:br w:type="page"/>
      </w:r>
    </w:p>
    <w:p w14:paraId="43BD5DA5" w14:textId="17F0EE76" w:rsidR="00CF3BB2" w:rsidRDefault="007A6696" w:rsidP="00561D83">
      <w:pPr>
        <w:pStyle w:val="Heading4-Appendix"/>
      </w:pPr>
      <w:r w:rsidRPr="007A6696">
        <w:lastRenderedPageBreak/>
        <w:fldChar w:fldCharType="begin"/>
      </w:r>
      <w:r w:rsidRPr="007A6696">
        <w:instrText xml:space="preserve"> ADDIN EN.CITE &lt;EndNote&gt;&lt;Cite AuthorYear="1"&gt;&lt;Author&gt;FAO&lt;/Author&gt;&lt;Year&gt;2024&lt;/Year&gt;&lt;RecNum&gt;112&lt;/RecNum&gt;&lt;DisplayText&gt;FAO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rsidRPr="007A6696">
        <w:fldChar w:fldCharType="separate"/>
      </w:r>
      <w:r w:rsidRPr="007A6696">
        <w:rPr>
          <w:noProof/>
        </w:rPr>
        <w:t>FAO (2024)</w:t>
      </w:r>
      <w:r w:rsidRPr="007A6696">
        <w:fldChar w:fldCharType="end"/>
      </w:r>
      <w:r w:rsidR="0020225B">
        <w:t xml:space="preserve"> Data</w:t>
      </w:r>
    </w:p>
    <w:p w14:paraId="15CE7ADD" w14:textId="13435209" w:rsidR="0020225B" w:rsidRDefault="0020225B" w:rsidP="002D322F">
      <w:r>
        <w:t>The following tables show the derivation methods used by different international organisations for nutrient reference values in older infants (</w:t>
      </w:r>
      <w:r w:rsidR="00D97B30">
        <w:t xml:space="preserve">~6-12 months) and young children (~1-5 years), as documented in the </w:t>
      </w:r>
      <w:r w:rsidR="007A6696">
        <w:fldChar w:fldCharType="begin"/>
      </w:r>
      <w:r w:rsidR="007A6696">
        <w:instrText xml:space="preserve"> ADDIN EN.CITE &lt;EndNote&gt;&lt;Cite AuthorYear="1"&gt;&lt;Author&gt;FAO&lt;/Author&gt;&lt;Year&gt;2024&lt;/Year&gt;&lt;RecNum&gt;112&lt;/RecNum&gt;&lt;DisplayText&gt;FAO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rsidR="007A6696">
        <w:fldChar w:fldCharType="separate"/>
      </w:r>
      <w:r w:rsidR="007A6696">
        <w:rPr>
          <w:noProof/>
        </w:rPr>
        <w:t>FAO (2024)</w:t>
      </w:r>
      <w:r w:rsidR="007A6696">
        <w:fldChar w:fldCharType="end"/>
      </w:r>
      <w:r w:rsidR="00D97B30">
        <w:t xml:space="preserve"> review. </w:t>
      </w:r>
    </w:p>
    <w:p w14:paraId="0F814DCB" w14:textId="5FCE4CE7" w:rsidR="001835AD" w:rsidRPr="002D322F" w:rsidRDefault="001835AD" w:rsidP="002D322F">
      <w:pPr>
        <w:rPr>
          <w:b/>
          <w:bCs/>
        </w:rPr>
      </w:pPr>
      <w:r w:rsidRPr="002D322F">
        <w:rPr>
          <w:b/>
          <w:bCs/>
        </w:rPr>
        <w:t>Method Key:</w:t>
      </w:r>
    </w:p>
    <w:p w14:paraId="58B8563F" w14:textId="1501523D" w:rsidR="001835AD" w:rsidRDefault="002D4553" w:rsidP="002D322F">
      <w:pPr>
        <w:pStyle w:val="ListBullet"/>
        <w:ind w:left="357" w:hanging="357"/>
        <w:contextualSpacing w:val="0"/>
      </w:pPr>
      <w:r>
        <w:t xml:space="preserve">Factorial: </w:t>
      </w:r>
      <w:r w:rsidR="00B75681" w:rsidRPr="00B75681">
        <w:t>The factorial summation of the various components involved in physiological growth, maintenance and loss</w:t>
      </w:r>
    </w:p>
    <w:p w14:paraId="1D2E4143" w14:textId="0B3DB098" w:rsidR="002D4553" w:rsidRDefault="002D4553" w:rsidP="002D322F">
      <w:pPr>
        <w:pStyle w:val="ListBullet"/>
        <w:ind w:left="357" w:hanging="357"/>
        <w:contextualSpacing w:val="0"/>
      </w:pPr>
      <w:r>
        <w:t>Biomarker:</w:t>
      </w:r>
      <w:r w:rsidR="00B75681">
        <w:t xml:space="preserve"> </w:t>
      </w:r>
      <w:r w:rsidR="00B75681" w:rsidRPr="00B75681">
        <w:t>The estimation of nutrient intake based on maintenance of a healthy plasma or urinary biomarker, or absence of deficiency disease in the target group</w:t>
      </w:r>
    </w:p>
    <w:p w14:paraId="3213DF83" w14:textId="089915E8" w:rsidR="002D4553" w:rsidRDefault="002D4553" w:rsidP="002D322F">
      <w:pPr>
        <w:pStyle w:val="ListBullet"/>
        <w:ind w:left="357" w:hanging="357"/>
        <w:contextualSpacing w:val="0"/>
      </w:pPr>
      <w:r>
        <w:t>Allometric (Up):</w:t>
      </w:r>
      <w:r w:rsidR="00B75681" w:rsidRPr="00B75681">
        <w:t xml:space="preserve"> Allometric scaling up from </w:t>
      </w:r>
      <w:r w:rsidR="00D0297A">
        <w:t>young infant reference values</w:t>
      </w:r>
    </w:p>
    <w:p w14:paraId="4AF6C547" w14:textId="1A334B2B" w:rsidR="002D4553" w:rsidRDefault="002D4553" w:rsidP="002D322F">
      <w:pPr>
        <w:pStyle w:val="ListBullet"/>
        <w:ind w:left="357" w:hanging="357"/>
        <w:contextualSpacing w:val="0"/>
      </w:pPr>
      <w:r>
        <w:t>Allometric (Down):</w:t>
      </w:r>
      <w:r w:rsidR="00B75681">
        <w:t xml:space="preserve"> </w:t>
      </w:r>
      <w:r w:rsidR="00B75681" w:rsidRPr="00B75681">
        <w:t xml:space="preserve">Allometric scaling down from </w:t>
      </w:r>
      <w:r w:rsidR="00D0297A">
        <w:t>adult reference values</w:t>
      </w:r>
    </w:p>
    <w:p w14:paraId="053FC93D" w14:textId="7B7AF64D" w:rsidR="002D4553" w:rsidRDefault="002D4553" w:rsidP="002D322F">
      <w:pPr>
        <w:pStyle w:val="ListBullet"/>
        <w:ind w:left="357" w:hanging="357"/>
        <w:contextualSpacing w:val="0"/>
      </w:pPr>
      <w:r>
        <w:t>Isometric (Up):</w:t>
      </w:r>
      <w:r w:rsidR="003D1C2A">
        <w:t xml:space="preserve"> </w:t>
      </w:r>
      <w:r w:rsidR="003D1C2A" w:rsidRPr="003D1C2A">
        <w:t xml:space="preserve">Isometric/linear scaling up from </w:t>
      </w:r>
      <w:r w:rsidR="00D0297A">
        <w:t>young infant reference values</w:t>
      </w:r>
    </w:p>
    <w:p w14:paraId="6F9CB146" w14:textId="121219E7" w:rsidR="002D4553" w:rsidRDefault="002D4553" w:rsidP="002D322F">
      <w:pPr>
        <w:pStyle w:val="ListBullet"/>
        <w:ind w:left="357" w:hanging="357"/>
        <w:contextualSpacing w:val="0"/>
      </w:pPr>
      <w:r>
        <w:t>Isometric (Down:</w:t>
      </w:r>
      <w:r w:rsidR="003D1C2A">
        <w:t xml:space="preserve"> </w:t>
      </w:r>
      <w:r w:rsidR="003D1C2A" w:rsidRPr="003D1C2A">
        <w:t xml:space="preserve">Isometric scaling down from </w:t>
      </w:r>
      <w:r w:rsidR="00D0297A">
        <w:t>adult reference values</w:t>
      </w:r>
    </w:p>
    <w:p w14:paraId="18381540" w14:textId="0CAF6E75" w:rsidR="002D4553" w:rsidRDefault="002D4553" w:rsidP="002D322F">
      <w:pPr>
        <w:pStyle w:val="ListBullet"/>
        <w:ind w:left="357" w:hanging="357"/>
        <w:contextualSpacing w:val="0"/>
      </w:pPr>
      <w:r>
        <w:t>Linear (Down):</w:t>
      </w:r>
      <w:r w:rsidR="003D1C2A">
        <w:t xml:space="preserve"> </w:t>
      </w:r>
      <w:r w:rsidR="003D1C2A" w:rsidRPr="003D1C2A">
        <w:t xml:space="preserve">Linear scaling down from </w:t>
      </w:r>
      <w:r w:rsidR="00D0297A">
        <w:t>adult reference values</w:t>
      </w:r>
    </w:p>
    <w:p w14:paraId="18CF7689" w14:textId="74F53B21" w:rsidR="002D4553" w:rsidRDefault="002D4553" w:rsidP="002D322F">
      <w:pPr>
        <w:pStyle w:val="ListBullet"/>
        <w:ind w:left="357" w:hanging="357"/>
        <w:contextualSpacing w:val="0"/>
      </w:pPr>
      <w:r>
        <w:t>Linear (Unit):</w:t>
      </w:r>
      <w:r w:rsidR="003D1C2A">
        <w:t xml:space="preserve"> </w:t>
      </w:r>
      <w:r w:rsidR="003D1C2A" w:rsidRPr="003D1C2A">
        <w:t>Linear scaling from unit measures</w:t>
      </w:r>
    </w:p>
    <w:p w14:paraId="018AF7E3" w14:textId="7BEE5915" w:rsidR="002D4553" w:rsidRDefault="002D4553" w:rsidP="002D322F">
      <w:pPr>
        <w:pStyle w:val="ListBullet"/>
        <w:ind w:left="357" w:hanging="357"/>
        <w:contextualSpacing w:val="0"/>
      </w:pPr>
      <w:r>
        <w:t>Diet-based:</w:t>
      </w:r>
      <w:r w:rsidR="003D1C2A">
        <w:t xml:space="preserve"> </w:t>
      </w:r>
      <w:r w:rsidR="003D1C2A" w:rsidRPr="003D1C2A">
        <w:t>Estimates of nutrient intake from diets of healthy older infants or young children</w:t>
      </w:r>
    </w:p>
    <w:p w14:paraId="32D8A1EF" w14:textId="256E409D" w:rsidR="00565261" w:rsidRDefault="002D4553" w:rsidP="00561D83">
      <w:pPr>
        <w:pStyle w:val="ListBullet"/>
        <w:ind w:left="357" w:hanging="357"/>
        <w:contextualSpacing w:val="0"/>
      </w:pPr>
      <w:r>
        <w:t xml:space="preserve">Interpolate: </w:t>
      </w:r>
      <w:r w:rsidR="003D1C2A" w:rsidRPr="003D1C2A">
        <w:t xml:space="preserve">Interpolation between </w:t>
      </w:r>
      <w:r w:rsidR="00D0297A">
        <w:t xml:space="preserve">reference values </w:t>
      </w:r>
      <w:r w:rsidR="003D1C2A" w:rsidRPr="003D1C2A">
        <w:t>of younger and older age groups</w:t>
      </w:r>
    </w:p>
    <w:p w14:paraId="5FBBEEC2" w14:textId="77777777" w:rsidR="00D0297A" w:rsidRDefault="00D0297A" w:rsidP="00C04E82"/>
    <w:p w14:paraId="3E2FE1DE" w14:textId="77777777" w:rsidR="004E6E12" w:rsidRDefault="004E6E12" w:rsidP="00C04E82">
      <w:pPr>
        <w:sectPr w:rsidR="004E6E12" w:rsidSect="00002E2F">
          <w:headerReference w:type="default" r:id="rId251"/>
          <w:headerReference w:type="first" r:id="rId252"/>
          <w:footerReference w:type="first" r:id="rId253"/>
          <w:pgSz w:w="11906" w:h="16838" w:code="9"/>
          <w:pgMar w:top="1701" w:right="1134" w:bottom="1276" w:left="907" w:header="510" w:footer="510" w:gutter="0"/>
          <w:cols w:space="708"/>
          <w:titlePg/>
          <w:docGrid w:linePitch="360"/>
        </w:sectPr>
      </w:pPr>
    </w:p>
    <w:p w14:paraId="03F5AEA3" w14:textId="77777777" w:rsidR="00D4009E" w:rsidRDefault="00D4009E" w:rsidP="00C04E82"/>
    <w:p w14:paraId="43606611" w14:textId="1A78D4F3" w:rsidR="00A33BA8" w:rsidRDefault="003B181D" w:rsidP="00C04E82">
      <w:r>
        <w:t xml:space="preserve">F.5.1 Mineral Derivation Methods – </w:t>
      </w:r>
      <w:r w:rsidR="00BB5D8B">
        <w:fldChar w:fldCharType="begin"/>
      </w:r>
      <w:r w:rsidR="00BB5D8B">
        <w:instrText xml:space="preserve"> ADDIN EN.CITE &lt;EndNote&gt;&lt;Cite AuthorYear="1"&gt;&lt;Author&gt;FAO&lt;/Author&gt;&lt;Year&gt;2024&lt;/Year&gt;&lt;RecNum&gt;112&lt;/RecNum&gt;&lt;DisplayText&gt;FAO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rsidR="00BB5D8B">
        <w:fldChar w:fldCharType="separate"/>
      </w:r>
      <w:r w:rsidR="00BB5D8B">
        <w:rPr>
          <w:noProof/>
        </w:rPr>
        <w:t>FAO (2024)</w:t>
      </w:r>
      <w:r w:rsidR="00BB5D8B">
        <w:fldChar w:fldCharType="end"/>
      </w:r>
    </w:p>
    <w:p w14:paraId="54E7DEA7" w14:textId="5E8374E5" w:rsidR="00F4551F" w:rsidRPr="004F41D4" w:rsidRDefault="003B181D" w:rsidP="00C04E82">
      <w:pPr>
        <w:rPr>
          <w:sz w:val="18"/>
        </w:rPr>
      </w:pPr>
      <w:r w:rsidRPr="004F41D4">
        <w:rPr>
          <w:sz w:val="18"/>
        </w:rPr>
        <w:t xml:space="preserve">Derivation methods used by international </w:t>
      </w:r>
      <w:r w:rsidR="00A33BA8" w:rsidRPr="004F41D4">
        <w:rPr>
          <w:sz w:val="18"/>
        </w:rPr>
        <w:t xml:space="preserve">organisations </w:t>
      </w:r>
      <w:r w:rsidRPr="004F41D4">
        <w:rPr>
          <w:sz w:val="18"/>
        </w:rPr>
        <w:t>for older infants</w:t>
      </w:r>
      <w:r w:rsidR="00A33BA8" w:rsidRPr="004F41D4">
        <w:rPr>
          <w:sz w:val="18"/>
        </w:rPr>
        <w:t xml:space="preserve"> and young children. Two methods listed = average of two methods </w:t>
      </w:r>
      <w:r w:rsidR="00F4551F" w:rsidRPr="004F41D4">
        <w:rPr>
          <w:sz w:val="18"/>
        </w:rPr>
        <w:t xml:space="preserve">used; * = multiple intake values for general population; ** = extrapolation parameter is product of body weight and dietary intake value energy. </w:t>
      </w:r>
    </w:p>
    <w:tbl>
      <w:tblPr>
        <w:tblW w:w="15163" w:type="dxa"/>
        <w:jc w:val="center"/>
        <w:tblLayout w:type="fixed"/>
        <w:tblLook w:val="04A0" w:firstRow="1" w:lastRow="0" w:firstColumn="1" w:lastColumn="0" w:noHBand="0" w:noVBand="1"/>
      </w:tblPr>
      <w:tblGrid>
        <w:gridCol w:w="1266"/>
        <w:gridCol w:w="1133"/>
        <w:gridCol w:w="1275"/>
        <w:gridCol w:w="1275"/>
        <w:gridCol w:w="1134"/>
        <w:gridCol w:w="1134"/>
        <w:gridCol w:w="1134"/>
        <w:gridCol w:w="1134"/>
        <w:gridCol w:w="1275"/>
        <w:gridCol w:w="1134"/>
        <w:gridCol w:w="1134"/>
        <w:gridCol w:w="8"/>
        <w:gridCol w:w="989"/>
        <w:gridCol w:w="1138"/>
      </w:tblGrid>
      <w:tr w:rsidR="00894012" w:rsidRPr="000A0391" w14:paraId="78960A71" w14:textId="77777777" w:rsidTr="00C9042E">
        <w:trPr>
          <w:trHeight w:val="454"/>
          <w:jc w:val="center"/>
        </w:trPr>
        <w:tc>
          <w:tcPr>
            <w:tcW w:w="1266" w:type="dxa"/>
            <w:vMerge w:val="restart"/>
            <w:tcBorders>
              <w:top w:val="single" w:sz="4" w:space="0" w:color="auto"/>
              <w:left w:val="single" w:sz="4" w:space="0" w:color="auto"/>
              <w:bottom w:val="single" w:sz="4" w:space="0" w:color="000000"/>
              <w:right w:val="single" w:sz="4" w:space="0" w:color="auto"/>
            </w:tcBorders>
            <w:vAlign w:val="center"/>
          </w:tcPr>
          <w:p w14:paraId="1CA13040" w14:textId="7275B74C" w:rsidR="00894012" w:rsidRPr="000A0391" w:rsidRDefault="00894012" w:rsidP="000A0391">
            <w:pPr>
              <w:spacing w:before="0" w:after="0" w:line="240" w:lineRule="auto"/>
              <w:rPr>
                <w:rFonts w:ascii="Aptos Narrow" w:eastAsia="Times New Roman" w:hAnsi="Aptos Narrow"/>
                <w:b/>
                <w:bCs/>
                <w:color w:val="000000"/>
                <w:szCs w:val="20"/>
              </w:rPr>
            </w:pPr>
            <w:r>
              <w:rPr>
                <w:rFonts w:ascii="Aptos Narrow" w:eastAsia="Times New Roman" w:hAnsi="Aptos Narrow"/>
                <w:b/>
                <w:bCs/>
                <w:color w:val="000000"/>
                <w:szCs w:val="20"/>
              </w:rPr>
              <w:t>Nutrient</w:t>
            </w:r>
          </w:p>
        </w:tc>
        <w:tc>
          <w:tcPr>
            <w:tcW w:w="7085" w:type="dxa"/>
            <w:gridSpan w:val="6"/>
            <w:tcBorders>
              <w:top w:val="single" w:sz="4" w:space="0" w:color="auto"/>
              <w:left w:val="nil"/>
              <w:right w:val="single" w:sz="4" w:space="0" w:color="auto"/>
            </w:tcBorders>
            <w:vAlign w:val="center"/>
          </w:tcPr>
          <w:p w14:paraId="1631CDE8" w14:textId="7F141ECE" w:rsidR="00894012" w:rsidRPr="000A0391" w:rsidRDefault="00894012"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Older infants (~6-12 months</w:t>
            </w:r>
            <w:r>
              <w:rPr>
                <w:rFonts w:ascii="Aptos Narrow" w:eastAsia="Times New Roman" w:hAnsi="Aptos Narrow"/>
                <w:b/>
                <w:bCs/>
                <w:color w:val="000000"/>
                <w:szCs w:val="20"/>
              </w:rPr>
              <w:t>)</w:t>
            </w:r>
          </w:p>
        </w:tc>
        <w:tc>
          <w:tcPr>
            <w:tcW w:w="6812" w:type="dxa"/>
            <w:gridSpan w:val="7"/>
            <w:tcBorders>
              <w:top w:val="single" w:sz="4" w:space="0" w:color="auto"/>
              <w:left w:val="nil"/>
              <w:bottom w:val="single" w:sz="4" w:space="0" w:color="auto"/>
              <w:right w:val="single" w:sz="4" w:space="0" w:color="auto"/>
            </w:tcBorders>
            <w:vAlign w:val="center"/>
          </w:tcPr>
          <w:p w14:paraId="0CF0450F" w14:textId="397C47D4" w:rsidR="00894012" w:rsidRPr="000A0391" w:rsidRDefault="00894012"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Young children (~1-5 years)</w:t>
            </w:r>
          </w:p>
        </w:tc>
      </w:tr>
      <w:tr w:rsidR="00894012" w:rsidRPr="000A0391" w14:paraId="6A247FD4" w14:textId="77777777" w:rsidTr="00C9042E">
        <w:trPr>
          <w:trHeight w:val="864"/>
          <w:jc w:val="center"/>
        </w:trPr>
        <w:tc>
          <w:tcPr>
            <w:tcW w:w="1266" w:type="dxa"/>
            <w:vMerge/>
            <w:tcBorders>
              <w:top w:val="single" w:sz="4" w:space="0" w:color="auto"/>
              <w:left w:val="single" w:sz="4" w:space="0" w:color="auto"/>
              <w:bottom w:val="single" w:sz="4" w:space="0" w:color="000000"/>
              <w:right w:val="single" w:sz="4" w:space="0" w:color="auto"/>
            </w:tcBorders>
            <w:vAlign w:val="center"/>
            <w:hideMark/>
          </w:tcPr>
          <w:p w14:paraId="3AD4FA25" w14:textId="77777777" w:rsidR="000A0391" w:rsidRPr="000A0391" w:rsidRDefault="000A0391" w:rsidP="000A0391">
            <w:pPr>
              <w:spacing w:before="0" w:after="0" w:line="240" w:lineRule="auto"/>
              <w:rPr>
                <w:rFonts w:ascii="Aptos Narrow" w:eastAsia="Times New Roman" w:hAnsi="Aptos Narrow"/>
                <w:b/>
                <w:bCs/>
                <w:color w:val="000000"/>
                <w:szCs w:val="20"/>
              </w:rPr>
            </w:pPr>
          </w:p>
        </w:tc>
        <w:tc>
          <w:tcPr>
            <w:tcW w:w="1133" w:type="dxa"/>
            <w:tcBorders>
              <w:top w:val="single" w:sz="4" w:space="0" w:color="auto"/>
              <w:left w:val="nil"/>
              <w:bottom w:val="single" w:sz="4" w:space="0" w:color="auto"/>
              <w:right w:val="single" w:sz="4" w:space="0" w:color="auto"/>
            </w:tcBorders>
            <w:vAlign w:val="center"/>
            <w:hideMark/>
          </w:tcPr>
          <w:p w14:paraId="178D26CD"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Australia and New Zealand (NHMRC/MOH)</w:t>
            </w:r>
          </w:p>
        </w:tc>
        <w:tc>
          <w:tcPr>
            <w:tcW w:w="1275" w:type="dxa"/>
            <w:tcBorders>
              <w:top w:val="single" w:sz="4" w:space="0" w:color="auto"/>
              <w:left w:val="nil"/>
              <w:bottom w:val="single" w:sz="4" w:space="0" w:color="auto"/>
              <w:right w:val="single" w:sz="4" w:space="0" w:color="auto"/>
            </w:tcBorders>
            <w:vAlign w:val="center"/>
            <w:hideMark/>
          </w:tcPr>
          <w:p w14:paraId="1D163348"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Canada and USA (IOM)</w:t>
            </w:r>
          </w:p>
        </w:tc>
        <w:tc>
          <w:tcPr>
            <w:tcW w:w="1275" w:type="dxa"/>
            <w:tcBorders>
              <w:top w:val="single" w:sz="4" w:space="0" w:color="auto"/>
              <w:left w:val="nil"/>
              <w:bottom w:val="single" w:sz="4" w:space="0" w:color="auto"/>
              <w:right w:val="single" w:sz="4" w:space="0" w:color="auto"/>
            </w:tcBorders>
            <w:vAlign w:val="center"/>
            <w:hideMark/>
          </w:tcPr>
          <w:p w14:paraId="77BA1C75"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Europe (EFSA)</w:t>
            </w:r>
          </w:p>
        </w:tc>
        <w:tc>
          <w:tcPr>
            <w:tcW w:w="1134" w:type="dxa"/>
            <w:tcBorders>
              <w:top w:val="single" w:sz="4" w:space="0" w:color="auto"/>
              <w:left w:val="nil"/>
              <w:bottom w:val="single" w:sz="4" w:space="0" w:color="auto"/>
              <w:right w:val="single" w:sz="4" w:space="0" w:color="auto"/>
            </w:tcBorders>
            <w:vAlign w:val="center"/>
            <w:hideMark/>
          </w:tcPr>
          <w:p w14:paraId="3FB3C477" w14:textId="77777777" w:rsidR="001256B8" w:rsidRPr="001256B8"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WHO/</w:t>
            </w:r>
          </w:p>
          <w:p w14:paraId="39E2A366" w14:textId="6079E785"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FAO</w:t>
            </w:r>
          </w:p>
        </w:tc>
        <w:tc>
          <w:tcPr>
            <w:tcW w:w="1134" w:type="dxa"/>
            <w:tcBorders>
              <w:top w:val="single" w:sz="4" w:space="0" w:color="auto"/>
              <w:left w:val="nil"/>
              <w:bottom w:val="single" w:sz="4" w:space="0" w:color="auto"/>
              <w:right w:val="single" w:sz="4" w:space="0" w:color="auto"/>
            </w:tcBorders>
            <w:vAlign w:val="center"/>
            <w:hideMark/>
          </w:tcPr>
          <w:p w14:paraId="46A3534D"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Japan (MHLW)</w:t>
            </w:r>
          </w:p>
        </w:tc>
        <w:tc>
          <w:tcPr>
            <w:tcW w:w="1134" w:type="dxa"/>
            <w:tcBorders>
              <w:top w:val="single" w:sz="4" w:space="0" w:color="auto"/>
              <w:left w:val="nil"/>
              <w:bottom w:val="single" w:sz="4" w:space="0" w:color="auto"/>
              <w:right w:val="single" w:sz="4" w:space="0" w:color="auto"/>
            </w:tcBorders>
            <w:vAlign w:val="center"/>
            <w:hideMark/>
          </w:tcPr>
          <w:p w14:paraId="02BF833F"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Nordic Countries (NCM)</w:t>
            </w:r>
          </w:p>
        </w:tc>
        <w:tc>
          <w:tcPr>
            <w:tcW w:w="1134" w:type="dxa"/>
            <w:tcBorders>
              <w:top w:val="single" w:sz="4" w:space="0" w:color="auto"/>
              <w:left w:val="nil"/>
              <w:bottom w:val="single" w:sz="4" w:space="0" w:color="auto"/>
              <w:right w:val="single" w:sz="4" w:space="0" w:color="auto"/>
            </w:tcBorders>
            <w:vAlign w:val="center"/>
            <w:hideMark/>
          </w:tcPr>
          <w:p w14:paraId="081ACC4D"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Australia and New Zealand (NHMRC/MOH)</w:t>
            </w:r>
          </w:p>
        </w:tc>
        <w:tc>
          <w:tcPr>
            <w:tcW w:w="1275" w:type="dxa"/>
            <w:tcBorders>
              <w:top w:val="nil"/>
              <w:left w:val="nil"/>
              <w:bottom w:val="single" w:sz="4" w:space="0" w:color="auto"/>
              <w:right w:val="single" w:sz="4" w:space="0" w:color="auto"/>
            </w:tcBorders>
            <w:vAlign w:val="center"/>
            <w:hideMark/>
          </w:tcPr>
          <w:p w14:paraId="071C533C"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Canada and USA (IOM)</w:t>
            </w:r>
          </w:p>
        </w:tc>
        <w:tc>
          <w:tcPr>
            <w:tcW w:w="1134" w:type="dxa"/>
            <w:tcBorders>
              <w:top w:val="nil"/>
              <w:left w:val="nil"/>
              <w:bottom w:val="single" w:sz="4" w:space="0" w:color="auto"/>
              <w:right w:val="single" w:sz="4" w:space="0" w:color="auto"/>
            </w:tcBorders>
            <w:vAlign w:val="center"/>
            <w:hideMark/>
          </w:tcPr>
          <w:p w14:paraId="64B1E42D"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Europe (EFSA)</w:t>
            </w:r>
          </w:p>
        </w:tc>
        <w:tc>
          <w:tcPr>
            <w:tcW w:w="1134" w:type="dxa"/>
            <w:tcBorders>
              <w:top w:val="nil"/>
              <w:left w:val="nil"/>
              <w:bottom w:val="single" w:sz="4" w:space="0" w:color="auto"/>
              <w:right w:val="single" w:sz="4" w:space="0" w:color="auto"/>
            </w:tcBorders>
            <w:vAlign w:val="center"/>
            <w:hideMark/>
          </w:tcPr>
          <w:p w14:paraId="178B768F"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WHO/FAO</w:t>
            </w:r>
          </w:p>
        </w:tc>
        <w:tc>
          <w:tcPr>
            <w:tcW w:w="997" w:type="dxa"/>
            <w:gridSpan w:val="2"/>
            <w:tcBorders>
              <w:top w:val="nil"/>
              <w:left w:val="nil"/>
              <w:bottom w:val="single" w:sz="4" w:space="0" w:color="auto"/>
              <w:right w:val="single" w:sz="4" w:space="0" w:color="auto"/>
            </w:tcBorders>
            <w:vAlign w:val="center"/>
            <w:hideMark/>
          </w:tcPr>
          <w:p w14:paraId="5C500139"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Japan (MHLW)</w:t>
            </w:r>
          </w:p>
        </w:tc>
        <w:tc>
          <w:tcPr>
            <w:tcW w:w="1138" w:type="dxa"/>
            <w:tcBorders>
              <w:top w:val="nil"/>
              <w:left w:val="nil"/>
              <w:bottom w:val="single" w:sz="4" w:space="0" w:color="auto"/>
              <w:right w:val="single" w:sz="4" w:space="0" w:color="auto"/>
            </w:tcBorders>
            <w:vAlign w:val="center"/>
            <w:hideMark/>
          </w:tcPr>
          <w:p w14:paraId="044BC72B" w14:textId="77777777" w:rsidR="000A0391" w:rsidRPr="000A0391" w:rsidRDefault="000A0391" w:rsidP="00576AB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Nordic Countries (NCM)</w:t>
            </w:r>
          </w:p>
        </w:tc>
      </w:tr>
      <w:tr w:rsidR="001256B8" w:rsidRPr="001256B8" w14:paraId="3C2943CE" w14:textId="77777777" w:rsidTr="00C9042E">
        <w:trPr>
          <w:trHeight w:val="288"/>
          <w:jc w:val="center"/>
        </w:trPr>
        <w:tc>
          <w:tcPr>
            <w:tcW w:w="1266" w:type="dxa"/>
            <w:tcBorders>
              <w:top w:val="nil"/>
              <w:left w:val="single" w:sz="4" w:space="0" w:color="auto"/>
              <w:bottom w:val="single" w:sz="4" w:space="0" w:color="auto"/>
              <w:right w:val="single" w:sz="4" w:space="0" w:color="auto"/>
            </w:tcBorders>
            <w:shd w:val="clear" w:color="000000" w:fill="E8E8E8"/>
            <w:noWrap/>
            <w:vAlign w:val="center"/>
            <w:hideMark/>
          </w:tcPr>
          <w:p w14:paraId="289CE28B" w14:textId="77777777" w:rsidR="000A0391" w:rsidRPr="000A0391" w:rsidRDefault="000A0391" w:rsidP="000A039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Calcium</w:t>
            </w:r>
          </w:p>
        </w:tc>
        <w:tc>
          <w:tcPr>
            <w:tcW w:w="1133" w:type="dxa"/>
            <w:tcBorders>
              <w:top w:val="nil"/>
              <w:left w:val="nil"/>
              <w:bottom w:val="single" w:sz="4" w:space="0" w:color="auto"/>
              <w:right w:val="single" w:sz="4" w:space="0" w:color="auto"/>
            </w:tcBorders>
            <w:shd w:val="clear" w:color="000000" w:fill="E8E8E8"/>
            <w:vAlign w:val="center"/>
            <w:hideMark/>
          </w:tcPr>
          <w:p w14:paraId="25ABBEAC"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shd w:val="clear" w:color="000000" w:fill="E8E8E8"/>
            <w:vAlign w:val="center"/>
            <w:hideMark/>
          </w:tcPr>
          <w:p w14:paraId="48BE8D99"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shd w:val="clear" w:color="000000" w:fill="E8E8E8"/>
            <w:vAlign w:val="center"/>
            <w:hideMark/>
          </w:tcPr>
          <w:p w14:paraId="514AFA80"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(Up)</w:t>
            </w:r>
          </w:p>
        </w:tc>
        <w:tc>
          <w:tcPr>
            <w:tcW w:w="1134" w:type="dxa"/>
            <w:tcBorders>
              <w:top w:val="nil"/>
              <w:left w:val="nil"/>
              <w:bottom w:val="single" w:sz="4" w:space="0" w:color="auto"/>
              <w:right w:val="single" w:sz="4" w:space="0" w:color="auto"/>
            </w:tcBorders>
            <w:shd w:val="clear" w:color="000000" w:fill="E8E8E8"/>
            <w:vAlign w:val="center"/>
            <w:hideMark/>
          </w:tcPr>
          <w:p w14:paraId="4478EB1F"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Factorial</w:t>
            </w:r>
          </w:p>
        </w:tc>
        <w:tc>
          <w:tcPr>
            <w:tcW w:w="1134" w:type="dxa"/>
            <w:tcBorders>
              <w:top w:val="nil"/>
              <w:left w:val="nil"/>
              <w:bottom w:val="single" w:sz="4" w:space="0" w:color="auto"/>
              <w:right w:val="single" w:sz="4" w:space="0" w:color="auto"/>
            </w:tcBorders>
            <w:shd w:val="clear" w:color="000000" w:fill="E8E8E8"/>
            <w:vAlign w:val="center"/>
            <w:hideMark/>
          </w:tcPr>
          <w:p w14:paraId="6DE0F04E"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shd w:val="clear" w:color="000000" w:fill="E8E8E8"/>
            <w:vAlign w:val="center"/>
            <w:hideMark/>
          </w:tcPr>
          <w:p w14:paraId="696FDDB0"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Unknown</w:t>
            </w:r>
          </w:p>
        </w:tc>
        <w:tc>
          <w:tcPr>
            <w:tcW w:w="1134" w:type="dxa"/>
            <w:tcBorders>
              <w:top w:val="nil"/>
              <w:left w:val="nil"/>
              <w:bottom w:val="single" w:sz="4" w:space="0" w:color="auto"/>
              <w:right w:val="single" w:sz="4" w:space="0" w:color="auto"/>
            </w:tcBorders>
            <w:shd w:val="clear" w:color="000000" w:fill="E8E8E8"/>
            <w:vAlign w:val="center"/>
            <w:hideMark/>
          </w:tcPr>
          <w:p w14:paraId="0398A4CC"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Factorial</w:t>
            </w:r>
          </w:p>
        </w:tc>
        <w:tc>
          <w:tcPr>
            <w:tcW w:w="1275" w:type="dxa"/>
            <w:tcBorders>
              <w:top w:val="nil"/>
              <w:left w:val="nil"/>
              <w:bottom w:val="single" w:sz="4" w:space="0" w:color="auto"/>
              <w:right w:val="single" w:sz="4" w:space="0" w:color="auto"/>
            </w:tcBorders>
            <w:shd w:val="clear" w:color="000000" w:fill="E8E8E8"/>
            <w:vAlign w:val="center"/>
            <w:hideMark/>
          </w:tcPr>
          <w:p w14:paraId="11F6E341"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Factorial</w:t>
            </w:r>
          </w:p>
        </w:tc>
        <w:tc>
          <w:tcPr>
            <w:tcW w:w="1134" w:type="dxa"/>
            <w:tcBorders>
              <w:top w:val="nil"/>
              <w:left w:val="nil"/>
              <w:bottom w:val="single" w:sz="4" w:space="0" w:color="auto"/>
              <w:right w:val="single" w:sz="4" w:space="0" w:color="auto"/>
            </w:tcBorders>
            <w:shd w:val="clear" w:color="000000" w:fill="E8E8E8"/>
            <w:vAlign w:val="center"/>
            <w:hideMark/>
          </w:tcPr>
          <w:p w14:paraId="4778F07B"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Factorial</w:t>
            </w:r>
          </w:p>
        </w:tc>
        <w:tc>
          <w:tcPr>
            <w:tcW w:w="1134" w:type="dxa"/>
            <w:tcBorders>
              <w:top w:val="nil"/>
              <w:left w:val="nil"/>
              <w:bottom w:val="single" w:sz="4" w:space="0" w:color="auto"/>
              <w:right w:val="single" w:sz="4" w:space="0" w:color="auto"/>
            </w:tcBorders>
            <w:shd w:val="clear" w:color="000000" w:fill="E8E8E8"/>
            <w:vAlign w:val="center"/>
            <w:hideMark/>
          </w:tcPr>
          <w:p w14:paraId="05AE7D8C"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Interpolate</w:t>
            </w:r>
          </w:p>
        </w:tc>
        <w:tc>
          <w:tcPr>
            <w:tcW w:w="997" w:type="dxa"/>
            <w:gridSpan w:val="2"/>
            <w:tcBorders>
              <w:top w:val="nil"/>
              <w:left w:val="nil"/>
              <w:bottom w:val="single" w:sz="4" w:space="0" w:color="auto"/>
              <w:right w:val="single" w:sz="4" w:space="0" w:color="auto"/>
            </w:tcBorders>
            <w:shd w:val="clear" w:color="000000" w:fill="E8E8E8"/>
            <w:vAlign w:val="center"/>
            <w:hideMark/>
          </w:tcPr>
          <w:p w14:paraId="121315B1"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Factorial</w:t>
            </w:r>
          </w:p>
        </w:tc>
        <w:tc>
          <w:tcPr>
            <w:tcW w:w="1138" w:type="dxa"/>
            <w:tcBorders>
              <w:top w:val="nil"/>
              <w:left w:val="nil"/>
              <w:bottom w:val="single" w:sz="4" w:space="0" w:color="auto"/>
              <w:right w:val="single" w:sz="4" w:space="0" w:color="auto"/>
            </w:tcBorders>
            <w:shd w:val="clear" w:color="000000" w:fill="E8E8E8"/>
            <w:vAlign w:val="center"/>
            <w:hideMark/>
          </w:tcPr>
          <w:p w14:paraId="0133D2C3"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Factorial</w:t>
            </w:r>
          </w:p>
        </w:tc>
      </w:tr>
      <w:tr w:rsidR="001256B8" w:rsidRPr="001256B8" w14:paraId="0F40D768" w14:textId="77777777" w:rsidTr="00C9042E">
        <w:trPr>
          <w:trHeight w:val="576"/>
          <w:jc w:val="center"/>
        </w:trPr>
        <w:tc>
          <w:tcPr>
            <w:tcW w:w="1266" w:type="dxa"/>
            <w:tcBorders>
              <w:top w:val="nil"/>
              <w:left w:val="single" w:sz="4" w:space="0" w:color="auto"/>
              <w:bottom w:val="single" w:sz="4" w:space="0" w:color="auto"/>
              <w:right w:val="single" w:sz="4" w:space="0" w:color="auto"/>
            </w:tcBorders>
            <w:noWrap/>
            <w:vAlign w:val="center"/>
            <w:hideMark/>
          </w:tcPr>
          <w:p w14:paraId="243B7F42" w14:textId="77777777" w:rsidR="000A0391" w:rsidRPr="000A0391" w:rsidRDefault="000A0391" w:rsidP="000A039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Copper</w:t>
            </w:r>
          </w:p>
        </w:tc>
        <w:tc>
          <w:tcPr>
            <w:tcW w:w="1133" w:type="dxa"/>
            <w:tcBorders>
              <w:top w:val="nil"/>
              <w:left w:val="nil"/>
              <w:bottom w:val="single" w:sz="4" w:space="0" w:color="auto"/>
              <w:right w:val="single" w:sz="4" w:space="0" w:color="auto"/>
            </w:tcBorders>
            <w:vAlign w:val="center"/>
            <w:hideMark/>
          </w:tcPr>
          <w:p w14:paraId="198DC3E5"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vAlign w:val="center"/>
            <w:hideMark/>
          </w:tcPr>
          <w:p w14:paraId="6EA0F584"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vAlign w:val="center"/>
            <w:hideMark/>
          </w:tcPr>
          <w:p w14:paraId="2FF7B42D"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(Up), Diet-based</w:t>
            </w:r>
          </w:p>
        </w:tc>
        <w:tc>
          <w:tcPr>
            <w:tcW w:w="1134" w:type="dxa"/>
            <w:tcBorders>
              <w:top w:val="nil"/>
              <w:left w:val="nil"/>
              <w:bottom w:val="single" w:sz="4" w:space="0" w:color="auto"/>
              <w:right w:val="single" w:sz="4" w:space="0" w:color="auto"/>
            </w:tcBorders>
            <w:vAlign w:val="center"/>
            <w:hideMark/>
          </w:tcPr>
          <w:p w14:paraId="4CC7F97D"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1134" w:type="dxa"/>
            <w:tcBorders>
              <w:top w:val="nil"/>
              <w:left w:val="nil"/>
              <w:bottom w:val="single" w:sz="4" w:space="0" w:color="auto"/>
              <w:right w:val="single" w:sz="4" w:space="0" w:color="auto"/>
            </w:tcBorders>
            <w:vAlign w:val="center"/>
            <w:hideMark/>
          </w:tcPr>
          <w:p w14:paraId="2EBB13C4"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vAlign w:val="center"/>
            <w:hideMark/>
          </w:tcPr>
          <w:p w14:paraId="59F21A7F"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w:t>
            </w:r>
          </w:p>
        </w:tc>
        <w:tc>
          <w:tcPr>
            <w:tcW w:w="1134" w:type="dxa"/>
            <w:tcBorders>
              <w:top w:val="nil"/>
              <w:left w:val="nil"/>
              <w:bottom w:val="single" w:sz="4" w:space="0" w:color="auto"/>
              <w:right w:val="single" w:sz="4" w:space="0" w:color="auto"/>
            </w:tcBorders>
            <w:vAlign w:val="center"/>
            <w:hideMark/>
          </w:tcPr>
          <w:p w14:paraId="37EF613D"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vAlign w:val="center"/>
            <w:hideMark/>
          </w:tcPr>
          <w:p w14:paraId="75723899"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w:t>
            </w:r>
          </w:p>
        </w:tc>
        <w:tc>
          <w:tcPr>
            <w:tcW w:w="1134" w:type="dxa"/>
            <w:tcBorders>
              <w:top w:val="nil"/>
              <w:left w:val="nil"/>
              <w:bottom w:val="single" w:sz="4" w:space="0" w:color="auto"/>
              <w:right w:val="single" w:sz="4" w:space="0" w:color="auto"/>
            </w:tcBorders>
            <w:vAlign w:val="center"/>
            <w:hideMark/>
          </w:tcPr>
          <w:p w14:paraId="39F244D0"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vAlign w:val="center"/>
            <w:hideMark/>
          </w:tcPr>
          <w:p w14:paraId="1E46A386"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997" w:type="dxa"/>
            <w:gridSpan w:val="2"/>
            <w:tcBorders>
              <w:top w:val="nil"/>
              <w:left w:val="nil"/>
              <w:bottom w:val="single" w:sz="4" w:space="0" w:color="auto"/>
              <w:right w:val="single" w:sz="4" w:space="0" w:color="auto"/>
            </w:tcBorders>
            <w:vAlign w:val="center"/>
            <w:hideMark/>
          </w:tcPr>
          <w:p w14:paraId="16FC1BDB"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w:t>
            </w:r>
          </w:p>
        </w:tc>
        <w:tc>
          <w:tcPr>
            <w:tcW w:w="1138" w:type="dxa"/>
            <w:tcBorders>
              <w:top w:val="nil"/>
              <w:left w:val="nil"/>
              <w:bottom w:val="single" w:sz="4" w:space="0" w:color="auto"/>
              <w:right w:val="single" w:sz="4" w:space="0" w:color="auto"/>
            </w:tcBorders>
            <w:vAlign w:val="center"/>
            <w:hideMark/>
          </w:tcPr>
          <w:p w14:paraId="60C561AB"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w:t>
            </w:r>
          </w:p>
        </w:tc>
      </w:tr>
      <w:tr w:rsidR="001256B8" w:rsidRPr="001256B8" w14:paraId="6D9746FA" w14:textId="77777777" w:rsidTr="00C9042E">
        <w:trPr>
          <w:trHeight w:val="288"/>
          <w:jc w:val="center"/>
        </w:trPr>
        <w:tc>
          <w:tcPr>
            <w:tcW w:w="1266" w:type="dxa"/>
            <w:tcBorders>
              <w:top w:val="nil"/>
              <w:left w:val="single" w:sz="4" w:space="0" w:color="auto"/>
              <w:bottom w:val="single" w:sz="4" w:space="0" w:color="auto"/>
              <w:right w:val="single" w:sz="4" w:space="0" w:color="auto"/>
            </w:tcBorders>
            <w:shd w:val="clear" w:color="000000" w:fill="E8E8E8"/>
            <w:noWrap/>
            <w:vAlign w:val="center"/>
            <w:hideMark/>
          </w:tcPr>
          <w:p w14:paraId="6B5AECAD" w14:textId="77777777" w:rsidR="000A0391" w:rsidRPr="000A0391" w:rsidRDefault="000A0391" w:rsidP="000A039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Iodine</w:t>
            </w:r>
          </w:p>
        </w:tc>
        <w:tc>
          <w:tcPr>
            <w:tcW w:w="1133" w:type="dxa"/>
            <w:tcBorders>
              <w:top w:val="nil"/>
              <w:left w:val="nil"/>
              <w:bottom w:val="single" w:sz="4" w:space="0" w:color="auto"/>
              <w:right w:val="single" w:sz="4" w:space="0" w:color="auto"/>
            </w:tcBorders>
            <w:shd w:val="clear" w:color="000000" w:fill="E8E8E8"/>
            <w:vAlign w:val="center"/>
            <w:hideMark/>
          </w:tcPr>
          <w:p w14:paraId="1A36A635"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(Up)</w:t>
            </w:r>
          </w:p>
        </w:tc>
        <w:tc>
          <w:tcPr>
            <w:tcW w:w="1275" w:type="dxa"/>
            <w:tcBorders>
              <w:top w:val="nil"/>
              <w:left w:val="nil"/>
              <w:bottom w:val="single" w:sz="4" w:space="0" w:color="auto"/>
              <w:right w:val="single" w:sz="4" w:space="0" w:color="auto"/>
            </w:tcBorders>
            <w:shd w:val="clear" w:color="000000" w:fill="E8E8E8"/>
            <w:vAlign w:val="center"/>
            <w:hideMark/>
          </w:tcPr>
          <w:p w14:paraId="3D92EE62"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(Up)</w:t>
            </w:r>
          </w:p>
        </w:tc>
        <w:tc>
          <w:tcPr>
            <w:tcW w:w="1275" w:type="dxa"/>
            <w:tcBorders>
              <w:top w:val="nil"/>
              <w:left w:val="nil"/>
              <w:bottom w:val="single" w:sz="4" w:space="0" w:color="auto"/>
              <w:right w:val="single" w:sz="4" w:space="0" w:color="auto"/>
            </w:tcBorders>
            <w:shd w:val="clear" w:color="000000" w:fill="E8E8E8"/>
            <w:vAlign w:val="center"/>
            <w:hideMark/>
          </w:tcPr>
          <w:p w14:paraId="48D0091B"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Biomarker</w:t>
            </w:r>
          </w:p>
        </w:tc>
        <w:tc>
          <w:tcPr>
            <w:tcW w:w="1134" w:type="dxa"/>
            <w:tcBorders>
              <w:top w:val="nil"/>
              <w:left w:val="nil"/>
              <w:bottom w:val="single" w:sz="4" w:space="0" w:color="auto"/>
              <w:right w:val="single" w:sz="4" w:space="0" w:color="auto"/>
            </w:tcBorders>
            <w:shd w:val="clear" w:color="000000" w:fill="E8E8E8"/>
            <w:vAlign w:val="center"/>
            <w:hideMark/>
          </w:tcPr>
          <w:p w14:paraId="6FFA3309"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Interpolate</w:t>
            </w:r>
          </w:p>
        </w:tc>
        <w:tc>
          <w:tcPr>
            <w:tcW w:w="1134" w:type="dxa"/>
            <w:tcBorders>
              <w:top w:val="nil"/>
              <w:left w:val="nil"/>
              <w:bottom w:val="single" w:sz="4" w:space="0" w:color="auto"/>
              <w:right w:val="single" w:sz="4" w:space="0" w:color="auto"/>
            </w:tcBorders>
            <w:shd w:val="clear" w:color="000000" w:fill="E8E8E8"/>
            <w:vAlign w:val="center"/>
            <w:hideMark/>
          </w:tcPr>
          <w:p w14:paraId="6C84E57D"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(Up)</w:t>
            </w:r>
          </w:p>
        </w:tc>
        <w:tc>
          <w:tcPr>
            <w:tcW w:w="1134" w:type="dxa"/>
            <w:tcBorders>
              <w:top w:val="nil"/>
              <w:left w:val="nil"/>
              <w:bottom w:val="single" w:sz="4" w:space="0" w:color="auto"/>
              <w:right w:val="single" w:sz="4" w:space="0" w:color="auto"/>
            </w:tcBorders>
            <w:shd w:val="clear" w:color="000000" w:fill="E8E8E8"/>
            <w:vAlign w:val="center"/>
            <w:hideMark/>
          </w:tcPr>
          <w:p w14:paraId="4164EB1D"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(Down)</w:t>
            </w:r>
          </w:p>
        </w:tc>
        <w:tc>
          <w:tcPr>
            <w:tcW w:w="1134" w:type="dxa"/>
            <w:tcBorders>
              <w:top w:val="nil"/>
              <w:left w:val="nil"/>
              <w:bottom w:val="single" w:sz="4" w:space="0" w:color="auto"/>
              <w:right w:val="single" w:sz="4" w:space="0" w:color="auto"/>
            </w:tcBorders>
            <w:shd w:val="clear" w:color="000000" w:fill="E8E8E8"/>
            <w:vAlign w:val="center"/>
            <w:hideMark/>
          </w:tcPr>
          <w:p w14:paraId="579C975E"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Biomarker</w:t>
            </w:r>
          </w:p>
        </w:tc>
        <w:tc>
          <w:tcPr>
            <w:tcW w:w="1275" w:type="dxa"/>
            <w:tcBorders>
              <w:top w:val="nil"/>
              <w:left w:val="nil"/>
              <w:bottom w:val="single" w:sz="4" w:space="0" w:color="auto"/>
              <w:right w:val="single" w:sz="4" w:space="0" w:color="auto"/>
            </w:tcBorders>
            <w:shd w:val="clear" w:color="000000" w:fill="E8E8E8"/>
            <w:vAlign w:val="center"/>
            <w:hideMark/>
          </w:tcPr>
          <w:p w14:paraId="2D67D734"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Biomarker</w:t>
            </w:r>
          </w:p>
        </w:tc>
        <w:tc>
          <w:tcPr>
            <w:tcW w:w="1134" w:type="dxa"/>
            <w:tcBorders>
              <w:top w:val="nil"/>
              <w:left w:val="nil"/>
              <w:bottom w:val="single" w:sz="4" w:space="0" w:color="auto"/>
              <w:right w:val="single" w:sz="4" w:space="0" w:color="auto"/>
            </w:tcBorders>
            <w:shd w:val="clear" w:color="000000" w:fill="E8E8E8"/>
            <w:vAlign w:val="center"/>
            <w:hideMark/>
          </w:tcPr>
          <w:p w14:paraId="03B7A882"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Biomarker</w:t>
            </w:r>
          </w:p>
        </w:tc>
        <w:tc>
          <w:tcPr>
            <w:tcW w:w="1134" w:type="dxa"/>
            <w:tcBorders>
              <w:top w:val="nil"/>
              <w:left w:val="nil"/>
              <w:bottom w:val="single" w:sz="4" w:space="0" w:color="auto"/>
              <w:right w:val="single" w:sz="4" w:space="0" w:color="auto"/>
            </w:tcBorders>
            <w:shd w:val="clear" w:color="000000" w:fill="E8E8E8"/>
            <w:vAlign w:val="center"/>
            <w:hideMark/>
          </w:tcPr>
          <w:p w14:paraId="37C822B3"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Interpolate</w:t>
            </w:r>
          </w:p>
        </w:tc>
        <w:tc>
          <w:tcPr>
            <w:tcW w:w="997" w:type="dxa"/>
            <w:gridSpan w:val="2"/>
            <w:tcBorders>
              <w:top w:val="nil"/>
              <w:left w:val="nil"/>
              <w:bottom w:val="single" w:sz="4" w:space="0" w:color="auto"/>
              <w:right w:val="single" w:sz="4" w:space="0" w:color="auto"/>
            </w:tcBorders>
            <w:shd w:val="clear" w:color="000000" w:fill="E8E8E8"/>
            <w:vAlign w:val="center"/>
            <w:hideMark/>
          </w:tcPr>
          <w:p w14:paraId="13E7EB98"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w:t>
            </w:r>
          </w:p>
        </w:tc>
        <w:tc>
          <w:tcPr>
            <w:tcW w:w="1138" w:type="dxa"/>
            <w:tcBorders>
              <w:top w:val="nil"/>
              <w:left w:val="nil"/>
              <w:bottom w:val="single" w:sz="4" w:space="0" w:color="auto"/>
              <w:right w:val="single" w:sz="4" w:space="0" w:color="auto"/>
            </w:tcBorders>
            <w:shd w:val="clear" w:color="000000" w:fill="E8E8E8"/>
            <w:vAlign w:val="center"/>
            <w:hideMark/>
          </w:tcPr>
          <w:p w14:paraId="4345F365"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(Down)</w:t>
            </w:r>
          </w:p>
        </w:tc>
      </w:tr>
      <w:tr w:rsidR="00894012" w:rsidRPr="001256B8" w14:paraId="72F70B16" w14:textId="77777777" w:rsidTr="00C9042E">
        <w:trPr>
          <w:trHeight w:val="340"/>
          <w:jc w:val="center"/>
        </w:trPr>
        <w:tc>
          <w:tcPr>
            <w:tcW w:w="1266" w:type="dxa"/>
            <w:tcBorders>
              <w:top w:val="nil"/>
              <w:left w:val="single" w:sz="4" w:space="0" w:color="auto"/>
              <w:bottom w:val="single" w:sz="4" w:space="0" w:color="auto"/>
              <w:right w:val="single" w:sz="4" w:space="0" w:color="auto"/>
            </w:tcBorders>
            <w:noWrap/>
            <w:vAlign w:val="center"/>
          </w:tcPr>
          <w:p w14:paraId="2208D2FC" w14:textId="3B70981D" w:rsidR="00894012" w:rsidRPr="000A0391" w:rsidRDefault="00894012" w:rsidP="000A0391">
            <w:pPr>
              <w:spacing w:before="0" w:after="0" w:line="240" w:lineRule="auto"/>
              <w:rPr>
                <w:rFonts w:ascii="Aptos Narrow" w:eastAsia="Times New Roman" w:hAnsi="Aptos Narrow"/>
                <w:b/>
                <w:bCs/>
                <w:color w:val="000000"/>
                <w:szCs w:val="20"/>
              </w:rPr>
            </w:pPr>
            <w:r>
              <w:rPr>
                <w:rFonts w:ascii="Aptos Narrow" w:eastAsia="Times New Roman" w:hAnsi="Aptos Narrow"/>
                <w:b/>
                <w:bCs/>
                <w:color w:val="000000"/>
                <w:szCs w:val="20"/>
              </w:rPr>
              <w:t>Iron</w:t>
            </w:r>
          </w:p>
        </w:tc>
        <w:tc>
          <w:tcPr>
            <w:tcW w:w="7085" w:type="dxa"/>
            <w:gridSpan w:val="6"/>
            <w:tcBorders>
              <w:top w:val="nil"/>
              <w:left w:val="nil"/>
              <w:bottom w:val="single" w:sz="4" w:space="0" w:color="auto"/>
              <w:right w:val="single" w:sz="4" w:space="0" w:color="auto"/>
            </w:tcBorders>
            <w:vAlign w:val="center"/>
          </w:tcPr>
          <w:p w14:paraId="437DE60E" w14:textId="7F1D2486" w:rsidR="00894012" w:rsidRPr="000A0391" w:rsidRDefault="00894012" w:rsidP="00894012">
            <w:pPr>
              <w:spacing w:before="0" w:after="0" w:line="240" w:lineRule="auto"/>
              <w:jc w:val="center"/>
              <w:rPr>
                <w:rFonts w:ascii="Aptos Narrow" w:eastAsia="Times New Roman" w:hAnsi="Aptos Narrow"/>
                <w:color w:val="000000"/>
                <w:sz w:val="18"/>
              </w:rPr>
            </w:pPr>
            <w:r>
              <w:rPr>
                <w:rFonts w:ascii="Aptos Narrow" w:eastAsia="Times New Roman" w:hAnsi="Aptos Narrow"/>
                <w:color w:val="000000"/>
                <w:sz w:val="18"/>
              </w:rPr>
              <w:t>Factorial</w:t>
            </w:r>
          </w:p>
        </w:tc>
        <w:tc>
          <w:tcPr>
            <w:tcW w:w="6812" w:type="dxa"/>
            <w:gridSpan w:val="7"/>
            <w:tcBorders>
              <w:top w:val="nil"/>
              <w:left w:val="nil"/>
              <w:bottom w:val="single" w:sz="4" w:space="0" w:color="auto"/>
              <w:right w:val="single" w:sz="4" w:space="0" w:color="auto"/>
            </w:tcBorders>
            <w:vAlign w:val="center"/>
          </w:tcPr>
          <w:p w14:paraId="5094AE7E" w14:textId="6AC56F88" w:rsidR="00894012" w:rsidRPr="000A0391" w:rsidRDefault="00894012" w:rsidP="00894012">
            <w:pPr>
              <w:spacing w:before="0" w:after="0" w:line="240" w:lineRule="auto"/>
              <w:jc w:val="center"/>
              <w:rPr>
                <w:rFonts w:ascii="Aptos Narrow" w:eastAsia="Times New Roman" w:hAnsi="Aptos Narrow"/>
                <w:color w:val="000000"/>
                <w:sz w:val="18"/>
              </w:rPr>
            </w:pPr>
            <w:r>
              <w:rPr>
                <w:rFonts w:ascii="Aptos Narrow" w:eastAsia="Times New Roman" w:hAnsi="Aptos Narrow"/>
                <w:color w:val="000000"/>
                <w:sz w:val="18"/>
              </w:rPr>
              <w:t>Factorial</w:t>
            </w:r>
          </w:p>
        </w:tc>
      </w:tr>
      <w:tr w:rsidR="001256B8" w:rsidRPr="001256B8" w14:paraId="78F99A70" w14:textId="77777777" w:rsidTr="00C9042E">
        <w:trPr>
          <w:trHeight w:val="576"/>
          <w:jc w:val="center"/>
        </w:trPr>
        <w:tc>
          <w:tcPr>
            <w:tcW w:w="1266" w:type="dxa"/>
            <w:tcBorders>
              <w:top w:val="nil"/>
              <w:left w:val="single" w:sz="4" w:space="0" w:color="auto"/>
              <w:bottom w:val="single" w:sz="4" w:space="0" w:color="auto"/>
              <w:right w:val="single" w:sz="4" w:space="0" w:color="auto"/>
            </w:tcBorders>
            <w:shd w:val="clear" w:color="000000" w:fill="E8E8E8"/>
            <w:noWrap/>
            <w:vAlign w:val="center"/>
            <w:hideMark/>
          </w:tcPr>
          <w:p w14:paraId="0E00C207" w14:textId="77777777" w:rsidR="000A0391" w:rsidRPr="000A0391" w:rsidRDefault="000A0391" w:rsidP="000A039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Magnesium</w:t>
            </w:r>
          </w:p>
        </w:tc>
        <w:tc>
          <w:tcPr>
            <w:tcW w:w="1133" w:type="dxa"/>
            <w:tcBorders>
              <w:top w:val="nil"/>
              <w:left w:val="nil"/>
              <w:bottom w:val="single" w:sz="4" w:space="0" w:color="auto"/>
              <w:right w:val="single" w:sz="4" w:space="0" w:color="auto"/>
            </w:tcBorders>
            <w:shd w:val="clear" w:color="000000" w:fill="E8E8E8"/>
            <w:vAlign w:val="center"/>
            <w:hideMark/>
          </w:tcPr>
          <w:p w14:paraId="4E2047A8"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shd w:val="clear" w:color="000000" w:fill="E8E8E8"/>
            <w:vAlign w:val="center"/>
            <w:hideMark/>
          </w:tcPr>
          <w:p w14:paraId="4769CBF3"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shd w:val="clear" w:color="000000" w:fill="E8E8E8"/>
            <w:vAlign w:val="center"/>
            <w:hideMark/>
          </w:tcPr>
          <w:p w14:paraId="40C213E7"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(Up), Diet-based</w:t>
            </w:r>
          </w:p>
        </w:tc>
        <w:tc>
          <w:tcPr>
            <w:tcW w:w="1134" w:type="dxa"/>
            <w:tcBorders>
              <w:top w:val="nil"/>
              <w:left w:val="nil"/>
              <w:bottom w:val="single" w:sz="4" w:space="0" w:color="auto"/>
              <w:right w:val="single" w:sz="4" w:space="0" w:color="auto"/>
            </w:tcBorders>
            <w:shd w:val="clear" w:color="000000" w:fill="E8E8E8"/>
            <w:vAlign w:val="center"/>
            <w:hideMark/>
          </w:tcPr>
          <w:p w14:paraId="70824A99"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Interpolate</w:t>
            </w:r>
          </w:p>
        </w:tc>
        <w:tc>
          <w:tcPr>
            <w:tcW w:w="1134" w:type="dxa"/>
            <w:tcBorders>
              <w:top w:val="nil"/>
              <w:left w:val="nil"/>
              <w:bottom w:val="single" w:sz="4" w:space="0" w:color="auto"/>
              <w:right w:val="single" w:sz="4" w:space="0" w:color="auto"/>
            </w:tcBorders>
            <w:shd w:val="clear" w:color="000000" w:fill="E8E8E8"/>
            <w:vAlign w:val="center"/>
            <w:hideMark/>
          </w:tcPr>
          <w:p w14:paraId="5174CCF0"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shd w:val="clear" w:color="000000" w:fill="E8E8E8"/>
            <w:vAlign w:val="center"/>
            <w:hideMark/>
          </w:tcPr>
          <w:p w14:paraId="08E6E8AF"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(Unit)</w:t>
            </w:r>
          </w:p>
        </w:tc>
        <w:tc>
          <w:tcPr>
            <w:tcW w:w="1134" w:type="dxa"/>
            <w:tcBorders>
              <w:top w:val="nil"/>
              <w:left w:val="nil"/>
              <w:bottom w:val="single" w:sz="4" w:space="0" w:color="auto"/>
              <w:right w:val="single" w:sz="4" w:space="0" w:color="auto"/>
            </w:tcBorders>
            <w:shd w:val="clear" w:color="000000" w:fill="E8E8E8"/>
            <w:vAlign w:val="center"/>
            <w:hideMark/>
          </w:tcPr>
          <w:p w14:paraId="1D793EB8"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(Unit)</w:t>
            </w:r>
          </w:p>
        </w:tc>
        <w:tc>
          <w:tcPr>
            <w:tcW w:w="1275" w:type="dxa"/>
            <w:tcBorders>
              <w:top w:val="nil"/>
              <w:left w:val="nil"/>
              <w:bottom w:val="single" w:sz="4" w:space="0" w:color="auto"/>
              <w:right w:val="single" w:sz="4" w:space="0" w:color="auto"/>
            </w:tcBorders>
            <w:shd w:val="clear" w:color="000000" w:fill="E8E8E8"/>
            <w:vAlign w:val="center"/>
            <w:hideMark/>
          </w:tcPr>
          <w:p w14:paraId="4F67D4B6"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(Unit)</w:t>
            </w:r>
          </w:p>
        </w:tc>
        <w:tc>
          <w:tcPr>
            <w:tcW w:w="1134" w:type="dxa"/>
            <w:tcBorders>
              <w:top w:val="nil"/>
              <w:left w:val="nil"/>
              <w:bottom w:val="single" w:sz="4" w:space="0" w:color="auto"/>
              <w:right w:val="single" w:sz="4" w:space="0" w:color="auto"/>
            </w:tcBorders>
            <w:shd w:val="clear" w:color="000000" w:fill="E8E8E8"/>
            <w:vAlign w:val="center"/>
            <w:hideMark/>
          </w:tcPr>
          <w:p w14:paraId="5D5828FA"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shd w:val="clear" w:color="000000" w:fill="E8E8E8"/>
            <w:vAlign w:val="center"/>
            <w:hideMark/>
          </w:tcPr>
          <w:p w14:paraId="1A28D703"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Interpolate</w:t>
            </w:r>
          </w:p>
        </w:tc>
        <w:tc>
          <w:tcPr>
            <w:tcW w:w="997" w:type="dxa"/>
            <w:gridSpan w:val="2"/>
            <w:tcBorders>
              <w:top w:val="nil"/>
              <w:left w:val="nil"/>
              <w:bottom w:val="single" w:sz="4" w:space="0" w:color="auto"/>
              <w:right w:val="single" w:sz="4" w:space="0" w:color="auto"/>
            </w:tcBorders>
            <w:shd w:val="clear" w:color="000000" w:fill="E8E8E8"/>
            <w:vAlign w:val="center"/>
            <w:hideMark/>
          </w:tcPr>
          <w:p w14:paraId="2BCD5FEA"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(Unit)</w:t>
            </w:r>
          </w:p>
        </w:tc>
        <w:tc>
          <w:tcPr>
            <w:tcW w:w="1138" w:type="dxa"/>
            <w:tcBorders>
              <w:top w:val="nil"/>
              <w:left w:val="nil"/>
              <w:bottom w:val="single" w:sz="4" w:space="0" w:color="auto"/>
              <w:right w:val="single" w:sz="4" w:space="0" w:color="auto"/>
            </w:tcBorders>
            <w:shd w:val="clear" w:color="000000" w:fill="E8E8E8"/>
            <w:vAlign w:val="center"/>
            <w:hideMark/>
          </w:tcPr>
          <w:p w14:paraId="00E554FA"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(Unit)</w:t>
            </w:r>
          </w:p>
        </w:tc>
      </w:tr>
      <w:tr w:rsidR="001256B8" w:rsidRPr="001256B8" w14:paraId="443C0D72" w14:textId="77777777" w:rsidTr="00C9042E">
        <w:trPr>
          <w:trHeight w:val="888"/>
          <w:jc w:val="center"/>
        </w:trPr>
        <w:tc>
          <w:tcPr>
            <w:tcW w:w="1266" w:type="dxa"/>
            <w:tcBorders>
              <w:top w:val="nil"/>
              <w:left w:val="single" w:sz="4" w:space="0" w:color="auto"/>
              <w:bottom w:val="single" w:sz="4" w:space="0" w:color="auto"/>
              <w:right w:val="single" w:sz="4" w:space="0" w:color="auto"/>
            </w:tcBorders>
            <w:noWrap/>
            <w:vAlign w:val="center"/>
            <w:hideMark/>
          </w:tcPr>
          <w:p w14:paraId="075CF123" w14:textId="77777777" w:rsidR="000A0391" w:rsidRPr="000A0391" w:rsidRDefault="000A0391" w:rsidP="000A039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Manganese</w:t>
            </w:r>
          </w:p>
        </w:tc>
        <w:tc>
          <w:tcPr>
            <w:tcW w:w="1133" w:type="dxa"/>
            <w:tcBorders>
              <w:top w:val="nil"/>
              <w:left w:val="nil"/>
              <w:bottom w:val="single" w:sz="4" w:space="0" w:color="auto"/>
              <w:right w:val="single" w:sz="4" w:space="0" w:color="auto"/>
            </w:tcBorders>
            <w:vAlign w:val="center"/>
            <w:hideMark/>
          </w:tcPr>
          <w:p w14:paraId="139B894F"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 Diet-based</w:t>
            </w:r>
          </w:p>
        </w:tc>
        <w:tc>
          <w:tcPr>
            <w:tcW w:w="1275" w:type="dxa"/>
            <w:tcBorders>
              <w:top w:val="nil"/>
              <w:left w:val="nil"/>
              <w:bottom w:val="single" w:sz="4" w:space="0" w:color="auto"/>
              <w:right w:val="single" w:sz="4" w:space="0" w:color="auto"/>
            </w:tcBorders>
            <w:vAlign w:val="center"/>
            <w:hideMark/>
          </w:tcPr>
          <w:p w14:paraId="50EF5B03"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 Diet-based</w:t>
            </w:r>
          </w:p>
        </w:tc>
        <w:tc>
          <w:tcPr>
            <w:tcW w:w="1275" w:type="dxa"/>
            <w:tcBorders>
              <w:top w:val="nil"/>
              <w:left w:val="nil"/>
              <w:bottom w:val="single" w:sz="4" w:space="0" w:color="auto"/>
              <w:right w:val="single" w:sz="4" w:space="0" w:color="auto"/>
            </w:tcBorders>
            <w:vAlign w:val="center"/>
            <w:hideMark/>
          </w:tcPr>
          <w:p w14:paraId="09836E97"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(Up) - (Linear (Down),</w:t>
            </w:r>
            <w:r w:rsidRPr="000A0391">
              <w:rPr>
                <w:rFonts w:ascii="Aptos Narrow" w:eastAsia="Times New Roman" w:hAnsi="Aptos Narrow"/>
                <w:color w:val="000000"/>
                <w:sz w:val="18"/>
                <w:vertAlign w:val="subscript"/>
              </w:rPr>
              <w:t xml:space="preserve"> </w:t>
            </w: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vAlign w:val="center"/>
            <w:hideMark/>
          </w:tcPr>
          <w:p w14:paraId="12364AEF"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1134" w:type="dxa"/>
            <w:tcBorders>
              <w:top w:val="nil"/>
              <w:left w:val="nil"/>
              <w:bottom w:val="single" w:sz="4" w:space="0" w:color="auto"/>
              <w:right w:val="single" w:sz="4" w:space="0" w:color="auto"/>
            </w:tcBorders>
            <w:vAlign w:val="center"/>
            <w:hideMark/>
          </w:tcPr>
          <w:p w14:paraId="47E56F84"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vAlign w:val="center"/>
            <w:hideMark/>
          </w:tcPr>
          <w:p w14:paraId="47F3F9BD"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1134" w:type="dxa"/>
            <w:tcBorders>
              <w:top w:val="nil"/>
              <w:left w:val="nil"/>
              <w:bottom w:val="single" w:sz="4" w:space="0" w:color="auto"/>
              <w:right w:val="single" w:sz="4" w:space="0" w:color="auto"/>
            </w:tcBorders>
            <w:vAlign w:val="center"/>
            <w:hideMark/>
          </w:tcPr>
          <w:p w14:paraId="75C098E1"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vAlign w:val="center"/>
            <w:hideMark/>
          </w:tcPr>
          <w:p w14:paraId="78B5EC0B"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vAlign w:val="center"/>
            <w:hideMark/>
          </w:tcPr>
          <w:p w14:paraId="762D4905"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(Down)</w:t>
            </w:r>
          </w:p>
        </w:tc>
        <w:tc>
          <w:tcPr>
            <w:tcW w:w="1134" w:type="dxa"/>
            <w:tcBorders>
              <w:top w:val="nil"/>
              <w:left w:val="nil"/>
              <w:bottom w:val="single" w:sz="4" w:space="0" w:color="auto"/>
              <w:right w:val="single" w:sz="4" w:space="0" w:color="auto"/>
            </w:tcBorders>
            <w:vAlign w:val="center"/>
            <w:hideMark/>
          </w:tcPr>
          <w:p w14:paraId="42573BBA"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997" w:type="dxa"/>
            <w:gridSpan w:val="2"/>
            <w:tcBorders>
              <w:top w:val="nil"/>
              <w:left w:val="nil"/>
              <w:bottom w:val="single" w:sz="4" w:space="0" w:color="auto"/>
              <w:right w:val="single" w:sz="4" w:space="0" w:color="auto"/>
            </w:tcBorders>
            <w:vAlign w:val="center"/>
            <w:hideMark/>
          </w:tcPr>
          <w:p w14:paraId="279B329A"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w:t>
            </w:r>
          </w:p>
        </w:tc>
        <w:tc>
          <w:tcPr>
            <w:tcW w:w="1138" w:type="dxa"/>
            <w:tcBorders>
              <w:top w:val="nil"/>
              <w:left w:val="nil"/>
              <w:bottom w:val="single" w:sz="4" w:space="0" w:color="auto"/>
              <w:right w:val="single" w:sz="4" w:space="0" w:color="auto"/>
            </w:tcBorders>
            <w:vAlign w:val="center"/>
            <w:hideMark/>
          </w:tcPr>
          <w:p w14:paraId="07F1043B"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r>
      <w:tr w:rsidR="001256B8" w:rsidRPr="001256B8" w14:paraId="3D24ADDB" w14:textId="77777777" w:rsidTr="00C9042E">
        <w:trPr>
          <w:trHeight w:val="288"/>
          <w:jc w:val="center"/>
        </w:trPr>
        <w:tc>
          <w:tcPr>
            <w:tcW w:w="1266" w:type="dxa"/>
            <w:tcBorders>
              <w:top w:val="nil"/>
              <w:left w:val="single" w:sz="4" w:space="0" w:color="auto"/>
              <w:bottom w:val="single" w:sz="4" w:space="0" w:color="auto"/>
              <w:right w:val="single" w:sz="4" w:space="0" w:color="auto"/>
            </w:tcBorders>
            <w:shd w:val="clear" w:color="000000" w:fill="E8E8E8"/>
            <w:noWrap/>
            <w:vAlign w:val="center"/>
            <w:hideMark/>
          </w:tcPr>
          <w:p w14:paraId="0254F59C" w14:textId="77777777" w:rsidR="000A0391" w:rsidRPr="000A0391" w:rsidRDefault="000A0391" w:rsidP="000A039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Phosphorus</w:t>
            </w:r>
          </w:p>
        </w:tc>
        <w:tc>
          <w:tcPr>
            <w:tcW w:w="1133" w:type="dxa"/>
            <w:tcBorders>
              <w:top w:val="nil"/>
              <w:left w:val="nil"/>
              <w:bottom w:val="single" w:sz="4" w:space="0" w:color="auto"/>
              <w:right w:val="single" w:sz="4" w:space="0" w:color="auto"/>
            </w:tcBorders>
            <w:shd w:val="clear" w:color="000000" w:fill="E8E8E8"/>
            <w:vAlign w:val="center"/>
            <w:hideMark/>
          </w:tcPr>
          <w:p w14:paraId="105F057E"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shd w:val="clear" w:color="000000" w:fill="E8E8E8"/>
            <w:vAlign w:val="center"/>
            <w:hideMark/>
          </w:tcPr>
          <w:p w14:paraId="28625F82"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shd w:val="clear" w:color="000000" w:fill="E8E8E8"/>
            <w:vAlign w:val="center"/>
            <w:hideMark/>
          </w:tcPr>
          <w:p w14:paraId="60F6D990"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(Down)</w:t>
            </w:r>
          </w:p>
        </w:tc>
        <w:tc>
          <w:tcPr>
            <w:tcW w:w="1134" w:type="dxa"/>
            <w:tcBorders>
              <w:top w:val="nil"/>
              <w:left w:val="nil"/>
              <w:bottom w:val="single" w:sz="4" w:space="0" w:color="auto"/>
              <w:right w:val="single" w:sz="4" w:space="0" w:color="auto"/>
            </w:tcBorders>
            <w:shd w:val="clear" w:color="000000" w:fill="E8E8E8"/>
            <w:vAlign w:val="center"/>
            <w:hideMark/>
          </w:tcPr>
          <w:p w14:paraId="79055342"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1134" w:type="dxa"/>
            <w:tcBorders>
              <w:top w:val="nil"/>
              <w:left w:val="nil"/>
              <w:bottom w:val="single" w:sz="4" w:space="0" w:color="auto"/>
              <w:right w:val="single" w:sz="4" w:space="0" w:color="auto"/>
            </w:tcBorders>
            <w:shd w:val="clear" w:color="000000" w:fill="E8E8E8"/>
            <w:vAlign w:val="center"/>
            <w:hideMark/>
          </w:tcPr>
          <w:p w14:paraId="5C580509"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shd w:val="clear" w:color="000000" w:fill="E8E8E8"/>
            <w:vAlign w:val="center"/>
            <w:hideMark/>
          </w:tcPr>
          <w:p w14:paraId="37C60010"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(Down)</w:t>
            </w:r>
          </w:p>
        </w:tc>
        <w:tc>
          <w:tcPr>
            <w:tcW w:w="1134" w:type="dxa"/>
            <w:tcBorders>
              <w:top w:val="nil"/>
              <w:left w:val="nil"/>
              <w:bottom w:val="single" w:sz="4" w:space="0" w:color="auto"/>
              <w:right w:val="single" w:sz="4" w:space="0" w:color="auto"/>
            </w:tcBorders>
            <w:shd w:val="clear" w:color="000000" w:fill="E8E8E8"/>
            <w:vAlign w:val="center"/>
            <w:hideMark/>
          </w:tcPr>
          <w:p w14:paraId="41FD3ED4"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Factorial</w:t>
            </w:r>
          </w:p>
        </w:tc>
        <w:tc>
          <w:tcPr>
            <w:tcW w:w="1275" w:type="dxa"/>
            <w:tcBorders>
              <w:top w:val="nil"/>
              <w:left w:val="nil"/>
              <w:bottom w:val="single" w:sz="4" w:space="0" w:color="auto"/>
              <w:right w:val="single" w:sz="4" w:space="0" w:color="auto"/>
            </w:tcBorders>
            <w:shd w:val="clear" w:color="000000" w:fill="E8E8E8"/>
            <w:vAlign w:val="center"/>
            <w:hideMark/>
          </w:tcPr>
          <w:p w14:paraId="2B601CC4"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Factorial</w:t>
            </w:r>
          </w:p>
        </w:tc>
        <w:tc>
          <w:tcPr>
            <w:tcW w:w="1134" w:type="dxa"/>
            <w:tcBorders>
              <w:top w:val="nil"/>
              <w:left w:val="nil"/>
              <w:bottom w:val="single" w:sz="4" w:space="0" w:color="auto"/>
              <w:right w:val="single" w:sz="4" w:space="0" w:color="auto"/>
            </w:tcBorders>
            <w:shd w:val="clear" w:color="000000" w:fill="E8E8E8"/>
            <w:vAlign w:val="center"/>
            <w:hideMark/>
          </w:tcPr>
          <w:p w14:paraId="213C4533"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(Down)</w:t>
            </w:r>
          </w:p>
        </w:tc>
        <w:tc>
          <w:tcPr>
            <w:tcW w:w="1134" w:type="dxa"/>
            <w:tcBorders>
              <w:top w:val="nil"/>
              <w:left w:val="nil"/>
              <w:bottom w:val="single" w:sz="4" w:space="0" w:color="auto"/>
              <w:right w:val="single" w:sz="4" w:space="0" w:color="auto"/>
            </w:tcBorders>
            <w:shd w:val="clear" w:color="000000" w:fill="E8E8E8"/>
            <w:vAlign w:val="center"/>
            <w:hideMark/>
          </w:tcPr>
          <w:p w14:paraId="20377FA2"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997" w:type="dxa"/>
            <w:gridSpan w:val="2"/>
            <w:tcBorders>
              <w:top w:val="nil"/>
              <w:left w:val="nil"/>
              <w:bottom w:val="single" w:sz="4" w:space="0" w:color="auto"/>
              <w:right w:val="single" w:sz="4" w:space="0" w:color="auto"/>
            </w:tcBorders>
            <w:shd w:val="clear" w:color="000000" w:fill="E8E8E8"/>
            <w:vAlign w:val="center"/>
            <w:hideMark/>
          </w:tcPr>
          <w:p w14:paraId="0C2835FB"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8" w:type="dxa"/>
            <w:tcBorders>
              <w:top w:val="nil"/>
              <w:left w:val="nil"/>
              <w:bottom w:val="single" w:sz="4" w:space="0" w:color="auto"/>
              <w:right w:val="single" w:sz="4" w:space="0" w:color="auto"/>
            </w:tcBorders>
            <w:shd w:val="clear" w:color="000000" w:fill="E8E8E8"/>
            <w:vAlign w:val="center"/>
            <w:hideMark/>
          </w:tcPr>
          <w:p w14:paraId="7DABA6A3"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(Down)</w:t>
            </w:r>
          </w:p>
        </w:tc>
      </w:tr>
      <w:tr w:rsidR="001256B8" w:rsidRPr="001256B8" w14:paraId="0901E4B9" w14:textId="77777777" w:rsidTr="00C9042E">
        <w:trPr>
          <w:trHeight w:val="288"/>
          <w:jc w:val="center"/>
        </w:trPr>
        <w:tc>
          <w:tcPr>
            <w:tcW w:w="1266" w:type="dxa"/>
            <w:tcBorders>
              <w:top w:val="nil"/>
              <w:left w:val="single" w:sz="4" w:space="0" w:color="auto"/>
              <w:bottom w:val="single" w:sz="4" w:space="0" w:color="auto"/>
              <w:right w:val="single" w:sz="4" w:space="0" w:color="auto"/>
            </w:tcBorders>
            <w:noWrap/>
            <w:vAlign w:val="center"/>
            <w:hideMark/>
          </w:tcPr>
          <w:p w14:paraId="6A1B946A" w14:textId="77777777" w:rsidR="000A0391" w:rsidRPr="000A0391" w:rsidRDefault="000A0391" w:rsidP="000A039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Potassium</w:t>
            </w:r>
          </w:p>
        </w:tc>
        <w:tc>
          <w:tcPr>
            <w:tcW w:w="1133" w:type="dxa"/>
            <w:tcBorders>
              <w:top w:val="nil"/>
              <w:left w:val="nil"/>
              <w:bottom w:val="single" w:sz="4" w:space="0" w:color="auto"/>
              <w:right w:val="single" w:sz="4" w:space="0" w:color="auto"/>
            </w:tcBorders>
            <w:vAlign w:val="center"/>
            <w:hideMark/>
          </w:tcPr>
          <w:p w14:paraId="3F199BC5"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vAlign w:val="center"/>
            <w:hideMark/>
          </w:tcPr>
          <w:p w14:paraId="5479B8AB"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vAlign w:val="center"/>
            <w:hideMark/>
          </w:tcPr>
          <w:p w14:paraId="5CAE6BBC"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(Down)</w:t>
            </w:r>
          </w:p>
        </w:tc>
        <w:tc>
          <w:tcPr>
            <w:tcW w:w="1134" w:type="dxa"/>
            <w:tcBorders>
              <w:top w:val="nil"/>
              <w:left w:val="nil"/>
              <w:bottom w:val="single" w:sz="4" w:space="0" w:color="auto"/>
              <w:right w:val="single" w:sz="4" w:space="0" w:color="auto"/>
            </w:tcBorders>
            <w:vAlign w:val="center"/>
            <w:hideMark/>
          </w:tcPr>
          <w:p w14:paraId="2A67EF8D"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1134" w:type="dxa"/>
            <w:tcBorders>
              <w:top w:val="nil"/>
              <w:left w:val="nil"/>
              <w:bottom w:val="single" w:sz="4" w:space="0" w:color="auto"/>
              <w:right w:val="single" w:sz="4" w:space="0" w:color="auto"/>
            </w:tcBorders>
            <w:vAlign w:val="center"/>
            <w:hideMark/>
          </w:tcPr>
          <w:p w14:paraId="705DCF68"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vAlign w:val="center"/>
            <w:hideMark/>
          </w:tcPr>
          <w:p w14:paraId="59EACB28"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(Down)</w:t>
            </w:r>
          </w:p>
        </w:tc>
        <w:tc>
          <w:tcPr>
            <w:tcW w:w="1134" w:type="dxa"/>
            <w:tcBorders>
              <w:top w:val="nil"/>
              <w:left w:val="nil"/>
              <w:bottom w:val="single" w:sz="4" w:space="0" w:color="auto"/>
              <w:right w:val="single" w:sz="4" w:space="0" w:color="auto"/>
            </w:tcBorders>
            <w:vAlign w:val="center"/>
            <w:hideMark/>
          </w:tcPr>
          <w:p w14:paraId="1F809978"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vAlign w:val="center"/>
            <w:hideMark/>
          </w:tcPr>
          <w:p w14:paraId="238C6591"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vAlign w:val="center"/>
            <w:hideMark/>
          </w:tcPr>
          <w:p w14:paraId="5C211E67"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(Down)</w:t>
            </w:r>
          </w:p>
        </w:tc>
        <w:tc>
          <w:tcPr>
            <w:tcW w:w="1134" w:type="dxa"/>
            <w:tcBorders>
              <w:top w:val="nil"/>
              <w:left w:val="nil"/>
              <w:bottom w:val="single" w:sz="4" w:space="0" w:color="auto"/>
              <w:right w:val="single" w:sz="4" w:space="0" w:color="auto"/>
            </w:tcBorders>
            <w:vAlign w:val="center"/>
            <w:hideMark/>
          </w:tcPr>
          <w:p w14:paraId="7D982E21"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997" w:type="dxa"/>
            <w:gridSpan w:val="2"/>
            <w:tcBorders>
              <w:top w:val="nil"/>
              <w:left w:val="nil"/>
              <w:bottom w:val="single" w:sz="4" w:space="0" w:color="auto"/>
              <w:right w:val="single" w:sz="4" w:space="0" w:color="auto"/>
            </w:tcBorders>
            <w:vAlign w:val="center"/>
            <w:hideMark/>
          </w:tcPr>
          <w:p w14:paraId="522EAA96"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w:t>
            </w:r>
          </w:p>
        </w:tc>
        <w:tc>
          <w:tcPr>
            <w:tcW w:w="1138" w:type="dxa"/>
            <w:tcBorders>
              <w:top w:val="nil"/>
              <w:left w:val="nil"/>
              <w:bottom w:val="single" w:sz="4" w:space="0" w:color="auto"/>
              <w:right w:val="single" w:sz="4" w:space="0" w:color="auto"/>
            </w:tcBorders>
            <w:vAlign w:val="center"/>
            <w:hideMark/>
          </w:tcPr>
          <w:p w14:paraId="63532D68"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(Down)</w:t>
            </w:r>
          </w:p>
        </w:tc>
      </w:tr>
      <w:tr w:rsidR="001256B8" w:rsidRPr="001256B8" w14:paraId="299AC272" w14:textId="77777777" w:rsidTr="00C9042E">
        <w:trPr>
          <w:trHeight w:val="576"/>
          <w:jc w:val="center"/>
        </w:trPr>
        <w:tc>
          <w:tcPr>
            <w:tcW w:w="1266" w:type="dxa"/>
            <w:tcBorders>
              <w:top w:val="nil"/>
              <w:left w:val="single" w:sz="4" w:space="0" w:color="auto"/>
              <w:bottom w:val="single" w:sz="4" w:space="0" w:color="auto"/>
              <w:right w:val="single" w:sz="4" w:space="0" w:color="auto"/>
            </w:tcBorders>
            <w:shd w:val="clear" w:color="000000" w:fill="E8E8E8"/>
            <w:noWrap/>
            <w:vAlign w:val="center"/>
            <w:hideMark/>
          </w:tcPr>
          <w:p w14:paraId="0C1E91B7" w14:textId="77777777" w:rsidR="000A0391" w:rsidRPr="000A0391" w:rsidRDefault="000A0391" w:rsidP="000A039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Selenium</w:t>
            </w:r>
          </w:p>
        </w:tc>
        <w:tc>
          <w:tcPr>
            <w:tcW w:w="1133" w:type="dxa"/>
            <w:tcBorders>
              <w:top w:val="nil"/>
              <w:left w:val="nil"/>
              <w:bottom w:val="single" w:sz="4" w:space="0" w:color="auto"/>
              <w:right w:val="single" w:sz="4" w:space="0" w:color="auto"/>
            </w:tcBorders>
            <w:shd w:val="clear" w:color="000000" w:fill="E8E8E8"/>
            <w:vAlign w:val="center"/>
            <w:hideMark/>
          </w:tcPr>
          <w:p w14:paraId="0BC8DABF"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(Up)</w:t>
            </w:r>
          </w:p>
        </w:tc>
        <w:tc>
          <w:tcPr>
            <w:tcW w:w="1275" w:type="dxa"/>
            <w:tcBorders>
              <w:top w:val="nil"/>
              <w:left w:val="nil"/>
              <w:bottom w:val="single" w:sz="4" w:space="0" w:color="auto"/>
              <w:right w:val="single" w:sz="4" w:space="0" w:color="auto"/>
            </w:tcBorders>
            <w:shd w:val="clear" w:color="000000" w:fill="E8E8E8"/>
            <w:vAlign w:val="center"/>
            <w:hideMark/>
          </w:tcPr>
          <w:p w14:paraId="337C8CE2"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(Up), Diet-based</w:t>
            </w:r>
          </w:p>
        </w:tc>
        <w:tc>
          <w:tcPr>
            <w:tcW w:w="1275" w:type="dxa"/>
            <w:tcBorders>
              <w:top w:val="nil"/>
              <w:left w:val="nil"/>
              <w:bottom w:val="single" w:sz="4" w:space="0" w:color="auto"/>
              <w:right w:val="single" w:sz="4" w:space="0" w:color="auto"/>
            </w:tcBorders>
            <w:shd w:val="clear" w:color="000000" w:fill="E8E8E8"/>
            <w:vAlign w:val="center"/>
            <w:hideMark/>
          </w:tcPr>
          <w:p w14:paraId="4C35761E"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(Up)</w:t>
            </w:r>
          </w:p>
        </w:tc>
        <w:tc>
          <w:tcPr>
            <w:tcW w:w="1134" w:type="dxa"/>
            <w:tcBorders>
              <w:top w:val="nil"/>
              <w:left w:val="nil"/>
              <w:bottom w:val="single" w:sz="4" w:space="0" w:color="auto"/>
              <w:right w:val="single" w:sz="4" w:space="0" w:color="auto"/>
            </w:tcBorders>
            <w:shd w:val="clear" w:color="000000" w:fill="E8E8E8"/>
            <w:vAlign w:val="center"/>
            <w:hideMark/>
          </w:tcPr>
          <w:p w14:paraId="3A0149B2"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Interpolate</w:t>
            </w:r>
          </w:p>
        </w:tc>
        <w:tc>
          <w:tcPr>
            <w:tcW w:w="1134" w:type="dxa"/>
            <w:tcBorders>
              <w:top w:val="nil"/>
              <w:left w:val="nil"/>
              <w:bottom w:val="single" w:sz="4" w:space="0" w:color="auto"/>
              <w:right w:val="single" w:sz="4" w:space="0" w:color="auto"/>
            </w:tcBorders>
            <w:shd w:val="clear" w:color="000000" w:fill="E8E8E8"/>
            <w:vAlign w:val="center"/>
            <w:hideMark/>
          </w:tcPr>
          <w:p w14:paraId="5E75019C"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(Up)</w:t>
            </w:r>
          </w:p>
        </w:tc>
        <w:tc>
          <w:tcPr>
            <w:tcW w:w="1134" w:type="dxa"/>
            <w:tcBorders>
              <w:top w:val="nil"/>
              <w:left w:val="nil"/>
              <w:bottom w:val="single" w:sz="4" w:space="0" w:color="auto"/>
              <w:right w:val="single" w:sz="4" w:space="0" w:color="auto"/>
            </w:tcBorders>
            <w:shd w:val="clear" w:color="000000" w:fill="E8E8E8"/>
            <w:vAlign w:val="center"/>
            <w:hideMark/>
          </w:tcPr>
          <w:p w14:paraId="49CBB69B"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w:t>
            </w:r>
          </w:p>
        </w:tc>
        <w:tc>
          <w:tcPr>
            <w:tcW w:w="1134" w:type="dxa"/>
            <w:tcBorders>
              <w:top w:val="nil"/>
              <w:left w:val="nil"/>
              <w:bottom w:val="single" w:sz="4" w:space="0" w:color="auto"/>
              <w:right w:val="single" w:sz="4" w:space="0" w:color="auto"/>
            </w:tcBorders>
            <w:shd w:val="clear" w:color="000000" w:fill="E8E8E8"/>
            <w:vAlign w:val="center"/>
            <w:hideMark/>
          </w:tcPr>
          <w:p w14:paraId="27293898"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w:t>
            </w:r>
          </w:p>
        </w:tc>
        <w:tc>
          <w:tcPr>
            <w:tcW w:w="1275" w:type="dxa"/>
            <w:tcBorders>
              <w:top w:val="nil"/>
              <w:left w:val="nil"/>
              <w:bottom w:val="single" w:sz="4" w:space="0" w:color="auto"/>
              <w:right w:val="single" w:sz="4" w:space="0" w:color="auto"/>
            </w:tcBorders>
            <w:shd w:val="clear" w:color="000000" w:fill="E8E8E8"/>
            <w:vAlign w:val="center"/>
            <w:hideMark/>
          </w:tcPr>
          <w:p w14:paraId="736CE25A"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w:t>
            </w:r>
          </w:p>
        </w:tc>
        <w:tc>
          <w:tcPr>
            <w:tcW w:w="1134" w:type="dxa"/>
            <w:tcBorders>
              <w:top w:val="nil"/>
              <w:left w:val="nil"/>
              <w:bottom w:val="single" w:sz="4" w:space="0" w:color="auto"/>
              <w:right w:val="single" w:sz="4" w:space="0" w:color="auto"/>
            </w:tcBorders>
            <w:shd w:val="clear" w:color="000000" w:fill="E8E8E8"/>
            <w:vAlign w:val="center"/>
            <w:hideMark/>
          </w:tcPr>
          <w:p w14:paraId="33348D4F"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(Down)</w:t>
            </w:r>
          </w:p>
        </w:tc>
        <w:tc>
          <w:tcPr>
            <w:tcW w:w="1134" w:type="dxa"/>
            <w:tcBorders>
              <w:top w:val="nil"/>
              <w:left w:val="nil"/>
              <w:bottom w:val="single" w:sz="4" w:space="0" w:color="auto"/>
              <w:right w:val="single" w:sz="4" w:space="0" w:color="auto"/>
            </w:tcBorders>
            <w:shd w:val="clear" w:color="000000" w:fill="E8E8E8"/>
            <w:vAlign w:val="center"/>
            <w:hideMark/>
          </w:tcPr>
          <w:p w14:paraId="021DD7DC"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Interpolate</w:t>
            </w:r>
          </w:p>
        </w:tc>
        <w:tc>
          <w:tcPr>
            <w:tcW w:w="997" w:type="dxa"/>
            <w:gridSpan w:val="2"/>
            <w:tcBorders>
              <w:top w:val="nil"/>
              <w:left w:val="nil"/>
              <w:bottom w:val="single" w:sz="4" w:space="0" w:color="auto"/>
              <w:right w:val="single" w:sz="4" w:space="0" w:color="auto"/>
            </w:tcBorders>
            <w:shd w:val="clear" w:color="000000" w:fill="E8E8E8"/>
            <w:vAlign w:val="center"/>
            <w:hideMark/>
          </w:tcPr>
          <w:p w14:paraId="4DEEC353"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(Down)</w:t>
            </w:r>
          </w:p>
        </w:tc>
        <w:tc>
          <w:tcPr>
            <w:tcW w:w="1138" w:type="dxa"/>
            <w:tcBorders>
              <w:top w:val="nil"/>
              <w:left w:val="nil"/>
              <w:bottom w:val="single" w:sz="4" w:space="0" w:color="auto"/>
              <w:right w:val="single" w:sz="4" w:space="0" w:color="auto"/>
            </w:tcBorders>
            <w:shd w:val="clear" w:color="000000" w:fill="E8E8E8"/>
            <w:vAlign w:val="center"/>
            <w:hideMark/>
          </w:tcPr>
          <w:p w14:paraId="5BC82E08"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Unknown</w:t>
            </w:r>
          </w:p>
        </w:tc>
      </w:tr>
      <w:tr w:rsidR="001256B8" w:rsidRPr="001256B8" w14:paraId="3CF73F10" w14:textId="77777777" w:rsidTr="00C9042E">
        <w:trPr>
          <w:trHeight w:val="288"/>
          <w:jc w:val="center"/>
        </w:trPr>
        <w:tc>
          <w:tcPr>
            <w:tcW w:w="1266" w:type="dxa"/>
            <w:tcBorders>
              <w:top w:val="nil"/>
              <w:left w:val="single" w:sz="4" w:space="0" w:color="auto"/>
              <w:bottom w:val="single" w:sz="4" w:space="0" w:color="auto"/>
              <w:right w:val="single" w:sz="4" w:space="0" w:color="auto"/>
            </w:tcBorders>
            <w:noWrap/>
            <w:vAlign w:val="center"/>
            <w:hideMark/>
          </w:tcPr>
          <w:p w14:paraId="1085D047" w14:textId="77777777" w:rsidR="000A0391" w:rsidRPr="000A0391" w:rsidRDefault="000A0391" w:rsidP="000A039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Sodium</w:t>
            </w:r>
          </w:p>
        </w:tc>
        <w:tc>
          <w:tcPr>
            <w:tcW w:w="1133" w:type="dxa"/>
            <w:tcBorders>
              <w:top w:val="nil"/>
              <w:left w:val="nil"/>
              <w:bottom w:val="single" w:sz="4" w:space="0" w:color="auto"/>
              <w:right w:val="single" w:sz="4" w:space="0" w:color="auto"/>
            </w:tcBorders>
            <w:vAlign w:val="center"/>
            <w:hideMark/>
          </w:tcPr>
          <w:p w14:paraId="78940084"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(Up)**</w:t>
            </w:r>
          </w:p>
        </w:tc>
        <w:tc>
          <w:tcPr>
            <w:tcW w:w="1275" w:type="dxa"/>
            <w:tcBorders>
              <w:top w:val="nil"/>
              <w:left w:val="nil"/>
              <w:bottom w:val="single" w:sz="4" w:space="0" w:color="auto"/>
              <w:right w:val="single" w:sz="4" w:space="0" w:color="auto"/>
            </w:tcBorders>
            <w:vAlign w:val="center"/>
            <w:hideMark/>
          </w:tcPr>
          <w:p w14:paraId="60E4C827"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275" w:type="dxa"/>
            <w:tcBorders>
              <w:top w:val="nil"/>
              <w:left w:val="nil"/>
              <w:bottom w:val="single" w:sz="4" w:space="0" w:color="auto"/>
              <w:right w:val="single" w:sz="4" w:space="0" w:color="auto"/>
            </w:tcBorders>
            <w:vAlign w:val="center"/>
            <w:hideMark/>
          </w:tcPr>
          <w:p w14:paraId="43DF7847"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Isometric (Up)</w:t>
            </w:r>
          </w:p>
        </w:tc>
        <w:tc>
          <w:tcPr>
            <w:tcW w:w="1134" w:type="dxa"/>
            <w:tcBorders>
              <w:top w:val="nil"/>
              <w:left w:val="nil"/>
              <w:bottom w:val="single" w:sz="4" w:space="0" w:color="auto"/>
              <w:right w:val="single" w:sz="4" w:space="0" w:color="auto"/>
            </w:tcBorders>
            <w:vAlign w:val="center"/>
            <w:hideMark/>
          </w:tcPr>
          <w:p w14:paraId="6F161C26"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1134" w:type="dxa"/>
            <w:tcBorders>
              <w:top w:val="nil"/>
              <w:left w:val="nil"/>
              <w:bottom w:val="single" w:sz="4" w:space="0" w:color="auto"/>
              <w:right w:val="single" w:sz="4" w:space="0" w:color="auto"/>
            </w:tcBorders>
            <w:vAlign w:val="center"/>
            <w:hideMark/>
          </w:tcPr>
          <w:p w14:paraId="3E42CE46"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Diet-based</w:t>
            </w:r>
          </w:p>
        </w:tc>
        <w:tc>
          <w:tcPr>
            <w:tcW w:w="1134" w:type="dxa"/>
            <w:tcBorders>
              <w:top w:val="nil"/>
              <w:left w:val="nil"/>
              <w:bottom w:val="single" w:sz="4" w:space="0" w:color="auto"/>
              <w:right w:val="single" w:sz="4" w:space="0" w:color="auto"/>
            </w:tcBorders>
            <w:vAlign w:val="center"/>
            <w:hideMark/>
          </w:tcPr>
          <w:p w14:paraId="23F01FA2"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1134" w:type="dxa"/>
            <w:tcBorders>
              <w:top w:val="nil"/>
              <w:left w:val="nil"/>
              <w:bottom w:val="single" w:sz="4" w:space="0" w:color="auto"/>
              <w:right w:val="single" w:sz="4" w:space="0" w:color="auto"/>
            </w:tcBorders>
            <w:vAlign w:val="center"/>
            <w:hideMark/>
          </w:tcPr>
          <w:p w14:paraId="4DFA5946"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(Down)</w:t>
            </w:r>
          </w:p>
        </w:tc>
        <w:tc>
          <w:tcPr>
            <w:tcW w:w="1275" w:type="dxa"/>
            <w:tcBorders>
              <w:top w:val="nil"/>
              <w:left w:val="nil"/>
              <w:bottom w:val="single" w:sz="4" w:space="0" w:color="auto"/>
              <w:right w:val="single" w:sz="4" w:space="0" w:color="auto"/>
            </w:tcBorders>
            <w:vAlign w:val="center"/>
            <w:hideMark/>
          </w:tcPr>
          <w:p w14:paraId="183FC0F4"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(Down)</w:t>
            </w:r>
          </w:p>
        </w:tc>
        <w:tc>
          <w:tcPr>
            <w:tcW w:w="1134" w:type="dxa"/>
            <w:tcBorders>
              <w:top w:val="nil"/>
              <w:left w:val="nil"/>
              <w:bottom w:val="single" w:sz="4" w:space="0" w:color="auto"/>
              <w:right w:val="single" w:sz="4" w:space="0" w:color="auto"/>
            </w:tcBorders>
            <w:vAlign w:val="center"/>
            <w:hideMark/>
          </w:tcPr>
          <w:p w14:paraId="60DA010B" w14:textId="77777777" w:rsidR="000A0391" w:rsidRPr="000A0391" w:rsidRDefault="000A0391"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Linear (Down)</w:t>
            </w:r>
          </w:p>
        </w:tc>
        <w:tc>
          <w:tcPr>
            <w:tcW w:w="1134" w:type="dxa"/>
            <w:tcBorders>
              <w:top w:val="nil"/>
              <w:left w:val="nil"/>
              <w:bottom w:val="single" w:sz="4" w:space="0" w:color="auto"/>
              <w:right w:val="single" w:sz="4" w:space="0" w:color="auto"/>
            </w:tcBorders>
            <w:vAlign w:val="center"/>
            <w:hideMark/>
          </w:tcPr>
          <w:p w14:paraId="2666E9E0"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997" w:type="dxa"/>
            <w:gridSpan w:val="2"/>
            <w:tcBorders>
              <w:top w:val="nil"/>
              <w:left w:val="nil"/>
              <w:bottom w:val="single" w:sz="4" w:space="0" w:color="auto"/>
              <w:right w:val="single" w:sz="4" w:space="0" w:color="auto"/>
            </w:tcBorders>
            <w:vAlign w:val="center"/>
            <w:hideMark/>
          </w:tcPr>
          <w:p w14:paraId="5526F8E9"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c>
          <w:tcPr>
            <w:tcW w:w="1138" w:type="dxa"/>
            <w:tcBorders>
              <w:top w:val="nil"/>
              <w:left w:val="nil"/>
              <w:bottom w:val="single" w:sz="4" w:space="0" w:color="auto"/>
              <w:right w:val="single" w:sz="4" w:space="0" w:color="auto"/>
            </w:tcBorders>
            <w:vAlign w:val="center"/>
            <w:hideMark/>
          </w:tcPr>
          <w:p w14:paraId="5327E7DF" w14:textId="77777777" w:rsidR="000A0391" w:rsidRPr="000A0391" w:rsidRDefault="000A0391" w:rsidP="000A0391">
            <w:pPr>
              <w:spacing w:before="0" w:after="0" w:line="240" w:lineRule="auto"/>
              <w:rPr>
                <w:rFonts w:ascii="Aptos Narrow" w:eastAsia="Times New Roman" w:hAnsi="Aptos Narrow"/>
                <w:i/>
                <w:iCs/>
                <w:color w:val="000000"/>
                <w:sz w:val="18"/>
              </w:rPr>
            </w:pPr>
            <w:r w:rsidRPr="000A0391">
              <w:rPr>
                <w:rFonts w:ascii="Aptos Narrow" w:eastAsia="Times New Roman" w:hAnsi="Aptos Narrow"/>
                <w:i/>
                <w:iCs/>
                <w:color w:val="000000"/>
                <w:sz w:val="18"/>
              </w:rPr>
              <w:t>Not set</w:t>
            </w:r>
          </w:p>
        </w:tc>
      </w:tr>
      <w:tr w:rsidR="00D749B7" w:rsidRPr="000A0391" w14:paraId="25AF96E9" w14:textId="77777777" w:rsidTr="00C9042E">
        <w:trPr>
          <w:trHeight w:val="576"/>
          <w:jc w:val="center"/>
        </w:trPr>
        <w:tc>
          <w:tcPr>
            <w:tcW w:w="1266" w:type="dxa"/>
            <w:tcBorders>
              <w:top w:val="nil"/>
              <w:left w:val="single" w:sz="4" w:space="0" w:color="auto"/>
              <w:bottom w:val="single" w:sz="4" w:space="0" w:color="auto"/>
              <w:right w:val="single" w:sz="4" w:space="0" w:color="auto"/>
            </w:tcBorders>
            <w:shd w:val="clear" w:color="000000" w:fill="E8E8E8"/>
            <w:noWrap/>
            <w:vAlign w:val="center"/>
            <w:hideMark/>
          </w:tcPr>
          <w:p w14:paraId="19B908D8" w14:textId="77777777" w:rsidR="00D749B7" w:rsidRPr="000A0391" w:rsidRDefault="00D749B7" w:rsidP="000A0391">
            <w:pPr>
              <w:spacing w:before="0" w:after="0" w:line="240" w:lineRule="auto"/>
              <w:rPr>
                <w:rFonts w:ascii="Aptos Narrow" w:eastAsia="Times New Roman" w:hAnsi="Aptos Narrow"/>
                <w:b/>
                <w:bCs/>
                <w:color w:val="000000"/>
                <w:szCs w:val="20"/>
              </w:rPr>
            </w:pPr>
            <w:r w:rsidRPr="000A0391">
              <w:rPr>
                <w:rFonts w:ascii="Aptos Narrow" w:eastAsia="Times New Roman" w:hAnsi="Aptos Narrow"/>
                <w:b/>
                <w:bCs/>
                <w:color w:val="000000"/>
                <w:szCs w:val="20"/>
              </w:rPr>
              <w:t>Zinc</w:t>
            </w:r>
          </w:p>
        </w:tc>
        <w:tc>
          <w:tcPr>
            <w:tcW w:w="4817" w:type="dxa"/>
            <w:gridSpan w:val="4"/>
            <w:tcBorders>
              <w:top w:val="single" w:sz="4" w:space="0" w:color="auto"/>
              <w:left w:val="nil"/>
              <w:bottom w:val="single" w:sz="4" w:space="0" w:color="auto"/>
              <w:right w:val="single" w:sz="4" w:space="0" w:color="000000"/>
            </w:tcBorders>
            <w:shd w:val="clear" w:color="000000" w:fill="E8E8E8"/>
            <w:vAlign w:val="center"/>
            <w:hideMark/>
          </w:tcPr>
          <w:p w14:paraId="6A951404" w14:textId="77777777" w:rsidR="00D749B7" w:rsidRPr="000A0391" w:rsidRDefault="00D749B7" w:rsidP="000A0391">
            <w:pPr>
              <w:spacing w:before="0" w:after="0" w:line="240" w:lineRule="auto"/>
              <w:jc w:val="center"/>
              <w:rPr>
                <w:rFonts w:ascii="Aptos Narrow" w:eastAsia="Times New Roman" w:hAnsi="Aptos Narrow"/>
                <w:color w:val="000000"/>
                <w:sz w:val="18"/>
              </w:rPr>
            </w:pPr>
            <w:r w:rsidRPr="000A0391">
              <w:rPr>
                <w:rFonts w:ascii="Aptos Narrow" w:eastAsia="Times New Roman" w:hAnsi="Aptos Narrow"/>
                <w:color w:val="000000"/>
                <w:sz w:val="18"/>
              </w:rPr>
              <w:t>Factorial</w:t>
            </w:r>
          </w:p>
        </w:tc>
        <w:tc>
          <w:tcPr>
            <w:tcW w:w="1134" w:type="dxa"/>
            <w:tcBorders>
              <w:top w:val="nil"/>
              <w:left w:val="nil"/>
              <w:bottom w:val="single" w:sz="4" w:space="0" w:color="auto"/>
              <w:right w:val="single" w:sz="4" w:space="0" w:color="auto"/>
            </w:tcBorders>
            <w:shd w:val="clear" w:color="000000" w:fill="E8E8E8"/>
            <w:vAlign w:val="center"/>
            <w:hideMark/>
          </w:tcPr>
          <w:p w14:paraId="742DDD94" w14:textId="77777777" w:rsidR="00D749B7" w:rsidRPr="000A0391" w:rsidRDefault="00D749B7"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Allometric (Up), Diet-based</w:t>
            </w:r>
          </w:p>
        </w:tc>
        <w:tc>
          <w:tcPr>
            <w:tcW w:w="1134" w:type="dxa"/>
            <w:tcBorders>
              <w:top w:val="nil"/>
              <w:left w:val="nil"/>
              <w:bottom w:val="single" w:sz="4" w:space="0" w:color="auto"/>
              <w:right w:val="single" w:sz="4" w:space="0" w:color="auto"/>
            </w:tcBorders>
            <w:shd w:val="clear" w:color="000000" w:fill="E8E8E8"/>
            <w:vAlign w:val="center"/>
            <w:hideMark/>
          </w:tcPr>
          <w:p w14:paraId="1E9A67D6" w14:textId="77777777" w:rsidR="00D749B7" w:rsidRPr="000A0391" w:rsidRDefault="00D749B7" w:rsidP="000A0391">
            <w:pPr>
              <w:spacing w:before="0" w:after="0" w:line="240" w:lineRule="auto"/>
              <w:rPr>
                <w:rFonts w:ascii="Aptos Narrow" w:eastAsia="Times New Roman" w:hAnsi="Aptos Narrow"/>
                <w:color w:val="000000"/>
                <w:sz w:val="18"/>
              </w:rPr>
            </w:pPr>
            <w:r w:rsidRPr="000A0391">
              <w:rPr>
                <w:rFonts w:ascii="Aptos Narrow" w:eastAsia="Times New Roman" w:hAnsi="Aptos Narrow"/>
                <w:color w:val="000000"/>
                <w:sz w:val="18"/>
              </w:rPr>
              <w:t>Factorial</w:t>
            </w:r>
          </w:p>
        </w:tc>
        <w:tc>
          <w:tcPr>
            <w:tcW w:w="4685" w:type="dxa"/>
            <w:gridSpan w:val="5"/>
            <w:tcBorders>
              <w:top w:val="single" w:sz="4" w:space="0" w:color="auto"/>
              <w:left w:val="nil"/>
              <w:bottom w:val="single" w:sz="4" w:space="0" w:color="auto"/>
              <w:right w:val="single" w:sz="4" w:space="0" w:color="auto"/>
            </w:tcBorders>
            <w:shd w:val="clear" w:color="000000" w:fill="E8E8E8"/>
            <w:vAlign w:val="center"/>
            <w:hideMark/>
          </w:tcPr>
          <w:p w14:paraId="397C04EC" w14:textId="367F4DD8" w:rsidR="00D749B7" w:rsidRPr="000A0391" w:rsidRDefault="00D749B7" w:rsidP="00D749B7">
            <w:pPr>
              <w:spacing w:before="0" w:after="0" w:line="240" w:lineRule="auto"/>
              <w:jc w:val="center"/>
              <w:rPr>
                <w:rFonts w:ascii="Aptos Narrow" w:eastAsia="Times New Roman" w:hAnsi="Aptos Narrow" w:cstheme="majorHAnsi"/>
                <w:color w:val="000000"/>
                <w:sz w:val="18"/>
              </w:rPr>
            </w:pPr>
            <w:r w:rsidRPr="000A0391">
              <w:rPr>
                <w:rFonts w:ascii="Aptos Narrow" w:eastAsia="Times New Roman" w:hAnsi="Aptos Narrow"/>
                <w:color w:val="000000"/>
                <w:sz w:val="18"/>
              </w:rPr>
              <w:t>Factorial</w:t>
            </w:r>
          </w:p>
        </w:tc>
        <w:tc>
          <w:tcPr>
            <w:tcW w:w="989" w:type="dxa"/>
            <w:tcBorders>
              <w:top w:val="nil"/>
              <w:left w:val="nil"/>
              <w:bottom w:val="single" w:sz="4" w:space="0" w:color="auto"/>
              <w:right w:val="single" w:sz="4" w:space="0" w:color="auto"/>
            </w:tcBorders>
            <w:shd w:val="clear" w:color="000000" w:fill="E8E8E8"/>
            <w:vAlign w:val="center"/>
          </w:tcPr>
          <w:p w14:paraId="7E6C5F8C" w14:textId="77777777" w:rsidR="00D749B7" w:rsidRPr="000A0391" w:rsidRDefault="00D749B7" w:rsidP="000A0391">
            <w:pPr>
              <w:spacing w:before="0" w:after="0" w:line="240" w:lineRule="auto"/>
              <w:rPr>
                <w:rFonts w:ascii="Aptos Narrow" w:eastAsia="Times New Roman" w:hAnsi="Aptos Narrow" w:cstheme="majorHAnsi"/>
                <w:color w:val="000000"/>
                <w:sz w:val="18"/>
              </w:rPr>
            </w:pPr>
            <w:r w:rsidRPr="000A0391">
              <w:rPr>
                <w:rFonts w:ascii="Aptos Narrow" w:eastAsia="Times New Roman" w:hAnsi="Aptos Narrow" w:cstheme="majorHAnsi"/>
                <w:color w:val="000000"/>
                <w:sz w:val="18"/>
              </w:rPr>
              <w:t>Allometric (Down)</w:t>
            </w:r>
          </w:p>
        </w:tc>
        <w:tc>
          <w:tcPr>
            <w:tcW w:w="1138" w:type="dxa"/>
            <w:tcBorders>
              <w:top w:val="nil"/>
              <w:left w:val="nil"/>
              <w:bottom w:val="single" w:sz="4" w:space="0" w:color="auto"/>
              <w:right w:val="single" w:sz="4" w:space="0" w:color="auto"/>
            </w:tcBorders>
            <w:shd w:val="clear" w:color="000000" w:fill="E8E8E8"/>
            <w:vAlign w:val="center"/>
            <w:hideMark/>
          </w:tcPr>
          <w:p w14:paraId="1E9A6F61" w14:textId="77777777" w:rsidR="00D749B7" w:rsidRPr="000A0391" w:rsidRDefault="00D749B7" w:rsidP="000A0391">
            <w:pPr>
              <w:spacing w:before="0" w:after="0" w:line="240" w:lineRule="auto"/>
              <w:rPr>
                <w:rFonts w:ascii="Aptos Narrow" w:eastAsia="Times New Roman" w:hAnsi="Aptos Narrow" w:cstheme="majorHAnsi"/>
                <w:color w:val="000000"/>
                <w:sz w:val="18"/>
              </w:rPr>
            </w:pPr>
            <w:r w:rsidRPr="000A0391">
              <w:rPr>
                <w:rFonts w:ascii="Aptos Narrow" w:eastAsia="Times New Roman" w:hAnsi="Aptos Narrow" w:cstheme="majorHAnsi"/>
                <w:color w:val="000000"/>
                <w:sz w:val="18"/>
              </w:rPr>
              <w:t>Factorial</w:t>
            </w:r>
          </w:p>
        </w:tc>
      </w:tr>
    </w:tbl>
    <w:p w14:paraId="66D1E5AA" w14:textId="042138C0" w:rsidR="00AF2781" w:rsidRDefault="00AF2781">
      <w:pPr>
        <w:spacing w:line="240" w:lineRule="atLeast"/>
      </w:pPr>
    </w:p>
    <w:p w14:paraId="0DC3EE43" w14:textId="3AA4D935" w:rsidR="004F41D4" w:rsidRDefault="004F41D4" w:rsidP="004F41D4">
      <w:r>
        <w:lastRenderedPageBreak/>
        <w:t xml:space="preserve">F 5.2 Vitamin Derivation Methods – </w:t>
      </w:r>
      <w:r w:rsidR="00BB5D8B">
        <w:fldChar w:fldCharType="begin"/>
      </w:r>
      <w:r w:rsidR="00BB5D8B">
        <w:instrText xml:space="preserve"> ADDIN EN.CITE &lt;EndNote&gt;&lt;Cite AuthorYear="1"&gt;&lt;Author&gt;FAO&lt;/Author&gt;&lt;Year&gt;2024&lt;/Year&gt;&lt;RecNum&gt;112&lt;/RecNum&gt;&lt;DisplayText&gt;FAO (2024)&lt;/DisplayText&gt;&lt;record&gt;&lt;rec-number&gt;112&lt;/rec-number&gt;&lt;foreign-keys&gt;&lt;key app="EN" db-id="zxfaevvrgpsxebez5ec5vspfe2av5dtxt9xx" timestamp="1755048328"&gt;112&lt;/key&gt;&lt;/foreign-keys&gt;&lt;ref-type name="Electronic Book"&gt;44&lt;/ref-type&gt;&lt;contributors&gt;&lt;authors&gt;&lt;author&gt;FAO&lt;/author&gt;&lt;/authors&gt;&lt;/contributors&gt;&lt;titles&gt;&lt;title&gt;Review of derivation methods for dietary intake reference values for older infants and young children – FAO request for scientific advice to develop general principles for the establishment of Codex nutrient reference values for older infants and young children.&lt;/title&gt;&lt;/titles&gt;&lt;dates&gt;&lt;year&gt;2024&lt;/year&gt;&lt;/dates&gt;&lt;pub-location&gt;Rome&lt;/pub-location&gt;&lt;publisher&gt;Food and Agriculture Organization of the United Nations&lt;/publisher&gt;&lt;urls&gt;&lt;related-urls&gt;&lt;url&gt;https://doi.org/10.4060/cb9380en&lt;/url&gt;&lt;/related-urls&gt;&lt;/urls&gt;&lt;/record&gt;&lt;/Cite&gt;&lt;/EndNote&gt;</w:instrText>
      </w:r>
      <w:r w:rsidR="00BB5D8B">
        <w:fldChar w:fldCharType="separate"/>
      </w:r>
      <w:r w:rsidR="00BB5D8B">
        <w:rPr>
          <w:noProof/>
        </w:rPr>
        <w:t>FAO (2024)</w:t>
      </w:r>
      <w:r w:rsidR="00BB5D8B">
        <w:fldChar w:fldCharType="end"/>
      </w:r>
    </w:p>
    <w:p w14:paraId="30984A25" w14:textId="18BD375A" w:rsidR="004F41D4" w:rsidRPr="004F41D4" w:rsidRDefault="004F41D4" w:rsidP="004F41D4">
      <w:pPr>
        <w:rPr>
          <w:sz w:val="18"/>
        </w:rPr>
      </w:pPr>
      <w:r w:rsidRPr="004F41D4">
        <w:rPr>
          <w:sz w:val="18"/>
        </w:rPr>
        <w:t>Derivation methods used by international organisations for older infants and young children. Two methods listed = average of two methods used; * = multiple intake values for general population; ** = extrapolation parameter is product of body weight and dietary intake value energy.</w:t>
      </w:r>
    </w:p>
    <w:tbl>
      <w:tblPr>
        <w:tblW w:w="14737" w:type="dxa"/>
        <w:jc w:val="center"/>
        <w:tblLayout w:type="fixed"/>
        <w:tblLook w:val="04A0" w:firstRow="1" w:lastRow="0" w:firstColumn="1" w:lastColumn="0" w:noHBand="0" w:noVBand="1"/>
      </w:tblPr>
      <w:tblGrid>
        <w:gridCol w:w="1271"/>
        <w:gridCol w:w="1122"/>
        <w:gridCol w:w="1122"/>
        <w:gridCol w:w="1122"/>
        <w:gridCol w:w="1122"/>
        <w:gridCol w:w="1122"/>
        <w:gridCol w:w="1123"/>
        <w:gridCol w:w="1122"/>
        <w:gridCol w:w="1122"/>
        <w:gridCol w:w="1122"/>
        <w:gridCol w:w="1122"/>
        <w:gridCol w:w="1122"/>
        <w:gridCol w:w="1123"/>
      </w:tblGrid>
      <w:tr w:rsidR="000E1E0E" w:rsidRPr="001B128C" w14:paraId="7013C857" w14:textId="77777777" w:rsidTr="00C9042E">
        <w:trPr>
          <w:trHeight w:val="389"/>
          <w:jc w:val="center"/>
        </w:trPr>
        <w:tc>
          <w:tcPr>
            <w:tcW w:w="1271" w:type="dxa"/>
            <w:vMerge w:val="restart"/>
            <w:tcBorders>
              <w:top w:val="single" w:sz="4" w:space="0" w:color="auto"/>
              <w:left w:val="single" w:sz="4" w:space="0" w:color="auto"/>
              <w:right w:val="single" w:sz="4" w:space="0" w:color="auto"/>
            </w:tcBorders>
            <w:vAlign w:val="center"/>
          </w:tcPr>
          <w:p w14:paraId="67BD3964" w14:textId="0FEF27CB"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Nutrient</w:t>
            </w:r>
          </w:p>
        </w:tc>
        <w:tc>
          <w:tcPr>
            <w:tcW w:w="6733" w:type="dxa"/>
            <w:gridSpan w:val="6"/>
            <w:tcBorders>
              <w:top w:val="single" w:sz="4" w:space="0" w:color="auto"/>
              <w:left w:val="nil"/>
              <w:bottom w:val="single" w:sz="4" w:space="0" w:color="auto"/>
              <w:right w:val="single" w:sz="4" w:space="0" w:color="auto"/>
            </w:tcBorders>
            <w:vAlign w:val="center"/>
          </w:tcPr>
          <w:p w14:paraId="3C8FB307" w14:textId="0720A86E" w:rsidR="000E1E0E" w:rsidRPr="00A640D7" w:rsidRDefault="000E1E0E" w:rsidP="00F15550">
            <w:pPr>
              <w:spacing w:before="0" w:after="0" w:line="240" w:lineRule="auto"/>
              <w:jc w:val="center"/>
              <w:rPr>
                <w:rFonts w:ascii="Aptos Narrow" w:eastAsia="Times New Roman" w:hAnsi="Aptos Narrow"/>
                <w:b/>
                <w:bCs/>
                <w:color w:val="000000"/>
                <w:szCs w:val="20"/>
              </w:rPr>
            </w:pPr>
            <w:r w:rsidRPr="00A640D7">
              <w:rPr>
                <w:rFonts w:ascii="Aptos Narrow" w:eastAsia="Times New Roman" w:hAnsi="Aptos Narrow"/>
                <w:b/>
                <w:bCs/>
                <w:color w:val="000000"/>
                <w:szCs w:val="20"/>
              </w:rPr>
              <w:t>Older Infants (~6-12 months)</w:t>
            </w:r>
          </w:p>
        </w:tc>
        <w:tc>
          <w:tcPr>
            <w:tcW w:w="6733" w:type="dxa"/>
            <w:gridSpan w:val="6"/>
            <w:tcBorders>
              <w:top w:val="single" w:sz="4" w:space="0" w:color="auto"/>
              <w:left w:val="nil"/>
              <w:bottom w:val="single" w:sz="4" w:space="0" w:color="auto"/>
              <w:right w:val="single" w:sz="4" w:space="0" w:color="auto"/>
            </w:tcBorders>
            <w:vAlign w:val="center"/>
          </w:tcPr>
          <w:p w14:paraId="7AECF8DA" w14:textId="3DD73F49" w:rsidR="000E1E0E" w:rsidRPr="00A640D7" w:rsidRDefault="000E1E0E" w:rsidP="00F15550">
            <w:pPr>
              <w:spacing w:before="0" w:after="0" w:line="240" w:lineRule="auto"/>
              <w:jc w:val="center"/>
              <w:rPr>
                <w:rFonts w:ascii="Aptos Narrow" w:eastAsia="Times New Roman" w:hAnsi="Aptos Narrow"/>
                <w:b/>
                <w:bCs/>
                <w:color w:val="000000"/>
                <w:szCs w:val="20"/>
              </w:rPr>
            </w:pPr>
            <w:r w:rsidRPr="00A640D7">
              <w:rPr>
                <w:rFonts w:ascii="Aptos Narrow" w:eastAsia="Times New Roman" w:hAnsi="Aptos Narrow"/>
                <w:b/>
                <w:bCs/>
                <w:color w:val="000000"/>
                <w:szCs w:val="20"/>
              </w:rPr>
              <w:t>Young Children (~1-5 years)</w:t>
            </w:r>
          </w:p>
        </w:tc>
      </w:tr>
      <w:tr w:rsidR="00A640D7" w:rsidRPr="001B128C" w14:paraId="6F11C88A" w14:textId="77777777" w:rsidTr="00C9042E">
        <w:trPr>
          <w:trHeight w:val="864"/>
          <w:jc w:val="center"/>
        </w:trPr>
        <w:tc>
          <w:tcPr>
            <w:tcW w:w="1271" w:type="dxa"/>
            <w:vMerge/>
            <w:tcBorders>
              <w:left w:val="single" w:sz="4" w:space="0" w:color="auto"/>
              <w:bottom w:val="single" w:sz="4" w:space="0" w:color="000000"/>
              <w:right w:val="single" w:sz="4" w:space="0" w:color="auto"/>
            </w:tcBorders>
            <w:vAlign w:val="center"/>
            <w:hideMark/>
          </w:tcPr>
          <w:p w14:paraId="13104084" w14:textId="77777777" w:rsidR="000E1E0E" w:rsidRPr="001B128C" w:rsidRDefault="000E1E0E" w:rsidP="00F15550">
            <w:pPr>
              <w:spacing w:before="0" w:after="0" w:line="240" w:lineRule="auto"/>
              <w:rPr>
                <w:rFonts w:ascii="Aptos Narrow" w:eastAsia="Times New Roman" w:hAnsi="Aptos Narrow"/>
                <w:b/>
                <w:bCs/>
                <w:color w:val="000000"/>
                <w:sz w:val="22"/>
                <w:szCs w:val="22"/>
              </w:rPr>
            </w:pPr>
          </w:p>
        </w:tc>
        <w:tc>
          <w:tcPr>
            <w:tcW w:w="1122" w:type="dxa"/>
            <w:tcBorders>
              <w:top w:val="nil"/>
              <w:left w:val="nil"/>
              <w:bottom w:val="single" w:sz="4" w:space="0" w:color="auto"/>
              <w:right w:val="single" w:sz="4" w:space="0" w:color="auto"/>
            </w:tcBorders>
            <w:vAlign w:val="center"/>
            <w:hideMark/>
          </w:tcPr>
          <w:p w14:paraId="7187D247"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Australia and New Zealand (NHMRC/MOH)</w:t>
            </w:r>
          </w:p>
        </w:tc>
        <w:tc>
          <w:tcPr>
            <w:tcW w:w="1122" w:type="dxa"/>
            <w:tcBorders>
              <w:top w:val="nil"/>
              <w:left w:val="nil"/>
              <w:bottom w:val="single" w:sz="4" w:space="0" w:color="auto"/>
              <w:right w:val="single" w:sz="4" w:space="0" w:color="auto"/>
            </w:tcBorders>
            <w:vAlign w:val="center"/>
            <w:hideMark/>
          </w:tcPr>
          <w:p w14:paraId="029AF531"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Canada and USA (IOM)</w:t>
            </w:r>
          </w:p>
        </w:tc>
        <w:tc>
          <w:tcPr>
            <w:tcW w:w="1122" w:type="dxa"/>
            <w:tcBorders>
              <w:top w:val="nil"/>
              <w:left w:val="nil"/>
              <w:bottom w:val="single" w:sz="4" w:space="0" w:color="auto"/>
              <w:right w:val="single" w:sz="4" w:space="0" w:color="auto"/>
            </w:tcBorders>
            <w:vAlign w:val="center"/>
            <w:hideMark/>
          </w:tcPr>
          <w:p w14:paraId="0DBD14F9"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Europe (EFSA)</w:t>
            </w:r>
          </w:p>
        </w:tc>
        <w:tc>
          <w:tcPr>
            <w:tcW w:w="1122" w:type="dxa"/>
            <w:tcBorders>
              <w:top w:val="nil"/>
              <w:left w:val="nil"/>
              <w:bottom w:val="single" w:sz="4" w:space="0" w:color="auto"/>
              <w:right w:val="single" w:sz="4" w:space="0" w:color="auto"/>
            </w:tcBorders>
            <w:vAlign w:val="center"/>
            <w:hideMark/>
          </w:tcPr>
          <w:p w14:paraId="29DA4278"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WHO/FAO</w:t>
            </w:r>
          </w:p>
        </w:tc>
        <w:tc>
          <w:tcPr>
            <w:tcW w:w="1122" w:type="dxa"/>
            <w:tcBorders>
              <w:top w:val="nil"/>
              <w:left w:val="nil"/>
              <w:bottom w:val="single" w:sz="4" w:space="0" w:color="auto"/>
              <w:right w:val="single" w:sz="4" w:space="0" w:color="auto"/>
            </w:tcBorders>
            <w:vAlign w:val="center"/>
            <w:hideMark/>
          </w:tcPr>
          <w:p w14:paraId="3534ADF1"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Japan (MHLW)</w:t>
            </w:r>
          </w:p>
        </w:tc>
        <w:tc>
          <w:tcPr>
            <w:tcW w:w="1123" w:type="dxa"/>
            <w:tcBorders>
              <w:top w:val="nil"/>
              <w:left w:val="nil"/>
              <w:bottom w:val="single" w:sz="4" w:space="0" w:color="auto"/>
              <w:right w:val="single" w:sz="4" w:space="0" w:color="auto"/>
            </w:tcBorders>
            <w:vAlign w:val="center"/>
            <w:hideMark/>
          </w:tcPr>
          <w:p w14:paraId="4101C0CE"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Nordic Countries (NCM)</w:t>
            </w:r>
          </w:p>
        </w:tc>
        <w:tc>
          <w:tcPr>
            <w:tcW w:w="1122" w:type="dxa"/>
            <w:tcBorders>
              <w:top w:val="nil"/>
              <w:left w:val="nil"/>
              <w:bottom w:val="single" w:sz="4" w:space="0" w:color="auto"/>
              <w:right w:val="single" w:sz="4" w:space="0" w:color="auto"/>
            </w:tcBorders>
            <w:vAlign w:val="center"/>
            <w:hideMark/>
          </w:tcPr>
          <w:p w14:paraId="7B4E78E5"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Australia and New Zealand (NHMRC/MOH)</w:t>
            </w:r>
          </w:p>
        </w:tc>
        <w:tc>
          <w:tcPr>
            <w:tcW w:w="1122" w:type="dxa"/>
            <w:tcBorders>
              <w:top w:val="nil"/>
              <w:left w:val="nil"/>
              <w:bottom w:val="single" w:sz="4" w:space="0" w:color="auto"/>
              <w:right w:val="single" w:sz="4" w:space="0" w:color="auto"/>
            </w:tcBorders>
            <w:vAlign w:val="center"/>
            <w:hideMark/>
          </w:tcPr>
          <w:p w14:paraId="0C80F623"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Canada and USA (IOM)</w:t>
            </w:r>
          </w:p>
        </w:tc>
        <w:tc>
          <w:tcPr>
            <w:tcW w:w="1122" w:type="dxa"/>
            <w:tcBorders>
              <w:top w:val="nil"/>
              <w:left w:val="nil"/>
              <w:bottom w:val="single" w:sz="4" w:space="0" w:color="auto"/>
              <w:right w:val="single" w:sz="4" w:space="0" w:color="auto"/>
            </w:tcBorders>
            <w:vAlign w:val="center"/>
            <w:hideMark/>
          </w:tcPr>
          <w:p w14:paraId="4A6F4374"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Europe (EFSA)</w:t>
            </w:r>
          </w:p>
        </w:tc>
        <w:tc>
          <w:tcPr>
            <w:tcW w:w="1122" w:type="dxa"/>
            <w:tcBorders>
              <w:top w:val="nil"/>
              <w:left w:val="nil"/>
              <w:bottom w:val="single" w:sz="4" w:space="0" w:color="auto"/>
              <w:right w:val="single" w:sz="4" w:space="0" w:color="auto"/>
            </w:tcBorders>
            <w:vAlign w:val="center"/>
            <w:hideMark/>
          </w:tcPr>
          <w:p w14:paraId="297B8F76"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WHO/FAO</w:t>
            </w:r>
          </w:p>
        </w:tc>
        <w:tc>
          <w:tcPr>
            <w:tcW w:w="1122" w:type="dxa"/>
            <w:tcBorders>
              <w:top w:val="nil"/>
              <w:left w:val="nil"/>
              <w:bottom w:val="single" w:sz="4" w:space="0" w:color="auto"/>
              <w:right w:val="single" w:sz="4" w:space="0" w:color="auto"/>
            </w:tcBorders>
            <w:vAlign w:val="center"/>
            <w:hideMark/>
          </w:tcPr>
          <w:p w14:paraId="043B5EF0" w14:textId="77777777" w:rsidR="000E1E0E" w:rsidRPr="001B128C" w:rsidRDefault="000E1E0E" w:rsidP="00F15550">
            <w:pPr>
              <w:spacing w:before="0" w:after="0" w:line="240" w:lineRule="auto"/>
              <w:rPr>
                <w:rFonts w:ascii="Aptos Narrow" w:eastAsia="Times New Roman" w:hAnsi="Aptos Narrow"/>
                <w:b/>
                <w:bCs/>
                <w:color w:val="000000"/>
                <w:sz w:val="22"/>
                <w:szCs w:val="22"/>
              </w:rPr>
            </w:pPr>
            <w:r w:rsidRPr="001B128C">
              <w:rPr>
                <w:rFonts w:ascii="Aptos Narrow" w:eastAsia="Times New Roman" w:hAnsi="Aptos Narrow"/>
                <w:b/>
                <w:bCs/>
                <w:color w:val="000000"/>
                <w:sz w:val="22"/>
                <w:szCs w:val="22"/>
              </w:rPr>
              <w:t>Japan (MHLW)</w:t>
            </w:r>
          </w:p>
        </w:tc>
        <w:tc>
          <w:tcPr>
            <w:tcW w:w="1123" w:type="dxa"/>
            <w:tcBorders>
              <w:top w:val="nil"/>
              <w:left w:val="nil"/>
              <w:bottom w:val="single" w:sz="4" w:space="0" w:color="auto"/>
              <w:right w:val="single" w:sz="4" w:space="0" w:color="auto"/>
            </w:tcBorders>
            <w:vAlign w:val="center"/>
            <w:hideMark/>
          </w:tcPr>
          <w:p w14:paraId="74B5D216" w14:textId="77777777" w:rsidR="000E1E0E" w:rsidRPr="00A640D7" w:rsidRDefault="000E1E0E"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Nordic Countries (NCM)</w:t>
            </w:r>
          </w:p>
        </w:tc>
      </w:tr>
      <w:tr w:rsidR="00A640D7" w:rsidRPr="001B128C" w14:paraId="559C4A88" w14:textId="77777777" w:rsidTr="00C9042E">
        <w:trPr>
          <w:trHeight w:val="482"/>
          <w:jc w:val="center"/>
        </w:trPr>
        <w:tc>
          <w:tcPr>
            <w:tcW w:w="1271" w:type="dxa"/>
            <w:tcBorders>
              <w:top w:val="nil"/>
              <w:left w:val="single" w:sz="4" w:space="0" w:color="auto"/>
              <w:bottom w:val="single" w:sz="4" w:space="0" w:color="auto"/>
              <w:right w:val="single" w:sz="4" w:space="0" w:color="auto"/>
            </w:tcBorders>
            <w:noWrap/>
            <w:vAlign w:val="center"/>
            <w:hideMark/>
          </w:tcPr>
          <w:p w14:paraId="734DEF6C"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Biotin</w:t>
            </w:r>
          </w:p>
        </w:tc>
        <w:tc>
          <w:tcPr>
            <w:tcW w:w="1122" w:type="dxa"/>
            <w:tcBorders>
              <w:top w:val="nil"/>
              <w:left w:val="nil"/>
              <w:bottom w:val="single" w:sz="4" w:space="0" w:color="auto"/>
              <w:right w:val="single" w:sz="4" w:space="0" w:color="auto"/>
            </w:tcBorders>
            <w:vAlign w:val="center"/>
            <w:hideMark/>
          </w:tcPr>
          <w:p w14:paraId="0FE6E538"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27F446E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614FB552"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49EC0299"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7E2C926D"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3" w:type="dxa"/>
            <w:tcBorders>
              <w:top w:val="nil"/>
              <w:left w:val="nil"/>
              <w:bottom w:val="single" w:sz="4" w:space="0" w:color="auto"/>
              <w:right w:val="single" w:sz="4" w:space="0" w:color="auto"/>
            </w:tcBorders>
            <w:vAlign w:val="center"/>
            <w:hideMark/>
          </w:tcPr>
          <w:p w14:paraId="0EFA608D" w14:textId="77777777" w:rsidR="001B128C" w:rsidRPr="00A640D7" w:rsidRDefault="001B128C" w:rsidP="00F15550">
            <w:pPr>
              <w:spacing w:before="0" w:after="0" w:line="240" w:lineRule="auto"/>
              <w:rPr>
                <w:rFonts w:ascii="Aptos Narrow" w:eastAsia="Times New Roman" w:hAnsi="Aptos Narrow"/>
                <w:i/>
                <w:iCs/>
                <w:color w:val="000000"/>
                <w:sz w:val="18"/>
              </w:rPr>
            </w:pPr>
            <w:r w:rsidRPr="00A640D7">
              <w:rPr>
                <w:rFonts w:ascii="Aptos Narrow" w:eastAsia="Times New Roman" w:hAnsi="Aptos Narrow"/>
                <w:i/>
                <w:iCs/>
                <w:color w:val="000000"/>
                <w:sz w:val="18"/>
              </w:rPr>
              <w:t>Not set</w:t>
            </w:r>
          </w:p>
        </w:tc>
        <w:tc>
          <w:tcPr>
            <w:tcW w:w="1122" w:type="dxa"/>
            <w:tcBorders>
              <w:top w:val="nil"/>
              <w:left w:val="nil"/>
              <w:bottom w:val="single" w:sz="4" w:space="0" w:color="auto"/>
              <w:right w:val="single" w:sz="4" w:space="0" w:color="auto"/>
            </w:tcBorders>
            <w:vAlign w:val="center"/>
            <w:hideMark/>
          </w:tcPr>
          <w:p w14:paraId="3656CBED"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3ADA209C"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5D21CE85"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Diet-based</w:t>
            </w:r>
          </w:p>
        </w:tc>
        <w:tc>
          <w:tcPr>
            <w:tcW w:w="1122" w:type="dxa"/>
            <w:tcBorders>
              <w:top w:val="nil"/>
              <w:left w:val="nil"/>
              <w:bottom w:val="single" w:sz="4" w:space="0" w:color="auto"/>
              <w:right w:val="single" w:sz="4" w:space="0" w:color="auto"/>
            </w:tcBorders>
            <w:vAlign w:val="center"/>
            <w:hideMark/>
          </w:tcPr>
          <w:p w14:paraId="74FCB9F3"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1E76A63A"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3" w:type="dxa"/>
            <w:tcBorders>
              <w:top w:val="nil"/>
              <w:left w:val="nil"/>
              <w:bottom w:val="single" w:sz="4" w:space="0" w:color="auto"/>
              <w:right w:val="single" w:sz="4" w:space="0" w:color="auto"/>
            </w:tcBorders>
            <w:vAlign w:val="center"/>
            <w:hideMark/>
          </w:tcPr>
          <w:p w14:paraId="48D3B7CA" w14:textId="77777777" w:rsidR="001B128C" w:rsidRPr="00A640D7" w:rsidRDefault="001B128C" w:rsidP="00F15550">
            <w:pPr>
              <w:spacing w:before="0" w:after="0" w:line="240" w:lineRule="auto"/>
              <w:rPr>
                <w:rFonts w:ascii="Aptos Narrow" w:eastAsia="Times New Roman" w:hAnsi="Aptos Narrow"/>
                <w:i/>
                <w:iCs/>
                <w:color w:val="000000"/>
                <w:sz w:val="18"/>
              </w:rPr>
            </w:pPr>
            <w:r w:rsidRPr="00A640D7">
              <w:rPr>
                <w:rFonts w:ascii="Aptos Narrow" w:eastAsia="Times New Roman" w:hAnsi="Aptos Narrow"/>
                <w:i/>
                <w:iCs/>
                <w:color w:val="000000"/>
                <w:sz w:val="18"/>
              </w:rPr>
              <w:t>Not set</w:t>
            </w:r>
          </w:p>
        </w:tc>
      </w:tr>
      <w:tr w:rsidR="00A640D7" w:rsidRPr="001B128C" w14:paraId="0A6DFC53" w14:textId="77777777" w:rsidTr="00C9042E">
        <w:trPr>
          <w:trHeight w:val="482"/>
          <w:jc w:val="center"/>
        </w:trPr>
        <w:tc>
          <w:tcPr>
            <w:tcW w:w="1271" w:type="dxa"/>
            <w:tcBorders>
              <w:top w:val="nil"/>
              <w:left w:val="single" w:sz="4" w:space="0" w:color="auto"/>
              <w:bottom w:val="single" w:sz="4" w:space="0" w:color="auto"/>
              <w:right w:val="single" w:sz="4" w:space="0" w:color="auto"/>
            </w:tcBorders>
            <w:shd w:val="clear" w:color="000000" w:fill="E8E8E8"/>
            <w:noWrap/>
            <w:vAlign w:val="center"/>
            <w:hideMark/>
          </w:tcPr>
          <w:p w14:paraId="68920D24"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Folate</w:t>
            </w:r>
          </w:p>
        </w:tc>
        <w:tc>
          <w:tcPr>
            <w:tcW w:w="1122" w:type="dxa"/>
            <w:tcBorders>
              <w:top w:val="nil"/>
              <w:left w:val="nil"/>
              <w:bottom w:val="single" w:sz="4" w:space="0" w:color="auto"/>
              <w:right w:val="single" w:sz="4" w:space="0" w:color="auto"/>
            </w:tcBorders>
            <w:shd w:val="clear" w:color="000000" w:fill="E8E8E8"/>
            <w:vAlign w:val="center"/>
            <w:hideMark/>
          </w:tcPr>
          <w:p w14:paraId="460F069A"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2" w:type="dxa"/>
            <w:tcBorders>
              <w:top w:val="nil"/>
              <w:left w:val="nil"/>
              <w:bottom w:val="single" w:sz="4" w:space="0" w:color="auto"/>
              <w:right w:val="single" w:sz="4" w:space="0" w:color="auto"/>
            </w:tcBorders>
            <w:shd w:val="clear" w:color="000000" w:fill="E8E8E8"/>
            <w:vAlign w:val="center"/>
            <w:hideMark/>
          </w:tcPr>
          <w:p w14:paraId="497D2AB2"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2" w:type="dxa"/>
            <w:tcBorders>
              <w:top w:val="nil"/>
              <w:left w:val="nil"/>
              <w:bottom w:val="single" w:sz="4" w:space="0" w:color="auto"/>
              <w:right w:val="single" w:sz="4" w:space="0" w:color="auto"/>
            </w:tcBorders>
            <w:shd w:val="clear" w:color="000000" w:fill="E8E8E8"/>
            <w:vAlign w:val="center"/>
            <w:hideMark/>
          </w:tcPr>
          <w:p w14:paraId="61DBC5F4"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474612E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2" w:type="dxa"/>
            <w:tcBorders>
              <w:top w:val="nil"/>
              <w:left w:val="nil"/>
              <w:bottom w:val="single" w:sz="4" w:space="0" w:color="auto"/>
              <w:right w:val="single" w:sz="4" w:space="0" w:color="auto"/>
            </w:tcBorders>
            <w:shd w:val="clear" w:color="000000" w:fill="E8E8E8"/>
            <w:vAlign w:val="center"/>
            <w:hideMark/>
          </w:tcPr>
          <w:p w14:paraId="665126E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3" w:type="dxa"/>
            <w:tcBorders>
              <w:top w:val="nil"/>
              <w:left w:val="nil"/>
              <w:bottom w:val="single" w:sz="4" w:space="0" w:color="auto"/>
              <w:right w:val="single" w:sz="4" w:space="0" w:color="auto"/>
            </w:tcBorders>
            <w:shd w:val="clear" w:color="000000" w:fill="E8E8E8"/>
            <w:vAlign w:val="center"/>
            <w:hideMark/>
          </w:tcPr>
          <w:p w14:paraId="524D473A"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(Unit)</w:t>
            </w:r>
          </w:p>
        </w:tc>
        <w:tc>
          <w:tcPr>
            <w:tcW w:w="1122" w:type="dxa"/>
            <w:tcBorders>
              <w:top w:val="nil"/>
              <w:left w:val="nil"/>
              <w:bottom w:val="single" w:sz="4" w:space="0" w:color="auto"/>
              <w:right w:val="single" w:sz="4" w:space="0" w:color="auto"/>
            </w:tcBorders>
            <w:shd w:val="clear" w:color="000000" w:fill="E8E8E8"/>
            <w:vAlign w:val="center"/>
            <w:hideMark/>
          </w:tcPr>
          <w:p w14:paraId="79B24C77"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482C6D9C"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6B75E797"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2542779B"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01F33095"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3" w:type="dxa"/>
            <w:tcBorders>
              <w:top w:val="nil"/>
              <w:left w:val="nil"/>
              <w:bottom w:val="single" w:sz="4" w:space="0" w:color="auto"/>
              <w:right w:val="single" w:sz="4" w:space="0" w:color="auto"/>
            </w:tcBorders>
            <w:shd w:val="clear" w:color="000000" w:fill="E8E8E8"/>
            <w:vAlign w:val="center"/>
            <w:hideMark/>
          </w:tcPr>
          <w:p w14:paraId="699B6B3D"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(Unit)</w:t>
            </w:r>
          </w:p>
        </w:tc>
      </w:tr>
      <w:tr w:rsidR="00A640D7" w:rsidRPr="001B128C" w14:paraId="0F5DBAC0" w14:textId="77777777" w:rsidTr="00C9042E">
        <w:trPr>
          <w:trHeight w:val="482"/>
          <w:jc w:val="center"/>
        </w:trPr>
        <w:tc>
          <w:tcPr>
            <w:tcW w:w="1271" w:type="dxa"/>
            <w:tcBorders>
              <w:top w:val="nil"/>
              <w:left w:val="single" w:sz="4" w:space="0" w:color="auto"/>
              <w:bottom w:val="single" w:sz="4" w:space="0" w:color="auto"/>
              <w:right w:val="single" w:sz="4" w:space="0" w:color="auto"/>
            </w:tcBorders>
            <w:noWrap/>
            <w:vAlign w:val="center"/>
            <w:hideMark/>
          </w:tcPr>
          <w:p w14:paraId="3875BB9E"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Niacin</w:t>
            </w:r>
          </w:p>
        </w:tc>
        <w:tc>
          <w:tcPr>
            <w:tcW w:w="1122" w:type="dxa"/>
            <w:tcBorders>
              <w:top w:val="nil"/>
              <w:left w:val="nil"/>
              <w:bottom w:val="single" w:sz="4" w:space="0" w:color="auto"/>
              <w:right w:val="single" w:sz="4" w:space="0" w:color="auto"/>
            </w:tcBorders>
            <w:vAlign w:val="center"/>
            <w:hideMark/>
          </w:tcPr>
          <w:p w14:paraId="17AB7079"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27067DCB"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3F14923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vAlign w:val="center"/>
            <w:hideMark/>
          </w:tcPr>
          <w:p w14:paraId="1339132E"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0FA19A17"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3" w:type="dxa"/>
            <w:tcBorders>
              <w:top w:val="nil"/>
              <w:left w:val="nil"/>
              <w:bottom w:val="single" w:sz="4" w:space="0" w:color="auto"/>
              <w:right w:val="single" w:sz="4" w:space="0" w:color="auto"/>
            </w:tcBorders>
            <w:vAlign w:val="center"/>
            <w:hideMark/>
          </w:tcPr>
          <w:p w14:paraId="45A117AE"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vAlign w:val="center"/>
            <w:hideMark/>
          </w:tcPr>
          <w:p w14:paraId="5016584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0446B056"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26E77A5B"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vAlign w:val="center"/>
            <w:hideMark/>
          </w:tcPr>
          <w:p w14:paraId="194DC7DB"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57F8EB62"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3" w:type="dxa"/>
            <w:tcBorders>
              <w:top w:val="nil"/>
              <w:left w:val="nil"/>
              <w:bottom w:val="single" w:sz="4" w:space="0" w:color="auto"/>
              <w:right w:val="single" w:sz="4" w:space="0" w:color="auto"/>
            </w:tcBorders>
            <w:vAlign w:val="center"/>
            <w:hideMark/>
          </w:tcPr>
          <w:p w14:paraId="036AEBBE"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r>
      <w:tr w:rsidR="00A640D7" w:rsidRPr="001B128C" w14:paraId="6427514B" w14:textId="77777777" w:rsidTr="00C9042E">
        <w:trPr>
          <w:trHeight w:val="482"/>
          <w:jc w:val="center"/>
        </w:trPr>
        <w:tc>
          <w:tcPr>
            <w:tcW w:w="1271" w:type="dxa"/>
            <w:tcBorders>
              <w:top w:val="nil"/>
              <w:left w:val="single" w:sz="4" w:space="0" w:color="auto"/>
              <w:bottom w:val="single" w:sz="4" w:space="0" w:color="auto"/>
              <w:right w:val="single" w:sz="4" w:space="0" w:color="auto"/>
            </w:tcBorders>
            <w:shd w:val="clear" w:color="000000" w:fill="E8E8E8"/>
            <w:noWrap/>
            <w:vAlign w:val="center"/>
            <w:hideMark/>
          </w:tcPr>
          <w:p w14:paraId="07C9ADCA"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Pantothenic acid</w:t>
            </w:r>
          </w:p>
        </w:tc>
        <w:tc>
          <w:tcPr>
            <w:tcW w:w="1122" w:type="dxa"/>
            <w:tcBorders>
              <w:top w:val="nil"/>
              <w:left w:val="nil"/>
              <w:bottom w:val="single" w:sz="4" w:space="0" w:color="auto"/>
              <w:right w:val="single" w:sz="4" w:space="0" w:color="auto"/>
            </w:tcBorders>
            <w:shd w:val="clear" w:color="000000" w:fill="E8E8E8"/>
            <w:vAlign w:val="center"/>
            <w:hideMark/>
          </w:tcPr>
          <w:p w14:paraId="5F1CD6BA"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70668E2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2" w:type="dxa"/>
            <w:tcBorders>
              <w:top w:val="nil"/>
              <w:left w:val="nil"/>
              <w:bottom w:val="single" w:sz="4" w:space="0" w:color="auto"/>
              <w:right w:val="single" w:sz="4" w:space="0" w:color="auto"/>
            </w:tcBorders>
            <w:shd w:val="clear" w:color="000000" w:fill="E8E8E8"/>
            <w:vAlign w:val="center"/>
            <w:hideMark/>
          </w:tcPr>
          <w:p w14:paraId="2969A181"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5465923A"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57A79608"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3" w:type="dxa"/>
            <w:tcBorders>
              <w:top w:val="nil"/>
              <w:left w:val="nil"/>
              <w:bottom w:val="single" w:sz="4" w:space="0" w:color="auto"/>
              <w:right w:val="single" w:sz="4" w:space="0" w:color="auto"/>
            </w:tcBorders>
            <w:shd w:val="clear" w:color="000000" w:fill="E8E8E8"/>
            <w:vAlign w:val="center"/>
            <w:hideMark/>
          </w:tcPr>
          <w:p w14:paraId="53339E60" w14:textId="77777777" w:rsidR="001B128C" w:rsidRPr="00A640D7" w:rsidRDefault="001B128C" w:rsidP="00F15550">
            <w:pPr>
              <w:spacing w:before="0" w:after="0" w:line="240" w:lineRule="auto"/>
              <w:rPr>
                <w:rFonts w:ascii="Aptos Narrow" w:eastAsia="Times New Roman" w:hAnsi="Aptos Narrow"/>
                <w:i/>
                <w:iCs/>
                <w:color w:val="000000"/>
                <w:sz w:val="18"/>
              </w:rPr>
            </w:pPr>
            <w:r w:rsidRPr="00A640D7">
              <w:rPr>
                <w:rFonts w:ascii="Aptos Narrow" w:eastAsia="Times New Roman" w:hAnsi="Aptos Narrow"/>
                <w:i/>
                <w:iCs/>
                <w:color w:val="000000"/>
                <w:sz w:val="18"/>
              </w:rPr>
              <w:t>Not set</w:t>
            </w:r>
          </w:p>
        </w:tc>
        <w:tc>
          <w:tcPr>
            <w:tcW w:w="1122" w:type="dxa"/>
            <w:tcBorders>
              <w:top w:val="nil"/>
              <w:left w:val="nil"/>
              <w:bottom w:val="single" w:sz="4" w:space="0" w:color="auto"/>
              <w:right w:val="single" w:sz="4" w:space="0" w:color="auto"/>
            </w:tcBorders>
            <w:shd w:val="clear" w:color="000000" w:fill="E8E8E8"/>
            <w:vAlign w:val="center"/>
            <w:hideMark/>
          </w:tcPr>
          <w:p w14:paraId="7E4FB12C"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Diet-based</w:t>
            </w:r>
          </w:p>
        </w:tc>
        <w:tc>
          <w:tcPr>
            <w:tcW w:w="1122" w:type="dxa"/>
            <w:tcBorders>
              <w:top w:val="nil"/>
              <w:left w:val="nil"/>
              <w:bottom w:val="single" w:sz="4" w:space="0" w:color="auto"/>
              <w:right w:val="single" w:sz="4" w:space="0" w:color="auto"/>
            </w:tcBorders>
            <w:shd w:val="clear" w:color="000000" w:fill="E8E8E8"/>
            <w:vAlign w:val="center"/>
            <w:hideMark/>
          </w:tcPr>
          <w:p w14:paraId="524CDF31"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6A1B3E87"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Diet-based</w:t>
            </w:r>
          </w:p>
        </w:tc>
        <w:tc>
          <w:tcPr>
            <w:tcW w:w="1122" w:type="dxa"/>
            <w:tcBorders>
              <w:top w:val="nil"/>
              <w:left w:val="nil"/>
              <w:bottom w:val="single" w:sz="4" w:space="0" w:color="auto"/>
              <w:right w:val="single" w:sz="4" w:space="0" w:color="auto"/>
            </w:tcBorders>
            <w:shd w:val="clear" w:color="000000" w:fill="E8E8E8"/>
            <w:vAlign w:val="center"/>
            <w:hideMark/>
          </w:tcPr>
          <w:p w14:paraId="323AB82E"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11B88F36"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Diet-based</w:t>
            </w:r>
          </w:p>
        </w:tc>
        <w:tc>
          <w:tcPr>
            <w:tcW w:w="1123" w:type="dxa"/>
            <w:tcBorders>
              <w:top w:val="nil"/>
              <w:left w:val="nil"/>
              <w:bottom w:val="single" w:sz="4" w:space="0" w:color="auto"/>
              <w:right w:val="single" w:sz="4" w:space="0" w:color="auto"/>
            </w:tcBorders>
            <w:shd w:val="clear" w:color="000000" w:fill="E8E8E8"/>
            <w:vAlign w:val="center"/>
            <w:hideMark/>
          </w:tcPr>
          <w:p w14:paraId="705ABD91" w14:textId="77777777" w:rsidR="001B128C" w:rsidRPr="00A640D7" w:rsidRDefault="001B128C" w:rsidP="00F15550">
            <w:pPr>
              <w:spacing w:before="0" w:after="0" w:line="240" w:lineRule="auto"/>
              <w:rPr>
                <w:rFonts w:ascii="Aptos Narrow" w:eastAsia="Times New Roman" w:hAnsi="Aptos Narrow"/>
                <w:i/>
                <w:iCs/>
                <w:color w:val="000000"/>
                <w:sz w:val="18"/>
              </w:rPr>
            </w:pPr>
            <w:r w:rsidRPr="00A640D7">
              <w:rPr>
                <w:rFonts w:ascii="Aptos Narrow" w:eastAsia="Times New Roman" w:hAnsi="Aptos Narrow"/>
                <w:i/>
                <w:iCs/>
                <w:color w:val="000000"/>
                <w:sz w:val="18"/>
              </w:rPr>
              <w:t>Not set</w:t>
            </w:r>
          </w:p>
        </w:tc>
      </w:tr>
      <w:tr w:rsidR="00A640D7" w:rsidRPr="001B128C" w14:paraId="7E999B04" w14:textId="77777777" w:rsidTr="00C9042E">
        <w:trPr>
          <w:trHeight w:val="482"/>
          <w:jc w:val="center"/>
        </w:trPr>
        <w:tc>
          <w:tcPr>
            <w:tcW w:w="1271" w:type="dxa"/>
            <w:tcBorders>
              <w:top w:val="nil"/>
              <w:left w:val="single" w:sz="4" w:space="0" w:color="auto"/>
              <w:bottom w:val="single" w:sz="4" w:space="0" w:color="auto"/>
              <w:right w:val="single" w:sz="4" w:space="0" w:color="auto"/>
            </w:tcBorders>
            <w:noWrap/>
            <w:vAlign w:val="center"/>
            <w:hideMark/>
          </w:tcPr>
          <w:p w14:paraId="5366A08F"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Riboflavin</w:t>
            </w:r>
          </w:p>
        </w:tc>
        <w:tc>
          <w:tcPr>
            <w:tcW w:w="1122" w:type="dxa"/>
            <w:tcBorders>
              <w:top w:val="nil"/>
              <w:left w:val="nil"/>
              <w:bottom w:val="single" w:sz="4" w:space="0" w:color="auto"/>
              <w:right w:val="single" w:sz="4" w:space="0" w:color="auto"/>
            </w:tcBorders>
            <w:vAlign w:val="center"/>
            <w:hideMark/>
          </w:tcPr>
          <w:p w14:paraId="232A6086"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2" w:type="dxa"/>
            <w:tcBorders>
              <w:top w:val="nil"/>
              <w:left w:val="nil"/>
              <w:bottom w:val="single" w:sz="4" w:space="0" w:color="auto"/>
              <w:right w:val="single" w:sz="4" w:space="0" w:color="auto"/>
            </w:tcBorders>
            <w:vAlign w:val="center"/>
            <w:hideMark/>
          </w:tcPr>
          <w:p w14:paraId="2BC5AE9A"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2" w:type="dxa"/>
            <w:tcBorders>
              <w:top w:val="nil"/>
              <w:left w:val="nil"/>
              <w:bottom w:val="single" w:sz="4" w:space="0" w:color="auto"/>
              <w:right w:val="single" w:sz="4" w:space="0" w:color="auto"/>
            </w:tcBorders>
            <w:vAlign w:val="center"/>
            <w:hideMark/>
          </w:tcPr>
          <w:p w14:paraId="59C80D14"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6AAAAEE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3103B5D2"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3" w:type="dxa"/>
            <w:tcBorders>
              <w:top w:val="nil"/>
              <w:left w:val="nil"/>
              <w:bottom w:val="single" w:sz="4" w:space="0" w:color="auto"/>
              <w:right w:val="single" w:sz="4" w:space="0" w:color="auto"/>
            </w:tcBorders>
            <w:vAlign w:val="center"/>
            <w:hideMark/>
          </w:tcPr>
          <w:p w14:paraId="76630916"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vAlign w:val="center"/>
            <w:hideMark/>
          </w:tcPr>
          <w:p w14:paraId="50607BFD"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2081817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234F6813"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38587832"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3507E118"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3" w:type="dxa"/>
            <w:tcBorders>
              <w:top w:val="nil"/>
              <w:left w:val="nil"/>
              <w:bottom w:val="single" w:sz="4" w:space="0" w:color="auto"/>
              <w:right w:val="single" w:sz="4" w:space="0" w:color="auto"/>
            </w:tcBorders>
            <w:vAlign w:val="center"/>
            <w:hideMark/>
          </w:tcPr>
          <w:p w14:paraId="0A5321C6"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r>
      <w:tr w:rsidR="00A640D7" w:rsidRPr="001B128C" w14:paraId="7C844A88" w14:textId="77777777" w:rsidTr="00C9042E">
        <w:trPr>
          <w:trHeight w:val="482"/>
          <w:jc w:val="center"/>
        </w:trPr>
        <w:tc>
          <w:tcPr>
            <w:tcW w:w="1271" w:type="dxa"/>
            <w:tcBorders>
              <w:top w:val="nil"/>
              <w:left w:val="single" w:sz="4" w:space="0" w:color="auto"/>
              <w:bottom w:val="single" w:sz="4" w:space="0" w:color="auto"/>
              <w:right w:val="single" w:sz="4" w:space="0" w:color="auto"/>
            </w:tcBorders>
            <w:shd w:val="clear" w:color="000000" w:fill="E8E8E8"/>
            <w:noWrap/>
            <w:vAlign w:val="center"/>
            <w:hideMark/>
          </w:tcPr>
          <w:p w14:paraId="5F565B44"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Thiamine</w:t>
            </w:r>
          </w:p>
        </w:tc>
        <w:tc>
          <w:tcPr>
            <w:tcW w:w="1122" w:type="dxa"/>
            <w:tcBorders>
              <w:top w:val="nil"/>
              <w:left w:val="nil"/>
              <w:bottom w:val="single" w:sz="4" w:space="0" w:color="auto"/>
              <w:right w:val="single" w:sz="4" w:space="0" w:color="auto"/>
            </w:tcBorders>
            <w:shd w:val="clear" w:color="000000" w:fill="E8E8E8"/>
            <w:vAlign w:val="center"/>
            <w:hideMark/>
          </w:tcPr>
          <w:p w14:paraId="0EF83C16"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6425DF8C"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1BFDE99C"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shd w:val="clear" w:color="000000" w:fill="E8E8E8"/>
            <w:vAlign w:val="center"/>
            <w:hideMark/>
          </w:tcPr>
          <w:p w14:paraId="76F7C0CA"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19ABEB4A"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3" w:type="dxa"/>
            <w:tcBorders>
              <w:top w:val="nil"/>
              <w:left w:val="nil"/>
              <w:bottom w:val="single" w:sz="4" w:space="0" w:color="auto"/>
              <w:right w:val="single" w:sz="4" w:space="0" w:color="auto"/>
            </w:tcBorders>
            <w:shd w:val="clear" w:color="000000" w:fill="E8E8E8"/>
            <w:vAlign w:val="center"/>
            <w:hideMark/>
          </w:tcPr>
          <w:p w14:paraId="736E2A8E"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(Unit)</w:t>
            </w:r>
          </w:p>
        </w:tc>
        <w:tc>
          <w:tcPr>
            <w:tcW w:w="1122" w:type="dxa"/>
            <w:tcBorders>
              <w:top w:val="nil"/>
              <w:left w:val="nil"/>
              <w:bottom w:val="single" w:sz="4" w:space="0" w:color="auto"/>
              <w:right w:val="single" w:sz="4" w:space="0" w:color="auto"/>
            </w:tcBorders>
            <w:shd w:val="clear" w:color="000000" w:fill="E8E8E8"/>
            <w:vAlign w:val="center"/>
            <w:hideMark/>
          </w:tcPr>
          <w:p w14:paraId="64637E06"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57E69082"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4342AD62"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shd w:val="clear" w:color="000000" w:fill="E8E8E8"/>
            <w:vAlign w:val="center"/>
            <w:hideMark/>
          </w:tcPr>
          <w:p w14:paraId="7002607D"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263C9E16"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3" w:type="dxa"/>
            <w:tcBorders>
              <w:top w:val="nil"/>
              <w:left w:val="nil"/>
              <w:bottom w:val="single" w:sz="4" w:space="0" w:color="auto"/>
              <w:right w:val="single" w:sz="4" w:space="0" w:color="auto"/>
            </w:tcBorders>
            <w:shd w:val="clear" w:color="000000" w:fill="E8E8E8"/>
            <w:vAlign w:val="center"/>
            <w:hideMark/>
          </w:tcPr>
          <w:p w14:paraId="7E89837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r>
      <w:tr w:rsidR="00A640D7" w:rsidRPr="001B128C" w14:paraId="51F0BE24" w14:textId="77777777" w:rsidTr="00C9042E">
        <w:trPr>
          <w:trHeight w:val="482"/>
          <w:jc w:val="center"/>
        </w:trPr>
        <w:tc>
          <w:tcPr>
            <w:tcW w:w="1271" w:type="dxa"/>
            <w:tcBorders>
              <w:top w:val="nil"/>
              <w:left w:val="single" w:sz="4" w:space="0" w:color="auto"/>
              <w:bottom w:val="single" w:sz="4" w:space="0" w:color="auto"/>
              <w:right w:val="single" w:sz="4" w:space="0" w:color="auto"/>
            </w:tcBorders>
            <w:noWrap/>
            <w:vAlign w:val="center"/>
            <w:hideMark/>
          </w:tcPr>
          <w:p w14:paraId="7A2C4481"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Vitamin A</w:t>
            </w:r>
          </w:p>
        </w:tc>
        <w:tc>
          <w:tcPr>
            <w:tcW w:w="1122" w:type="dxa"/>
            <w:tcBorders>
              <w:top w:val="nil"/>
              <w:left w:val="nil"/>
              <w:bottom w:val="single" w:sz="4" w:space="0" w:color="auto"/>
              <w:right w:val="single" w:sz="4" w:space="0" w:color="auto"/>
            </w:tcBorders>
            <w:vAlign w:val="center"/>
            <w:hideMark/>
          </w:tcPr>
          <w:p w14:paraId="0F4D07D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Diet-based</w:t>
            </w:r>
          </w:p>
        </w:tc>
        <w:tc>
          <w:tcPr>
            <w:tcW w:w="1122" w:type="dxa"/>
            <w:tcBorders>
              <w:top w:val="nil"/>
              <w:left w:val="nil"/>
              <w:bottom w:val="single" w:sz="4" w:space="0" w:color="auto"/>
              <w:right w:val="single" w:sz="4" w:space="0" w:color="auto"/>
            </w:tcBorders>
            <w:vAlign w:val="center"/>
            <w:hideMark/>
          </w:tcPr>
          <w:p w14:paraId="1933A4F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Diet-based</w:t>
            </w:r>
          </w:p>
        </w:tc>
        <w:tc>
          <w:tcPr>
            <w:tcW w:w="1122" w:type="dxa"/>
            <w:tcBorders>
              <w:top w:val="nil"/>
              <w:left w:val="nil"/>
              <w:bottom w:val="single" w:sz="4" w:space="0" w:color="auto"/>
              <w:right w:val="single" w:sz="4" w:space="0" w:color="auto"/>
            </w:tcBorders>
            <w:vAlign w:val="center"/>
            <w:hideMark/>
          </w:tcPr>
          <w:p w14:paraId="6D4D79D7"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Factorial</w:t>
            </w:r>
          </w:p>
        </w:tc>
        <w:tc>
          <w:tcPr>
            <w:tcW w:w="1122" w:type="dxa"/>
            <w:tcBorders>
              <w:top w:val="nil"/>
              <w:left w:val="nil"/>
              <w:bottom w:val="single" w:sz="4" w:space="0" w:color="auto"/>
              <w:right w:val="single" w:sz="4" w:space="0" w:color="auto"/>
            </w:tcBorders>
            <w:vAlign w:val="center"/>
            <w:hideMark/>
          </w:tcPr>
          <w:p w14:paraId="50481794"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Interpolate</w:t>
            </w:r>
          </w:p>
        </w:tc>
        <w:tc>
          <w:tcPr>
            <w:tcW w:w="1122" w:type="dxa"/>
            <w:tcBorders>
              <w:top w:val="nil"/>
              <w:left w:val="nil"/>
              <w:bottom w:val="single" w:sz="4" w:space="0" w:color="auto"/>
              <w:right w:val="single" w:sz="4" w:space="0" w:color="auto"/>
            </w:tcBorders>
            <w:vAlign w:val="center"/>
            <w:hideMark/>
          </w:tcPr>
          <w:p w14:paraId="78BD66F3"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3" w:type="dxa"/>
            <w:tcBorders>
              <w:top w:val="nil"/>
              <w:left w:val="nil"/>
              <w:bottom w:val="single" w:sz="4" w:space="0" w:color="auto"/>
              <w:right w:val="single" w:sz="4" w:space="0" w:color="auto"/>
            </w:tcBorders>
            <w:vAlign w:val="center"/>
            <w:hideMark/>
          </w:tcPr>
          <w:p w14:paraId="15235E7C"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08EC653C"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6FF46C63"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0EEEF7A5"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Factorial</w:t>
            </w:r>
          </w:p>
        </w:tc>
        <w:tc>
          <w:tcPr>
            <w:tcW w:w="1122" w:type="dxa"/>
            <w:tcBorders>
              <w:top w:val="nil"/>
              <w:left w:val="nil"/>
              <w:bottom w:val="single" w:sz="4" w:space="0" w:color="auto"/>
              <w:right w:val="single" w:sz="4" w:space="0" w:color="auto"/>
            </w:tcBorders>
            <w:vAlign w:val="center"/>
            <w:hideMark/>
          </w:tcPr>
          <w:p w14:paraId="009F3B27"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Interpolate</w:t>
            </w:r>
          </w:p>
        </w:tc>
        <w:tc>
          <w:tcPr>
            <w:tcW w:w="1122" w:type="dxa"/>
            <w:tcBorders>
              <w:top w:val="nil"/>
              <w:left w:val="nil"/>
              <w:bottom w:val="single" w:sz="4" w:space="0" w:color="auto"/>
              <w:right w:val="single" w:sz="4" w:space="0" w:color="auto"/>
            </w:tcBorders>
            <w:vAlign w:val="center"/>
            <w:hideMark/>
          </w:tcPr>
          <w:p w14:paraId="77AD0235"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Factorial</w:t>
            </w:r>
          </w:p>
        </w:tc>
        <w:tc>
          <w:tcPr>
            <w:tcW w:w="1123" w:type="dxa"/>
            <w:tcBorders>
              <w:top w:val="nil"/>
              <w:left w:val="nil"/>
              <w:bottom w:val="single" w:sz="4" w:space="0" w:color="auto"/>
              <w:right w:val="single" w:sz="4" w:space="0" w:color="auto"/>
            </w:tcBorders>
            <w:vAlign w:val="center"/>
            <w:hideMark/>
          </w:tcPr>
          <w:p w14:paraId="433AB08D"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r>
      <w:tr w:rsidR="00A640D7" w:rsidRPr="001B128C" w14:paraId="3D94D532" w14:textId="77777777" w:rsidTr="00C9042E">
        <w:trPr>
          <w:trHeight w:val="482"/>
          <w:jc w:val="center"/>
        </w:trPr>
        <w:tc>
          <w:tcPr>
            <w:tcW w:w="1271" w:type="dxa"/>
            <w:tcBorders>
              <w:top w:val="nil"/>
              <w:left w:val="single" w:sz="4" w:space="0" w:color="auto"/>
              <w:bottom w:val="single" w:sz="4" w:space="0" w:color="auto"/>
              <w:right w:val="single" w:sz="4" w:space="0" w:color="auto"/>
            </w:tcBorders>
            <w:shd w:val="clear" w:color="000000" w:fill="E8E8E8"/>
            <w:noWrap/>
            <w:vAlign w:val="center"/>
            <w:hideMark/>
          </w:tcPr>
          <w:p w14:paraId="71373941"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Vitamin B6</w:t>
            </w:r>
          </w:p>
        </w:tc>
        <w:tc>
          <w:tcPr>
            <w:tcW w:w="1122" w:type="dxa"/>
            <w:tcBorders>
              <w:top w:val="nil"/>
              <w:left w:val="nil"/>
              <w:bottom w:val="single" w:sz="4" w:space="0" w:color="auto"/>
              <w:right w:val="single" w:sz="4" w:space="0" w:color="auto"/>
            </w:tcBorders>
            <w:shd w:val="clear" w:color="000000" w:fill="E8E8E8"/>
            <w:vAlign w:val="center"/>
            <w:hideMark/>
          </w:tcPr>
          <w:p w14:paraId="6E9C67B9"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014420D1"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2" w:type="dxa"/>
            <w:tcBorders>
              <w:top w:val="nil"/>
              <w:left w:val="nil"/>
              <w:bottom w:val="single" w:sz="4" w:space="0" w:color="auto"/>
              <w:right w:val="single" w:sz="4" w:space="0" w:color="auto"/>
            </w:tcBorders>
            <w:shd w:val="clear" w:color="000000" w:fill="E8E8E8"/>
            <w:vAlign w:val="center"/>
            <w:hideMark/>
          </w:tcPr>
          <w:p w14:paraId="2DABA81A" w14:textId="3CE3924F"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r w:rsidR="00EF68C4">
              <w:rPr>
                <w:rFonts w:ascii="Aptos Narrow" w:eastAsia="Times New Roman" w:hAnsi="Aptos Narrow"/>
                <w:color w:val="000000"/>
                <w:sz w:val="18"/>
              </w:rPr>
              <w:t>, Down)</w:t>
            </w:r>
          </w:p>
        </w:tc>
        <w:tc>
          <w:tcPr>
            <w:tcW w:w="1122" w:type="dxa"/>
            <w:tcBorders>
              <w:top w:val="nil"/>
              <w:left w:val="nil"/>
              <w:bottom w:val="single" w:sz="4" w:space="0" w:color="auto"/>
              <w:right w:val="single" w:sz="4" w:space="0" w:color="auto"/>
            </w:tcBorders>
            <w:shd w:val="clear" w:color="000000" w:fill="E8E8E8"/>
            <w:vAlign w:val="center"/>
            <w:hideMark/>
          </w:tcPr>
          <w:p w14:paraId="2D5CAD7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5776654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3" w:type="dxa"/>
            <w:tcBorders>
              <w:top w:val="nil"/>
              <w:left w:val="nil"/>
              <w:bottom w:val="single" w:sz="4" w:space="0" w:color="auto"/>
              <w:right w:val="single" w:sz="4" w:space="0" w:color="auto"/>
            </w:tcBorders>
            <w:shd w:val="clear" w:color="000000" w:fill="E8E8E8"/>
            <w:vAlign w:val="center"/>
            <w:hideMark/>
          </w:tcPr>
          <w:p w14:paraId="7419720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shd w:val="clear" w:color="000000" w:fill="E8E8E8"/>
            <w:vAlign w:val="center"/>
            <w:hideMark/>
          </w:tcPr>
          <w:p w14:paraId="0F399041"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2E5FC92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2BB5D31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796ECF1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2B0CCEF3"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3" w:type="dxa"/>
            <w:tcBorders>
              <w:top w:val="nil"/>
              <w:left w:val="nil"/>
              <w:bottom w:val="single" w:sz="4" w:space="0" w:color="auto"/>
              <w:right w:val="single" w:sz="4" w:space="0" w:color="auto"/>
            </w:tcBorders>
            <w:shd w:val="clear" w:color="000000" w:fill="E8E8E8"/>
            <w:vAlign w:val="center"/>
            <w:hideMark/>
          </w:tcPr>
          <w:p w14:paraId="256C0F54"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r>
      <w:tr w:rsidR="00A640D7" w:rsidRPr="001B128C" w14:paraId="106EBDC0" w14:textId="77777777" w:rsidTr="00C9042E">
        <w:trPr>
          <w:trHeight w:val="482"/>
          <w:jc w:val="center"/>
        </w:trPr>
        <w:tc>
          <w:tcPr>
            <w:tcW w:w="1271" w:type="dxa"/>
            <w:tcBorders>
              <w:top w:val="nil"/>
              <w:left w:val="single" w:sz="4" w:space="0" w:color="auto"/>
              <w:bottom w:val="single" w:sz="4" w:space="0" w:color="auto"/>
              <w:right w:val="single" w:sz="4" w:space="0" w:color="auto"/>
            </w:tcBorders>
            <w:noWrap/>
            <w:vAlign w:val="center"/>
            <w:hideMark/>
          </w:tcPr>
          <w:p w14:paraId="11C3A42D"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Vitamin B12</w:t>
            </w:r>
          </w:p>
        </w:tc>
        <w:tc>
          <w:tcPr>
            <w:tcW w:w="1122" w:type="dxa"/>
            <w:tcBorders>
              <w:top w:val="nil"/>
              <w:left w:val="nil"/>
              <w:bottom w:val="single" w:sz="4" w:space="0" w:color="auto"/>
              <w:right w:val="single" w:sz="4" w:space="0" w:color="auto"/>
            </w:tcBorders>
            <w:vAlign w:val="center"/>
            <w:hideMark/>
          </w:tcPr>
          <w:p w14:paraId="197E10FE"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145E8E0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0A7C8841"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6683DEEE"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Interpolate</w:t>
            </w:r>
          </w:p>
        </w:tc>
        <w:tc>
          <w:tcPr>
            <w:tcW w:w="1122" w:type="dxa"/>
            <w:tcBorders>
              <w:top w:val="nil"/>
              <w:left w:val="nil"/>
              <w:bottom w:val="single" w:sz="4" w:space="0" w:color="auto"/>
              <w:right w:val="single" w:sz="4" w:space="0" w:color="auto"/>
            </w:tcBorders>
            <w:vAlign w:val="center"/>
            <w:hideMark/>
          </w:tcPr>
          <w:p w14:paraId="6C0C4EF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3" w:type="dxa"/>
            <w:tcBorders>
              <w:top w:val="nil"/>
              <w:left w:val="nil"/>
              <w:bottom w:val="single" w:sz="4" w:space="0" w:color="auto"/>
              <w:right w:val="single" w:sz="4" w:space="0" w:color="auto"/>
            </w:tcBorders>
            <w:vAlign w:val="center"/>
            <w:hideMark/>
          </w:tcPr>
          <w:p w14:paraId="2F3D3E68"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(Unit)</w:t>
            </w:r>
          </w:p>
        </w:tc>
        <w:tc>
          <w:tcPr>
            <w:tcW w:w="1122" w:type="dxa"/>
            <w:tcBorders>
              <w:top w:val="nil"/>
              <w:left w:val="nil"/>
              <w:bottom w:val="single" w:sz="4" w:space="0" w:color="auto"/>
              <w:right w:val="single" w:sz="4" w:space="0" w:color="auto"/>
            </w:tcBorders>
            <w:vAlign w:val="center"/>
            <w:hideMark/>
          </w:tcPr>
          <w:p w14:paraId="5B8FE0F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39B54A21"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7AE99FE3"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6FA7C7BD"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vAlign w:val="center"/>
            <w:hideMark/>
          </w:tcPr>
          <w:p w14:paraId="12A69CAB"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3" w:type="dxa"/>
            <w:tcBorders>
              <w:top w:val="nil"/>
              <w:left w:val="nil"/>
              <w:bottom w:val="single" w:sz="4" w:space="0" w:color="auto"/>
              <w:right w:val="single" w:sz="4" w:space="0" w:color="auto"/>
            </w:tcBorders>
            <w:vAlign w:val="center"/>
            <w:hideMark/>
          </w:tcPr>
          <w:p w14:paraId="1CD4FB1B"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(Unit)</w:t>
            </w:r>
          </w:p>
        </w:tc>
      </w:tr>
      <w:tr w:rsidR="00A640D7" w:rsidRPr="001B128C" w14:paraId="1B7EE5C1" w14:textId="77777777" w:rsidTr="00C9042E">
        <w:trPr>
          <w:trHeight w:val="482"/>
          <w:jc w:val="center"/>
        </w:trPr>
        <w:tc>
          <w:tcPr>
            <w:tcW w:w="1271" w:type="dxa"/>
            <w:tcBorders>
              <w:top w:val="nil"/>
              <w:left w:val="single" w:sz="4" w:space="0" w:color="auto"/>
              <w:bottom w:val="single" w:sz="4" w:space="0" w:color="auto"/>
              <w:right w:val="single" w:sz="4" w:space="0" w:color="auto"/>
            </w:tcBorders>
            <w:shd w:val="clear" w:color="000000" w:fill="E8E8E8"/>
            <w:noWrap/>
            <w:vAlign w:val="center"/>
            <w:hideMark/>
          </w:tcPr>
          <w:p w14:paraId="116B5F91"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Vitamin C</w:t>
            </w:r>
          </w:p>
        </w:tc>
        <w:tc>
          <w:tcPr>
            <w:tcW w:w="1122" w:type="dxa"/>
            <w:tcBorders>
              <w:top w:val="nil"/>
              <w:left w:val="nil"/>
              <w:bottom w:val="single" w:sz="4" w:space="0" w:color="auto"/>
              <w:right w:val="single" w:sz="4" w:space="0" w:color="auto"/>
            </w:tcBorders>
            <w:shd w:val="clear" w:color="000000" w:fill="E8E8E8"/>
            <w:vAlign w:val="center"/>
            <w:hideMark/>
          </w:tcPr>
          <w:p w14:paraId="5F3DF56C"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66FD0F77"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Diet-based</w:t>
            </w:r>
          </w:p>
        </w:tc>
        <w:tc>
          <w:tcPr>
            <w:tcW w:w="1122" w:type="dxa"/>
            <w:tcBorders>
              <w:top w:val="nil"/>
              <w:left w:val="nil"/>
              <w:bottom w:val="single" w:sz="4" w:space="0" w:color="auto"/>
              <w:right w:val="single" w:sz="4" w:space="0" w:color="auto"/>
            </w:tcBorders>
            <w:shd w:val="clear" w:color="000000" w:fill="E8E8E8"/>
            <w:vAlign w:val="center"/>
            <w:hideMark/>
          </w:tcPr>
          <w:p w14:paraId="15474344"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Biomarker</w:t>
            </w:r>
          </w:p>
        </w:tc>
        <w:tc>
          <w:tcPr>
            <w:tcW w:w="1122" w:type="dxa"/>
            <w:tcBorders>
              <w:top w:val="nil"/>
              <w:left w:val="nil"/>
              <w:bottom w:val="single" w:sz="4" w:space="0" w:color="auto"/>
              <w:right w:val="single" w:sz="4" w:space="0" w:color="auto"/>
            </w:tcBorders>
            <w:shd w:val="clear" w:color="000000" w:fill="E8E8E8"/>
            <w:vAlign w:val="center"/>
            <w:hideMark/>
          </w:tcPr>
          <w:p w14:paraId="69EC44EB"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Interpolate</w:t>
            </w:r>
          </w:p>
        </w:tc>
        <w:tc>
          <w:tcPr>
            <w:tcW w:w="1122" w:type="dxa"/>
            <w:tcBorders>
              <w:top w:val="nil"/>
              <w:left w:val="nil"/>
              <w:bottom w:val="single" w:sz="4" w:space="0" w:color="auto"/>
              <w:right w:val="single" w:sz="4" w:space="0" w:color="auto"/>
            </w:tcBorders>
            <w:shd w:val="clear" w:color="000000" w:fill="E8E8E8"/>
            <w:vAlign w:val="center"/>
            <w:hideMark/>
          </w:tcPr>
          <w:p w14:paraId="281CD492"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 Down)</w:t>
            </w:r>
          </w:p>
        </w:tc>
        <w:tc>
          <w:tcPr>
            <w:tcW w:w="1123" w:type="dxa"/>
            <w:tcBorders>
              <w:top w:val="nil"/>
              <w:left w:val="nil"/>
              <w:bottom w:val="single" w:sz="4" w:space="0" w:color="auto"/>
              <w:right w:val="single" w:sz="4" w:space="0" w:color="auto"/>
            </w:tcBorders>
            <w:shd w:val="clear" w:color="000000" w:fill="E8E8E8"/>
            <w:vAlign w:val="center"/>
            <w:hideMark/>
          </w:tcPr>
          <w:p w14:paraId="7513BFC6"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Isometric (Down)</w:t>
            </w:r>
          </w:p>
        </w:tc>
        <w:tc>
          <w:tcPr>
            <w:tcW w:w="1122" w:type="dxa"/>
            <w:tcBorders>
              <w:top w:val="nil"/>
              <w:left w:val="nil"/>
              <w:bottom w:val="single" w:sz="4" w:space="0" w:color="auto"/>
              <w:right w:val="single" w:sz="4" w:space="0" w:color="auto"/>
            </w:tcBorders>
            <w:shd w:val="clear" w:color="000000" w:fill="E8E8E8"/>
            <w:vAlign w:val="center"/>
            <w:hideMark/>
          </w:tcPr>
          <w:p w14:paraId="11B10DDD"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Interpolate</w:t>
            </w:r>
          </w:p>
        </w:tc>
        <w:tc>
          <w:tcPr>
            <w:tcW w:w="1122" w:type="dxa"/>
            <w:tcBorders>
              <w:top w:val="nil"/>
              <w:left w:val="nil"/>
              <w:bottom w:val="single" w:sz="4" w:space="0" w:color="auto"/>
              <w:right w:val="single" w:sz="4" w:space="0" w:color="auto"/>
            </w:tcBorders>
            <w:shd w:val="clear" w:color="000000" w:fill="E8E8E8"/>
            <w:vAlign w:val="center"/>
            <w:hideMark/>
          </w:tcPr>
          <w:p w14:paraId="506D7F5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13BC402C"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shd w:val="clear" w:color="000000" w:fill="E8E8E8"/>
            <w:vAlign w:val="center"/>
            <w:hideMark/>
          </w:tcPr>
          <w:p w14:paraId="37F69799"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Interpolate</w:t>
            </w:r>
          </w:p>
        </w:tc>
        <w:tc>
          <w:tcPr>
            <w:tcW w:w="1122" w:type="dxa"/>
            <w:tcBorders>
              <w:top w:val="nil"/>
              <w:left w:val="nil"/>
              <w:bottom w:val="single" w:sz="4" w:space="0" w:color="auto"/>
              <w:right w:val="single" w:sz="4" w:space="0" w:color="auto"/>
            </w:tcBorders>
            <w:shd w:val="clear" w:color="000000" w:fill="E8E8E8"/>
            <w:vAlign w:val="center"/>
            <w:hideMark/>
          </w:tcPr>
          <w:p w14:paraId="0A22AA98"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3" w:type="dxa"/>
            <w:tcBorders>
              <w:top w:val="nil"/>
              <w:left w:val="nil"/>
              <w:bottom w:val="single" w:sz="4" w:space="0" w:color="auto"/>
              <w:right w:val="single" w:sz="4" w:space="0" w:color="auto"/>
            </w:tcBorders>
            <w:shd w:val="clear" w:color="000000" w:fill="E8E8E8"/>
            <w:vAlign w:val="center"/>
            <w:hideMark/>
          </w:tcPr>
          <w:p w14:paraId="6EF72CCF"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Isometric (Down)</w:t>
            </w:r>
          </w:p>
        </w:tc>
      </w:tr>
      <w:tr w:rsidR="00B57677" w:rsidRPr="001B128C" w14:paraId="248E4D59" w14:textId="77777777" w:rsidTr="00C9042E">
        <w:trPr>
          <w:trHeight w:val="397"/>
          <w:jc w:val="center"/>
        </w:trPr>
        <w:tc>
          <w:tcPr>
            <w:tcW w:w="1271" w:type="dxa"/>
            <w:tcBorders>
              <w:top w:val="nil"/>
              <w:left w:val="single" w:sz="4" w:space="0" w:color="auto"/>
              <w:bottom w:val="single" w:sz="4" w:space="0" w:color="auto"/>
              <w:right w:val="single" w:sz="4" w:space="0" w:color="auto"/>
            </w:tcBorders>
            <w:shd w:val="clear" w:color="000000" w:fill="E8E8E8"/>
            <w:noWrap/>
            <w:vAlign w:val="center"/>
          </w:tcPr>
          <w:p w14:paraId="5C6BE593" w14:textId="6961A3CD" w:rsidR="00B57677" w:rsidRPr="00A640D7" w:rsidRDefault="00B57677"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Vitamin D</w:t>
            </w:r>
          </w:p>
        </w:tc>
        <w:tc>
          <w:tcPr>
            <w:tcW w:w="6733" w:type="dxa"/>
            <w:gridSpan w:val="6"/>
            <w:tcBorders>
              <w:top w:val="nil"/>
              <w:left w:val="nil"/>
              <w:bottom w:val="single" w:sz="4" w:space="0" w:color="auto"/>
              <w:right w:val="single" w:sz="4" w:space="0" w:color="auto"/>
            </w:tcBorders>
            <w:shd w:val="clear" w:color="000000" w:fill="E8E8E8"/>
            <w:vAlign w:val="center"/>
          </w:tcPr>
          <w:p w14:paraId="59B7316F" w14:textId="12B997DD" w:rsidR="00B57677" w:rsidRPr="00A640D7" w:rsidRDefault="00B57677" w:rsidP="00F15550">
            <w:pPr>
              <w:spacing w:before="0" w:after="0" w:line="240" w:lineRule="auto"/>
              <w:jc w:val="center"/>
              <w:rPr>
                <w:rFonts w:ascii="Aptos Narrow" w:eastAsia="Times New Roman" w:hAnsi="Aptos Narrow"/>
                <w:color w:val="000000"/>
                <w:sz w:val="18"/>
              </w:rPr>
            </w:pPr>
            <w:r w:rsidRPr="00A640D7">
              <w:rPr>
                <w:rFonts w:ascii="Aptos Narrow" w:eastAsia="Times New Roman" w:hAnsi="Aptos Narrow"/>
                <w:color w:val="000000"/>
                <w:sz w:val="18"/>
              </w:rPr>
              <w:t>Biomarker</w:t>
            </w:r>
          </w:p>
        </w:tc>
        <w:tc>
          <w:tcPr>
            <w:tcW w:w="6733" w:type="dxa"/>
            <w:gridSpan w:val="6"/>
            <w:tcBorders>
              <w:top w:val="nil"/>
              <w:left w:val="nil"/>
              <w:bottom w:val="single" w:sz="4" w:space="0" w:color="auto"/>
              <w:right w:val="single" w:sz="4" w:space="0" w:color="auto"/>
            </w:tcBorders>
            <w:shd w:val="clear" w:color="000000" w:fill="E8E8E8"/>
            <w:vAlign w:val="center"/>
          </w:tcPr>
          <w:p w14:paraId="3D1688E3" w14:textId="7711AC75" w:rsidR="00B57677" w:rsidRPr="00A640D7" w:rsidRDefault="00B57677" w:rsidP="00F15550">
            <w:pPr>
              <w:spacing w:before="0" w:after="0" w:line="240" w:lineRule="auto"/>
              <w:jc w:val="center"/>
              <w:rPr>
                <w:rFonts w:ascii="Aptos Narrow" w:eastAsia="Times New Roman" w:hAnsi="Aptos Narrow"/>
                <w:color w:val="000000"/>
                <w:sz w:val="18"/>
              </w:rPr>
            </w:pPr>
            <w:r w:rsidRPr="00A640D7">
              <w:rPr>
                <w:rFonts w:ascii="Aptos Narrow" w:eastAsia="Times New Roman" w:hAnsi="Aptos Narrow"/>
                <w:color w:val="000000"/>
                <w:sz w:val="18"/>
              </w:rPr>
              <w:t>Biomarker</w:t>
            </w:r>
          </w:p>
        </w:tc>
      </w:tr>
      <w:tr w:rsidR="00A640D7" w:rsidRPr="001B128C" w14:paraId="1907C7C4" w14:textId="77777777" w:rsidTr="00C9042E">
        <w:trPr>
          <w:trHeight w:val="482"/>
          <w:jc w:val="center"/>
        </w:trPr>
        <w:tc>
          <w:tcPr>
            <w:tcW w:w="1271" w:type="dxa"/>
            <w:tcBorders>
              <w:top w:val="nil"/>
              <w:left w:val="single" w:sz="4" w:space="0" w:color="auto"/>
              <w:bottom w:val="single" w:sz="4" w:space="0" w:color="auto"/>
              <w:right w:val="single" w:sz="4" w:space="0" w:color="auto"/>
            </w:tcBorders>
            <w:shd w:val="clear" w:color="000000" w:fill="E8E8E8"/>
            <w:noWrap/>
            <w:vAlign w:val="center"/>
            <w:hideMark/>
          </w:tcPr>
          <w:p w14:paraId="511D0247" w14:textId="77777777" w:rsidR="001B128C" w:rsidRPr="00A640D7" w:rsidRDefault="001B128C" w:rsidP="00F15550">
            <w:pPr>
              <w:spacing w:before="0" w:after="0" w:line="240" w:lineRule="auto"/>
              <w:rPr>
                <w:rFonts w:ascii="Aptos Narrow" w:eastAsia="Times New Roman" w:hAnsi="Aptos Narrow"/>
                <w:b/>
                <w:bCs/>
                <w:color w:val="000000"/>
                <w:szCs w:val="20"/>
              </w:rPr>
            </w:pPr>
            <w:r w:rsidRPr="00A640D7">
              <w:rPr>
                <w:rFonts w:ascii="Aptos Narrow" w:eastAsia="Times New Roman" w:hAnsi="Aptos Narrow"/>
                <w:b/>
                <w:bCs/>
                <w:color w:val="000000"/>
                <w:szCs w:val="20"/>
              </w:rPr>
              <w:t>Vitamin E</w:t>
            </w:r>
          </w:p>
        </w:tc>
        <w:tc>
          <w:tcPr>
            <w:tcW w:w="1122" w:type="dxa"/>
            <w:tcBorders>
              <w:top w:val="nil"/>
              <w:left w:val="nil"/>
              <w:bottom w:val="single" w:sz="4" w:space="0" w:color="auto"/>
              <w:right w:val="single" w:sz="4" w:space="0" w:color="auto"/>
            </w:tcBorders>
            <w:shd w:val="clear" w:color="000000" w:fill="E8E8E8"/>
            <w:vAlign w:val="center"/>
            <w:hideMark/>
          </w:tcPr>
          <w:p w14:paraId="60ED3276"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06B5BC73"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050B4A9E"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shd w:val="clear" w:color="000000" w:fill="E8E8E8"/>
            <w:vAlign w:val="center"/>
            <w:hideMark/>
          </w:tcPr>
          <w:p w14:paraId="1D3A43C7"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Interpolate</w:t>
            </w:r>
          </w:p>
        </w:tc>
        <w:tc>
          <w:tcPr>
            <w:tcW w:w="1122" w:type="dxa"/>
            <w:tcBorders>
              <w:top w:val="nil"/>
              <w:left w:val="nil"/>
              <w:bottom w:val="single" w:sz="4" w:space="0" w:color="auto"/>
              <w:right w:val="single" w:sz="4" w:space="0" w:color="auto"/>
            </w:tcBorders>
            <w:shd w:val="clear" w:color="000000" w:fill="E8E8E8"/>
            <w:vAlign w:val="center"/>
            <w:hideMark/>
          </w:tcPr>
          <w:p w14:paraId="5F46DB7E"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3" w:type="dxa"/>
            <w:tcBorders>
              <w:top w:val="nil"/>
              <w:left w:val="nil"/>
              <w:bottom w:val="single" w:sz="4" w:space="0" w:color="auto"/>
              <w:right w:val="single" w:sz="4" w:space="0" w:color="auto"/>
            </w:tcBorders>
            <w:shd w:val="clear" w:color="000000" w:fill="E8E8E8"/>
            <w:vAlign w:val="center"/>
            <w:hideMark/>
          </w:tcPr>
          <w:p w14:paraId="3C5F657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Linear (Unit)</w:t>
            </w:r>
          </w:p>
        </w:tc>
        <w:tc>
          <w:tcPr>
            <w:tcW w:w="1122" w:type="dxa"/>
            <w:tcBorders>
              <w:top w:val="nil"/>
              <w:left w:val="nil"/>
              <w:bottom w:val="single" w:sz="4" w:space="0" w:color="auto"/>
              <w:right w:val="single" w:sz="4" w:space="0" w:color="auto"/>
            </w:tcBorders>
            <w:shd w:val="clear" w:color="000000" w:fill="E8E8E8"/>
            <w:vAlign w:val="center"/>
            <w:hideMark/>
          </w:tcPr>
          <w:p w14:paraId="32C34C69"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Diet-based</w:t>
            </w:r>
          </w:p>
        </w:tc>
        <w:tc>
          <w:tcPr>
            <w:tcW w:w="1122" w:type="dxa"/>
            <w:tcBorders>
              <w:top w:val="nil"/>
              <w:left w:val="nil"/>
              <w:bottom w:val="single" w:sz="4" w:space="0" w:color="auto"/>
              <w:right w:val="single" w:sz="4" w:space="0" w:color="auto"/>
            </w:tcBorders>
            <w:shd w:val="clear" w:color="000000" w:fill="E8E8E8"/>
            <w:vAlign w:val="center"/>
            <w:hideMark/>
          </w:tcPr>
          <w:p w14:paraId="09572001"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Allometric (Down)</w:t>
            </w:r>
          </w:p>
        </w:tc>
        <w:tc>
          <w:tcPr>
            <w:tcW w:w="1122" w:type="dxa"/>
            <w:tcBorders>
              <w:top w:val="nil"/>
              <w:left w:val="nil"/>
              <w:bottom w:val="single" w:sz="4" w:space="0" w:color="auto"/>
              <w:right w:val="single" w:sz="4" w:space="0" w:color="auto"/>
            </w:tcBorders>
            <w:shd w:val="clear" w:color="000000" w:fill="E8E8E8"/>
            <w:vAlign w:val="center"/>
            <w:hideMark/>
          </w:tcPr>
          <w:p w14:paraId="6E738141"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Diet-based</w:t>
            </w:r>
          </w:p>
        </w:tc>
        <w:tc>
          <w:tcPr>
            <w:tcW w:w="1122" w:type="dxa"/>
            <w:tcBorders>
              <w:top w:val="nil"/>
              <w:left w:val="nil"/>
              <w:bottom w:val="single" w:sz="4" w:space="0" w:color="auto"/>
              <w:right w:val="single" w:sz="4" w:space="0" w:color="auto"/>
            </w:tcBorders>
            <w:shd w:val="clear" w:color="000000" w:fill="E8E8E8"/>
            <w:vAlign w:val="center"/>
            <w:hideMark/>
          </w:tcPr>
          <w:p w14:paraId="603291F9"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Interpolate</w:t>
            </w:r>
          </w:p>
        </w:tc>
        <w:tc>
          <w:tcPr>
            <w:tcW w:w="1122" w:type="dxa"/>
            <w:tcBorders>
              <w:top w:val="nil"/>
              <w:left w:val="nil"/>
              <w:bottom w:val="single" w:sz="4" w:space="0" w:color="auto"/>
              <w:right w:val="single" w:sz="4" w:space="0" w:color="auto"/>
            </w:tcBorders>
            <w:shd w:val="clear" w:color="000000" w:fill="E8E8E8"/>
            <w:vAlign w:val="center"/>
            <w:hideMark/>
          </w:tcPr>
          <w:p w14:paraId="0F16E4F0" w14:textId="77777777" w:rsidR="001B128C" w:rsidRPr="00A640D7" w:rsidRDefault="001B128C" w:rsidP="00F15550">
            <w:pPr>
              <w:spacing w:before="0" w:after="0" w:line="240" w:lineRule="auto"/>
              <w:rPr>
                <w:rFonts w:ascii="Aptos Narrow" w:eastAsia="Times New Roman" w:hAnsi="Aptos Narrow"/>
                <w:color w:val="000000"/>
                <w:sz w:val="18"/>
              </w:rPr>
            </w:pPr>
            <w:r w:rsidRPr="00A640D7">
              <w:rPr>
                <w:rFonts w:ascii="Aptos Narrow" w:eastAsia="Times New Roman" w:hAnsi="Aptos Narrow"/>
                <w:color w:val="000000"/>
                <w:sz w:val="18"/>
              </w:rPr>
              <w:t>Diet-based</w:t>
            </w:r>
          </w:p>
        </w:tc>
        <w:tc>
          <w:tcPr>
            <w:tcW w:w="1123" w:type="dxa"/>
            <w:tcBorders>
              <w:top w:val="nil"/>
              <w:left w:val="nil"/>
              <w:bottom w:val="single" w:sz="4" w:space="0" w:color="auto"/>
              <w:right w:val="single" w:sz="4" w:space="0" w:color="auto"/>
            </w:tcBorders>
            <w:shd w:val="clear" w:color="000000" w:fill="E8E8E8"/>
            <w:vAlign w:val="center"/>
            <w:hideMark/>
          </w:tcPr>
          <w:p w14:paraId="7C5978BE"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Linear (Unit)</w:t>
            </w:r>
          </w:p>
        </w:tc>
      </w:tr>
      <w:tr w:rsidR="00A640D7" w:rsidRPr="001B128C" w14:paraId="52B99F1D" w14:textId="77777777" w:rsidTr="00C9042E">
        <w:trPr>
          <w:trHeight w:val="482"/>
          <w:jc w:val="center"/>
        </w:trPr>
        <w:tc>
          <w:tcPr>
            <w:tcW w:w="1271" w:type="dxa"/>
            <w:tcBorders>
              <w:top w:val="nil"/>
              <w:left w:val="single" w:sz="4" w:space="0" w:color="auto"/>
              <w:bottom w:val="single" w:sz="4" w:space="0" w:color="auto"/>
              <w:right w:val="single" w:sz="4" w:space="0" w:color="auto"/>
            </w:tcBorders>
            <w:noWrap/>
            <w:vAlign w:val="center"/>
            <w:hideMark/>
          </w:tcPr>
          <w:p w14:paraId="55B7D510" w14:textId="77777777" w:rsidR="001B128C" w:rsidRPr="001B128C" w:rsidRDefault="001B128C" w:rsidP="00F15550">
            <w:pPr>
              <w:spacing w:before="0" w:after="0" w:line="240" w:lineRule="auto"/>
              <w:rPr>
                <w:rFonts w:ascii="Aptos Narrow" w:eastAsia="Times New Roman" w:hAnsi="Aptos Narrow"/>
                <w:b/>
                <w:bCs/>
                <w:color w:val="000000"/>
                <w:szCs w:val="20"/>
              </w:rPr>
            </w:pPr>
            <w:r w:rsidRPr="001B128C">
              <w:rPr>
                <w:rFonts w:ascii="Aptos Narrow" w:eastAsia="Times New Roman" w:hAnsi="Aptos Narrow"/>
                <w:b/>
                <w:bCs/>
                <w:color w:val="000000"/>
                <w:szCs w:val="20"/>
              </w:rPr>
              <w:t>Vitamin K</w:t>
            </w:r>
          </w:p>
        </w:tc>
        <w:tc>
          <w:tcPr>
            <w:tcW w:w="1122" w:type="dxa"/>
            <w:tcBorders>
              <w:top w:val="nil"/>
              <w:left w:val="nil"/>
              <w:bottom w:val="single" w:sz="4" w:space="0" w:color="auto"/>
              <w:right w:val="single" w:sz="4" w:space="0" w:color="auto"/>
            </w:tcBorders>
            <w:vAlign w:val="center"/>
            <w:hideMark/>
          </w:tcPr>
          <w:p w14:paraId="0875A4C7"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243F113B"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Allometric (Up)</w:t>
            </w:r>
          </w:p>
        </w:tc>
        <w:tc>
          <w:tcPr>
            <w:tcW w:w="1122" w:type="dxa"/>
            <w:tcBorders>
              <w:top w:val="nil"/>
              <w:left w:val="nil"/>
              <w:bottom w:val="single" w:sz="4" w:space="0" w:color="auto"/>
              <w:right w:val="single" w:sz="4" w:space="0" w:color="auto"/>
            </w:tcBorders>
            <w:vAlign w:val="center"/>
            <w:hideMark/>
          </w:tcPr>
          <w:p w14:paraId="2284BAFC"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vAlign w:val="center"/>
            <w:hideMark/>
          </w:tcPr>
          <w:p w14:paraId="59061203"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vAlign w:val="center"/>
            <w:hideMark/>
          </w:tcPr>
          <w:p w14:paraId="58EDED55"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Diet-based</w:t>
            </w:r>
          </w:p>
        </w:tc>
        <w:tc>
          <w:tcPr>
            <w:tcW w:w="1123" w:type="dxa"/>
            <w:tcBorders>
              <w:top w:val="nil"/>
              <w:left w:val="nil"/>
              <w:bottom w:val="single" w:sz="4" w:space="0" w:color="auto"/>
              <w:right w:val="single" w:sz="4" w:space="0" w:color="auto"/>
            </w:tcBorders>
            <w:vAlign w:val="center"/>
            <w:hideMark/>
          </w:tcPr>
          <w:p w14:paraId="3AB6B377" w14:textId="77777777" w:rsidR="001B128C" w:rsidRPr="00B03BA0" w:rsidRDefault="001B128C" w:rsidP="00F15550">
            <w:pPr>
              <w:spacing w:before="0" w:after="0" w:line="240" w:lineRule="auto"/>
              <w:rPr>
                <w:rFonts w:ascii="Aptos Narrow" w:eastAsia="Times New Roman" w:hAnsi="Aptos Narrow"/>
                <w:i/>
                <w:iCs/>
                <w:color w:val="000000"/>
                <w:sz w:val="18"/>
              </w:rPr>
            </w:pPr>
            <w:r w:rsidRPr="00B03BA0">
              <w:rPr>
                <w:rFonts w:ascii="Aptos Narrow" w:eastAsia="Times New Roman" w:hAnsi="Aptos Narrow"/>
                <w:i/>
                <w:iCs/>
                <w:color w:val="000000"/>
                <w:sz w:val="18"/>
              </w:rPr>
              <w:t>Not set</w:t>
            </w:r>
          </w:p>
        </w:tc>
        <w:tc>
          <w:tcPr>
            <w:tcW w:w="1122" w:type="dxa"/>
            <w:tcBorders>
              <w:top w:val="nil"/>
              <w:left w:val="nil"/>
              <w:bottom w:val="single" w:sz="4" w:space="0" w:color="auto"/>
              <w:right w:val="single" w:sz="4" w:space="0" w:color="auto"/>
            </w:tcBorders>
            <w:vAlign w:val="center"/>
            <w:hideMark/>
          </w:tcPr>
          <w:p w14:paraId="0E0FB10D"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Diet-based</w:t>
            </w:r>
          </w:p>
        </w:tc>
        <w:tc>
          <w:tcPr>
            <w:tcW w:w="1122" w:type="dxa"/>
            <w:tcBorders>
              <w:top w:val="nil"/>
              <w:left w:val="nil"/>
              <w:bottom w:val="single" w:sz="4" w:space="0" w:color="auto"/>
              <w:right w:val="single" w:sz="4" w:space="0" w:color="auto"/>
            </w:tcBorders>
            <w:vAlign w:val="center"/>
            <w:hideMark/>
          </w:tcPr>
          <w:p w14:paraId="0B080AE1"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Diet-based</w:t>
            </w:r>
          </w:p>
        </w:tc>
        <w:tc>
          <w:tcPr>
            <w:tcW w:w="1122" w:type="dxa"/>
            <w:tcBorders>
              <w:top w:val="nil"/>
              <w:left w:val="nil"/>
              <w:bottom w:val="single" w:sz="4" w:space="0" w:color="auto"/>
              <w:right w:val="single" w:sz="4" w:space="0" w:color="auto"/>
            </w:tcBorders>
            <w:vAlign w:val="center"/>
            <w:hideMark/>
          </w:tcPr>
          <w:p w14:paraId="4E961455"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vAlign w:val="center"/>
            <w:hideMark/>
          </w:tcPr>
          <w:p w14:paraId="6E96DC5D"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Linear (Down)</w:t>
            </w:r>
          </w:p>
        </w:tc>
        <w:tc>
          <w:tcPr>
            <w:tcW w:w="1122" w:type="dxa"/>
            <w:tcBorders>
              <w:top w:val="nil"/>
              <w:left w:val="nil"/>
              <w:bottom w:val="single" w:sz="4" w:space="0" w:color="auto"/>
              <w:right w:val="single" w:sz="4" w:space="0" w:color="auto"/>
            </w:tcBorders>
            <w:vAlign w:val="center"/>
            <w:hideMark/>
          </w:tcPr>
          <w:p w14:paraId="2C90D3AC" w14:textId="77777777" w:rsidR="001B128C" w:rsidRPr="00B03BA0" w:rsidRDefault="001B128C" w:rsidP="00F15550">
            <w:pPr>
              <w:spacing w:before="0" w:after="0" w:line="240" w:lineRule="auto"/>
              <w:rPr>
                <w:rFonts w:ascii="Aptos Narrow" w:eastAsia="Times New Roman" w:hAnsi="Aptos Narrow"/>
                <w:color w:val="000000"/>
                <w:sz w:val="18"/>
              </w:rPr>
            </w:pPr>
            <w:r w:rsidRPr="00B03BA0">
              <w:rPr>
                <w:rFonts w:ascii="Aptos Narrow" w:eastAsia="Times New Roman" w:hAnsi="Aptos Narrow"/>
                <w:color w:val="000000"/>
                <w:sz w:val="18"/>
              </w:rPr>
              <w:t>Allometric (Down)</w:t>
            </w:r>
          </w:p>
        </w:tc>
        <w:tc>
          <w:tcPr>
            <w:tcW w:w="1123" w:type="dxa"/>
            <w:tcBorders>
              <w:top w:val="nil"/>
              <w:left w:val="nil"/>
              <w:bottom w:val="single" w:sz="4" w:space="0" w:color="auto"/>
              <w:right w:val="single" w:sz="4" w:space="0" w:color="auto"/>
            </w:tcBorders>
            <w:vAlign w:val="center"/>
            <w:hideMark/>
          </w:tcPr>
          <w:p w14:paraId="4B1538F0" w14:textId="77777777" w:rsidR="001B128C" w:rsidRPr="00B03BA0" w:rsidRDefault="001B128C" w:rsidP="00F15550">
            <w:pPr>
              <w:spacing w:before="0" w:after="0" w:line="240" w:lineRule="auto"/>
              <w:rPr>
                <w:rFonts w:ascii="Aptos Narrow" w:eastAsia="Times New Roman" w:hAnsi="Aptos Narrow"/>
                <w:i/>
                <w:iCs/>
                <w:color w:val="000000"/>
                <w:sz w:val="18"/>
              </w:rPr>
            </w:pPr>
            <w:r w:rsidRPr="00B03BA0">
              <w:rPr>
                <w:rFonts w:ascii="Aptos Narrow" w:eastAsia="Times New Roman" w:hAnsi="Aptos Narrow"/>
                <w:i/>
                <w:iCs/>
                <w:color w:val="000000"/>
                <w:sz w:val="18"/>
              </w:rPr>
              <w:t>Not set</w:t>
            </w:r>
          </w:p>
        </w:tc>
      </w:tr>
    </w:tbl>
    <w:p w14:paraId="4DD353CC" w14:textId="77777777" w:rsidR="00777E73" w:rsidRPr="00561D83" w:rsidRDefault="00777E73" w:rsidP="00F15550"/>
    <w:sectPr w:rsidR="00777E73" w:rsidRPr="00561D83" w:rsidSect="00C9042E">
      <w:headerReference w:type="default" r:id="rId254"/>
      <w:footerReference w:type="default" r:id="rId255"/>
      <w:headerReference w:type="first" r:id="rId256"/>
      <w:footerReference w:type="first" r:id="rId257"/>
      <w:pgSz w:w="16838" w:h="11906" w:orient="landscape" w:code="9"/>
      <w:pgMar w:top="907" w:right="1701" w:bottom="1134" w:left="1276" w:header="34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CF1F0" w14:textId="77777777" w:rsidR="00AE6F59" w:rsidRDefault="00AE6F59">
      <w:pPr>
        <w:spacing w:before="0" w:after="0" w:line="240" w:lineRule="auto"/>
      </w:pPr>
      <w:r>
        <w:separator/>
      </w:r>
    </w:p>
  </w:endnote>
  <w:endnote w:type="continuationSeparator" w:id="0">
    <w:p w14:paraId="669F3B29" w14:textId="77777777" w:rsidR="00AE6F59" w:rsidRDefault="00AE6F59">
      <w:pPr>
        <w:spacing w:before="0" w:after="0" w:line="240" w:lineRule="auto"/>
      </w:pPr>
      <w:r>
        <w:continuationSeparator/>
      </w:r>
    </w:p>
  </w:endnote>
  <w:endnote w:type="continuationNotice" w:id="1">
    <w:p w14:paraId="6C0977EE" w14:textId="77777777" w:rsidR="00AE6F59" w:rsidRDefault="00AE6F5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tham Book">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Medium">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adeGothic-Light">
    <w:altName w:val="Arial"/>
    <w:panose1 w:val="00000000000000000000"/>
    <w:charset w:val="4D"/>
    <w:family w:val="auto"/>
    <w:notTrueType/>
    <w:pitch w:val="default"/>
    <w:sig w:usb0="00000003" w:usb1="00000000" w:usb2="00000000" w:usb3="00000000" w:csb0="00000001" w:csb1="00000000"/>
  </w:font>
  <w:font w:name="TradeGothic-Bold">
    <w:altName w:val="Calibri"/>
    <w:panose1 w:val="00000000000000000000"/>
    <w:charset w:val="4D"/>
    <w:family w:val="auto"/>
    <w:notTrueType/>
    <w:pitch w:val="default"/>
    <w:sig w:usb0="00000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 w:name="AdvPSA88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736"/>
      <w:gridCol w:w="7422"/>
      <w:gridCol w:w="1366"/>
    </w:tblGrid>
    <w:tr w:rsidR="004F34F2" w:rsidRPr="00FF1AAF" w14:paraId="67652F33" w14:textId="77777777" w:rsidTr="00153946">
      <w:tc>
        <w:tcPr>
          <w:tcW w:w="1736" w:type="dxa"/>
          <w:tcBorders>
            <w:top w:val="nil"/>
            <w:bottom w:val="single" w:sz="8" w:space="0" w:color="4BACC6"/>
          </w:tcBorders>
        </w:tcPr>
        <w:p w14:paraId="72B08F73"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7A7C2948"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0848AEC3"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r>
    <w:tr w:rsidR="004F34F2" w:rsidRPr="00FF1AAF" w14:paraId="39649D4B" w14:textId="77777777" w:rsidTr="00153946">
      <w:tc>
        <w:tcPr>
          <w:tcW w:w="1736" w:type="dxa"/>
          <w:tcBorders>
            <w:top w:val="single" w:sz="8" w:space="0" w:color="4BACC6"/>
          </w:tcBorders>
        </w:tcPr>
        <w:p w14:paraId="2FD0B8DB" w14:textId="77777777" w:rsidR="004F34F2" w:rsidRPr="00FF1AAF" w:rsidRDefault="004F34F2" w:rsidP="004F34F2">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755070AA" w14:textId="0F67F191" w:rsidR="004F34F2" w:rsidRPr="00F0495F" w:rsidRDefault="004F34F2" w:rsidP="004F34F2">
          <w:pPr>
            <w:pStyle w:val="SecurityDLM"/>
            <w:spacing w:after="0" w:line="240" w:lineRule="auto"/>
            <w:ind w:left="0"/>
            <w:jc w:val="right"/>
            <w:rPr>
              <w:rFonts w:cs="Arial"/>
              <w:color w:val="595959" w:themeColor="text1" w:themeTint="A6"/>
              <w:sz w:val="18"/>
            </w:rPr>
          </w:pPr>
          <w:r w:rsidRPr="00F0495F">
            <w:rPr>
              <w:color w:val="595959" w:themeColor="text1" w:themeTint="A6"/>
            </w:rPr>
            <w:t>OFFICIAL</w:t>
          </w:r>
        </w:p>
      </w:tc>
      <w:tc>
        <w:tcPr>
          <w:tcW w:w="1366" w:type="dxa"/>
          <w:tcBorders>
            <w:top w:val="single" w:sz="8" w:space="0" w:color="4BACC6"/>
          </w:tcBorders>
        </w:tcPr>
        <w:p w14:paraId="29FF120F" w14:textId="77777777" w:rsidR="004F34F2" w:rsidRPr="00FF1AAF" w:rsidRDefault="004F34F2" w:rsidP="004F34F2">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63F329E6" wp14:editId="029B4CBA">
                <wp:extent cx="617855" cy="380365"/>
                <wp:effectExtent l="0" t="0" r="0" b="635"/>
                <wp:docPr id="231924319" name="Picture 23192431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3CA68018"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CD696A" w:rsidRPr="00FF1AAF" w14:paraId="57FD4FDF" w14:textId="77777777" w:rsidTr="00153946">
      <w:tc>
        <w:tcPr>
          <w:tcW w:w="1452" w:type="dxa"/>
          <w:tcBorders>
            <w:top w:val="nil"/>
            <w:bottom w:val="single" w:sz="8" w:space="0" w:color="4BACC6"/>
          </w:tcBorders>
        </w:tcPr>
        <w:p w14:paraId="777282FB" w14:textId="77777777" w:rsidR="00CD696A" w:rsidRPr="00FF1AAF" w:rsidRDefault="00CD696A" w:rsidP="00387FC7">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7F17C360" w14:textId="77777777" w:rsidR="00CD696A" w:rsidRPr="00FF1AAF" w:rsidRDefault="00CD696A" w:rsidP="00387FC7">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4DAF452B" w14:textId="77777777" w:rsidR="00CD696A" w:rsidRPr="00FF1AAF" w:rsidRDefault="00CD696A" w:rsidP="00387FC7">
          <w:pPr>
            <w:pStyle w:val="Footer"/>
            <w:tabs>
              <w:tab w:val="clear" w:pos="4513"/>
              <w:tab w:val="clear" w:pos="9026"/>
              <w:tab w:val="center" w:pos="7230"/>
              <w:tab w:val="right" w:pos="10206"/>
            </w:tabs>
            <w:rPr>
              <w:rFonts w:ascii="Gotham Book" w:hAnsi="Gotham Book" w:cs="Arial"/>
              <w:sz w:val="18"/>
            </w:rPr>
          </w:pPr>
        </w:p>
      </w:tc>
    </w:tr>
    <w:tr w:rsidR="00CD696A" w:rsidRPr="00FF1AAF" w14:paraId="2DE94DF7" w14:textId="77777777" w:rsidTr="00153946">
      <w:tc>
        <w:tcPr>
          <w:tcW w:w="1452" w:type="dxa"/>
          <w:tcBorders>
            <w:top w:val="single" w:sz="8" w:space="0" w:color="4BACC6"/>
          </w:tcBorders>
        </w:tcPr>
        <w:p w14:paraId="2BEE0244" w14:textId="77777777" w:rsidR="00CD696A" w:rsidRPr="00FF1AAF" w:rsidRDefault="00CD696A" w:rsidP="00387FC7">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64D9C5E4" w14:textId="77777777" w:rsidR="00CD696A" w:rsidRPr="000163C7" w:rsidRDefault="00CD696A" w:rsidP="00387FC7">
          <w:pPr>
            <w:pStyle w:val="SecurityDLM"/>
            <w:spacing w:after="0" w:line="240" w:lineRule="auto"/>
            <w:ind w:left="0"/>
            <w:jc w:val="right"/>
            <w:rPr>
              <w:color w:val="595959" w:themeColor="text1" w:themeTint="A6"/>
            </w:rPr>
          </w:pPr>
          <w:r w:rsidRPr="000163C7">
            <w:rPr>
              <w:color w:val="595959" w:themeColor="text1" w:themeTint="A6"/>
            </w:rPr>
            <w:t>Official</w:t>
          </w:r>
        </w:p>
        <w:p w14:paraId="118997D8" w14:textId="77777777" w:rsidR="00CD696A" w:rsidRPr="000163C7" w:rsidRDefault="00CD696A" w:rsidP="00387FC7">
          <w:pPr>
            <w:pStyle w:val="SecurityDLM"/>
            <w:spacing w:after="0" w:line="240" w:lineRule="auto"/>
            <w:ind w:left="0"/>
            <w:jc w:val="right"/>
            <w:rPr>
              <w:rFonts w:cs="Arial"/>
              <w:color w:val="595959" w:themeColor="text1" w:themeTint="A6"/>
              <w:sz w:val="18"/>
            </w:rPr>
          </w:pPr>
        </w:p>
      </w:tc>
      <w:tc>
        <w:tcPr>
          <w:tcW w:w="1366" w:type="dxa"/>
          <w:tcBorders>
            <w:top w:val="single" w:sz="8" w:space="0" w:color="4BACC6"/>
          </w:tcBorders>
        </w:tcPr>
        <w:p w14:paraId="6692EF0A" w14:textId="77777777" w:rsidR="00CD696A" w:rsidRPr="00FF1AAF" w:rsidRDefault="00CD696A" w:rsidP="00387FC7">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1FF7B202" wp14:editId="7C74AC99">
                <wp:extent cx="617855" cy="380365"/>
                <wp:effectExtent l="0" t="0" r="0" b="635"/>
                <wp:docPr id="406087227" name="Picture 406087227"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6A60D5D1" w14:textId="77777777" w:rsidR="00CD696A" w:rsidRPr="00387FC7" w:rsidRDefault="00CD696A" w:rsidP="00387FC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51" w:type="dxa"/>
      <w:tblInd w:w="-176" w:type="dxa"/>
      <w:tblBorders>
        <w:top w:val="single" w:sz="8" w:space="0" w:color="4BACC6"/>
      </w:tblBorders>
      <w:tblLayout w:type="fixed"/>
      <w:tblLook w:val="0620" w:firstRow="1" w:lastRow="0" w:firstColumn="0" w:lastColumn="0" w:noHBand="1" w:noVBand="1"/>
    </w:tblPr>
    <w:tblGrid>
      <w:gridCol w:w="1736"/>
      <w:gridCol w:w="11340"/>
      <w:gridCol w:w="1275"/>
    </w:tblGrid>
    <w:tr w:rsidR="00BC5DD3" w:rsidRPr="00FF1AAF" w14:paraId="3AABCC4D" w14:textId="77777777" w:rsidTr="00F0495F">
      <w:tc>
        <w:tcPr>
          <w:tcW w:w="1736" w:type="dxa"/>
          <w:tcBorders>
            <w:top w:val="nil"/>
            <w:bottom w:val="single" w:sz="12" w:space="0" w:color="74B6D2" w:themeColor="background2" w:themeShade="BF"/>
          </w:tcBorders>
        </w:tcPr>
        <w:p w14:paraId="193D83B5" w14:textId="77777777" w:rsidR="00BC5DD3" w:rsidRPr="00FF1AAF" w:rsidRDefault="00BC5DD3" w:rsidP="00BC5DD3">
          <w:pPr>
            <w:pStyle w:val="Footer"/>
            <w:tabs>
              <w:tab w:val="clear" w:pos="4513"/>
              <w:tab w:val="clear" w:pos="9026"/>
              <w:tab w:val="center" w:pos="7230"/>
              <w:tab w:val="right" w:pos="10206"/>
            </w:tabs>
            <w:rPr>
              <w:rFonts w:ascii="Gotham Book" w:hAnsi="Gotham Book" w:cs="Arial"/>
              <w:sz w:val="18"/>
            </w:rPr>
          </w:pPr>
        </w:p>
      </w:tc>
      <w:tc>
        <w:tcPr>
          <w:tcW w:w="11340" w:type="dxa"/>
          <w:tcBorders>
            <w:top w:val="nil"/>
            <w:bottom w:val="single" w:sz="12" w:space="0" w:color="74B6D2" w:themeColor="background2" w:themeShade="BF"/>
          </w:tcBorders>
        </w:tcPr>
        <w:p w14:paraId="67F277DD" w14:textId="77777777" w:rsidR="00BC5DD3" w:rsidRPr="00FF1AAF" w:rsidRDefault="00BC5DD3" w:rsidP="00BC5DD3">
          <w:pPr>
            <w:pStyle w:val="Footer"/>
            <w:tabs>
              <w:tab w:val="clear" w:pos="4513"/>
              <w:tab w:val="clear" w:pos="9026"/>
              <w:tab w:val="center" w:pos="7230"/>
              <w:tab w:val="right" w:pos="10206"/>
            </w:tabs>
            <w:rPr>
              <w:rFonts w:ascii="Gotham Book" w:hAnsi="Gotham Book" w:cs="Arial"/>
              <w:sz w:val="18"/>
            </w:rPr>
          </w:pPr>
        </w:p>
      </w:tc>
      <w:tc>
        <w:tcPr>
          <w:tcW w:w="1275" w:type="dxa"/>
          <w:tcBorders>
            <w:top w:val="nil"/>
            <w:bottom w:val="single" w:sz="12" w:space="0" w:color="74B6D2" w:themeColor="background2" w:themeShade="BF"/>
          </w:tcBorders>
        </w:tcPr>
        <w:p w14:paraId="5BED5391" w14:textId="77777777" w:rsidR="00BC5DD3" w:rsidRPr="00FF1AAF" w:rsidRDefault="00BC5DD3" w:rsidP="00BC5DD3">
          <w:pPr>
            <w:pStyle w:val="Footer"/>
            <w:tabs>
              <w:tab w:val="clear" w:pos="4513"/>
              <w:tab w:val="clear" w:pos="9026"/>
              <w:tab w:val="center" w:pos="7230"/>
              <w:tab w:val="right" w:pos="10206"/>
            </w:tabs>
            <w:rPr>
              <w:rFonts w:ascii="Gotham Book" w:hAnsi="Gotham Book" w:cs="Arial"/>
              <w:sz w:val="18"/>
            </w:rPr>
          </w:pPr>
        </w:p>
      </w:tc>
    </w:tr>
    <w:tr w:rsidR="00BC5DD3" w:rsidRPr="00FF1AAF" w14:paraId="0B867325" w14:textId="77777777" w:rsidTr="00F0495F">
      <w:tc>
        <w:tcPr>
          <w:tcW w:w="1736" w:type="dxa"/>
          <w:tcBorders>
            <w:top w:val="single" w:sz="12" w:space="0" w:color="74B6D2" w:themeColor="background2" w:themeShade="BF"/>
          </w:tcBorders>
        </w:tcPr>
        <w:p w14:paraId="6BC96BA7" w14:textId="77777777" w:rsidR="00BC5DD3" w:rsidRPr="00FF1AAF" w:rsidRDefault="00BC5DD3" w:rsidP="00BC5DD3">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340" w:type="dxa"/>
          <w:tcBorders>
            <w:top w:val="single" w:sz="12" w:space="0" w:color="74B6D2" w:themeColor="background2" w:themeShade="BF"/>
          </w:tcBorders>
        </w:tcPr>
        <w:p w14:paraId="2933E306" w14:textId="77777777" w:rsidR="00BC5DD3" w:rsidRPr="00BF677F" w:rsidRDefault="00BC5DD3" w:rsidP="00BC5DD3">
          <w:pPr>
            <w:pStyle w:val="SecurityDLM"/>
            <w:spacing w:after="0" w:line="240" w:lineRule="auto"/>
            <w:ind w:left="0"/>
            <w:jc w:val="right"/>
            <w:rPr>
              <w:color w:val="595959" w:themeColor="text1" w:themeTint="A6"/>
            </w:rPr>
          </w:pPr>
          <w:r w:rsidRPr="00BF677F">
            <w:rPr>
              <w:color w:val="595959" w:themeColor="text1" w:themeTint="A6"/>
            </w:rPr>
            <w:t>Official</w:t>
          </w:r>
        </w:p>
        <w:p w14:paraId="469932AC" w14:textId="77777777" w:rsidR="00BC5DD3" w:rsidRPr="00BF677F" w:rsidRDefault="00BC5DD3" w:rsidP="00BC5DD3">
          <w:pPr>
            <w:pStyle w:val="SecurityDLM"/>
            <w:spacing w:after="0" w:line="240" w:lineRule="auto"/>
            <w:ind w:left="0"/>
            <w:jc w:val="right"/>
            <w:rPr>
              <w:rFonts w:cs="Arial"/>
              <w:color w:val="595959" w:themeColor="text1" w:themeTint="A6"/>
              <w:sz w:val="18"/>
            </w:rPr>
          </w:pPr>
        </w:p>
      </w:tc>
      <w:tc>
        <w:tcPr>
          <w:tcW w:w="1275" w:type="dxa"/>
          <w:tcBorders>
            <w:top w:val="single" w:sz="12" w:space="0" w:color="74B6D2" w:themeColor="background2" w:themeShade="BF"/>
          </w:tcBorders>
        </w:tcPr>
        <w:p w14:paraId="7E39D3FC" w14:textId="77777777" w:rsidR="00BC5DD3" w:rsidRPr="00FF1AAF" w:rsidRDefault="00BC5DD3" w:rsidP="00BC5DD3">
          <w:pPr>
            <w:pStyle w:val="Footer"/>
            <w:tabs>
              <w:tab w:val="clear" w:pos="4513"/>
              <w:tab w:val="clear" w:pos="9026"/>
              <w:tab w:val="center" w:pos="7230"/>
              <w:tab w:val="right" w:pos="10206"/>
            </w:tabs>
            <w:spacing w:before="240" w:line="240" w:lineRule="auto"/>
            <w:jc w:val="right"/>
            <w:rPr>
              <w:rFonts w:ascii="Gotham Book" w:hAnsi="Gotham Book" w:cs="Arial"/>
              <w:sz w:val="18"/>
            </w:rPr>
          </w:pPr>
          <w:r w:rsidRPr="00FF1AAF">
            <w:rPr>
              <w:rFonts w:ascii="Gotham Book" w:hAnsi="Gotham Book"/>
              <w:noProof/>
              <w:color w:val="4BACC6"/>
              <w:sz w:val="18"/>
            </w:rPr>
            <w:drawing>
              <wp:inline distT="0" distB="0" distL="0" distR="0" wp14:anchorId="3FFC0B03" wp14:editId="433F5140">
                <wp:extent cx="617855" cy="380365"/>
                <wp:effectExtent l="0" t="0" r="0" b="635"/>
                <wp:docPr id="2074680852" name="Picture 2074680852"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44612255" w14:textId="77777777" w:rsidR="00BC5DD3" w:rsidRPr="00BC5DD3" w:rsidRDefault="00BC5DD3" w:rsidP="00BC5DD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51" w:type="dxa"/>
      <w:tblInd w:w="-176" w:type="dxa"/>
      <w:tblBorders>
        <w:top w:val="single" w:sz="8" w:space="0" w:color="4BACC6"/>
      </w:tblBorders>
      <w:tblLayout w:type="fixed"/>
      <w:tblLook w:val="0620" w:firstRow="1" w:lastRow="0" w:firstColumn="0" w:lastColumn="0" w:noHBand="1" w:noVBand="1"/>
    </w:tblPr>
    <w:tblGrid>
      <w:gridCol w:w="1736"/>
      <w:gridCol w:w="11340"/>
      <w:gridCol w:w="1275"/>
    </w:tblGrid>
    <w:tr w:rsidR="00BC5DD3" w:rsidRPr="00FF1AAF" w14:paraId="0F2AB567" w14:textId="77777777" w:rsidTr="00F0495F">
      <w:tc>
        <w:tcPr>
          <w:tcW w:w="1736" w:type="dxa"/>
          <w:tcBorders>
            <w:top w:val="nil"/>
            <w:bottom w:val="single" w:sz="12" w:space="0" w:color="74B6D2" w:themeColor="background2" w:themeShade="BF"/>
          </w:tcBorders>
        </w:tcPr>
        <w:p w14:paraId="5DD77615" w14:textId="77777777" w:rsidR="00BC5DD3" w:rsidRPr="00FF1AAF" w:rsidRDefault="00BC5DD3" w:rsidP="00BC5DD3">
          <w:pPr>
            <w:pStyle w:val="Footer"/>
            <w:tabs>
              <w:tab w:val="clear" w:pos="4513"/>
              <w:tab w:val="clear" w:pos="9026"/>
              <w:tab w:val="center" w:pos="7230"/>
              <w:tab w:val="right" w:pos="10206"/>
            </w:tabs>
            <w:rPr>
              <w:rFonts w:ascii="Gotham Book" w:hAnsi="Gotham Book" w:cs="Arial"/>
              <w:sz w:val="18"/>
            </w:rPr>
          </w:pPr>
        </w:p>
      </w:tc>
      <w:tc>
        <w:tcPr>
          <w:tcW w:w="11340" w:type="dxa"/>
          <w:tcBorders>
            <w:top w:val="nil"/>
            <w:bottom w:val="single" w:sz="12" w:space="0" w:color="74B6D2" w:themeColor="background2" w:themeShade="BF"/>
          </w:tcBorders>
        </w:tcPr>
        <w:p w14:paraId="2DD9F3DF" w14:textId="77777777" w:rsidR="00BC5DD3" w:rsidRPr="00FF1AAF" w:rsidRDefault="00BC5DD3" w:rsidP="00BC5DD3">
          <w:pPr>
            <w:pStyle w:val="Footer"/>
            <w:tabs>
              <w:tab w:val="clear" w:pos="4513"/>
              <w:tab w:val="clear" w:pos="9026"/>
              <w:tab w:val="center" w:pos="7230"/>
              <w:tab w:val="right" w:pos="10206"/>
            </w:tabs>
            <w:rPr>
              <w:rFonts w:ascii="Gotham Book" w:hAnsi="Gotham Book" w:cs="Arial"/>
              <w:sz w:val="18"/>
            </w:rPr>
          </w:pPr>
        </w:p>
      </w:tc>
      <w:tc>
        <w:tcPr>
          <w:tcW w:w="1275" w:type="dxa"/>
          <w:tcBorders>
            <w:top w:val="nil"/>
            <w:bottom w:val="single" w:sz="12" w:space="0" w:color="74B6D2" w:themeColor="background2" w:themeShade="BF"/>
          </w:tcBorders>
        </w:tcPr>
        <w:p w14:paraId="1D6D8F99" w14:textId="77777777" w:rsidR="00BC5DD3" w:rsidRPr="00FF1AAF" w:rsidRDefault="00BC5DD3" w:rsidP="00BC5DD3">
          <w:pPr>
            <w:pStyle w:val="Footer"/>
            <w:tabs>
              <w:tab w:val="clear" w:pos="4513"/>
              <w:tab w:val="clear" w:pos="9026"/>
              <w:tab w:val="center" w:pos="7230"/>
              <w:tab w:val="right" w:pos="10206"/>
            </w:tabs>
            <w:rPr>
              <w:rFonts w:ascii="Gotham Book" w:hAnsi="Gotham Book" w:cs="Arial"/>
              <w:sz w:val="18"/>
            </w:rPr>
          </w:pPr>
        </w:p>
      </w:tc>
    </w:tr>
    <w:tr w:rsidR="00BC5DD3" w:rsidRPr="00FF1AAF" w14:paraId="54032C0A" w14:textId="77777777" w:rsidTr="00F0495F">
      <w:tc>
        <w:tcPr>
          <w:tcW w:w="1736" w:type="dxa"/>
          <w:tcBorders>
            <w:top w:val="single" w:sz="12" w:space="0" w:color="74B6D2" w:themeColor="background2" w:themeShade="BF"/>
          </w:tcBorders>
        </w:tcPr>
        <w:p w14:paraId="747DFB91" w14:textId="77777777" w:rsidR="00BC5DD3" w:rsidRPr="00FF1AAF" w:rsidRDefault="00BC5DD3" w:rsidP="00BC5DD3">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340" w:type="dxa"/>
          <w:tcBorders>
            <w:top w:val="single" w:sz="12" w:space="0" w:color="74B6D2" w:themeColor="background2" w:themeShade="BF"/>
          </w:tcBorders>
        </w:tcPr>
        <w:p w14:paraId="2028F100" w14:textId="77777777" w:rsidR="00BC5DD3" w:rsidRPr="00BF677F" w:rsidRDefault="00BC5DD3" w:rsidP="00BC5DD3">
          <w:pPr>
            <w:pStyle w:val="SecurityDLM"/>
            <w:spacing w:after="0" w:line="240" w:lineRule="auto"/>
            <w:ind w:left="0"/>
            <w:jc w:val="right"/>
            <w:rPr>
              <w:color w:val="595959" w:themeColor="text1" w:themeTint="A6"/>
            </w:rPr>
          </w:pPr>
          <w:r w:rsidRPr="00BF677F">
            <w:rPr>
              <w:color w:val="595959" w:themeColor="text1" w:themeTint="A6"/>
            </w:rPr>
            <w:t>Official</w:t>
          </w:r>
        </w:p>
        <w:p w14:paraId="5DB24246" w14:textId="77777777" w:rsidR="00BC5DD3" w:rsidRPr="00BF677F" w:rsidRDefault="00BC5DD3" w:rsidP="00BC5DD3">
          <w:pPr>
            <w:pStyle w:val="SecurityDLM"/>
            <w:spacing w:after="0" w:line="240" w:lineRule="auto"/>
            <w:ind w:left="0"/>
            <w:jc w:val="right"/>
            <w:rPr>
              <w:rFonts w:cs="Arial"/>
              <w:color w:val="595959" w:themeColor="text1" w:themeTint="A6"/>
              <w:sz w:val="18"/>
            </w:rPr>
          </w:pPr>
        </w:p>
      </w:tc>
      <w:tc>
        <w:tcPr>
          <w:tcW w:w="1275" w:type="dxa"/>
          <w:tcBorders>
            <w:top w:val="single" w:sz="12" w:space="0" w:color="74B6D2" w:themeColor="background2" w:themeShade="BF"/>
          </w:tcBorders>
        </w:tcPr>
        <w:p w14:paraId="1AA556E4" w14:textId="77777777" w:rsidR="00BC5DD3" w:rsidRPr="00FF1AAF" w:rsidRDefault="00BC5DD3" w:rsidP="00BC5DD3">
          <w:pPr>
            <w:pStyle w:val="Footer"/>
            <w:tabs>
              <w:tab w:val="clear" w:pos="4513"/>
              <w:tab w:val="clear" w:pos="9026"/>
              <w:tab w:val="center" w:pos="7230"/>
              <w:tab w:val="right" w:pos="10206"/>
            </w:tabs>
            <w:spacing w:before="240" w:line="240" w:lineRule="auto"/>
            <w:jc w:val="right"/>
            <w:rPr>
              <w:rFonts w:ascii="Gotham Book" w:hAnsi="Gotham Book" w:cs="Arial"/>
              <w:sz w:val="18"/>
            </w:rPr>
          </w:pPr>
          <w:r w:rsidRPr="00FF1AAF">
            <w:rPr>
              <w:rFonts w:ascii="Gotham Book" w:hAnsi="Gotham Book"/>
              <w:noProof/>
              <w:color w:val="4BACC6"/>
              <w:sz w:val="18"/>
            </w:rPr>
            <w:drawing>
              <wp:inline distT="0" distB="0" distL="0" distR="0" wp14:anchorId="18BD52DA" wp14:editId="32203928">
                <wp:extent cx="617855" cy="380365"/>
                <wp:effectExtent l="0" t="0" r="0" b="635"/>
                <wp:docPr id="1196389735" name="Picture 1196389735"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1B11B3D" w14:textId="77777777" w:rsidR="00BC5DD3" w:rsidRPr="00BC5DD3" w:rsidRDefault="00BC5DD3" w:rsidP="00BC5DD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4F34F2" w:rsidRPr="00FF1AAF" w14:paraId="7D18FA33" w14:textId="77777777" w:rsidTr="00F0495F">
      <w:tc>
        <w:tcPr>
          <w:tcW w:w="1452" w:type="dxa"/>
          <w:tcBorders>
            <w:top w:val="nil"/>
            <w:bottom w:val="single" w:sz="8" w:space="0" w:color="4BACC6"/>
          </w:tcBorders>
        </w:tcPr>
        <w:p w14:paraId="041D3E11"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70E2BEC1"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45BCF53D"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r>
    <w:tr w:rsidR="004F34F2" w:rsidRPr="00FF1AAF" w14:paraId="47CBEE66" w14:textId="77777777" w:rsidTr="00F0495F">
      <w:tc>
        <w:tcPr>
          <w:tcW w:w="1452" w:type="dxa"/>
          <w:tcBorders>
            <w:top w:val="single" w:sz="8" w:space="0" w:color="4BACC6"/>
          </w:tcBorders>
        </w:tcPr>
        <w:p w14:paraId="42437CF3" w14:textId="77777777" w:rsidR="004F34F2" w:rsidRPr="00FF1AAF" w:rsidRDefault="004F34F2" w:rsidP="004F34F2">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321D4B06" w14:textId="77777777" w:rsidR="004F34F2" w:rsidRPr="00BF677F" w:rsidRDefault="004F34F2" w:rsidP="004F34F2">
          <w:pPr>
            <w:pStyle w:val="SecurityDLM"/>
            <w:spacing w:after="0" w:line="240" w:lineRule="auto"/>
            <w:ind w:left="0"/>
            <w:jc w:val="right"/>
            <w:rPr>
              <w:color w:val="595959" w:themeColor="text1" w:themeTint="A6"/>
            </w:rPr>
          </w:pPr>
          <w:r w:rsidRPr="00BF677F">
            <w:rPr>
              <w:color w:val="595959" w:themeColor="text1" w:themeTint="A6"/>
            </w:rPr>
            <w:t>Official</w:t>
          </w:r>
        </w:p>
        <w:p w14:paraId="28D3E95E" w14:textId="77777777" w:rsidR="004F34F2" w:rsidRPr="00BF677F" w:rsidRDefault="004F34F2" w:rsidP="004F34F2">
          <w:pPr>
            <w:pStyle w:val="SecurityDLM"/>
            <w:spacing w:after="0" w:line="240" w:lineRule="auto"/>
            <w:ind w:left="0"/>
            <w:jc w:val="right"/>
            <w:rPr>
              <w:rFonts w:cs="Arial"/>
              <w:color w:val="595959" w:themeColor="text1" w:themeTint="A6"/>
              <w:sz w:val="18"/>
            </w:rPr>
          </w:pPr>
        </w:p>
      </w:tc>
      <w:tc>
        <w:tcPr>
          <w:tcW w:w="1366" w:type="dxa"/>
          <w:tcBorders>
            <w:top w:val="single" w:sz="8" w:space="0" w:color="4BACC6"/>
          </w:tcBorders>
        </w:tcPr>
        <w:p w14:paraId="64AC79DD" w14:textId="77777777" w:rsidR="004F34F2" w:rsidRPr="00FF1AAF" w:rsidRDefault="004F34F2" w:rsidP="004F34F2">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75859418" wp14:editId="208F6324">
                <wp:extent cx="617855" cy="380365"/>
                <wp:effectExtent l="0" t="0" r="0" b="635"/>
                <wp:docPr id="1237322376" name="Picture 1237322376"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44D786D8" w14:textId="77777777" w:rsidR="002662C1" w:rsidRPr="004F34F2" w:rsidRDefault="002662C1" w:rsidP="004F34F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4F34F2" w:rsidRPr="00FF1AAF" w14:paraId="4C593506" w14:textId="77777777" w:rsidTr="00F0495F">
      <w:tc>
        <w:tcPr>
          <w:tcW w:w="1452" w:type="dxa"/>
          <w:tcBorders>
            <w:top w:val="nil"/>
            <w:bottom w:val="single" w:sz="8" w:space="0" w:color="4BACC6"/>
          </w:tcBorders>
        </w:tcPr>
        <w:p w14:paraId="3D4852DE"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1A9FD5FC"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00E0D508"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r>
    <w:tr w:rsidR="004F34F2" w:rsidRPr="00FF1AAF" w14:paraId="31C8E9AD" w14:textId="77777777" w:rsidTr="00F0495F">
      <w:tc>
        <w:tcPr>
          <w:tcW w:w="1452" w:type="dxa"/>
          <w:tcBorders>
            <w:top w:val="single" w:sz="8" w:space="0" w:color="4BACC6"/>
          </w:tcBorders>
        </w:tcPr>
        <w:p w14:paraId="15540BF6" w14:textId="77777777" w:rsidR="004F34F2" w:rsidRPr="00FF1AAF" w:rsidRDefault="004F34F2" w:rsidP="004F34F2">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545BA712" w14:textId="77777777" w:rsidR="004F34F2" w:rsidRPr="00BF677F" w:rsidRDefault="004F34F2" w:rsidP="004F34F2">
          <w:pPr>
            <w:pStyle w:val="SecurityDLM"/>
            <w:spacing w:after="0" w:line="240" w:lineRule="auto"/>
            <w:ind w:left="0"/>
            <w:jc w:val="right"/>
            <w:rPr>
              <w:color w:val="595959" w:themeColor="text1" w:themeTint="A6"/>
            </w:rPr>
          </w:pPr>
          <w:r w:rsidRPr="00BF677F">
            <w:rPr>
              <w:color w:val="595959" w:themeColor="text1" w:themeTint="A6"/>
            </w:rPr>
            <w:t>Official</w:t>
          </w:r>
        </w:p>
        <w:p w14:paraId="5B253B0C" w14:textId="77777777" w:rsidR="004F34F2" w:rsidRPr="00BF677F" w:rsidRDefault="004F34F2" w:rsidP="004F34F2">
          <w:pPr>
            <w:pStyle w:val="SecurityDLM"/>
            <w:spacing w:after="0" w:line="240" w:lineRule="auto"/>
            <w:ind w:left="0"/>
            <w:jc w:val="right"/>
            <w:rPr>
              <w:rFonts w:cs="Arial"/>
              <w:color w:val="595959" w:themeColor="text1" w:themeTint="A6"/>
              <w:sz w:val="18"/>
            </w:rPr>
          </w:pPr>
        </w:p>
      </w:tc>
      <w:tc>
        <w:tcPr>
          <w:tcW w:w="1366" w:type="dxa"/>
          <w:tcBorders>
            <w:top w:val="single" w:sz="8" w:space="0" w:color="4BACC6"/>
          </w:tcBorders>
        </w:tcPr>
        <w:p w14:paraId="3E572F93" w14:textId="35CC5A3F" w:rsidR="004F34F2" w:rsidRPr="00FF1AAF" w:rsidRDefault="004F34F2" w:rsidP="004F34F2">
          <w:pPr>
            <w:pStyle w:val="Footer"/>
            <w:tabs>
              <w:tab w:val="clear" w:pos="4513"/>
              <w:tab w:val="clear" w:pos="9026"/>
              <w:tab w:val="center" w:pos="7230"/>
              <w:tab w:val="right" w:pos="10206"/>
            </w:tabs>
            <w:spacing w:before="240" w:line="240" w:lineRule="auto"/>
            <w:rPr>
              <w:rFonts w:ascii="Gotham Book" w:hAnsi="Gotham Book" w:cs="Arial"/>
              <w:sz w:val="18"/>
            </w:rPr>
          </w:pPr>
        </w:p>
      </w:tc>
    </w:tr>
  </w:tbl>
  <w:p w14:paraId="35E9BC19" w14:textId="1898A6FA" w:rsidR="002662C1" w:rsidRPr="004F34F2" w:rsidRDefault="002662C1" w:rsidP="004F34F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4F34F2" w:rsidRPr="00FF1AAF" w14:paraId="36BD1432" w14:textId="77777777" w:rsidTr="00F0495F">
      <w:tc>
        <w:tcPr>
          <w:tcW w:w="1452" w:type="dxa"/>
          <w:tcBorders>
            <w:top w:val="nil"/>
            <w:bottom w:val="single" w:sz="8" w:space="0" w:color="4BACC6"/>
          </w:tcBorders>
        </w:tcPr>
        <w:p w14:paraId="39F44569"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6B1799A5"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036E3A3E" w14:textId="77777777" w:rsidR="004F34F2" w:rsidRPr="00FF1AAF" w:rsidRDefault="004F34F2" w:rsidP="004F34F2">
          <w:pPr>
            <w:pStyle w:val="Footer"/>
            <w:tabs>
              <w:tab w:val="clear" w:pos="4513"/>
              <w:tab w:val="clear" w:pos="9026"/>
              <w:tab w:val="center" w:pos="7230"/>
              <w:tab w:val="right" w:pos="10206"/>
            </w:tabs>
            <w:rPr>
              <w:rFonts w:ascii="Gotham Book" w:hAnsi="Gotham Book" w:cs="Arial"/>
              <w:sz w:val="18"/>
            </w:rPr>
          </w:pPr>
        </w:p>
      </w:tc>
    </w:tr>
    <w:tr w:rsidR="004F34F2" w:rsidRPr="00FF1AAF" w14:paraId="188267C5" w14:textId="77777777" w:rsidTr="00F0495F">
      <w:tc>
        <w:tcPr>
          <w:tcW w:w="1452" w:type="dxa"/>
          <w:tcBorders>
            <w:top w:val="single" w:sz="8" w:space="0" w:color="4BACC6"/>
          </w:tcBorders>
        </w:tcPr>
        <w:p w14:paraId="0EBC9A6F" w14:textId="77777777" w:rsidR="004F34F2" w:rsidRPr="00FF1AAF" w:rsidRDefault="004F34F2" w:rsidP="004F34F2">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747D46C0" w14:textId="77777777" w:rsidR="004F34F2" w:rsidRPr="00BF677F" w:rsidRDefault="004F34F2" w:rsidP="004F34F2">
          <w:pPr>
            <w:pStyle w:val="SecurityDLM"/>
            <w:spacing w:after="0" w:line="240" w:lineRule="auto"/>
            <w:ind w:left="0"/>
            <w:jc w:val="right"/>
            <w:rPr>
              <w:color w:val="595959" w:themeColor="text1" w:themeTint="A6"/>
            </w:rPr>
          </w:pPr>
          <w:r w:rsidRPr="00BF677F">
            <w:rPr>
              <w:color w:val="595959" w:themeColor="text1" w:themeTint="A6"/>
            </w:rPr>
            <w:t>Official</w:t>
          </w:r>
        </w:p>
        <w:p w14:paraId="051016F5" w14:textId="77777777" w:rsidR="004F34F2" w:rsidRPr="00BF677F" w:rsidRDefault="004F34F2" w:rsidP="004F34F2">
          <w:pPr>
            <w:pStyle w:val="SecurityDLM"/>
            <w:spacing w:after="0" w:line="240" w:lineRule="auto"/>
            <w:ind w:left="0"/>
            <w:jc w:val="right"/>
            <w:rPr>
              <w:rFonts w:cs="Arial"/>
              <w:color w:val="595959" w:themeColor="text1" w:themeTint="A6"/>
              <w:sz w:val="18"/>
            </w:rPr>
          </w:pPr>
        </w:p>
      </w:tc>
      <w:tc>
        <w:tcPr>
          <w:tcW w:w="1366" w:type="dxa"/>
          <w:tcBorders>
            <w:top w:val="single" w:sz="8" w:space="0" w:color="4BACC6"/>
          </w:tcBorders>
        </w:tcPr>
        <w:p w14:paraId="554D7B5C" w14:textId="77777777" w:rsidR="004F34F2" w:rsidRPr="00FF1AAF" w:rsidRDefault="004F34F2" w:rsidP="004F34F2">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5DD3A0E5" wp14:editId="1AD0511A">
                <wp:extent cx="617855" cy="380365"/>
                <wp:effectExtent l="0" t="0" r="0" b="635"/>
                <wp:docPr id="1989148912" name="Picture 1989148912"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1D14CF22" w14:textId="425B0C51" w:rsidR="004F34F2" w:rsidRPr="004F34F2" w:rsidRDefault="004F34F2" w:rsidP="004F34F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51" w:type="dxa"/>
      <w:tblInd w:w="-176" w:type="dxa"/>
      <w:tblBorders>
        <w:top w:val="single" w:sz="8" w:space="0" w:color="4BACC6"/>
      </w:tblBorders>
      <w:tblLayout w:type="fixed"/>
      <w:tblLook w:val="0620" w:firstRow="1" w:lastRow="0" w:firstColumn="0" w:lastColumn="0" w:noHBand="1" w:noVBand="1"/>
    </w:tblPr>
    <w:tblGrid>
      <w:gridCol w:w="1736"/>
      <w:gridCol w:w="11340"/>
      <w:gridCol w:w="1275"/>
    </w:tblGrid>
    <w:tr w:rsidR="00C9042E" w:rsidRPr="00FF1AAF" w14:paraId="4F2A5B02" w14:textId="77777777" w:rsidTr="00F0495F">
      <w:tc>
        <w:tcPr>
          <w:tcW w:w="1736" w:type="dxa"/>
          <w:tcBorders>
            <w:top w:val="nil"/>
            <w:bottom w:val="single" w:sz="12" w:space="0" w:color="74B6D2" w:themeColor="background2" w:themeShade="BF"/>
          </w:tcBorders>
        </w:tcPr>
        <w:p w14:paraId="39984FFE" w14:textId="77777777" w:rsidR="00C9042E" w:rsidRPr="00FF1AAF" w:rsidRDefault="00C9042E" w:rsidP="00C9042E">
          <w:pPr>
            <w:pStyle w:val="Footer"/>
            <w:tabs>
              <w:tab w:val="clear" w:pos="4513"/>
              <w:tab w:val="clear" w:pos="9026"/>
              <w:tab w:val="center" w:pos="7230"/>
              <w:tab w:val="right" w:pos="10206"/>
            </w:tabs>
            <w:rPr>
              <w:rFonts w:ascii="Gotham Book" w:hAnsi="Gotham Book" w:cs="Arial"/>
              <w:sz w:val="18"/>
            </w:rPr>
          </w:pPr>
        </w:p>
      </w:tc>
      <w:tc>
        <w:tcPr>
          <w:tcW w:w="11340" w:type="dxa"/>
          <w:tcBorders>
            <w:top w:val="nil"/>
            <w:bottom w:val="single" w:sz="12" w:space="0" w:color="74B6D2" w:themeColor="background2" w:themeShade="BF"/>
          </w:tcBorders>
        </w:tcPr>
        <w:p w14:paraId="23418BBB" w14:textId="77777777" w:rsidR="00C9042E" w:rsidRPr="00FF1AAF" w:rsidRDefault="00C9042E" w:rsidP="00C9042E">
          <w:pPr>
            <w:pStyle w:val="Footer"/>
            <w:tabs>
              <w:tab w:val="clear" w:pos="4513"/>
              <w:tab w:val="clear" w:pos="9026"/>
              <w:tab w:val="center" w:pos="7230"/>
              <w:tab w:val="right" w:pos="10206"/>
            </w:tabs>
            <w:rPr>
              <w:rFonts w:ascii="Gotham Book" w:hAnsi="Gotham Book" w:cs="Arial"/>
              <w:sz w:val="18"/>
            </w:rPr>
          </w:pPr>
        </w:p>
      </w:tc>
      <w:tc>
        <w:tcPr>
          <w:tcW w:w="1275" w:type="dxa"/>
          <w:tcBorders>
            <w:top w:val="nil"/>
            <w:bottom w:val="single" w:sz="12" w:space="0" w:color="74B6D2" w:themeColor="background2" w:themeShade="BF"/>
          </w:tcBorders>
        </w:tcPr>
        <w:p w14:paraId="249A5136" w14:textId="77777777" w:rsidR="00C9042E" w:rsidRPr="00FF1AAF" w:rsidRDefault="00C9042E" w:rsidP="00C9042E">
          <w:pPr>
            <w:pStyle w:val="Footer"/>
            <w:tabs>
              <w:tab w:val="clear" w:pos="4513"/>
              <w:tab w:val="clear" w:pos="9026"/>
              <w:tab w:val="center" w:pos="7230"/>
              <w:tab w:val="right" w:pos="10206"/>
            </w:tabs>
            <w:rPr>
              <w:rFonts w:ascii="Gotham Book" w:hAnsi="Gotham Book" w:cs="Arial"/>
              <w:sz w:val="18"/>
            </w:rPr>
          </w:pPr>
        </w:p>
      </w:tc>
    </w:tr>
    <w:tr w:rsidR="00C9042E" w:rsidRPr="00FF1AAF" w14:paraId="2B194DA0" w14:textId="77777777" w:rsidTr="00F0495F">
      <w:tc>
        <w:tcPr>
          <w:tcW w:w="1736" w:type="dxa"/>
          <w:tcBorders>
            <w:top w:val="single" w:sz="12" w:space="0" w:color="74B6D2" w:themeColor="background2" w:themeShade="BF"/>
          </w:tcBorders>
        </w:tcPr>
        <w:p w14:paraId="26F24620" w14:textId="77777777" w:rsidR="00C9042E" w:rsidRPr="00FF1AAF" w:rsidRDefault="00C9042E" w:rsidP="00C9042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340" w:type="dxa"/>
          <w:tcBorders>
            <w:top w:val="single" w:sz="12" w:space="0" w:color="74B6D2" w:themeColor="background2" w:themeShade="BF"/>
          </w:tcBorders>
        </w:tcPr>
        <w:p w14:paraId="377910C4" w14:textId="77777777" w:rsidR="00C9042E" w:rsidRPr="00BF677F" w:rsidRDefault="00C9042E" w:rsidP="00C9042E">
          <w:pPr>
            <w:pStyle w:val="SecurityDLM"/>
            <w:spacing w:after="0" w:line="240" w:lineRule="auto"/>
            <w:ind w:left="0"/>
            <w:jc w:val="right"/>
            <w:rPr>
              <w:color w:val="595959" w:themeColor="text1" w:themeTint="A6"/>
            </w:rPr>
          </w:pPr>
          <w:r w:rsidRPr="00BF677F">
            <w:rPr>
              <w:color w:val="595959" w:themeColor="text1" w:themeTint="A6"/>
            </w:rPr>
            <w:t>Official</w:t>
          </w:r>
        </w:p>
        <w:p w14:paraId="3A85128F" w14:textId="77777777" w:rsidR="00C9042E" w:rsidRPr="00BF677F" w:rsidRDefault="00C9042E" w:rsidP="00C9042E">
          <w:pPr>
            <w:pStyle w:val="SecurityDLM"/>
            <w:spacing w:after="0" w:line="240" w:lineRule="auto"/>
            <w:ind w:left="0"/>
            <w:jc w:val="right"/>
            <w:rPr>
              <w:rFonts w:cs="Arial"/>
              <w:color w:val="595959" w:themeColor="text1" w:themeTint="A6"/>
              <w:sz w:val="18"/>
            </w:rPr>
          </w:pPr>
        </w:p>
      </w:tc>
      <w:tc>
        <w:tcPr>
          <w:tcW w:w="1275" w:type="dxa"/>
          <w:tcBorders>
            <w:top w:val="single" w:sz="12" w:space="0" w:color="74B6D2" w:themeColor="background2" w:themeShade="BF"/>
          </w:tcBorders>
        </w:tcPr>
        <w:p w14:paraId="1E25CC3F" w14:textId="0B3FBCAC" w:rsidR="00C9042E" w:rsidRPr="00FF1AAF" w:rsidRDefault="00C9042E" w:rsidP="00C9042E">
          <w:pPr>
            <w:pStyle w:val="Footer"/>
            <w:tabs>
              <w:tab w:val="clear" w:pos="4513"/>
              <w:tab w:val="clear" w:pos="9026"/>
              <w:tab w:val="center" w:pos="7230"/>
              <w:tab w:val="right" w:pos="10206"/>
            </w:tabs>
            <w:spacing w:before="240" w:line="240" w:lineRule="auto"/>
            <w:jc w:val="right"/>
            <w:rPr>
              <w:rFonts w:ascii="Gotham Book" w:hAnsi="Gotham Book" w:cs="Arial"/>
              <w:sz w:val="18"/>
            </w:rPr>
          </w:pPr>
        </w:p>
      </w:tc>
    </w:tr>
  </w:tbl>
  <w:p w14:paraId="46D22B4C" w14:textId="77777777" w:rsidR="00C9042E" w:rsidRPr="00C9042E" w:rsidRDefault="00C9042E" w:rsidP="00C9042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51" w:type="dxa"/>
      <w:tblInd w:w="-176" w:type="dxa"/>
      <w:tblBorders>
        <w:top w:val="single" w:sz="8" w:space="0" w:color="4BACC6"/>
      </w:tblBorders>
      <w:tblLayout w:type="fixed"/>
      <w:tblLook w:val="0620" w:firstRow="1" w:lastRow="0" w:firstColumn="0" w:lastColumn="0" w:noHBand="1" w:noVBand="1"/>
    </w:tblPr>
    <w:tblGrid>
      <w:gridCol w:w="1736"/>
      <w:gridCol w:w="11340"/>
      <w:gridCol w:w="1275"/>
    </w:tblGrid>
    <w:tr w:rsidR="00C9042E" w:rsidRPr="00FF1AAF" w14:paraId="388B06C9" w14:textId="77777777" w:rsidTr="00F0495F">
      <w:tc>
        <w:tcPr>
          <w:tcW w:w="1736" w:type="dxa"/>
          <w:tcBorders>
            <w:top w:val="nil"/>
            <w:bottom w:val="single" w:sz="12" w:space="0" w:color="74B6D2" w:themeColor="background2" w:themeShade="BF"/>
          </w:tcBorders>
        </w:tcPr>
        <w:p w14:paraId="409F8913" w14:textId="77777777" w:rsidR="00C9042E" w:rsidRPr="00FF1AAF" w:rsidRDefault="00C9042E" w:rsidP="00C9042E">
          <w:pPr>
            <w:pStyle w:val="Footer"/>
            <w:tabs>
              <w:tab w:val="clear" w:pos="4513"/>
              <w:tab w:val="clear" w:pos="9026"/>
              <w:tab w:val="center" w:pos="7230"/>
              <w:tab w:val="right" w:pos="10206"/>
            </w:tabs>
            <w:rPr>
              <w:rFonts w:ascii="Gotham Book" w:hAnsi="Gotham Book" w:cs="Arial"/>
              <w:sz w:val="18"/>
            </w:rPr>
          </w:pPr>
        </w:p>
      </w:tc>
      <w:tc>
        <w:tcPr>
          <w:tcW w:w="11340" w:type="dxa"/>
          <w:tcBorders>
            <w:top w:val="nil"/>
            <w:bottom w:val="single" w:sz="12" w:space="0" w:color="74B6D2" w:themeColor="background2" w:themeShade="BF"/>
          </w:tcBorders>
        </w:tcPr>
        <w:p w14:paraId="435A7113" w14:textId="77777777" w:rsidR="00C9042E" w:rsidRPr="00FF1AAF" w:rsidRDefault="00C9042E" w:rsidP="00C9042E">
          <w:pPr>
            <w:pStyle w:val="Footer"/>
            <w:tabs>
              <w:tab w:val="clear" w:pos="4513"/>
              <w:tab w:val="clear" w:pos="9026"/>
              <w:tab w:val="center" w:pos="7230"/>
              <w:tab w:val="right" w:pos="10206"/>
            </w:tabs>
            <w:rPr>
              <w:rFonts w:ascii="Gotham Book" w:hAnsi="Gotham Book" w:cs="Arial"/>
              <w:sz w:val="18"/>
            </w:rPr>
          </w:pPr>
        </w:p>
      </w:tc>
      <w:tc>
        <w:tcPr>
          <w:tcW w:w="1275" w:type="dxa"/>
          <w:tcBorders>
            <w:top w:val="nil"/>
            <w:bottom w:val="single" w:sz="12" w:space="0" w:color="74B6D2" w:themeColor="background2" w:themeShade="BF"/>
          </w:tcBorders>
        </w:tcPr>
        <w:p w14:paraId="7FB0B134" w14:textId="77777777" w:rsidR="00C9042E" w:rsidRPr="00FF1AAF" w:rsidRDefault="00C9042E" w:rsidP="00C9042E">
          <w:pPr>
            <w:pStyle w:val="Footer"/>
            <w:tabs>
              <w:tab w:val="clear" w:pos="4513"/>
              <w:tab w:val="clear" w:pos="9026"/>
              <w:tab w:val="center" w:pos="7230"/>
              <w:tab w:val="right" w:pos="10206"/>
            </w:tabs>
            <w:rPr>
              <w:rFonts w:ascii="Gotham Book" w:hAnsi="Gotham Book" w:cs="Arial"/>
              <w:sz w:val="18"/>
            </w:rPr>
          </w:pPr>
        </w:p>
      </w:tc>
    </w:tr>
    <w:tr w:rsidR="00C9042E" w:rsidRPr="00FF1AAF" w14:paraId="7FDC83D5" w14:textId="77777777" w:rsidTr="00F0495F">
      <w:tc>
        <w:tcPr>
          <w:tcW w:w="1736" w:type="dxa"/>
          <w:tcBorders>
            <w:top w:val="single" w:sz="12" w:space="0" w:color="74B6D2" w:themeColor="background2" w:themeShade="BF"/>
          </w:tcBorders>
        </w:tcPr>
        <w:p w14:paraId="48902044" w14:textId="77777777" w:rsidR="00C9042E" w:rsidRPr="00FF1AAF" w:rsidRDefault="00C9042E" w:rsidP="00C9042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340" w:type="dxa"/>
          <w:tcBorders>
            <w:top w:val="single" w:sz="12" w:space="0" w:color="74B6D2" w:themeColor="background2" w:themeShade="BF"/>
          </w:tcBorders>
        </w:tcPr>
        <w:p w14:paraId="5C32A2F9" w14:textId="77777777" w:rsidR="00C9042E" w:rsidRPr="00BF677F" w:rsidRDefault="00C9042E" w:rsidP="00C9042E">
          <w:pPr>
            <w:pStyle w:val="SecurityDLM"/>
            <w:spacing w:after="0" w:line="240" w:lineRule="auto"/>
            <w:ind w:left="0"/>
            <w:jc w:val="right"/>
            <w:rPr>
              <w:color w:val="595959" w:themeColor="text1" w:themeTint="A6"/>
            </w:rPr>
          </w:pPr>
          <w:r w:rsidRPr="00BF677F">
            <w:rPr>
              <w:color w:val="595959" w:themeColor="text1" w:themeTint="A6"/>
            </w:rPr>
            <w:t>Official</w:t>
          </w:r>
        </w:p>
        <w:p w14:paraId="1DA3153B" w14:textId="77777777" w:rsidR="00C9042E" w:rsidRPr="00BF677F" w:rsidRDefault="00C9042E" w:rsidP="00C9042E">
          <w:pPr>
            <w:pStyle w:val="SecurityDLM"/>
            <w:spacing w:after="0" w:line="240" w:lineRule="auto"/>
            <w:ind w:left="0"/>
            <w:jc w:val="right"/>
            <w:rPr>
              <w:rFonts w:cs="Arial"/>
              <w:color w:val="595959" w:themeColor="text1" w:themeTint="A6"/>
              <w:sz w:val="18"/>
            </w:rPr>
          </w:pPr>
        </w:p>
      </w:tc>
      <w:tc>
        <w:tcPr>
          <w:tcW w:w="1275" w:type="dxa"/>
          <w:tcBorders>
            <w:top w:val="single" w:sz="12" w:space="0" w:color="74B6D2" w:themeColor="background2" w:themeShade="BF"/>
          </w:tcBorders>
        </w:tcPr>
        <w:p w14:paraId="14724C0E" w14:textId="781C90BE" w:rsidR="00C9042E" w:rsidRPr="00FF1AAF" w:rsidRDefault="00C9042E" w:rsidP="00C9042E">
          <w:pPr>
            <w:pStyle w:val="Footer"/>
            <w:tabs>
              <w:tab w:val="clear" w:pos="4513"/>
              <w:tab w:val="clear" w:pos="9026"/>
              <w:tab w:val="center" w:pos="7230"/>
              <w:tab w:val="right" w:pos="10206"/>
            </w:tabs>
            <w:spacing w:before="240" w:line="240" w:lineRule="auto"/>
            <w:jc w:val="right"/>
            <w:rPr>
              <w:rFonts w:ascii="Gotham Book" w:hAnsi="Gotham Book" w:cs="Arial"/>
              <w:sz w:val="18"/>
            </w:rPr>
          </w:pPr>
        </w:p>
      </w:tc>
    </w:tr>
  </w:tbl>
  <w:p w14:paraId="0E881CD1" w14:textId="77777777" w:rsidR="00C9042E" w:rsidRPr="00C9042E" w:rsidRDefault="00C9042E" w:rsidP="00C904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2308EE" w:rsidRPr="00FF1AAF" w14:paraId="6F83109D" w14:textId="77777777" w:rsidTr="00153946">
      <w:tc>
        <w:tcPr>
          <w:tcW w:w="1452" w:type="dxa"/>
          <w:tcBorders>
            <w:top w:val="nil"/>
            <w:bottom w:val="single" w:sz="8" w:space="0" w:color="4BACC6"/>
          </w:tcBorders>
        </w:tcPr>
        <w:p w14:paraId="688C4BE8"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6948F791"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2F4E7248"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0390A403" w14:textId="77777777" w:rsidTr="00153946">
      <w:tc>
        <w:tcPr>
          <w:tcW w:w="1452" w:type="dxa"/>
          <w:tcBorders>
            <w:top w:val="single" w:sz="8" w:space="0" w:color="4BACC6"/>
          </w:tcBorders>
        </w:tcPr>
        <w:p w14:paraId="12215CC9"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24F14757" w14:textId="77777777" w:rsidR="002308EE" w:rsidRPr="00F0495F" w:rsidRDefault="0097533D" w:rsidP="002308EE">
          <w:pPr>
            <w:pStyle w:val="SecurityDLM"/>
            <w:spacing w:after="0" w:line="240" w:lineRule="auto"/>
            <w:ind w:left="0"/>
            <w:jc w:val="right"/>
            <w:rPr>
              <w:color w:val="595959" w:themeColor="text1" w:themeTint="A6"/>
            </w:rPr>
          </w:pPr>
          <w:r w:rsidRPr="00F0495F">
            <w:rPr>
              <w:color w:val="595959" w:themeColor="text1" w:themeTint="A6"/>
            </w:rPr>
            <w:t>Official</w:t>
          </w:r>
        </w:p>
        <w:p w14:paraId="574A908C" w14:textId="77777777" w:rsidR="0097533D" w:rsidRPr="00F0495F" w:rsidRDefault="0097533D" w:rsidP="002308EE">
          <w:pPr>
            <w:pStyle w:val="SecurityDLM"/>
            <w:spacing w:after="0" w:line="240" w:lineRule="auto"/>
            <w:ind w:left="0"/>
            <w:jc w:val="right"/>
            <w:rPr>
              <w:rFonts w:cs="Arial"/>
              <w:color w:val="595959" w:themeColor="text1" w:themeTint="A6"/>
              <w:sz w:val="18"/>
            </w:rPr>
          </w:pPr>
        </w:p>
      </w:tc>
      <w:tc>
        <w:tcPr>
          <w:tcW w:w="1366" w:type="dxa"/>
          <w:tcBorders>
            <w:top w:val="single" w:sz="8" w:space="0" w:color="4BACC6"/>
          </w:tcBorders>
        </w:tcPr>
        <w:p w14:paraId="629830AF"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7B2B7CBE" wp14:editId="4E5D72B8">
                <wp:extent cx="617855" cy="380365"/>
                <wp:effectExtent l="0" t="0" r="0" b="635"/>
                <wp:docPr id="974900960" name="Picture 97490096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7F8EA4F5"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387FC7" w:rsidRPr="00FF1AAF" w14:paraId="6FDE1889" w14:textId="77777777" w:rsidTr="00153946">
      <w:tc>
        <w:tcPr>
          <w:tcW w:w="1452" w:type="dxa"/>
          <w:tcBorders>
            <w:top w:val="nil"/>
            <w:bottom w:val="single" w:sz="8" w:space="0" w:color="4BACC6"/>
          </w:tcBorders>
        </w:tcPr>
        <w:p w14:paraId="03767B1A" w14:textId="77777777" w:rsidR="00387FC7" w:rsidRPr="00FF1AAF" w:rsidRDefault="00387FC7" w:rsidP="00387FC7">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735D418D" w14:textId="77777777" w:rsidR="00387FC7" w:rsidRPr="00FF1AAF" w:rsidRDefault="00387FC7" w:rsidP="00387FC7">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5BA8A566" w14:textId="77777777" w:rsidR="00387FC7" w:rsidRPr="00FF1AAF" w:rsidRDefault="00387FC7" w:rsidP="00387FC7">
          <w:pPr>
            <w:pStyle w:val="Footer"/>
            <w:tabs>
              <w:tab w:val="clear" w:pos="4513"/>
              <w:tab w:val="clear" w:pos="9026"/>
              <w:tab w:val="center" w:pos="7230"/>
              <w:tab w:val="right" w:pos="10206"/>
            </w:tabs>
            <w:rPr>
              <w:rFonts w:ascii="Gotham Book" w:hAnsi="Gotham Book" w:cs="Arial"/>
              <w:sz w:val="18"/>
            </w:rPr>
          </w:pPr>
        </w:p>
      </w:tc>
    </w:tr>
    <w:tr w:rsidR="00387FC7" w:rsidRPr="00FF1AAF" w14:paraId="37FAC049" w14:textId="77777777" w:rsidTr="00153946">
      <w:tc>
        <w:tcPr>
          <w:tcW w:w="1452" w:type="dxa"/>
          <w:tcBorders>
            <w:top w:val="single" w:sz="8" w:space="0" w:color="4BACC6"/>
          </w:tcBorders>
        </w:tcPr>
        <w:p w14:paraId="366041D9" w14:textId="77777777" w:rsidR="00387FC7" w:rsidRPr="00FF1AAF" w:rsidRDefault="00387FC7" w:rsidP="00387FC7">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25CAE1E6" w14:textId="77777777" w:rsidR="00387FC7" w:rsidRPr="00F0495F" w:rsidRDefault="00387FC7" w:rsidP="00387FC7">
          <w:pPr>
            <w:pStyle w:val="SecurityDLM"/>
            <w:spacing w:after="0" w:line="240" w:lineRule="auto"/>
            <w:ind w:left="0"/>
            <w:jc w:val="right"/>
            <w:rPr>
              <w:color w:val="595959" w:themeColor="text1" w:themeTint="A6"/>
            </w:rPr>
          </w:pPr>
          <w:r w:rsidRPr="00F0495F">
            <w:rPr>
              <w:color w:val="595959" w:themeColor="text1" w:themeTint="A6"/>
            </w:rPr>
            <w:t>Official</w:t>
          </w:r>
        </w:p>
        <w:p w14:paraId="7348F3A4" w14:textId="77777777" w:rsidR="00387FC7" w:rsidRPr="00F0495F" w:rsidRDefault="00387FC7" w:rsidP="00387FC7">
          <w:pPr>
            <w:pStyle w:val="SecurityDLM"/>
            <w:spacing w:after="0" w:line="240" w:lineRule="auto"/>
            <w:ind w:left="0"/>
            <w:jc w:val="right"/>
            <w:rPr>
              <w:rFonts w:cs="Arial"/>
              <w:color w:val="595959" w:themeColor="text1" w:themeTint="A6"/>
              <w:sz w:val="18"/>
            </w:rPr>
          </w:pPr>
        </w:p>
      </w:tc>
      <w:tc>
        <w:tcPr>
          <w:tcW w:w="1366" w:type="dxa"/>
          <w:tcBorders>
            <w:top w:val="single" w:sz="8" w:space="0" w:color="4BACC6"/>
          </w:tcBorders>
        </w:tcPr>
        <w:p w14:paraId="50B7D888" w14:textId="77777777" w:rsidR="00387FC7" w:rsidRPr="00FF1AAF" w:rsidRDefault="00387FC7" w:rsidP="00387FC7">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29AF730F" wp14:editId="4ADDC550">
                <wp:extent cx="617855" cy="380365"/>
                <wp:effectExtent l="0" t="0" r="0" b="635"/>
                <wp:docPr id="1759472294" name="Picture 1759472294"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419E4D35" w14:textId="77777777" w:rsidR="002308EE" w:rsidRPr="00387FC7" w:rsidRDefault="002308EE" w:rsidP="00387F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2308EE" w:rsidRPr="00FF1AAF" w14:paraId="3DC174D4" w14:textId="77777777" w:rsidTr="00153946">
      <w:tc>
        <w:tcPr>
          <w:tcW w:w="1452" w:type="dxa"/>
          <w:tcBorders>
            <w:top w:val="nil"/>
            <w:bottom w:val="single" w:sz="8" w:space="0" w:color="4BACC6"/>
          </w:tcBorders>
        </w:tcPr>
        <w:p w14:paraId="254099EA"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3A5D5B22"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2A7DF8E0"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18DA08C1" w14:textId="77777777" w:rsidTr="00153946">
      <w:tc>
        <w:tcPr>
          <w:tcW w:w="1452" w:type="dxa"/>
          <w:tcBorders>
            <w:top w:val="single" w:sz="8" w:space="0" w:color="4BACC6"/>
          </w:tcBorders>
        </w:tcPr>
        <w:p w14:paraId="41ABBF7C"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10765C4D" w14:textId="77777777" w:rsidR="002308EE" w:rsidRPr="00F0495F" w:rsidRDefault="0097533D" w:rsidP="002308EE">
          <w:pPr>
            <w:pStyle w:val="SecurityDLM"/>
            <w:spacing w:after="0" w:line="240" w:lineRule="auto"/>
            <w:ind w:left="0"/>
            <w:jc w:val="right"/>
            <w:rPr>
              <w:color w:val="595959" w:themeColor="text1" w:themeTint="A6"/>
            </w:rPr>
          </w:pPr>
          <w:r w:rsidRPr="00F0495F">
            <w:rPr>
              <w:color w:val="595959" w:themeColor="text1" w:themeTint="A6"/>
            </w:rPr>
            <w:t>Official</w:t>
          </w:r>
        </w:p>
        <w:p w14:paraId="74DDC30C" w14:textId="2D70511F" w:rsidR="0097533D" w:rsidRPr="00F0495F" w:rsidRDefault="0097533D" w:rsidP="002308EE">
          <w:pPr>
            <w:pStyle w:val="SecurityDLM"/>
            <w:spacing w:after="0" w:line="240" w:lineRule="auto"/>
            <w:ind w:left="0"/>
            <w:jc w:val="right"/>
            <w:rPr>
              <w:rFonts w:cs="Arial"/>
              <w:color w:val="595959" w:themeColor="text1" w:themeTint="A6"/>
              <w:sz w:val="18"/>
            </w:rPr>
          </w:pPr>
        </w:p>
      </w:tc>
      <w:tc>
        <w:tcPr>
          <w:tcW w:w="1366" w:type="dxa"/>
          <w:tcBorders>
            <w:top w:val="single" w:sz="8" w:space="0" w:color="4BACC6"/>
          </w:tcBorders>
        </w:tcPr>
        <w:p w14:paraId="7A909CBD" w14:textId="284F35C0"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7B2B7CBE" wp14:editId="4E5D72B8">
                <wp:extent cx="617855" cy="380365"/>
                <wp:effectExtent l="0" t="0" r="0" b="635"/>
                <wp:docPr id="938884901" name="Picture 938884901"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67622E8E" w14:textId="77777777" w:rsidR="002308EE" w:rsidRDefault="002308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387FC7" w:rsidRPr="00FF1AAF" w14:paraId="6DBF8F68" w14:textId="77777777" w:rsidTr="00153946">
      <w:tc>
        <w:tcPr>
          <w:tcW w:w="1452" w:type="dxa"/>
          <w:tcBorders>
            <w:top w:val="nil"/>
            <w:bottom w:val="single" w:sz="8" w:space="0" w:color="4BACC6"/>
          </w:tcBorders>
        </w:tcPr>
        <w:p w14:paraId="67AD90E4" w14:textId="77777777" w:rsidR="00387FC7" w:rsidRPr="00FF1AAF" w:rsidRDefault="00387FC7" w:rsidP="00387FC7">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089C6023" w14:textId="77777777" w:rsidR="00387FC7" w:rsidRPr="00FF1AAF" w:rsidRDefault="00387FC7" w:rsidP="00387FC7">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7220C201" w14:textId="77777777" w:rsidR="00387FC7" w:rsidRPr="00FF1AAF" w:rsidRDefault="00387FC7" w:rsidP="00387FC7">
          <w:pPr>
            <w:pStyle w:val="Footer"/>
            <w:tabs>
              <w:tab w:val="clear" w:pos="4513"/>
              <w:tab w:val="clear" w:pos="9026"/>
              <w:tab w:val="center" w:pos="7230"/>
              <w:tab w:val="right" w:pos="10206"/>
            </w:tabs>
            <w:rPr>
              <w:rFonts w:ascii="Gotham Book" w:hAnsi="Gotham Book" w:cs="Arial"/>
              <w:sz w:val="18"/>
            </w:rPr>
          </w:pPr>
        </w:p>
      </w:tc>
    </w:tr>
    <w:tr w:rsidR="00387FC7" w:rsidRPr="00FF1AAF" w14:paraId="7255FC59" w14:textId="77777777" w:rsidTr="00153946">
      <w:tc>
        <w:tcPr>
          <w:tcW w:w="1452" w:type="dxa"/>
          <w:tcBorders>
            <w:top w:val="single" w:sz="8" w:space="0" w:color="4BACC6"/>
          </w:tcBorders>
        </w:tcPr>
        <w:p w14:paraId="68ED6A1C" w14:textId="77777777" w:rsidR="00387FC7" w:rsidRPr="00FF1AAF" w:rsidRDefault="00387FC7" w:rsidP="00387FC7">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770CB293" w14:textId="77777777" w:rsidR="00387FC7" w:rsidRPr="000163C7" w:rsidRDefault="00387FC7" w:rsidP="00387FC7">
          <w:pPr>
            <w:pStyle w:val="SecurityDLM"/>
            <w:spacing w:after="0" w:line="240" w:lineRule="auto"/>
            <w:ind w:left="0"/>
            <w:jc w:val="right"/>
            <w:rPr>
              <w:color w:val="595959" w:themeColor="text1" w:themeTint="A6"/>
            </w:rPr>
          </w:pPr>
          <w:r w:rsidRPr="000163C7">
            <w:rPr>
              <w:color w:val="595959" w:themeColor="text1" w:themeTint="A6"/>
            </w:rPr>
            <w:t>Official</w:t>
          </w:r>
        </w:p>
        <w:p w14:paraId="3D2B9BA7" w14:textId="77777777" w:rsidR="00387FC7" w:rsidRPr="000163C7" w:rsidRDefault="00387FC7" w:rsidP="00387FC7">
          <w:pPr>
            <w:pStyle w:val="SecurityDLM"/>
            <w:spacing w:after="0" w:line="240" w:lineRule="auto"/>
            <w:ind w:left="0"/>
            <w:jc w:val="right"/>
            <w:rPr>
              <w:rFonts w:cs="Arial"/>
              <w:color w:val="595959" w:themeColor="text1" w:themeTint="A6"/>
              <w:sz w:val="18"/>
            </w:rPr>
          </w:pPr>
        </w:p>
      </w:tc>
      <w:tc>
        <w:tcPr>
          <w:tcW w:w="1366" w:type="dxa"/>
          <w:tcBorders>
            <w:top w:val="single" w:sz="8" w:space="0" w:color="4BACC6"/>
          </w:tcBorders>
        </w:tcPr>
        <w:p w14:paraId="4CFF1F06" w14:textId="77777777" w:rsidR="00387FC7" w:rsidRPr="00FF1AAF" w:rsidRDefault="00387FC7" w:rsidP="00387FC7">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1ED7CC9C" wp14:editId="57D13085">
                <wp:extent cx="617855" cy="380365"/>
                <wp:effectExtent l="0" t="0" r="0" b="635"/>
                <wp:docPr id="661200994" name="Picture 661200994"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67BED3FF" w14:textId="77777777" w:rsidR="00387FC7" w:rsidRPr="00387FC7" w:rsidRDefault="00387FC7" w:rsidP="00387FC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51" w:type="dxa"/>
      <w:tblInd w:w="-176" w:type="dxa"/>
      <w:tblBorders>
        <w:top w:val="single" w:sz="8" w:space="0" w:color="4BACC6"/>
      </w:tblBorders>
      <w:tblLayout w:type="fixed"/>
      <w:tblLook w:val="0620" w:firstRow="1" w:lastRow="0" w:firstColumn="0" w:lastColumn="0" w:noHBand="1" w:noVBand="1"/>
    </w:tblPr>
    <w:tblGrid>
      <w:gridCol w:w="1736"/>
      <w:gridCol w:w="11340"/>
      <w:gridCol w:w="1275"/>
    </w:tblGrid>
    <w:tr w:rsidR="00E072FD" w:rsidRPr="00FF1AAF" w14:paraId="493585B7" w14:textId="77777777" w:rsidTr="00153946">
      <w:tc>
        <w:tcPr>
          <w:tcW w:w="1736" w:type="dxa"/>
          <w:tcBorders>
            <w:top w:val="nil"/>
            <w:bottom w:val="single" w:sz="12" w:space="0" w:color="74B6D2" w:themeColor="background2" w:themeShade="BF"/>
          </w:tcBorders>
        </w:tcPr>
        <w:p w14:paraId="00F88DC3" w14:textId="77777777" w:rsidR="00E072FD" w:rsidRPr="00FF1AAF" w:rsidRDefault="00E072FD" w:rsidP="00E072FD">
          <w:pPr>
            <w:pStyle w:val="Footer"/>
            <w:tabs>
              <w:tab w:val="clear" w:pos="4513"/>
              <w:tab w:val="clear" w:pos="9026"/>
              <w:tab w:val="center" w:pos="7230"/>
              <w:tab w:val="right" w:pos="10206"/>
            </w:tabs>
            <w:rPr>
              <w:rFonts w:ascii="Gotham Book" w:hAnsi="Gotham Book" w:cs="Arial"/>
              <w:sz w:val="18"/>
            </w:rPr>
          </w:pPr>
        </w:p>
      </w:tc>
      <w:tc>
        <w:tcPr>
          <w:tcW w:w="11340" w:type="dxa"/>
          <w:tcBorders>
            <w:top w:val="nil"/>
            <w:bottom w:val="single" w:sz="12" w:space="0" w:color="74B6D2" w:themeColor="background2" w:themeShade="BF"/>
          </w:tcBorders>
        </w:tcPr>
        <w:p w14:paraId="5A632577" w14:textId="77777777" w:rsidR="00E072FD" w:rsidRPr="00FF1AAF" w:rsidRDefault="00E072FD" w:rsidP="00E072FD">
          <w:pPr>
            <w:pStyle w:val="Footer"/>
            <w:tabs>
              <w:tab w:val="clear" w:pos="4513"/>
              <w:tab w:val="clear" w:pos="9026"/>
              <w:tab w:val="center" w:pos="7230"/>
              <w:tab w:val="right" w:pos="10206"/>
            </w:tabs>
            <w:rPr>
              <w:rFonts w:ascii="Gotham Book" w:hAnsi="Gotham Book" w:cs="Arial"/>
              <w:sz w:val="18"/>
            </w:rPr>
          </w:pPr>
        </w:p>
      </w:tc>
      <w:tc>
        <w:tcPr>
          <w:tcW w:w="1275" w:type="dxa"/>
          <w:tcBorders>
            <w:top w:val="nil"/>
            <w:bottom w:val="single" w:sz="12" w:space="0" w:color="74B6D2" w:themeColor="background2" w:themeShade="BF"/>
          </w:tcBorders>
        </w:tcPr>
        <w:p w14:paraId="28A125D8" w14:textId="77777777" w:rsidR="00E072FD" w:rsidRPr="00FF1AAF" w:rsidRDefault="00E072FD" w:rsidP="00E072FD">
          <w:pPr>
            <w:pStyle w:val="Footer"/>
            <w:tabs>
              <w:tab w:val="clear" w:pos="4513"/>
              <w:tab w:val="clear" w:pos="9026"/>
              <w:tab w:val="center" w:pos="7230"/>
              <w:tab w:val="right" w:pos="10206"/>
            </w:tabs>
            <w:rPr>
              <w:rFonts w:ascii="Gotham Book" w:hAnsi="Gotham Book" w:cs="Arial"/>
              <w:sz w:val="18"/>
            </w:rPr>
          </w:pPr>
        </w:p>
      </w:tc>
    </w:tr>
    <w:tr w:rsidR="00E072FD" w:rsidRPr="00FF1AAF" w14:paraId="6932B4EB" w14:textId="77777777" w:rsidTr="00153946">
      <w:tc>
        <w:tcPr>
          <w:tcW w:w="1736" w:type="dxa"/>
          <w:tcBorders>
            <w:top w:val="single" w:sz="12" w:space="0" w:color="74B6D2" w:themeColor="background2" w:themeShade="BF"/>
          </w:tcBorders>
        </w:tcPr>
        <w:p w14:paraId="2557AACE" w14:textId="77777777" w:rsidR="00E072FD" w:rsidRPr="00FF1AAF" w:rsidRDefault="00E072FD" w:rsidP="00E072FD">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340" w:type="dxa"/>
          <w:tcBorders>
            <w:top w:val="single" w:sz="12" w:space="0" w:color="74B6D2" w:themeColor="background2" w:themeShade="BF"/>
          </w:tcBorders>
        </w:tcPr>
        <w:p w14:paraId="51BBA3CF" w14:textId="77777777" w:rsidR="00E072FD" w:rsidRPr="000163C7" w:rsidRDefault="00E072FD" w:rsidP="00E072FD">
          <w:pPr>
            <w:pStyle w:val="SecurityDLM"/>
            <w:spacing w:after="0" w:line="240" w:lineRule="auto"/>
            <w:ind w:left="0"/>
            <w:jc w:val="right"/>
            <w:rPr>
              <w:color w:val="595959" w:themeColor="text1" w:themeTint="A6"/>
            </w:rPr>
          </w:pPr>
          <w:r w:rsidRPr="000163C7">
            <w:rPr>
              <w:color w:val="595959" w:themeColor="text1" w:themeTint="A6"/>
            </w:rPr>
            <w:t>Official</w:t>
          </w:r>
        </w:p>
        <w:p w14:paraId="2F4054D6" w14:textId="77777777" w:rsidR="00E072FD" w:rsidRPr="000163C7" w:rsidRDefault="00E072FD" w:rsidP="00E072FD">
          <w:pPr>
            <w:pStyle w:val="SecurityDLM"/>
            <w:spacing w:after="0" w:line="240" w:lineRule="auto"/>
            <w:ind w:left="0"/>
            <w:jc w:val="right"/>
            <w:rPr>
              <w:rFonts w:cs="Arial"/>
              <w:color w:val="595959" w:themeColor="text1" w:themeTint="A6"/>
              <w:sz w:val="18"/>
            </w:rPr>
          </w:pPr>
        </w:p>
      </w:tc>
      <w:tc>
        <w:tcPr>
          <w:tcW w:w="1275" w:type="dxa"/>
          <w:tcBorders>
            <w:top w:val="single" w:sz="12" w:space="0" w:color="74B6D2" w:themeColor="background2" w:themeShade="BF"/>
          </w:tcBorders>
        </w:tcPr>
        <w:p w14:paraId="520371D4" w14:textId="77777777" w:rsidR="00E072FD" w:rsidRPr="00FF1AAF" w:rsidRDefault="00E072FD" w:rsidP="00E072FD">
          <w:pPr>
            <w:pStyle w:val="Footer"/>
            <w:tabs>
              <w:tab w:val="clear" w:pos="4513"/>
              <w:tab w:val="clear" w:pos="9026"/>
              <w:tab w:val="center" w:pos="7230"/>
              <w:tab w:val="right" w:pos="10206"/>
            </w:tabs>
            <w:spacing w:before="240" w:line="240" w:lineRule="auto"/>
            <w:jc w:val="right"/>
            <w:rPr>
              <w:rFonts w:ascii="Gotham Book" w:hAnsi="Gotham Book" w:cs="Arial"/>
              <w:sz w:val="18"/>
            </w:rPr>
          </w:pPr>
          <w:r w:rsidRPr="00FF1AAF">
            <w:rPr>
              <w:rFonts w:ascii="Gotham Book" w:hAnsi="Gotham Book"/>
              <w:noProof/>
              <w:color w:val="4BACC6"/>
              <w:sz w:val="18"/>
            </w:rPr>
            <w:drawing>
              <wp:inline distT="0" distB="0" distL="0" distR="0" wp14:anchorId="59539295" wp14:editId="762B3797">
                <wp:extent cx="617855" cy="380365"/>
                <wp:effectExtent l="0" t="0" r="0" b="635"/>
                <wp:docPr id="28" name="Picture 28"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3CD73655" w14:textId="77777777" w:rsidR="00194DB3" w:rsidRPr="00E072FD" w:rsidRDefault="00194DB3" w:rsidP="00E072F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387FC7" w:rsidRPr="00FF1AAF" w14:paraId="2C77C679" w14:textId="77777777" w:rsidTr="00153946">
      <w:tc>
        <w:tcPr>
          <w:tcW w:w="1452" w:type="dxa"/>
          <w:tcBorders>
            <w:top w:val="nil"/>
            <w:bottom w:val="single" w:sz="8" w:space="0" w:color="4BACC6"/>
          </w:tcBorders>
        </w:tcPr>
        <w:p w14:paraId="0B7137B9" w14:textId="77777777" w:rsidR="00387FC7" w:rsidRPr="00FF1AAF" w:rsidRDefault="00387FC7" w:rsidP="00387FC7">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1173795E" w14:textId="77777777" w:rsidR="00387FC7" w:rsidRPr="00FF1AAF" w:rsidRDefault="00387FC7" w:rsidP="00387FC7">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1603D7BA" w14:textId="77777777" w:rsidR="00387FC7" w:rsidRPr="00FF1AAF" w:rsidRDefault="00387FC7" w:rsidP="00387FC7">
          <w:pPr>
            <w:pStyle w:val="Footer"/>
            <w:tabs>
              <w:tab w:val="clear" w:pos="4513"/>
              <w:tab w:val="clear" w:pos="9026"/>
              <w:tab w:val="center" w:pos="7230"/>
              <w:tab w:val="right" w:pos="10206"/>
            </w:tabs>
            <w:rPr>
              <w:rFonts w:ascii="Gotham Book" w:hAnsi="Gotham Book" w:cs="Arial"/>
              <w:sz w:val="18"/>
            </w:rPr>
          </w:pPr>
        </w:p>
      </w:tc>
    </w:tr>
    <w:tr w:rsidR="00387FC7" w:rsidRPr="00FF1AAF" w14:paraId="765A19B0" w14:textId="77777777" w:rsidTr="00153946">
      <w:tc>
        <w:tcPr>
          <w:tcW w:w="1452" w:type="dxa"/>
          <w:tcBorders>
            <w:top w:val="single" w:sz="8" w:space="0" w:color="4BACC6"/>
          </w:tcBorders>
        </w:tcPr>
        <w:p w14:paraId="0A05E9E0" w14:textId="77777777" w:rsidR="00387FC7" w:rsidRPr="00FF1AAF" w:rsidRDefault="00387FC7" w:rsidP="00387FC7">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1FE9E8A7" w14:textId="77777777" w:rsidR="00387FC7" w:rsidRPr="000163C7" w:rsidRDefault="00387FC7" w:rsidP="00387FC7">
          <w:pPr>
            <w:pStyle w:val="SecurityDLM"/>
            <w:spacing w:after="0" w:line="240" w:lineRule="auto"/>
            <w:ind w:left="0"/>
            <w:jc w:val="right"/>
            <w:rPr>
              <w:color w:val="595959" w:themeColor="text1" w:themeTint="A6"/>
            </w:rPr>
          </w:pPr>
          <w:r w:rsidRPr="000163C7">
            <w:rPr>
              <w:color w:val="595959" w:themeColor="text1" w:themeTint="A6"/>
            </w:rPr>
            <w:t>Official</w:t>
          </w:r>
        </w:p>
        <w:p w14:paraId="6B8F23EF" w14:textId="77777777" w:rsidR="00387FC7" w:rsidRPr="000163C7" w:rsidRDefault="00387FC7" w:rsidP="00387FC7">
          <w:pPr>
            <w:pStyle w:val="SecurityDLM"/>
            <w:spacing w:after="0" w:line="240" w:lineRule="auto"/>
            <w:ind w:left="0"/>
            <w:jc w:val="right"/>
            <w:rPr>
              <w:rFonts w:cs="Arial"/>
              <w:color w:val="595959" w:themeColor="text1" w:themeTint="A6"/>
              <w:sz w:val="18"/>
            </w:rPr>
          </w:pPr>
        </w:p>
      </w:tc>
      <w:tc>
        <w:tcPr>
          <w:tcW w:w="1366" w:type="dxa"/>
          <w:tcBorders>
            <w:top w:val="single" w:sz="8" w:space="0" w:color="4BACC6"/>
          </w:tcBorders>
        </w:tcPr>
        <w:p w14:paraId="6D627CC9" w14:textId="77777777" w:rsidR="00387FC7" w:rsidRPr="00FF1AAF" w:rsidRDefault="00387FC7" w:rsidP="00387FC7">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799859B6" wp14:editId="64B6A728">
                <wp:extent cx="617855" cy="380365"/>
                <wp:effectExtent l="0" t="0" r="0" b="635"/>
                <wp:docPr id="492384640" name="Picture 49238464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117911C0" w14:textId="77777777" w:rsidR="00387FC7" w:rsidRPr="00387FC7" w:rsidRDefault="00387FC7" w:rsidP="00387FC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51" w:type="dxa"/>
      <w:tblInd w:w="-176" w:type="dxa"/>
      <w:tblBorders>
        <w:top w:val="single" w:sz="8" w:space="0" w:color="4BACC6"/>
      </w:tblBorders>
      <w:tblLayout w:type="fixed"/>
      <w:tblLook w:val="0620" w:firstRow="1" w:lastRow="0" w:firstColumn="0" w:lastColumn="0" w:noHBand="1" w:noVBand="1"/>
    </w:tblPr>
    <w:tblGrid>
      <w:gridCol w:w="1736"/>
      <w:gridCol w:w="11340"/>
      <w:gridCol w:w="1275"/>
    </w:tblGrid>
    <w:tr w:rsidR="00DB636E" w:rsidRPr="00FF1AAF" w14:paraId="61BBE766" w14:textId="77777777" w:rsidTr="00153946">
      <w:tc>
        <w:tcPr>
          <w:tcW w:w="1736" w:type="dxa"/>
          <w:tcBorders>
            <w:top w:val="nil"/>
            <w:bottom w:val="single" w:sz="12" w:space="0" w:color="74B6D2" w:themeColor="background2" w:themeShade="BF"/>
          </w:tcBorders>
        </w:tcPr>
        <w:p w14:paraId="60E65D9C" w14:textId="77777777" w:rsidR="00DB636E" w:rsidRPr="00FF1AAF" w:rsidRDefault="00DB636E" w:rsidP="00DB636E">
          <w:pPr>
            <w:pStyle w:val="Footer"/>
            <w:tabs>
              <w:tab w:val="clear" w:pos="4513"/>
              <w:tab w:val="clear" w:pos="9026"/>
              <w:tab w:val="center" w:pos="7230"/>
              <w:tab w:val="right" w:pos="10206"/>
            </w:tabs>
            <w:rPr>
              <w:rFonts w:ascii="Gotham Book" w:hAnsi="Gotham Book" w:cs="Arial"/>
              <w:sz w:val="18"/>
            </w:rPr>
          </w:pPr>
        </w:p>
      </w:tc>
      <w:tc>
        <w:tcPr>
          <w:tcW w:w="11340" w:type="dxa"/>
          <w:tcBorders>
            <w:top w:val="nil"/>
            <w:bottom w:val="single" w:sz="12" w:space="0" w:color="74B6D2" w:themeColor="background2" w:themeShade="BF"/>
          </w:tcBorders>
        </w:tcPr>
        <w:p w14:paraId="00A21B0B" w14:textId="77777777" w:rsidR="00DB636E" w:rsidRPr="00FF1AAF" w:rsidRDefault="00DB636E" w:rsidP="00DB636E">
          <w:pPr>
            <w:pStyle w:val="Footer"/>
            <w:tabs>
              <w:tab w:val="clear" w:pos="4513"/>
              <w:tab w:val="clear" w:pos="9026"/>
              <w:tab w:val="center" w:pos="7230"/>
              <w:tab w:val="right" w:pos="10206"/>
            </w:tabs>
            <w:rPr>
              <w:rFonts w:ascii="Gotham Book" w:hAnsi="Gotham Book" w:cs="Arial"/>
              <w:sz w:val="18"/>
            </w:rPr>
          </w:pPr>
        </w:p>
      </w:tc>
      <w:tc>
        <w:tcPr>
          <w:tcW w:w="1275" w:type="dxa"/>
          <w:tcBorders>
            <w:top w:val="nil"/>
            <w:bottom w:val="single" w:sz="12" w:space="0" w:color="74B6D2" w:themeColor="background2" w:themeShade="BF"/>
          </w:tcBorders>
        </w:tcPr>
        <w:p w14:paraId="65F421A7" w14:textId="77777777" w:rsidR="00DB636E" w:rsidRPr="00FF1AAF" w:rsidRDefault="00DB636E" w:rsidP="00DB636E">
          <w:pPr>
            <w:pStyle w:val="Footer"/>
            <w:tabs>
              <w:tab w:val="clear" w:pos="4513"/>
              <w:tab w:val="clear" w:pos="9026"/>
              <w:tab w:val="center" w:pos="7230"/>
              <w:tab w:val="right" w:pos="10206"/>
            </w:tabs>
            <w:rPr>
              <w:rFonts w:ascii="Gotham Book" w:hAnsi="Gotham Book" w:cs="Arial"/>
              <w:sz w:val="18"/>
            </w:rPr>
          </w:pPr>
        </w:p>
      </w:tc>
    </w:tr>
    <w:tr w:rsidR="00DB636E" w:rsidRPr="00FF1AAF" w14:paraId="2BE8416B" w14:textId="77777777" w:rsidTr="00153946">
      <w:tc>
        <w:tcPr>
          <w:tcW w:w="1736" w:type="dxa"/>
          <w:tcBorders>
            <w:top w:val="single" w:sz="12" w:space="0" w:color="74B6D2" w:themeColor="background2" w:themeShade="BF"/>
          </w:tcBorders>
        </w:tcPr>
        <w:p w14:paraId="00A9104C" w14:textId="77777777" w:rsidR="00DB636E" w:rsidRPr="00FF1AAF" w:rsidRDefault="00DB636E" w:rsidP="00DB636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340" w:type="dxa"/>
          <w:tcBorders>
            <w:top w:val="single" w:sz="12" w:space="0" w:color="74B6D2" w:themeColor="background2" w:themeShade="BF"/>
          </w:tcBorders>
        </w:tcPr>
        <w:p w14:paraId="70E2D7B9" w14:textId="77777777" w:rsidR="00DB636E" w:rsidRPr="000163C7" w:rsidRDefault="00DB636E" w:rsidP="00DB636E">
          <w:pPr>
            <w:pStyle w:val="SecurityDLM"/>
            <w:spacing w:after="0" w:line="240" w:lineRule="auto"/>
            <w:ind w:left="0"/>
            <w:jc w:val="right"/>
            <w:rPr>
              <w:color w:val="595959" w:themeColor="text1" w:themeTint="A6"/>
            </w:rPr>
          </w:pPr>
          <w:r w:rsidRPr="000163C7">
            <w:rPr>
              <w:color w:val="595959" w:themeColor="text1" w:themeTint="A6"/>
            </w:rPr>
            <w:t>Official</w:t>
          </w:r>
        </w:p>
        <w:p w14:paraId="497AC32D" w14:textId="77777777" w:rsidR="00DB636E" w:rsidRPr="000163C7" w:rsidRDefault="00DB636E" w:rsidP="00DB636E">
          <w:pPr>
            <w:pStyle w:val="SecurityDLM"/>
            <w:spacing w:after="0" w:line="240" w:lineRule="auto"/>
            <w:ind w:left="0"/>
            <w:jc w:val="right"/>
            <w:rPr>
              <w:rFonts w:cs="Arial"/>
              <w:color w:val="595959" w:themeColor="text1" w:themeTint="A6"/>
              <w:sz w:val="18"/>
            </w:rPr>
          </w:pPr>
        </w:p>
      </w:tc>
      <w:tc>
        <w:tcPr>
          <w:tcW w:w="1275" w:type="dxa"/>
          <w:tcBorders>
            <w:top w:val="single" w:sz="12" w:space="0" w:color="74B6D2" w:themeColor="background2" w:themeShade="BF"/>
          </w:tcBorders>
        </w:tcPr>
        <w:p w14:paraId="059E7B2E" w14:textId="77777777" w:rsidR="00DB636E" w:rsidRPr="00FF1AAF" w:rsidRDefault="00DB636E" w:rsidP="00DB636E">
          <w:pPr>
            <w:pStyle w:val="Footer"/>
            <w:tabs>
              <w:tab w:val="clear" w:pos="4513"/>
              <w:tab w:val="clear" w:pos="9026"/>
              <w:tab w:val="center" w:pos="7230"/>
              <w:tab w:val="right" w:pos="10206"/>
            </w:tabs>
            <w:spacing w:before="240" w:line="240" w:lineRule="auto"/>
            <w:jc w:val="right"/>
            <w:rPr>
              <w:rFonts w:ascii="Gotham Book" w:hAnsi="Gotham Book" w:cs="Arial"/>
              <w:sz w:val="18"/>
            </w:rPr>
          </w:pPr>
          <w:r w:rsidRPr="00FF1AAF">
            <w:rPr>
              <w:rFonts w:ascii="Gotham Book" w:hAnsi="Gotham Book"/>
              <w:noProof/>
              <w:color w:val="4BACC6"/>
              <w:sz w:val="18"/>
            </w:rPr>
            <w:drawing>
              <wp:inline distT="0" distB="0" distL="0" distR="0" wp14:anchorId="08227812" wp14:editId="2D6507FB">
                <wp:extent cx="617855" cy="380365"/>
                <wp:effectExtent l="0" t="0" r="0" b="635"/>
                <wp:docPr id="1201134754" name="Picture 1201134754"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0478674" w14:textId="77777777" w:rsidR="00E53BAD" w:rsidRPr="00387FC7" w:rsidRDefault="00E53BAD" w:rsidP="00387FC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tblBorders>
      <w:tblLayout w:type="fixed"/>
      <w:tblLook w:val="0620" w:firstRow="1" w:lastRow="0" w:firstColumn="0" w:lastColumn="0" w:noHBand="1" w:noVBand="1"/>
    </w:tblPr>
    <w:tblGrid>
      <w:gridCol w:w="1452"/>
      <w:gridCol w:w="7706"/>
      <w:gridCol w:w="1366"/>
    </w:tblGrid>
    <w:tr w:rsidR="00E53BAD" w:rsidRPr="00FF1AAF" w14:paraId="3441304B" w14:textId="77777777" w:rsidTr="00153946">
      <w:tc>
        <w:tcPr>
          <w:tcW w:w="1452" w:type="dxa"/>
          <w:tcBorders>
            <w:top w:val="nil"/>
            <w:bottom w:val="single" w:sz="8" w:space="0" w:color="4BACC6"/>
          </w:tcBorders>
        </w:tcPr>
        <w:p w14:paraId="4B1E4997" w14:textId="77777777" w:rsidR="00E53BAD" w:rsidRPr="00FF1AAF" w:rsidRDefault="00E53BAD" w:rsidP="00387FC7">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63FA08D5" w14:textId="77777777" w:rsidR="00E53BAD" w:rsidRPr="00FF1AAF" w:rsidRDefault="00E53BAD" w:rsidP="00387FC7">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0A31D190" w14:textId="77777777" w:rsidR="00E53BAD" w:rsidRPr="00FF1AAF" w:rsidRDefault="00E53BAD" w:rsidP="00387FC7">
          <w:pPr>
            <w:pStyle w:val="Footer"/>
            <w:tabs>
              <w:tab w:val="clear" w:pos="4513"/>
              <w:tab w:val="clear" w:pos="9026"/>
              <w:tab w:val="center" w:pos="7230"/>
              <w:tab w:val="right" w:pos="10206"/>
            </w:tabs>
            <w:rPr>
              <w:rFonts w:ascii="Gotham Book" w:hAnsi="Gotham Book" w:cs="Arial"/>
              <w:sz w:val="18"/>
            </w:rPr>
          </w:pPr>
        </w:p>
      </w:tc>
    </w:tr>
    <w:tr w:rsidR="00E53BAD" w:rsidRPr="00FF1AAF" w14:paraId="53D27DA0" w14:textId="77777777" w:rsidTr="00153946">
      <w:tc>
        <w:tcPr>
          <w:tcW w:w="1452" w:type="dxa"/>
          <w:tcBorders>
            <w:top w:val="single" w:sz="8" w:space="0" w:color="4BACC6"/>
          </w:tcBorders>
        </w:tcPr>
        <w:p w14:paraId="43E682D0" w14:textId="77777777" w:rsidR="00E53BAD" w:rsidRPr="00FF1AAF" w:rsidRDefault="00E53BAD" w:rsidP="00387FC7">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7D355008" w14:textId="77777777" w:rsidR="00E53BAD" w:rsidRPr="000163C7" w:rsidRDefault="00E53BAD" w:rsidP="00387FC7">
          <w:pPr>
            <w:pStyle w:val="SecurityDLM"/>
            <w:spacing w:after="0" w:line="240" w:lineRule="auto"/>
            <w:ind w:left="0"/>
            <w:jc w:val="right"/>
            <w:rPr>
              <w:color w:val="595959" w:themeColor="text1" w:themeTint="A6"/>
            </w:rPr>
          </w:pPr>
          <w:r w:rsidRPr="000163C7">
            <w:rPr>
              <w:color w:val="595959" w:themeColor="text1" w:themeTint="A6"/>
            </w:rPr>
            <w:t>Official</w:t>
          </w:r>
        </w:p>
        <w:p w14:paraId="014C4762" w14:textId="77777777" w:rsidR="00E53BAD" w:rsidRPr="000163C7" w:rsidRDefault="00E53BAD" w:rsidP="00387FC7">
          <w:pPr>
            <w:pStyle w:val="SecurityDLM"/>
            <w:spacing w:after="0" w:line="240" w:lineRule="auto"/>
            <w:ind w:left="0"/>
            <w:jc w:val="right"/>
            <w:rPr>
              <w:rFonts w:cs="Arial"/>
              <w:color w:val="595959" w:themeColor="text1" w:themeTint="A6"/>
              <w:sz w:val="18"/>
            </w:rPr>
          </w:pPr>
        </w:p>
      </w:tc>
      <w:tc>
        <w:tcPr>
          <w:tcW w:w="1366" w:type="dxa"/>
          <w:tcBorders>
            <w:top w:val="single" w:sz="8" w:space="0" w:color="4BACC6"/>
          </w:tcBorders>
        </w:tcPr>
        <w:p w14:paraId="665B3378" w14:textId="77777777" w:rsidR="00E53BAD" w:rsidRPr="00FF1AAF" w:rsidRDefault="00E53BAD" w:rsidP="00387FC7">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6B9F1CCD" wp14:editId="5220D4DD">
                <wp:extent cx="617855" cy="380365"/>
                <wp:effectExtent l="0" t="0" r="0" b="635"/>
                <wp:docPr id="1557640218" name="Picture 1557640218"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4D2A522B" w14:textId="77777777" w:rsidR="00E53BAD" w:rsidRPr="00387FC7" w:rsidRDefault="00E53BAD" w:rsidP="00387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DE83B" w14:textId="77777777" w:rsidR="00AE6F59" w:rsidRDefault="00AE6F59" w:rsidP="007A386A">
      <w:pPr>
        <w:spacing w:after="0" w:line="240" w:lineRule="auto"/>
      </w:pPr>
      <w:r>
        <w:separator/>
      </w:r>
    </w:p>
  </w:footnote>
  <w:footnote w:type="continuationSeparator" w:id="0">
    <w:p w14:paraId="695E97B0" w14:textId="77777777" w:rsidR="00AE6F59" w:rsidRDefault="00AE6F59" w:rsidP="007A386A">
      <w:pPr>
        <w:spacing w:after="0" w:line="240" w:lineRule="auto"/>
      </w:pPr>
      <w:r>
        <w:continuationSeparator/>
      </w:r>
    </w:p>
  </w:footnote>
  <w:footnote w:type="continuationNotice" w:id="1">
    <w:p w14:paraId="05E1D97C" w14:textId="77777777" w:rsidR="00AE6F59" w:rsidRDefault="00AE6F59">
      <w:pPr>
        <w:spacing w:before="0" w:after="0" w:line="240" w:lineRule="auto"/>
      </w:pPr>
    </w:p>
  </w:footnote>
  <w:footnote w:id="2">
    <w:p w14:paraId="58BAD8A6" w14:textId="3F0DF8D2" w:rsidR="004A356D" w:rsidRPr="00BF677F" w:rsidRDefault="004A356D">
      <w:pPr>
        <w:pStyle w:val="FootnoteText"/>
        <w:rPr>
          <w:color w:val="616065" w:themeColor="accent5" w:themeShade="BF"/>
          <w:lang w:val="en-US"/>
        </w:rPr>
      </w:pPr>
      <w:r w:rsidRPr="000163C7">
        <w:rPr>
          <w:rStyle w:val="FootnoteReference"/>
          <w:color w:val="616065" w:themeColor="accent5" w:themeShade="BF"/>
        </w:rPr>
        <w:footnoteRef/>
      </w:r>
      <w:r w:rsidRPr="000163C7">
        <w:rPr>
          <w:color w:val="616065" w:themeColor="accent5" w:themeShade="BF"/>
        </w:rPr>
        <w:t xml:space="preserve"> </w:t>
      </w:r>
      <w:hyperlink r:id="rId1" w:history="1">
        <w:r w:rsidRPr="000163C7">
          <w:rPr>
            <w:rStyle w:val="Hyperlink"/>
            <w:color w:val="616065" w:themeColor="accent5" w:themeShade="BF"/>
          </w:rPr>
          <w:t>https://www.sciencedirect.com/special-issue/10F8V3S0J7V</w:t>
        </w:r>
      </w:hyperlink>
    </w:p>
  </w:footnote>
  <w:footnote w:id="3">
    <w:p w14:paraId="70E917CE" w14:textId="215D571F" w:rsidR="00890812" w:rsidRPr="00BF677F" w:rsidRDefault="00890812" w:rsidP="00890812">
      <w:pPr>
        <w:pStyle w:val="FootnoteText"/>
        <w:rPr>
          <w:color w:val="616065" w:themeColor="accent5" w:themeShade="BF"/>
          <w:sz w:val="16"/>
          <w:szCs w:val="16"/>
        </w:rPr>
      </w:pPr>
      <w:r w:rsidRPr="00BF677F">
        <w:rPr>
          <w:rStyle w:val="FootnoteReference"/>
          <w:color w:val="616065" w:themeColor="accent5" w:themeShade="BF"/>
          <w:sz w:val="16"/>
          <w:szCs w:val="16"/>
        </w:rPr>
        <w:footnoteRef/>
      </w:r>
      <w:r w:rsidRPr="00BF677F">
        <w:rPr>
          <w:color w:val="616065" w:themeColor="accent5" w:themeShade="BF"/>
          <w:sz w:val="16"/>
          <w:szCs w:val="16"/>
        </w:rPr>
        <w:t xml:space="preserve"> Adequate Intake describes current intake levels, not adequacy. Therefore</w:t>
      </w:r>
      <w:r w:rsidR="00651773" w:rsidRPr="00BF677F">
        <w:rPr>
          <w:color w:val="616065" w:themeColor="accent5" w:themeShade="BF"/>
          <w:sz w:val="16"/>
          <w:szCs w:val="16"/>
        </w:rPr>
        <w:t>, AI</w:t>
      </w:r>
      <w:r w:rsidRPr="00BF677F">
        <w:rPr>
          <w:color w:val="616065" w:themeColor="accent5" w:themeShade="BF"/>
          <w:sz w:val="16"/>
          <w:szCs w:val="16"/>
        </w:rPr>
        <w:t xml:space="preserve"> should not be relied upon to determine adequacy.</w:t>
      </w:r>
    </w:p>
  </w:footnote>
  <w:footnote w:id="4">
    <w:p w14:paraId="74EBA99B" w14:textId="29CB8DE0" w:rsidR="006B3865" w:rsidRPr="00BF677F" w:rsidRDefault="006B3865">
      <w:pPr>
        <w:pStyle w:val="FootnoteText"/>
        <w:rPr>
          <w:color w:val="616065" w:themeColor="accent5" w:themeShade="BF"/>
        </w:rPr>
      </w:pPr>
      <w:r w:rsidRPr="00BF677F">
        <w:rPr>
          <w:rStyle w:val="FootnoteReference"/>
          <w:color w:val="616065" w:themeColor="accent5" w:themeShade="BF"/>
          <w:sz w:val="16"/>
          <w:szCs w:val="16"/>
        </w:rPr>
        <w:footnoteRef/>
      </w:r>
      <w:r w:rsidRPr="00BF677F">
        <w:rPr>
          <w:color w:val="616065" w:themeColor="accent5" w:themeShade="BF"/>
          <w:sz w:val="16"/>
          <w:szCs w:val="16"/>
        </w:rPr>
        <w:t xml:space="preserve"> The term ‘mean daily dietary intake’ refers to the usual intake for a population, or individual (RDI only), based on observations of mean nutrient intakes by a group of apparently healthy people who are maintaining a defined criterion of adequacy.</w:t>
      </w:r>
    </w:p>
  </w:footnote>
  <w:footnote w:id="5">
    <w:p w14:paraId="44665FC1" w14:textId="77777777" w:rsidR="00B570E2" w:rsidRPr="00BF677F" w:rsidRDefault="00B570E2" w:rsidP="00B570E2">
      <w:pPr>
        <w:pStyle w:val="FootnoteText"/>
        <w:rPr>
          <w:color w:val="616065" w:themeColor="accent5" w:themeShade="BF"/>
          <w:sz w:val="16"/>
          <w:szCs w:val="16"/>
        </w:rPr>
      </w:pPr>
      <w:r w:rsidRPr="00BF677F">
        <w:rPr>
          <w:rStyle w:val="FootnoteReference"/>
          <w:color w:val="616065" w:themeColor="accent5" w:themeShade="BF"/>
          <w:sz w:val="16"/>
          <w:szCs w:val="16"/>
        </w:rPr>
        <w:footnoteRef/>
      </w:r>
      <w:r w:rsidRPr="00BF677F">
        <w:rPr>
          <w:color w:val="616065" w:themeColor="accent5" w:themeShade="BF"/>
          <w:sz w:val="16"/>
          <w:szCs w:val="16"/>
        </w:rPr>
        <w:t xml:space="preserve"> The term ‘mean daily nutrient intake’ refers to the usual intake for a population, based on observations of mean nutrient intakes by a group of apparently healthy people who are maintaining a defined criterion of adequacy.</w:t>
      </w:r>
    </w:p>
  </w:footnote>
  <w:footnote w:id="6">
    <w:p w14:paraId="06D2BE36" w14:textId="77777777" w:rsidR="00C705C5" w:rsidRPr="00BF677F" w:rsidRDefault="00C705C5" w:rsidP="00C705C5">
      <w:pPr>
        <w:pStyle w:val="FootnoteText"/>
        <w:rPr>
          <w:color w:val="616065" w:themeColor="accent5" w:themeShade="BF"/>
          <w:sz w:val="18"/>
        </w:rPr>
      </w:pPr>
      <w:r w:rsidRPr="00BF677F">
        <w:rPr>
          <w:rStyle w:val="FootnoteReference"/>
          <w:color w:val="616065" w:themeColor="accent5" w:themeShade="BF"/>
          <w:sz w:val="16"/>
          <w:szCs w:val="16"/>
        </w:rPr>
        <w:footnoteRef/>
      </w:r>
      <w:r w:rsidRPr="00BF677F">
        <w:rPr>
          <w:color w:val="616065" w:themeColor="accent5" w:themeShade="BF"/>
          <w:sz w:val="16"/>
          <w:szCs w:val="16"/>
        </w:rPr>
        <w:t xml:space="preserve"> The term ‘mean daily nutrient intake’ refers to the usual intake for a population, based on observations of mean nutrient intakes by a group of apparently healthy people who are maintaining a defined criterion of adequacy</w:t>
      </w:r>
      <w:r w:rsidRPr="00BF677F">
        <w:rPr>
          <w:color w:val="616065" w:themeColor="accent5" w:themeShade="BF"/>
          <w:sz w:val="18"/>
        </w:rPr>
        <w:t>.</w:t>
      </w:r>
    </w:p>
  </w:footnote>
  <w:footnote w:id="7">
    <w:p w14:paraId="6D8FD537" w14:textId="4E54A6C7" w:rsidR="00A92BA2" w:rsidRPr="00BF677F" w:rsidRDefault="00A92BA2" w:rsidP="00A92BA2">
      <w:pPr>
        <w:pStyle w:val="FootnoteText"/>
        <w:rPr>
          <w:color w:val="616065" w:themeColor="accent5" w:themeShade="BF"/>
          <w:lang w:val="en-US"/>
        </w:rPr>
      </w:pPr>
      <w:r w:rsidRPr="00BF677F">
        <w:rPr>
          <w:rStyle w:val="FootnoteReference"/>
          <w:color w:val="616065" w:themeColor="accent5" w:themeShade="BF"/>
        </w:rPr>
        <w:footnoteRef/>
      </w:r>
      <w:r w:rsidRPr="00BF677F">
        <w:rPr>
          <w:color w:val="616065" w:themeColor="accent5" w:themeShade="BF"/>
        </w:rPr>
        <w:t xml:space="preserve"> The average daily nutrient intake level that is suggested to meet the requirements of half of the individuals in a particular life-stage group. The provisional AR, which </w:t>
      </w:r>
      <w:proofErr w:type="gramStart"/>
      <w:r w:rsidRPr="00BF677F">
        <w:rPr>
          <w:color w:val="616065" w:themeColor="accent5" w:themeShade="BF"/>
        </w:rPr>
        <w:t>is an approximation of</w:t>
      </w:r>
      <w:proofErr w:type="gramEnd"/>
      <w:r w:rsidRPr="00BF677F">
        <w:rPr>
          <w:color w:val="616065" w:themeColor="accent5" w:themeShade="BF"/>
        </w:rPr>
        <w:t xml:space="preserve"> AR, has larger uncertainty than AR. It is calculated by multiplying AI by a factor of 0.8. Can be used when an AR cannot be determined</w:t>
      </w:r>
      <w:r w:rsidR="007165A8" w:rsidRPr="00BF677F">
        <w:rPr>
          <w:color w:val="616065" w:themeColor="accent5" w:themeShade="BF"/>
          <w:szCs w:val="14"/>
        </w:rPr>
        <w:t xml:space="preserve"> (NNR 2023)</w:t>
      </w:r>
      <w:r w:rsidRPr="00BF677F">
        <w:rPr>
          <w:color w:val="616065" w:themeColor="accent5" w:themeShade="BF"/>
          <w:szCs w:val="14"/>
        </w:rPr>
        <w:t>.</w:t>
      </w:r>
    </w:p>
  </w:footnote>
  <w:footnote w:id="8">
    <w:p w14:paraId="1495E306" w14:textId="0E86C635" w:rsidR="00866EF0" w:rsidRPr="00BF677F" w:rsidRDefault="00866EF0">
      <w:pPr>
        <w:pStyle w:val="FootnoteText"/>
        <w:rPr>
          <w:color w:val="616065" w:themeColor="accent5" w:themeShade="BF"/>
          <w:szCs w:val="14"/>
          <w:lang w:val="en-US"/>
        </w:rPr>
      </w:pPr>
      <w:r w:rsidRPr="00BF677F">
        <w:rPr>
          <w:rStyle w:val="FootnoteReference"/>
          <w:color w:val="616065" w:themeColor="accent5" w:themeShade="BF"/>
          <w:szCs w:val="14"/>
        </w:rPr>
        <w:footnoteRef/>
      </w:r>
      <w:r w:rsidRPr="00BF677F">
        <w:rPr>
          <w:color w:val="616065" w:themeColor="accent5" w:themeShade="BF"/>
          <w:szCs w:val="14"/>
        </w:rPr>
        <w:t xml:space="preserve"> the highest level of intake for which there is reasonable confidence o</w:t>
      </w:r>
      <w:r w:rsidR="00023FC4" w:rsidRPr="00BF677F">
        <w:rPr>
          <w:color w:val="616065" w:themeColor="accent5" w:themeShade="BF"/>
          <w:szCs w:val="14"/>
        </w:rPr>
        <w:t>f</w:t>
      </w:r>
      <w:r w:rsidRPr="00BF677F">
        <w:rPr>
          <w:color w:val="616065" w:themeColor="accent5" w:themeShade="BF"/>
          <w:szCs w:val="14"/>
        </w:rPr>
        <w:t xml:space="preserve"> the absence of adverse effects</w:t>
      </w:r>
      <w:r w:rsidR="00023FC4" w:rsidRPr="00BF677F">
        <w:rPr>
          <w:color w:val="616065" w:themeColor="accent5" w:themeShade="BF"/>
          <w:szCs w:val="14"/>
        </w:rPr>
        <w:t xml:space="preserve">. </w:t>
      </w:r>
      <w:r w:rsidRPr="00BF677F">
        <w:rPr>
          <w:color w:val="616065" w:themeColor="accent5" w:themeShade="BF"/>
          <w:szCs w:val="14"/>
        </w:rPr>
        <w:t>Safe levels of intake have more limited applications than ULs</w:t>
      </w:r>
      <w:r w:rsidR="002C6958" w:rsidRPr="00BF677F">
        <w:rPr>
          <w:color w:val="616065" w:themeColor="accent5" w:themeShade="BF"/>
          <w:szCs w:val="14"/>
        </w:rPr>
        <w:t>.</w:t>
      </w:r>
      <w:r w:rsidRPr="00BF677F">
        <w:rPr>
          <w:color w:val="616065" w:themeColor="accent5" w:themeShade="BF"/>
          <w:szCs w:val="14"/>
        </w:rPr>
        <w:t xml:space="preserve"> </w:t>
      </w:r>
      <w:r w:rsidR="002C6958" w:rsidRPr="00BF677F">
        <w:rPr>
          <w:color w:val="616065" w:themeColor="accent5" w:themeShade="BF"/>
          <w:szCs w:val="14"/>
        </w:rPr>
        <w:t>I</w:t>
      </w:r>
      <w:r w:rsidRPr="00BF677F">
        <w:rPr>
          <w:color w:val="616065" w:themeColor="accent5" w:themeShade="BF"/>
          <w:szCs w:val="14"/>
        </w:rPr>
        <w:t xml:space="preserve">ntakes above the safe levels of intake do not necessarily mean that there is a risk of adverse </w:t>
      </w:r>
      <w:r w:rsidR="00023FC4" w:rsidRPr="00BF677F">
        <w:rPr>
          <w:color w:val="616065" w:themeColor="accent5" w:themeShade="BF"/>
          <w:szCs w:val="14"/>
        </w:rPr>
        <w:t>effects,</w:t>
      </w:r>
      <w:r w:rsidRPr="00BF677F">
        <w:rPr>
          <w:color w:val="616065" w:themeColor="accent5" w:themeShade="BF"/>
          <w:szCs w:val="14"/>
        </w:rPr>
        <w:t xml:space="preserve"> and these values cannot be used to characterise the proportion of the population at risk of adverse effects </w:t>
      </w:r>
      <w:r w:rsidR="00512275" w:rsidRPr="00BF677F">
        <w:rPr>
          <w:color w:val="616065" w:themeColor="accent5" w:themeShade="BF"/>
          <w:szCs w:val="14"/>
        </w:rPr>
        <w:t>(European Food Safety Authority</w:t>
      </w:r>
      <w:r w:rsidR="00691077" w:rsidRPr="00BF677F">
        <w:rPr>
          <w:color w:val="616065" w:themeColor="accent5" w:themeShade="BF"/>
          <w:szCs w:val="14"/>
        </w:rPr>
        <w:t xml:space="preserve"> 2025).</w:t>
      </w:r>
    </w:p>
  </w:footnote>
  <w:footnote w:id="9">
    <w:p w14:paraId="0E396CB6" w14:textId="77777777" w:rsidR="008F49E1" w:rsidRPr="00BF677F" w:rsidRDefault="008F49E1" w:rsidP="008F49E1">
      <w:pPr>
        <w:pStyle w:val="FootnoteText"/>
        <w:rPr>
          <w:color w:val="616065" w:themeColor="accent5" w:themeShade="BF"/>
        </w:rPr>
      </w:pPr>
      <w:r w:rsidRPr="00BF677F">
        <w:rPr>
          <w:rStyle w:val="FootnoteReference"/>
          <w:color w:val="616065" w:themeColor="accent5" w:themeShade="BF"/>
        </w:rPr>
        <w:footnoteRef/>
      </w:r>
      <w:r w:rsidRPr="00BF677F">
        <w:rPr>
          <w:color w:val="616065" w:themeColor="accent5" w:themeShade="BF"/>
        </w:rPr>
        <w:t xml:space="preserve"> Noting that currently there is no similar data set for the New Zealand population.</w:t>
      </w:r>
    </w:p>
  </w:footnote>
  <w:footnote w:id="10">
    <w:p w14:paraId="11411F8E" w14:textId="77777777" w:rsidR="00B37352" w:rsidRPr="00932632" w:rsidRDefault="00B37352" w:rsidP="00932632">
      <w:pPr>
        <w:spacing w:before="0" w:after="0" w:line="240" w:lineRule="auto"/>
        <w:rPr>
          <w:rStyle w:val="FootnoteChar"/>
          <w:color w:val="auto"/>
        </w:rPr>
      </w:pPr>
      <w:r w:rsidRPr="00A91E0E">
        <w:rPr>
          <w:rStyle w:val="FootnoteReference"/>
          <w:sz w:val="18"/>
        </w:rPr>
        <w:footnoteRef/>
      </w:r>
      <w:r w:rsidRPr="00A91E0E">
        <w:rPr>
          <w:sz w:val="18"/>
        </w:rPr>
        <w:t xml:space="preserve"> </w:t>
      </w:r>
      <w:r w:rsidRPr="00932632">
        <w:rPr>
          <w:rStyle w:val="FootnoteChar"/>
          <w:color w:val="auto"/>
        </w:rPr>
        <w:t>Given NRVs are based on biological characteristics, the term ‘sex’ rather than ‘gender’ has been used to be consistent with recent government guidelines on the use of the term ‘sex’ and ‘gender’: the Standard for Sex and Gender Variables 2016 and the Australian</w:t>
      </w:r>
      <w:r w:rsidRPr="00932632">
        <w:rPr>
          <w:rFonts w:cs="Arial"/>
          <w:i/>
          <w:iCs/>
          <w:color w:val="auto"/>
          <w:sz w:val="18"/>
        </w:rPr>
        <w:t xml:space="preserve"> </w:t>
      </w:r>
      <w:r w:rsidRPr="00932632">
        <w:rPr>
          <w:rStyle w:val="FootnoteChar"/>
          <w:color w:val="auto"/>
        </w:rPr>
        <w:t>Government Guidelines on the Recognition of Sex and Gender 2015. The NRV definitions in the Methodological Framework for the Review of NRVs 2015 currently uses the term ‘gender’.</w:t>
      </w:r>
    </w:p>
    <w:p w14:paraId="0A643C44" w14:textId="77777777" w:rsidR="00B37352" w:rsidRDefault="00B37352" w:rsidP="00B3735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9F878" w14:textId="3467C42B" w:rsidR="00266FC4" w:rsidRDefault="00BF677F">
    <w:pPr>
      <w:pStyle w:val="Header"/>
    </w:pPr>
    <w:r>
      <w:rPr>
        <w:noProof/>
      </w:rPr>
      <w:pict w14:anchorId="06D1A9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51" o:spid="_x0000_s1025" type="#_x0000_t136" style="position:absolute;margin-left:0;margin-top:0;width:377.25pt;height:126pt;rotation:315;z-index:-251658239;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E3992" w14:textId="6B4D996E" w:rsidR="00266FC4" w:rsidRDefault="00BF677F">
    <w:pPr>
      <w:pStyle w:val="Header"/>
    </w:pPr>
    <w:r>
      <w:rPr>
        <w:noProof/>
      </w:rPr>
      <w:pict w14:anchorId="2A71D0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60" o:spid="_x0000_s1034" type="#_x0000_t136" style="position:absolute;margin-left:0;margin-top:0;width:377.25pt;height:126pt;rotation:315;z-index:-251658231;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0902" w14:textId="1D39435D" w:rsidR="00266FC4" w:rsidRDefault="00BF677F">
    <w:pPr>
      <w:pStyle w:val="Header"/>
    </w:pPr>
    <w:r>
      <w:rPr>
        <w:noProof/>
      </w:rPr>
      <w:pict w14:anchorId="568090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61" o:spid="_x0000_s1035" type="#_x0000_t136" style="position:absolute;margin-left:0;margin-top:0;width:377.25pt;height:126pt;rotation:315;z-index:-251658230;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175" w:type="dxa"/>
      <w:tblLook w:val="04A0" w:firstRow="1" w:lastRow="0" w:firstColumn="1" w:lastColumn="0" w:noHBand="0" w:noVBand="1"/>
    </w:tblPr>
    <w:tblGrid>
      <w:gridCol w:w="2977"/>
      <w:gridCol w:w="9639"/>
      <w:gridCol w:w="1559"/>
    </w:tblGrid>
    <w:tr w:rsidR="00387FC7" w14:paraId="3FDAA9EE" w14:textId="77777777" w:rsidTr="00E072FD">
      <w:trPr>
        <w:trHeight w:val="227"/>
      </w:trPr>
      <w:tc>
        <w:tcPr>
          <w:tcW w:w="2977" w:type="dxa"/>
        </w:tcPr>
        <w:p w14:paraId="4BB66632" w14:textId="77777777" w:rsidR="00387FC7" w:rsidRDefault="00387FC7" w:rsidP="00387FC7">
          <w:pPr>
            <w:pStyle w:val="Header"/>
          </w:pPr>
        </w:p>
      </w:tc>
      <w:tc>
        <w:tcPr>
          <w:tcW w:w="9639" w:type="dxa"/>
        </w:tcPr>
        <w:p w14:paraId="2F7B7178" w14:textId="77777777" w:rsidR="00387FC7" w:rsidRPr="000163C7" w:rsidRDefault="00387FC7" w:rsidP="00E072FD">
          <w:pPr>
            <w:pStyle w:val="SecurityDLM"/>
            <w:spacing w:after="0"/>
            <w:ind w:left="0"/>
            <w:jc w:val="right"/>
            <w:rPr>
              <w:color w:val="616065" w:themeColor="accent5" w:themeShade="BF"/>
            </w:rPr>
          </w:pPr>
          <w:r w:rsidRPr="000163C7">
            <w:rPr>
              <w:color w:val="616065" w:themeColor="accent5" w:themeShade="BF"/>
            </w:rPr>
            <w:t>OFFICIAL</w:t>
          </w:r>
        </w:p>
      </w:tc>
      <w:tc>
        <w:tcPr>
          <w:tcW w:w="1559" w:type="dxa"/>
        </w:tcPr>
        <w:p w14:paraId="2DBCD240" w14:textId="2688227A" w:rsidR="00387FC7" w:rsidRDefault="00387FC7" w:rsidP="00E072FD">
          <w:pPr>
            <w:pStyle w:val="Header"/>
            <w:jc w:val="center"/>
          </w:pPr>
        </w:p>
      </w:tc>
    </w:tr>
  </w:tbl>
  <w:p w14:paraId="79B346CF" w14:textId="464477D8" w:rsidR="001C5A8C" w:rsidRPr="00387FC7" w:rsidRDefault="001C5A8C" w:rsidP="00387FC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D477" w14:textId="133FC352" w:rsidR="00266FC4" w:rsidRDefault="00BF677F">
    <w:pPr>
      <w:pStyle w:val="Header"/>
    </w:pPr>
    <w:r>
      <w:rPr>
        <w:noProof/>
      </w:rPr>
      <w:pict w14:anchorId="019384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63" o:spid="_x0000_s1037" type="#_x0000_t136" style="position:absolute;margin-left:0;margin-top:0;width:377.25pt;height:126pt;rotation:315;z-index:-251658228;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4F34F2" w14:paraId="5D423D38" w14:textId="77777777">
      <w:tc>
        <w:tcPr>
          <w:tcW w:w="2977" w:type="dxa"/>
        </w:tcPr>
        <w:p w14:paraId="77806D77" w14:textId="77777777" w:rsidR="004F34F2" w:rsidRDefault="004F34F2" w:rsidP="004F34F2">
          <w:pPr>
            <w:pStyle w:val="Header"/>
          </w:pPr>
        </w:p>
      </w:tc>
      <w:tc>
        <w:tcPr>
          <w:tcW w:w="5954" w:type="dxa"/>
        </w:tcPr>
        <w:p w14:paraId="14F45F3A" w14:textId="77777777" w:rsidR="004F34F2" w:rsidRPr="000163C7" w:rsidRDefault="004F34F2" w:rsidP="004F34F2">
          <w:pPr>
            <w:pStyle w:val="SecurityDLM"/>
            <w:ind w:left="0"/>
            <w:jc w:val="right"/>
            <w:rPr>
              <w:color w:val="616065" w:themeColor="accent5" w:themeShade="BF"/>
            </w:rPr>
          </w:pPr>
          <w:r w:rsidRPr="000163C7">
            <w:rPr>
              <w:color w:val="616065" w:themeColor="accent5" w:themeShade="BF"/>
            </w:rPr>
            <w:t>OFFICIAL</w:t>
          </w:r>
        </w:p>
      </w:tc>
      <w:tc>
        <w:tcPr>
          <w:tcW w:w="1417" w:type="dxa"/>
        </w:tcPr>
        <w:p w14:paraId="7DF5E43F" w14:textId="77777777" w:rsidR="004F34F2" w:rsidRDefault="004F34F2" w:rsidP="004F34F2">
          <w:pPr>
            <w:pStyle w:val="Header"/>
            <w:jc w:val="right"/>
          </w:pPr>
          <w:r>
            <w:rPr>
              <w:noProof/>
            </w:rPr>
            <w:drawing>
              <wp:inline distT="0" distB="0" distL="0" distR="0" wp14:anchorId="513382C1" wp14:editId="402C1828">
                <wp:extent cx="755640" cy="755640"/>
                <wp:effectExtent l="0" t="0" r="6985" b="6985"/>
                <wp:docPr id="1864561174" name="Picture 1864561174"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597151D2" w14:textId="6AA2A15C" w:rsidR="00194DB3" w:rsidRDefault="00BF677F">
    <w:pPr>
      <w:pStyle w:val="Header"/>
    </w:pPr>
    <w:r>
      <w:rPr>
        <w:noProof/>
      </w:rPr>
      <w:pict w14:anchorId="37AFD6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64" o:spid="_x0000_s1038" type="#_x0000_t136" style="position:absolute;margin-left:0;margin-top:0;width:377.25pt;height:126pt;rotation:315;z-index:-251658227;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4F34F2" w14:paraId="6DA58A00" w14:textId="77777777">
      <w:tc>
        <w:tcPr>
          <w:tcW w:w="2977" w:type="dxa"/>
        </w:tcPr>
        <w:p w14:paraId="4FC4B37C" w14:textId="77777777" w:rsidR="004F34F2" w:rsidRDefault="004F34F2" w:rsidP="004F34F2">
          <w:pPr>
            <w:pStyle w:val="Header"/>
          </w:pPr>
        </w:p>
      </w:tc>
      <w:tc>
        <w:tcPr>
          <w:tcW w:w="5954" w:type="dxa"/>
        </w:tcPr>
        <w:p w14:paraId="48267B65" w14:textId="77777777" w:rsidR="004F34F2" w:rsidRPr="000163C7" w:rsidRDefault="004F34F2" w:rsidP="004F34F2">
          <w:pPr>
            <w:pStyle w:val="SecurityDLM"/>
            <w:ind w:left="0"/>
            <w:jc w:val="right"/>
            <w:rPr>
              <w:color w:val="616065" w:themeColor="accent5" w:themeShade="BF"/>
            </w:rPr>
          </w:pPr>
          <w:r w:rsidRPr="000163C7">
            <w:rPr>
              <w:color w:val="616065" w:themeColor="accent5" w:themeShade="BF"/>
            </w:rPr>
            <w:t>OFFICIAL</w:t>
          </w:r>
        </w:p>
      </w:tc>
      <w:tc>
        <w:tcPr>
          <w:tcW w:w="1417" w:type="dxa"/>
        </w:tcPr>
        <w:p w14:paraId="07589DAC" w14:textId="77777777" w:rsidR="004F34F2" w:rsidRDefault="004F34F2" w:rsidP="004F34F2">
          <w:pPr>
            <w:pStyle w:val="Header"/>
            <w:jc w:val="right"/>
          </w:pPr>
          <w:r>
            <w:rPr>
              <w:noProof/>
            </w:rPr>
            <w:drawing>
              <wp:inline distT="0" distB="0" distL="0" distR="0" wp14:anchorId="02AC1CE3" wp14:editId="1FDCDFBF">
                <wp:extent cx="755640" cy="755640"/>
                <wp:effectExtent l="0" t="0" r="6985" b="6985"/>
                <wp:docPr id="138389202" name="Picture 138389202"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18D012E" w14:textId="5DD8E10E" w:rsidR="00266FC4" w:rsidRDefault="00BF677F">
    <w:pPr>
      <w:pStyle w:val="Header"/>
    </w:pPr>
    <w:r>
      <w:rPr>
        <w:noProof/>
      </w:rPr>
      <w:pict w14:anchorId="16F20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62" o:spid="_x0000_s1039" type="#_x0000_t136" style="position:absolute;margin-left:0;margin-top:0;width:377.25pt;height:126pt;rotation:315;z-index:-251658229;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95CBC" w14:textId="23EED44D" w:rsidR="00266FC4" w:rsidRDefault="00BF677F">
    <w:pPr>
      <w:pStyle w:val="Header"/>
    </w:pPr>
    <w:r>
      <w:rPr>
        <w:noProof/>
      </w:rPr>
      <w:pict w14:anchorId="659519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66" o:spid="_x0000_s1040" type="#_x0000_t136" style="position:absolute;margin-left:0;margin-top:0;width:377.25pt;height:126pt;rotation:315;z-index:-251658225;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4F34F2" w14:paraId="6C9F3CD1" w14:textId="77777777">
      <w:tc>
        <w:tcPr>
          <w:tcW w:w="2977" w:type="dxa"/>
        </w:tcPr>
        <w:p w14:paraId="726958EE" w14:textId="77777777" w:rsidR="004F34F2" w:rsidRDefault="004F34F2" w:rsidP="004F34F2">
          <w:pPr>
            <w:pStyle w:val="Header"/>
          </w:pPr>
        </w:p>
      </w:tc>
      <w:tc>
        <w:tcPr>
          <w:tcW w:w="5954" w:type="dxa"/>
        </w:tcPr>
        <w:p w14:paraId="4E859733" w14:textId="77777777" w:rsidR="004F34F2" w:rsidRPr="000163C7" w:rsidRDefault="004F34F2" w:rsidP="004F34F2">
          <w:pPr>
            <w:pStyle w:val="SecurityDLM"/>
            <w:ind w:left="0"/>
            <w:jc w:val="right"/>
            <w:rPr>
              <w:color w:val="616065" w:themeColor="accent5" w:themeShade="BF"/>
            </w:rPr>
          </w:pPr>
          <w:r w:rsidRPr="000163C7">
            <w:rPr>
              <w:color w:val="616065" w:themeColor="accent5" w:themeShade="BF"/>
            </w:rPr>
            <w:t>OFFICIAL</w:t>
          </w:r>
        </w:p>
      </w:tc>
      <w:tc>
        <w:tcPr>
          <w:tcW w:w="1417" w:type="dxa"/>
        </w:tcPr>
        <w:p w14:paraId="7606595D" w14:textId="77777777" w:rsidR="004F34F2" w:rsidRDefault="004F34F2" w:rsidP="004F34F2">
          <w:pPr>
            <w:pStyle w:val="Header"/>
            <w:jc w:val="right"/>
          </w:pPr>
          <w:r>
            <w:rPr>
              <w:noProof/>
            </w:rPr>
            <w:drawing>
              <wp:inline distT="0" distB="0" distL="0" distR="0" wp14:anchorId="33ED1DD4" wp14:editId="2A9E2A41">
                <wp:extent cx="755640" cy="755640"/>
                <wp:effectExtent l="0" t="0" r="6985" b="6985"/>
                <wp:docPr id="962661500" name="Picture 962661500"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42E90760" w14:textId="25C5BFC3" w:rsidR="00266FC4" w:rsidRDefault="00BF677F">
    <w:pPr>
      <w:pStyle w:val="Header"/>
    </w:pPr>
    <w:r>
      <w:rPr>
        <w:noProof/>
      </w:rPr>
      <w:pict w14:anchorId="354150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67" o:spid="_x0000_s1041" type="#_x0000_t136" style="position:absolute;margin-left:0;margin-top:0;width:377.25pt;height:126pt;rotation:315;z-index:-251658224;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9424" w14:textId="3FC797CF" w:rsidR="00294FEC" w:rsidRPr="005F737D" w:rsidRDefault="00BF677F" w:rsidP="004F34F2">
    <w:pPr>
      <w:pStyle w:val="Header"/>
      <w:rPr>
        <w:rFonts w:ascii="Gotham Book" w:hAnsi="Gotham Book"/>
        <w:b w:val="0"/>
        <w:color w:val="828188" w:themeColor="accent5"/>
        <w:sz w:val="20"/>
        <w:szCs w:val="20"/>
      </w:rPr>
    </w:pPr>
    <w:r>
      <w:rPr>
        <w:noProof/>
      </w:rPr>
      <w:pict w14:anchorId="3F11EA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65" o:spid="_x0000_s1042" type="#_x0000_t136" style="position:absolute;margin-left:0;margin-top:0;width:377.25pt;height:126pt;rotation:315;z-index:-251658226;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E53BAD" w14:paraId="11EC5EDA" w14:textId="77777777">
      <w:tc>
        <w:tcPr>
          <w:tcW w:w="2977" w:type="dxa"/>
        </w:tcPr>
        <w:p w14:paraId="394B3196" w14:textId="77777777" w:rsidR="00E53BAD" w:rsidRDefault="00E53BAD" w:rsidP="004F34F2">
          <w:pPr>
            <w:pStyle w:val="Header"/>
          </w:pPr>
        </w:p>
      </w:tc>
      <w:tc>
        <w:tcPr>
          <w:tcW w:w="5954" w:type="dxa"/>
        </w:tcPr>
        <w:p w14:paraId="14BA21DC" w14:textId="77777777" w:rsidR="00E53BAD" w:rsidRPr="000163C7" w:rsidRDefault="00E53BAD" w:rsidP="004F34F2">
          <w:pPr>
            <w:pStyle w:val="SecurityDLM"/>
            <w:ind w:left="0"/>
            <w:jc w:val="right"/>
            <w:rPr>
              <w:color w:val="616065" w:themeColor="accent5" w:themeShade="BF"/>
            </w:rPr>
          </w:pPr>
          <w:r w:rsidRPr="000163C7">
            <w:rPr>
              <w:color w:val="616065" w:themeColor="accent5" w:themeShade="BF"/>
            </w:rPr>
            <w:t>OFFICIAL</w:t>
          </w:r>
        </w:p>
      </w:tc>
      <w:tc>
        <w:tcPr>
          <w:tcW w:w="1417" w:type="dxa"/>
        </w:tcPr>
        <w:p w14:paraId="43B1AAA5" w14:textId="77777777" w:rsidR="00E53BAD" w:rsidRDefault="00E53BAD" w:rsidP="004F34F2">
          <w:pPr>
            <w:pStyle w:val="Header"/>
            <w:jc w:val="right"/>
          </w:pPr>
          <w:r>
            <w:rPr>
              <w:noProof/>
            </w:rPr>
            <w:drawing>
              <wp:inline distT="0" distB="0" distL="0" distR="0" wp14:anchorId="6B389BAC" wp14:editId="75B9110A">
                <wp:extent cx="755640" cy="755640"/>
                <wp:effectExtent l="0" t="0" r="6985" b="6985"/>
                <wp:docPr id="1429729172" name="Picture 1429729172"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33FF7BAE" w14:textId="77777777" w:rsidR="00E53BAD" w:rsidRPr="005F737D" w:rsidRDefault="00BF677F" w:rsidP="004F34F2">
    <w:pPr>
      <w:pStyle w:val="Header"/>
      <w:rPr>
        <w:rFonts w:ascii="Gotham Book" w:hAnsi="Gotham Book"/>
        <w:b w:val="0"/>
        <w:color w:val="828188" w:themeColor="accent5"/>
        <w:sz w:val="20"/>
        <w:szCs w:val="20"/>
      </w:rPr>
    </w:pPr>
    <w:r>
      <w:rPr>
        <w:noProof/>
      </w:rPr>
      <w:pict w14:anchorId="3E4A0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3" type="#_x0000_t136" style="position:absolute;margin-left:0;margin-top:0;width:377.25pt;height:126pt;rotation:315;z-index:-251658219;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4F34F2" w14:paraId="330EC3D6" w14:textId="77777777">
      <w:tc>
        <w:tcPr>
          <w:tcW w:w="2977" w:type="dxa"/>
        </w:tcPr>
        <w:p w14:paraId="0F8A6A4E" w14:textId="77777777" w:rsidR="004F34F2" w:rsidRDefault="004F34F2" w:rsidP="004F34F2">
          <w:pPr>
            <w:pStyle w:val="Header"/>
          </w:pPr>
        </w:p>
      </w:tc>
      <w:tc>
        <w:tcPr>
          <w:tcW w:w="5954" w:type="dxa"/>
        </w:tcPr>
        <w:p w14:paraId="4C1CF313" w14:textId="0C8AE3AD" w:rsidR="004F34F2" w:rsidRPr="00F0495F" w:rsidRDefault="004F34F2" w:rsidP="004F34F2">
          <w:pPr>
            <w:pStyle w:val="SecurityDLM"/>
            <w:ind w:left="0"/>
            <w:jc w:val="right"/>
            <w:rPr>
              <w:color w:val="616065" w:themeColor="accent5" w:themeShade="BF"/>
            </w:rPr>
          </w:pPr>
          <w:r w:rsidRPr="00F0495F">
            <w:rPr>
              <w:color w:val="616065" w:themeColor="accent5" w:themeShade="BF"/>
            </w:rPr>
            <w:t>OFFICIAL</w:t>
          </w:r>
        </w:p>
      </w:tc>
      <w:tc>
        <w:tcPr>
          <w:tcW w:w="1417" w:type="dxa"/>
        </w:tcPr>
        <w:p w14:paraId="0DA5F759" w14:textId="77777777" w:rsidR="004F34F2" w:rsidRDefault="004F34F2" w:rsidP="004F34F2">
          <w:pPr>
            <w:pStyle w:val="Header"/>
            <w:jc w:val="right"/>
          </w:pPr>
          <w:r>
            <w:rPr>
              <w:noProof/>
            </w:rPr>
            <w:drawing>
              <wp:inline distT="0" distB="0" distL="0" distR="0" wp14:anchorId="587BAC8D" wp14:editId="1B9785D3">
                <wp:extent cx="755640" cy="755640"/>
                <wp:effectExtent l="0" t="0" r="6985" b="6985"/>
                <wp:docPr id="8" name="Picture 8"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1826A9F8" w14:textId="4B480D80" w:rsidR="00266FC4" w:rsidRDefault="00BF677F">
    <w:pPr>
      <w:pStyle w:val="Header"/>
    </w:pPr>
    <w:r>
      <w:rPr>
        <w:noProof/>
      </w:rPr>
      <w:pict w14:anchorId="77072D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52" o:spid="_x0000_s1026" type="#_x0000_t136" style="position:absolute;margin-left:0;margin-top:0;width:377.25pt;height:126pt;rotation:315;z-index:-251658238;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CD696A" w14:paraId="732E0CFF" w14:textId="77777777">
      <w:tc>
        <w:tcPr>
          <w:tcW w:w="2977" w:type="dxa"/>
        </w:tcPr>
        <w:p w14:paraId="1D128833" w14:textId="77777777" w:rsidR="00CD696A" w:rsidRDefault="00CD696A" w:rsidP="004F34F2">
          <w:pPr>
            <w:pStyle w:val="Header"/>
          </w:pPr>
        </w:p>
      </w:tc>
      <w:tc>
        <w:tcPr>
          <w:tcW w:w="5954" w:type="dxa"/>
        </w:tcPr>
        <w:p w14:paraId="6AFFBBA8" w14:textId="77777777" w:rsidR="00CD696A" w:rsidRPr="000163C7" w:rsidRDefault="00CD696A" w:rsidP="004F34F2">
          <w:pPr>
            <w:pStyle w:val="SecurityDLM"/>
            <w:ind w:left="0"/>
            <w:jc w:val="right"/>
            <w:rPr>
              <w:color w:val="616065" w:themeColor="accent5" w:themeShade="BF"/>
            </w:rPr>
          </w:pPr>
          <w:r w:rsidRPr="000163C7">
            <w:rPr>
              <w:color w:val="616065" w:themeColor="accent5" w:themeShade="BF"/>
            </w:rPr>
            <w:t>OFFICIAL</w:t>
          </w:r>
        </w:p>
      </w:tc>
      <w:tc>
        <w:tcPr>
          <w:tcW w:w="1417" w:type="dxa"/>
        </w:tcPr>
        <w:p w14:paraId="6FCEFF89" w14:textId="77777777" w:rsidR="00CD696A" w:rsidRDefault="00CD696A" w:rsidP="004F34F2">
          <w:pPr>
            <w:pStyle w:val="Header"/>
            <w:jc w:val="right"/>
          </w:pPr>
          <w:r>
            <w:rPr>
              <w:noProof/>
            </w:rPr>
            <w:drawing>
              <wp:inline distT="0" distB="0" distL="0" distR="0" wp14:anchorId="79928B0E" wp14:editId="05ED931F">
                <wp:extent cx="755640" cy="755640"/>
                <wp:effectExtent l="0" t="0" r="6985" b="6985"/>
                <wp:docPr id="1350005936" name="Picture 1350005936"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48B597EF" w14:textId="77777777" w:rsidR="00CD696A" w:rsidRDefault="00BF677F">
    <w:pPr>
      <w:pStyle w:val="Header"/>
    </w:pPr>
    <w:r>
      <w:rPr>
        <w:noProof/>
      </w:rPr>
      <w:pict w14:anchorId="74207A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7" type="#_x0000_t136" style="position:absolute;margin-left:0;margin-top:0;width:377.25pt;height:126pt;rotation:315;z-index:-251658215;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175" w:type="dxa"/>
      <w:tblLook w:val="04A0" w:firstRow="1" w:lastRow="0" w:firstColumn="1" w:lastColumn="0" w:noHBand="0" w:noVBand="1"/>
    </w:tblPr>
    <w:tblGrid>
      <w:gridCol w:w="2977"/>
      <w:gridCol w:w="9781"/>
      <w:gridCol w:w="1417"/>
    </w:tblGrid>
    <w:tr w:rsidR="00BC5DD3" w14:paraId="12B9A21D" w14:textId="77777777">
      <w:tc>
        <w:tcPr>
          <w:tcW w:w="2977" w:type="dxa"/>
        </w:tcPr>
        <w:p w14:paraId="31501879" w14:textId="77777777" w:rsidR="00BC5DD3" w:rsidRDefault="00BC5DD3" w:rsidP="00BC5DD3">
          <w:pPr>
            <w:pStyle w:val="Header"/>
          </w:pPr>
        </w:p>
      </w:tc>
      <w:tc>
        <w:tcPr>
          <w:tcW w:w="9781" w:type="dxa"/>
        </w:tcPr>
        <w:p w14:paraId="68C79599" w14:textId="77777777" w:rsidR="00BC5DD3" w:rsidRPr="00BF677F" w:rsidRDefault="00BC5DD3" w:rsidP="00BC5DD3">
          <w:pPr>
            <w:pStyle w:val="SecurityDLM"/>
            <w:ind w:left="0"/>
            <w:jc w:val="right"/>
            <w:rPr>
              <w:color w:val="616065" w:themeColor="accent5" w:themeShade="BF"/>
            </w:rPr>
          </w:pPr>
          <w:r w:rsidRPr="00BF677F">
            <w:rPr>
              <w:color w:val="616065" w:themeColor="accent5" w:themeShade="BF"/>
            </w:rPr>
            <w:t>OFFICIAL</w:t>
          </w:r>
        </w:p>
      </w:tc>
      <w:tc>
        <w:tcPr>
          <w:tcW w:w="1417" w:type="dxa"/>
        </w:tcPr>
        <w:p w14:paraId="4BC2FEE6" w14:textId="77777777" w:rsidR="00BC5DD3" w:rsidRDefault="00BC5DD3" w:rsidP="00BC5DD3">
          <w:pPr>
            <w:pStyle w:val="Header"/>
            <w:jc w:val="right"/>
          </w:pPr>
          <w:r>
            <w:rPr>
              <w:noProof/>
            </w:rPr>
            <w:drawing>
              <wp:inline distT="0" distB="0" distL="0" distR="0" wp14:anchorId="768CDCDE" wp14:editId="1502228B">
                <wp:extent cx="755640" cy="755640"/>
                <wp:effectExtent l="0" t="0" r="6985" b="6985"/>
                <wp:docPr id="41535883" name="Picture 41535883"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4C450C94" w14:textId="77777777" w:rsidR="00BC5DD3" w:rsidRDefault="00BF677F">
    <w:pPr>
      <w:pStyle w:val="Header"/>
    </w:pPr>
    <w:r>
      <w:rPr>
        <w:noProof/>
      </w:rPr>
      <w:pict w14:anchorId="5CABA6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9" type="#_x0000_t136" style="position:absolute;margin-left:0;margin-top:0;width:377.25pt;height:126pt;rotation:315;z-index:-251658213;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175" w:type="dxa"/>
      <w:tblLook w:val="04A0" w:firstRow="1" w:lastRow="0" w:firstColumn="1" w:lastColumn="0" w:noHBand="0" w:noVBand="1"/>
    </w:tblPr>
    <w:tblGrid>
      <w:gridCol w:w="2977"/>
      <w:gridCol w:w="9781"/>
      <w:gridCol w:w="1417"/>
    </w:tblGrid>
    <w:tr w:rsidR="00BC5DD3" w14:paraId="3509CCE6" w14:textId="77777777" w:rsidTr="00BC5DD3">
      <w:tc>
        <w:tcPr>
          <w:tcW w:w="2977" w:type="dxa"/>
        </w:tcPr>
        <w:p w14:paraId="158000F2" w14:textId="77777777" w:rsidR="00BC5DD3" w:rsidRDefault="00BC5DD3" w:rsidP="004F34F2">
          <w:pPr>
            <w:pStyle w:val="Header"/>
          </w:pPr>
        </w:p>
      </w:tc>
      <w:tc>
        <w:tcPr>
          <w:tcW w:w="9781" w:type="dxa"/>
        </w:tcPr>
        <w:p w14:paraId="6AB10360" w14:textId="77777777" w:rsidR="00BC5DD3" w:rsidRPr="00BF677F" w:rsidRDefault="00BC5DD3" w:rsidP="004F34F2">
          <w:pPr>
            <w:pStyle w:val="SecurityDLM"/>
            <w:ind w:left="0"/>
            <w:jc w:val="right"/>
            <w:rPr>
              <w:color w:val="616065" w:themeColor="accent5" w:themeShade="BF"/>
            </w:rPr>
          </w:pPr>
          <w:r w:rsidRPr="00BF677F">
            <w:rPr>
              <w:color w:val="616065" w:themeColor="accent5" w:themeShade="BF"/>
            </w:rPr>
            <w:t>OFFICIAL</w:t>
          </w:r>
        </w:p>
      </w:tc>
      <w:tc>
        <w:tcPr>
          <w:tcW w:w="1417" w:type="dxa"/>
        </w:tcPr>
        <w:p w14:paraId="23DB744F" w14:textId="77777777" w:rsidR="00BC5DD3" w:rsidRDefault="00BC5DD3" w:rsidP="004F34F2">
          <w:pPr>
            <w:pStyle w:val="Header"/>
            <w:jc w:val="right"/>
          </w:pPr>
          <w:r>
            <w:rPr>
              <w:noProof/>
            </w:rPr>
            <w:drawing>
              <wp:inline distT="0" distB="0" distL="0" distR="0" wp14:anchorId="115E1E62" wp14:editId="62C03D9D">
                <wp:extent cx="755640" cy="755640"/>
                <wp:effectExtent l="0" t="0" r="6985" b="6985"/>
                <wp:docPr id="395388891" name="Picture 395388891"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540650FF" w14:textId="77777777" w:rsidR="00BC5DD3" w:rsidRPr="005F737D" w:rsidRDefault="00BF677F" w:rsidP="004F34F2">
    <w:pPr>
      <w:pStyle w:val="Header"/>
      <w:rPr>
        <w:rFonts w:ascii="Gotham Book" w:hAnsi="Gotham Book"/>
        <w:b w:val="0"/>
        <w:color w:val="828188" w:themeColor="accent5"/>
        <w:sz w:val="20"/>
        <w:szCs w:val="20"/>
      </w:rPr>
    </w:pPr>
    <w:r>
      <w:rPr>
        <w:noProof/>
      </w:rPr>
      <w:pict w14:anchorId="57E208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margin-left:0;margin-top:0;width:377.25pt;height:126pt;rotation:315;z-index:-251658214;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90E7" w14:textId="3BB5F7B5" w:rsidR="0000350B" w:rsidRDefault="00BF677F">
    <w:pPr>
      <w:pStyle w:val="Header"/>
    </w:pPr>
    <w:r>
      <w:rPr>
        <w:noProof/>
      </w:rPr>
      <w:pict w14:anchorId="27AD3A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69" o:spid="_x0000_s1049" type="#_x0000_t136" style="position:absolute;margin-left:0;margin-top:0;width:377.25pt;height:126pt;rotation:315;z-index:-251658223;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ABC0" w14:textId="607E93AF" w:rsidR="002662C1" w:rsidRPr="004F34F2" w:rsidRDefault="00BF677F" w:rsidP="004F34F2">
    <w:pPr>
      <w:pStyle w:val="Footer"/>
      <w:rPr>
        <w:b/>
        <w:color w:val="auto"/>
      </w:rPr>
    </w:pPr>
    <w:r>
      <w:rPr>
        <w:noProof/>
      </w:rPr>
      <w:pict w14:anchorId="68FB8F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70" o:spid="_x0000_s1050" type="#_x0000_t136" style="position:absolute;margin-left:0;margin-top:0;width:377.25pt;height:126pt;rotation:315;z-index:-251658222;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B824C" w14:textId="5F94D32C" w:rsidR="002662C1" w:rsidRDefault="00BF677F">
    <w:pPr>
      <w:pStyle w:val="Header"/>
    </w:pPr>
    <w:r>
      <w:rPr>
        <w:noProof/>
      </w:rPr>
      <w:pict w14:anchorId="15029E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68" o:spid="_x0000_s1051" type="#_x0000_t136" style="position:absolute;margin-left:0;margin-top:0;width:377.25pt;height:126pt;rotation:315;z-index:-251658221;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6D1105" w14:paraId="189F5016" w14:textId="77777777">
      <w:tc>
        <w:tcPr>
          <w:tcW w:w="2977" w:type="dxa"/>
        </w:tcPr>
        <w:p w14:paraId="5A8AA9B4" w14:textId="77777777" w:rsidR="006D1105" w:rsidRDefault="006D1105" w:rsidP="006D1105">
          <w:pPr>
            <w:pStyle w:val="Header"/>
          </w:pPr>
        </w:p>
      </w:tc>
      <w:tc>
        <w:tcPr>
          <w:tcW w:w="5954" w:type="dxa"/>
        </w:tcPr>
        <w:p w14:paraId="149D4F9C" w14:textId="77777777" w:rsidR="006D1105" w:rsidRPr="00BF677F" w:rsidRDefault="006D1105" w:rsidP="006D1105">
          <w:pPr>
            <w:pStyle w:val="SecurityDLM"/>
            <w:ind w:left="0"/>
            <w:jc w:val="right"/>
            <w:rPr>
              <w:color w:val="616065" w:themeColor="accent5" w:themeShade="BF"/>
            </w:rPr>
          </w:pPr>
          <w:r w:rsidRPr="00BF677F">
            <w:rPr>
              <w:color w:val="616065" w:themeColor="accent5" w:themeShade="BF"/>
            </w:rPr>
            <w:t>OFFICIAL</w:t>
          </w:r>
        </w:p>
      </w:tc>
      <w:tc>
        <w:tcPr>
          <w:tcW w:w="1417" w:type="dxa"/>
        </w:tcPr>
        <w:p w14:paraId="7203D8C1" w14:textId="77777777" w:rsidR="006D1105" w:rsidRDefault="006D1105" w:rsidP="006D1105">
          <w:pPr>
            <w:pStyle w:val="Header"/>
            <w:jc w:val="right"/>
          </w:pPr>
          <w:r>
            <w:rPr>
              <w:noProof/>
            </w:rPr>
            <w:drawing>
              <wp:inline distT="0" distB="0" distL="0" distR="0" wp14:anchorId="32D02C17" wp14:editId="77384EDC">
                <wp:extent cx="755640" cy="755640"/>
                <wp:effectExtent l="0" t="0" r="6985" b="6985"/>
                <wp:docPr id="1121523708" name="Picture 1121523708"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0C0FF084" w14:textId="77777777" w:rsidR="006D1105" w:rsidRPr="004F34F2" w:rsidRDefault="00BF677F" w:rsidP="004F34F2">
    <w:pPr>
      <w:pStyle w:val="Footer"/>
      <w:rPr>
        <w:b/>
        <w:color w:val="auto"/>
      </w:rPr>
    </w:pPr>
    <w:r>
      <w:rPr>
        <w:noProof/>
      </w:rPr>
      <w:pict w14:anchorId="53CA1E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6" type="#_x0000_t136" style="position:absolute;margin-left:0;margin-top:0;width:377.25pt;height:126pt;rotation:315;z-index:-251658216;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4F34F2" w14:paraId="66083702" w14:textId="77777777">
      <w:tc>
        <w:tcPr>
          <w:tcW w:w="2977" w:type="dxa"/>
        </w:tcPr>
        <w:p w14:paraId="3B7BDEA5" w14:textId="77777777" w:rsidR="004F34F2" w:rsidRDefault="004F34F2" w:rsidP="004F34F2">
          <w:pPr>
            <w:pStyle w:val="Header"/>
          </w:pPr>
        </w:p>
      </w:tc>
      <w:tc>
        <w:tcPr>
          <w:tcW w:w="5954" w:type="dxa"/>
        </w:tcPr>
        <w:p w14:paraId="1A19301E" w14:textId="77777777" w:rsidR="004F34F2" w:rsidRPr="00BF677F" w:rsidRDefault="004F34F2" w:rsidP="004F34F2">
          <w:pPr>
            <w:pStyle w:val="SecurityDLM"/>
            <w:ind w:left="0"/>
            <w:jc w:val="right"/>
            <w:rPr>
              <w:color w:val="616065" w:themeColor="accent5" w:themeShade="BF"/>
            </w:rPr>
          </w:pPr>
          <w:r w:rsidRPr="00BF677F">
            <w:rPr>
              <w:color w:val="616065" w:themeColor="accent5" w:themeShade="BF"/>
            </w:rPr>
            <w:t>OFFICIAL</w:t>
          </w:r>
        </w:p>
      </w:tc>
      <w:tc>
        <w:tcPr>
          <w:tcW w:w="1417" w:type="dxa"/>
        </w:tcPr>
        <w:p w14:paraId="5357B003" w14:textId="77777777" w:rsidR="004F34F2" w:rsidRDefault="004F34F2" w:rsidP="004F34F2">
          <w:pPr>
            <w:pStyle w:val="Header"/>
            <w:jc w:val="right"/>
          </w:pPr>
          <w:r>
            <w:rPr>
              <w:noProof/>
            </w:rPr>
            <w:drawing>
              <wp:inline distT="0" distB="0" distL="0" distR="0" wp14:anchorId="64333259" wp14:editId="1B1F6C62">
                <wp:extent cx="755640" cy="755640"/>
                <wp:effectExtent l="0" t="0" r="6985" b="6985"/>
                <wp:docPr id="1017999893" name="Picture 1017999893"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52C9C7B" w14:textId="77777777" w:rsidR="004F34F2" w:rsidRDefault="00BF677F">
    <w:pPr>
      <w:pStyle w:val="Header"/>
    </w:pPr>
    <w:r>
      <w:rPr>
        <w:noProof/>
      </w:rPr>
      <w:pict w14:anchorId="3695A0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2" type="#_x0000_t136" style="position:absolute;margin-left:0;margin-top:0;width:377.25pt;height:126pt;rotation:315;z-index:-251658220;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5317" w14:textId="39EB198B" w:rsidR="00C9042E" w:rsidRPr="00C9042E" w:rsidRDefault="00C9042E" w:rsidP="00C9042E">
    <w:pPr>
      <w:pStyle w:val="SecurityDLM"/>
      <w:spacing w:after="0" w:line="240" w:lineRule="auto"/>
      <w:ind w:left="0"/>
      <w:jc w:val="right"/>
    </w:pPr>
    <w:r w:rsidRPr="00BF677F">
      <w:rPr>
        <w:color w:val="616065" w:themeColor="accent5" w:themeShade="BF"/>
      </w:rPr>
      <w:t>Official</w:t>
    </w:r>
    <w:r w:rsidR="00BF677F">
      <w:rPr>
        <w:noProof/>
        <w:color w:val="000000" w:themeColor="text1"/>
      </w:rPr>
      <w:pict w14:anchorId="2648B0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5" type="#_x0000_t136" style="position:absolute;left:0;text-align:left;margin-left:0;margin-top:0;width:377.25pt;height:126pt;rotation:315;z-index:-251658217;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B11A" w14:textId="0BDBA3A2" w:rsidR="00C9042E" w:rsidRPr="00C9042E" w:rsidRDefault="00C9042E" w:rsidP="00C9042E">
    <w:pPr>
      <w:jc w:val="right"/>
    </w:pPr>
    <w:r w:rsidRPr="00C9042E">
      <w:t>OFFICIAL</w:t>
    </w:r>
    <w:r w:rsidR="00BF677F">
      <w:pict w14:anchorId="035C90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4" type="#_x0000_t136" style="position:absolute;left:0;text-align:left;margin-left:0;margin-top:0;width:377.25pt;height:126pt;rotation:315;z-index:-251658218;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1" w:type="dxa"/>
      <w:tblLook w:val="04A0" w:firstRow="1" w:lastRow="0" w:firstColumn="1" w:lastColumn="0" w:noHBand="0" w:noVBand="1"/>
    </w:tblPr>
    <w:tblGrid>
      <w:gridCol w:w="5386"/>
      <w:gridCol w:w="3259"/>
      <w:gridCol w:w="1416"/>
    </w:tblGrid>
    <w:tr w:rsidR="00EE0822" w14:paraId="01EEBC9E" w14:textId="77777777" w:rsidTr="00EE0822">
      <w:tc>
        <w:tcPr>
          <w:tcW w:w="5386" w:type="dxa"/>
        </w:tcPr>
        <w:p w14:paraId="4F08C48D" w14:textId="77777777" w:rsidR="00EE0822" w:rsidRDefault="00EE0822" w:rsidP="00EE0822">
          <w:pPr>
            <w:pStyle w:val="Header"/>
          </w:pPr>
          <w:r>
            <w:rPr>
              <w:noProof/>
            </w:rPr>
            <w:drawing>
              <wp:inline distT="0" distB="0" distL="0" distR="0" wp14:anchorId="4417AEFC" wp14:editId="5BA0D675">
                <wp:extent cx="3282950" cy="756920"/>
                <wp:effectExtent l="0" t="0" r="0" b="5080"/>
                <wp:docPr id="315618355" name="Picture 315618355"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1E693B47" w14:textId="77777777" w:rsidR="00EE0822" w:rsidRPr="00F0495F" w:rsidRDefault="0097533D" w:rsidP="00EE0822">
          <w:pPr>
            <w:pStyle w:val="SecurityDLM"/>
            <w:ind w:left="0"/>
            <w:jc w:val="right"/>
            <w:rPr>
              <w:color w:val="595959" w:themeColor="text1" w:themeTint="A6"/>
            </w:rPr>
          </w:pPr>
          <w:r w:rsidRPr="00F0495F">
            <w:rPr>
              <w:color w:val="595959" w:themeColor="text1" w:themeTint="A6"/>
            </w:rPr>
            <w:t>Official</w:t>
          </w:r>
        </w:p>
      </w:tc>
      <w:tc>
        <w:tcPr>
          <w:tcW w:w="1416" w:type="dxa"/>
        </w:tcPr>
        <w:p w14:paraId="4613D567" w14:textId="77777777" w:rsidR="00EE0822" w:rsidRDefault="00EE0822" w:rsidP="00EE0822">
          <w:pPr>
            <w:pStyle w:val="Header"/>
            <w:jc w:val="right"/>
          </w:pPr>
          <w:r>
            <w:rPr>
              <w:noProof/>
            </w:rPr>
            <w:drawing>
              <wp:inline distT="0" distB="0" distL="0" distR="0" wp14:anchorId="44502956" wp14:editId="524E921F">
                <wp:extent cx="755640" cy="755640"/>
                <wp:effectExtent l="0" t="0" r="6985" b="6985"/>
                <wp:docPr id="1431703555" name="Picture 143170355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3C71B68B" w14:textId="0A42DCAF" w:rsidR="00133DD8" w:rsidRPr="00A7117A" w:rsidRDefault="00BF677F" w:rsidP="00BA62AE">
    <w:pPr>
      <w:rPr>
        <w:noProof/>
      </w:rPr>
    </w:pPr>
    <w:r>
      <w:rPr>
        <w:noProof/>
      </w:rPr>
      <w:pict w14:anchorId="14DE6E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50" o:spid="_x0000_s1027" type="#_x0000_t136" style="position:absolute;margin-left:0;margin-top:0;width:377.25pt;height:126pt;rotation:315;z-index:-251658240;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C410" w14:textId="6C828B27" w:rsidR="00266FC4" w:rsidRDefault="00BF677F">
    <w:pPr>
      <w:pStyle w:val="Header"/>
    </w:pPr>
    <w:r>
      <w:rPr>
        <w:noProof/>
      </w:rPr>
      <w:pict w14:anchorId="2DE2AF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54" o:spid="_x0000_s1028" type="#_x0000_t136" style="position:absolute;margin-left:0;margin-top:0;width:377.25pt;height:126pt;rotation:315;z-index:-251658236;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72BD" w14:textId="4E5F5506" w:rsidR="00266FC4" w:rsidRDefault="00BF677F">
    <w:pPr>
      <w:pStyle w:val="Header"/>
    </w:pPr>
    <w:r>
      <w:rPr>
        <w:noProof/>
      </w:rPr>
      <w:pict w14:anchorId="073319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55" o:spid="_x0000_s1029" type="#_x0000_t136" style="position:absolute;margin-left:0;margin-top:0;width:377.25pt;height:126pt;rotation:315;z-index:-251658235;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4F34F2" w14:paraId="16282811" w14:textId="77777777">
      <w:tc>
        <w:tcPr>
          <w:tcW w:w="2977" w:type="dxa"/>
        </w:tcPr>
        <w:p w14:paraId="54CC5A92" w14:textId="77777777" w:rsidR="004F34F2" w:rsidRDefault="004F34F2" w:rsidP="004F34F2">
          <w:pPr>
            <w:pStyle w:val="Header"/>
          </w:pPr>
        </w:p>
      </w:tc>
      <w:tc>
        <w:tcPr>
          <w:tcW w:w="5954" w:type="dxa"/>
        </w:tcPr>
        <w:p w14:paraId="3EBB84B5" w14:textId="0CB113E3" w:rsidR="004F34F2" w:rsidRPr="00F0495F" w:rsidRDefault="004F34F2" w:rsidP="004F34F2">
          <w:pPr>
            <w:pStyle w:val="SecurityDLM"/>
            <w:ind w:left="0"/>
            <w:jc w:val="right"/>
            <w:rPr>
              <w:color w:val="616065" w:themeColor="accent5" w:themeShade="BF"/>
            </w:rPr>
          </w:pPr>
          <w:r w:rsidRPr="00F0495F">
            <w:rPr>
              <w:color w:val="616065" w:themeColor="accent5" w:themeShade="BF"/>
            </w:rPr>
            <w:t>OFFICIAL</w:t>
          </w:r>
        </w:p>
      </w:tc>
      <w:tc>
        <w:tcPr>
          <w:tcW w:w="1417" w:type="dxa"/>
        </w:tcPr>
        <w:p w14:paraId="3ADEF34A" w14:textId="77777777" w:rsidR="004F34F2" w:rsidRDefault="004F34F2" w:rsidP="004F34F2">
          <w:pPr>
            <w:pStyle w:val="Header"/>
            <w:jc w:val="right"/>
          </w:pPr>
          <w:r>
            <w:rPr>
              <w:noProof/>
            </w:rPr>
            <w:drawing>
              <wp:inline distT="0" distB="0" distL="0" distR="0" wp14:anchorId="1D95C0E9" wp14:editId="15166EFB">
                <wp:extent cx="755640" cy="755640"/>
                <wp:effectExtent l="0" t="0" r="6985" b="6985"/>
                <wp:docPr id="1148728115" name="Picture 114872811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5D0C3399" w14:textId="4218DB99" w:rsidR="00133DD8" w:rsidRPr="00A7117A" w:rsidRDefault="00BF677F">
    <w:pPr>
      <w:pStyle w:val="Header"/>
      <w:rPr>
        <w:noProof/>
      </w:rPr>
    </w:pPr>
    <w:r>
      <w:rPr>
        <w:noProof/>
      </w:rPr>
      <w:pict w14:anchorId="1FB910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53" o:spid="_x0000_s1030" type="#_x0000_t136" style="position:absolute;margin-left:0;margin-top:0;width:377.25pt;height:126pt;rotation:315;z-index:-251658237;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89CD" w14:textId="39C049D5" w:rsidR="00266FC4" w:rsidRDefault="00BF677F">
    <w:pPr>
      <w:pStyle w:val="Header"/>
    </w:pPr>
    <w:r>
      <w:rPr>
        <w:noProof/>
      </w:rPr>
      <w:pict w14:anchorId="1729CD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57" o:spid="_x0000_s1031" type="#_x0000_t136" style="position:absolute;margin-left:0;margin-top:0;width:377.25pt;height:126pt;rotation:315;z-index:-251658233;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4F34F2" w14:paraId="01834CD9" w14:textId="77777777">
      <w:tc>
        <w:tcPr>
          <w:tcW w:w="2977" w:type="dxa"/>
        </w:tcPr>
        <w:p w14:paraId="5B216D4E" w14:textId="77777777" w:rsidR="004F34F2" w:rsidRDefault="004F34F2" w:rsidP="004F34F2">
          <w:pPr>
            <w:pStyle w:val="Header"/>
          </w:pPr>
        </w:p>
      </w:tc>
      <w:tc>
        <w:tcPr>
          <w:tcW w:w="5954" w:type="dxa"/>
        </w:tcPr>
        <w:p w14:paraId="2C6B3E27" w14:textId="77777777" w:rsidR="004F34F2" w:rsidRPr="00F0495F" w:rsidRDefault="004F34F2" w:rsidP="004F34F2">
          <w:pPr>
            <w:pStyle w:val="SecurityDLM"/>
            <w:ind w:left="0"/>
            <w:jc w:val="right"/>
            <w:rPr>
              <w:color w:val="616065" w:themeColor="accent5" w:themeShade="BF"/>
            </w:rPr>
          </w:pPr>
          <w:r w:rsidRPr="00F0495F">
            <w:rPr>
              <w:color w:val="616065" w:themeColor="accent5" w:themeShade="BF"/>
            </w:rPr>
            <w:t>OFFICIAL</w:t>
          </w:r>
        </w:p>
      </w:tc>
      <w:tc>
        <w:tcPr>
          <w:tcW w:w="1417" w:type="dxa"/>
        </w:tcPr>
        <w:p w14:paraId="293C1877" w14:textId="77777777" w:rsidR="004F34F2" w:rsidRDefault="004F34F2" w:rsidP="004F34F2">
          <w:pPr>
            <w:pStyle w:val="Header"/>
            <w:jc w:val="right"/>
          </w:pPr>
          <w:r>
            <w:rPr>
              <w:noProof/>
            </w:rPr>
            <w:drawing>
              <wp:inline distT="0" distB="0" distL="0" distR="0" wp14:anchorId="2527DC7A" wp14:editId="0541FE48">
                <wp:extent cx="755640" cy="755640"/>
                <wp:effectExtent l="0" t="0" r="6985" b="6985"/>
                <wp:docPr id="438196897" name="Picture 438196897"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ED7CB0C" w14:textId="35BB7AB7" w:rsidR="00266FC4" w:rsidRDefault="00BF677F">
    <w:pPr>
      <w:pStyle w:val="Header"/>
    </w:pPr>
    <w:r>
      <w:rPr>
        <w:noProof/>
      </w:rPr>
      <w:pict w14:anchorId="1AE747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58" o:spid="_x0000_s1032" type="#_x0000_t136" style="position:absolute;margin-left:0;margin-top:0;width:377.25pt;height:126pt;rotation:315;z-index:-251658232;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Look w:val="04A0" w:firstRow="1" w:lastRow="0" w:firstColumn="1" w:lastColumn="0" w:noHBand="0" w:noVBand="1"/>
    </w:tblPr>
    <w:tblGrid>
      <w:gridCol w:w="2977"/>
      <w:gridCol w:w="5954"/>
      <w:gridCol w:w="1417"/>
    </w:tblGrid>
    <w:tr w:rsidR="004F34F2" w14:paraId="4E0C01C7" w14:textId="77777777">
      <w:tc>
        <w:tcPr>
          <w:tcW w:w="2977" w:type="dxa"/>
        </w:tcPr>
        <w:p w14:paraId="303B8764" w14:textId="77777777" w:rsidR="004F34F2" w:rsidRDefault="004F34F2" w:rsidP="004F34F2">
          <w:pPr>
            <w:pStyle w:val="Header"/>
          </w:pPr>
        </w:p>
      </w:tc>
      <w:tc>
        <w:tcPr>
          <w:tcW w:w="5954" w:type="dxa"/>
        </w:tcPr>
        <w:p w14:paraId="76C5C657" w14:textId="77777777" w:rsidR="004F34F2" w:rsidRPr="00F0495F" w:rsidRDefault="004F34F2" w:rsidP="004F34F2">
          <w:pPr>
            <w:pStyle w:val="SecurityDLM"/>
            <w:ind w:left="0"/>
            <w:jc w:val="right"/>
            <w:rPr>
              <w:color w:val="616065" w:themeColor="accent5" w:themeShade="BF"/>
            </w:rPr>
          </w:pPr>
          <w:r w:rsidRPr="00F0495F">
            <w:rPr>
              <w:color w:val="616065" w:themeColor="accent5" w:themeShade="BF"/>
            </w:rPr>
            <w:t>OFFICIAL</w:t>
          </w:r>
        </w:p>
      </w:tc>
      <w:tc>
        <w:tcPr>
          <w:tcW w:w="1417" w:type="dxa"/>
        </w:tcPr>
        <w:p w14:paraId="1C56EE98" w14:textId="77777777" w:rsidR="004F34F2" w:rsidRDefault="004F34F2" w:rsidP="004F34F2">
          <w:pPr>
            <w:pStyle w:val="Header"/>
            <w:jc w:val="right"/>
          </w:pPr>
          <w:r>
            <w:rPr>
              <w:noProof/>
            </w:rPr>
            <w:drawing>
              <wp:inline distT="0" distB="0" distL="0" distR="0" wp14:anchorId="3DAD10DA" wp14:editId="336C41B4">
                <wp:extent cx="755640" cy="755640"/>
                <wp:effectExtent l="0" t="0" r="6985" b="6985"/>
                <wp:docPr id="495206331" name="Picture 495206331"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17DD12E0" w14:textId="4EAD54FF" w:rsidR="007125C5" w:rsidRPr="00A7117A" w:rsidRDefault="00BF677F">
    <w:pPr>
      <w:pStyle w:val="Header"/>
      <w:rPr>
        <w:noProof/>
      </w:rPr>
    </w:pPr>
    <w:r>
      <w:rPr>
        <w:noProof/>
      </w:rPr>
      <w:pict w14:anchorId="72E008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13756" o:spid="_x0000_s1033" type="#_x0000_t136" style="position:absolute;margin-left:0;margin-top:0;width:377.25pt;height:126pt;rotation:315;z-index:-251658234;mso-position-horizontal:center;mso-position-horizontal-relative:margin;mso-position-vertical:center;mso-position-vertical-relative:margin" o:allowincell="f" fillcolor="silver" stroked="f">
          <v:fill opacity=".5"/>
          <v:textpath style="font-family:&quot;Gotham Book&quot;;font-size:105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6ACD42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C19CFC6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127ED"/>
    <w:multiLevelType w:val="multilevel"/>
    <w:tmpl w:val="C284D0B0"/>
    <w:numStyleLink w:val="FigureNumbers"/>
  </w:abstractNum>
  <w:abstractNum w:abstractNumId="3" w15:restartNumberingAfterBreak="0">
    <w:nsid w:val="02DC7402"/>
    <w:multiLevelType w:val="hybridMultilevel"/>
    <w:tmpl w:val="B5169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562FBF"/>
    <w:multiLevelType w:val="hybridMultilevel"/>
    <w:tmpl w:val="3BB26C2C"/>
    <w:lvl w:ilvl="0" w:tplc="D1924A82">
      <w:start w:val="1"/>
      <w:numFmt w:val="bullet"/>
      <w:lvlText w:val=""/>
      <w:lvlJc w:val="left"/>
      <w:pPr>
        <w:ind w:left="720" w:hanging="357"/>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56E7C83"/>
    <w:multiLevelType w:val="hybridMultilevel"/>
    <w:tmpl w:val="1BF29D0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6" w15:restartNumberingAfterBreak="0">
    <w:nsid w:val="0782491E"/>
    <w:multiLevelType w:val="hybridMultilevel"/>
    <w:tmpl w:val="81FABC2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08666141"/>
    <w:multiLevelType w:val="hybridMultilevel"/>
    <w:tmpl w:val="75304B52"/>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8" w15:restartNumberingAfterBreak="0">
    <w:nsid w:val="0AE3577D"/>
    <w:multiLevelType w:val="multilevel"/>
    <w:tmpl w:val="F0C4110A"/>
    <w:lvl w:ilvl="0">
      <w:start w:val="1"/>
      <w:numFmt w:val="lowerRoman"/>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0D0C3564"/>
    <w:multiLevelType w:val="hybridMultilevel"/>
    <w:tmpl w:val="3A00A17A"/>
    <w:lvl w:ilvl="0" w:tplc="AC9EA082">
      <w:start w:val="1"/>
      <w:numFmt w:val="bullet"/>
      <w:lvlText w:val=""/>
      <w:lvlJc w:val="left"/>
      <w:pPr>
        <w:ind w:left="737" w:hanging="377"/>
      </w:pPr>
      <w:rPr>
        <w:rFonts w:ascii="Symbol" w:hAnsi="Symbol" w:hint="default"/>
      </w:rPr>
    </w:lvl>
    <w:lvl w:ilvl="1" w:tplc="ED962320">
      <w:start w:val="1"/>
      <w:numFmt w:val="bullet"/>
      <w:lvlText w:val="o"/>
      <w:lvlJc w:val="left"/>
      <w:pPr>
        <w:ind w:left="1440" w:hanging="360"/>
      </w:pPr>
      <w:rPr>
        <w:rFonts w:ascii="Courier New" w:hAnsi="Courier New" w:cs="Courier New" w:hint="default"/>
      </w:rPr>
    </w:lvl>
    <w:lvl w:ilvl="2" w:tplc="0F44F75C" w:tentative="1">
      <w:start w:val="1"/>
      <w:numFmt w:val="bullet"/>
      <w:lvlText w:val=""/>
      <w:lvlJc w:val="left"/>
      <w:pPr>
        <w:ind w:left="2160" w:hanging="360"/>
      </w:pPr>
      <w:rPr>
        <w:rFonts w:ascii="Wingdings" w:hAnsi="Wingdings" w:hint="default"/>
      </w:rPr>
    </w:lvl>
    <w:lvl w:ilvl="3" w:tplc="351A85FA" w:tentative="1">
      <w:start w:val="1"/>
      <w:numFmt w:val="bullet"/>
      <w:lvlText w:val=""/>
      <w:lvlJc w:val="left"/>
      <w:pPr>
        <w:ind w:left="2880" w:hanging="360"/>
      </w:pPr>
      <w:rPr>
        <w:rFonts w:ascii="Symbol" w:hAnsi="Symbol" w:hint="default"/>
      </w:rPr>
    </w:lvl>
    <w:lvl w:ilvl="4" w:tplc="4F98DC3A" w:tentative="1">
      <w:start w:val="1"/>
      <w:numFmt w:val="bullet"/>
      <w:lvlText w:val="o"/>
      <w:lvlJc w:val="left"/>
      <w:pPr>
        <w:ind w:left="3600" w:hanging="360"/>
      </w:pPr>
      <w:rPr>
        <w:rFonts w:ascii="Courier New" w:hAnsi="Courier New" w:cs="Courier New" w:hint="default"/>
      </w:rPr>
    </w:lvl>
    <w:lvl w:ilvl="5" w:tplc="42088B4E" w:tentative="1">
      <w:start w:val="1"/>
      <w:numFmt w:val="bullet"/>
      <w:lvlText w:val=""/>
      <w:lvlJc w:val="left"/>
      <w:pPr>
        <w:ind w:left="4320" w:hanging="360"/>
      </w:pPr>
      <w:rPr>
        <w:rFonts w:ascii="Wingdings" w:hAnsi="Wingdings" w:hint="default"/>
      </w:rPr>
    </w:lvl>
    <w:lvl w:ilvl="6" w:tplc="AEF45E92" w:tentative="1">
      <w:start w:val="1"/>
      <w:numFmt w:val="bullet"/>
      <w:lvlText w:val=""/>
      <w:lvlJc w:val="left"/>
      <w:pPr>
        <w:ind w:left="5040" w:hanging="360"/>
      </w:pPr>
      <w:rPr>
        <w:rFonts w:ascii="Symbol" w:hAnsi="Symbol" w:hint="default"/>
      </w:rPr>
    </w:lvl>
    <w:lvl w:ilvl="7" w:tplc="5D7498AC" w:tentative="1">
      <w:start w:val="1"/>
      <w:numFmt w:val="bullet"/>
      <w:lvlText w:val="o"/>
      <w:lvlJc w:val="left"/>
      <w:pPr>
        <w:ind w:left="5760" w:hanging="360"/>
      </w:pPr>
      <w:rPr>
        <w:rFonts w:ascii="Courier New" w:hAnsi="Courier New" w:cs="Courier New" w:hint="default"/>
      </w:rPr>
    </w:lvl>
    <w:lvl w:ilvl="8" w:tplc="832837B0" w:tentative="1">
      <w:start w:val="1"/>
      <w:numFmt w:val="bullet"/>
      <w:lvlText w:val=""/>
      <w:lvlJc w:val="left"/>
      <w:pPr>
        <w:ind w:left="6480" w:hanging="360"/>
      </w:pPr>
      <w:rPr>
        <w:rFonts w:ascii="Wingdings" w:hAnsi="Wingdings" w:hint="default"/>
      </w:rPr>
    </w:lvl>
  </w:abstractNum>
  <w:abstractNum w:abstractNumId="10" w15:restartNumberingAfterBreak="0">
    <w:nsid w:val="0EF4609F"/>
    <w:multiLevelType w:val="hybridMultilevel"/>
    <w:tmpl w:val="2F38DC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12352DB6"/>
    <w:multiLevelType w:val="hybridMultilevel"/>
    <w:tmpl w:val="F15E4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41552F"/>
    <w:multiLevelType w:val="hybridMultilevel"/>
    <w:tmpl w:val="8D5C681A"/>
    <w:lvl w:ilvl="0" w:tplc="A32C5F16">
      <w:start w:val="1"/>
      <w:numFmt w:val="lowerRoman"/>
      <w:lvlText w:val="(%1)"/>
      <w:lvlJc w:val="left"/>
      <w:pPr>
        <w:ind w:left="720" w:hanging="360"/>
      </w:pPr>
      <w:rPr>
        <w:rFonts w:cs="Garamond" w:hint="default"/>
        <w:color w:val="211D1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51F78E7"/>
    <w:multiLevelType w:val="multilevel"/>
    <w:tmpl w:val="019A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3845CD"/>
    <w:multiLevelType w:val="hybridMultilevel"/>
    <w:tmpl w:val="38D6DA7E"/>
    <w:lvl w:ilvl="0" w:tplc="0C090001">
      <w:start w:val="1"/>
      <w:numFmt w:val="bullet"/>
      <w:lvlText w:val=""/>
      <w:lvlJc w:val="left"/>
      <w:pPr>
        <w:ind w:left="719" w:hanging="360"/>
      </w:pPr>
      <w:rPr>
        <w:rFonts w:ascii="Symbol" w:hAnsi="Symbol" w:hint="default"/>
        <w:color w:val="FFFFFF" w:themeColor="background1"/>
        <w:sz w:val="18"/>
        <w:szCs w:val="16"/>
      </w:rPr>
    </w:lvl>
    <w:lvl w:ilvl="1" w:tplc="E7207316">
      <w:start w:val="1"/>
      <w:numFmt w:val="decimal"/>
      <w:lvlText w:val="%2."/>
      <w:lvlJc w:val="left"/>
      <w:pPr>
        <w:ind w:left="1439" w:hanging="360"/>
      </w:pPr>
      <w:rPr>
        <w:sz w:val="22"/>
        <w:szCs w:val="22"/>
      </w:r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16" w15:restartNumberingAfterBreak="0">
    <w:nsid w:val="16EE4FAF"/>
    <w:multiLevelType w:val="hybridMultilevel"/>
    <w:tmpl w:val="56788C3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19C149EA"/>
    <w:multiLevelType w:val="hybridMultilevel"/>
    <w:tmpl w:val="98DE0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1AB71F11"/>
    <w:multiLevelType w:val="multilevel"/>
    <w:tmpl w:val="2068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C862E1"/>
    <w:multiLevelType w:val="multilevel"/>
    <w:tmpl w:val="C284D0B0"/>
    <w:styleLink w:val="FigureNumbers"/>
    <w:lvl w:ilvl="0">
      <w:start w:val="1"/>
      <w:numFmt w:val="decimal"/>
      <w:pStyle w:val="FigureTitle"/>
      <w:lvlText w:val="Figure %1."/>
      <w:lvlJc w:val="left"/>
      <w:pPr>
        <w:ind w:left="2836"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A212CB"/>
    <w:multiLevelType w:val="hybridMultilevel"/>
    <w:tmpl w:val="0184A1FC"/>
    <w:lvl w:ilvl="0" w:tplc="48846C56">
      <w:start w:val="1"/>
      <w:numFmt w:val="lowerRoman"/>
      <w:lvlText w:val="(%1)"/>
      <w:lvlJc w:val="left"/>
      <w:pPr>
        <w:ind w:left="1080" w:hanging="720"/>
      </w:pPr>
      <w:rPr>
        <w:rFonts w:hint="default"/>
      </w:rPr>
    </w:lvl>
    <w:lvl w:ilvl="1" w:tplc="A01E1846" w:tentative="1">
      <w:start w:val="1"/>
      <w:numFmt w:val="lowerLetter"/>
      <w:lvlText w:val="%2."/>
      <w:lvlJc w:val="left"/>
      <w:pPr>
        <w:ind w:left="1440" w:hanging="360"/>
      </w:pPr>
    </w:lvl>
    <w:lvl w:ilvl="2" w:tplc="7CA8DCFA" w:tentative="1">
      <w:start w:val="1"/>
      <w:numFmt w:val="lowerRoman"/>
      <w:lvlText w:val="%3."/>
      <w:lvlJc w:val="right"/>
      <w:pPr>
        <w:ind w:left="2160" w:hanging="180"/>
      </w:pPr>
    </w:lvl>
    <w:lvl w:ilvl="3" w:tplc="EFFE98B8" w:tentative="1">
      <w:start w:val="1"/>
      <w:numFmt w:val="decimal"/>
      <w:lvlText w:val="%4."/>
      <w:lvlJc w:val="left"/>
      <w:pPr>
        <w:ind w:left="2880" w:hanging="360"/>
      </w:pPr>
    </w:lvl>
    <w:lvl w:ilvl="4" w:tplc="334427EA" w:tentative="1">
      <w:start w:val="1"/>
      <w:numFmt w:val="lowerLetter"/>
      <w:lvlText w:val="%5."/>
      <w:lvlJc w:val="left"/>
      <w:pPr>
        <w:ind w:left="3600" w:hanging="360"/>
      </w:pPr>
    </w:lvl>
    <w:lvl w:ilvl="5" w:tplc="A57C391C" w:tentative="1">
      <w:start w:val="1"/>
      <w:numFmt w:val="lowerRoman"/>
      <w:lvlText w:val="%6."/>
      <w:lvlJc w:val="right"/>
      <w:pPr>
        <w:ind w:left="4320" w:hanging="180"/>
      </w:pPr>
    </w:lvl>
    <w:lvl w:ilvl="6" w:tplc="62D27896" w:tentative="1">
      <w:start w:val="1"/>
      <w:numFmt w:val="decimal"/>
      <w:lvlText w:val="%7."/>
      <w:lvlJc w:val="left"/>
      <w:pPr>
        <w:ind w:left="5040" w:hanging="360"/>
      </w:pPr>
    </w:lvl>
    <w:lvl w:ilvl="7" w:tplc="7FB26C0A" w:tentative="1">
      <w:start w:val="1"/>
      <w:numFmt w:val="lowerLetter"/>
      <w:lvlText w:val="%8."/>
      <w:lvlJc w:val="left"/>
      <w:pPr>
        <w:ind w:left="5760" w:hanging="360"/>
      </w:pPr>
    </w:lvl>
    <w:lvl w:ilvl="8" w:tplc="211478CC" w:tentative="1">
      <w:start w:val="1"/>
      <w:numFmt w:val="lowerRoman"/>
      <w:lvlText w:val="%9."/>
      <w:lvlJc w:val="right"/>
      <w:pPr>
        <w:ind w:left="6480" w:hanging="180"/>
      </w:pPr>
    </w:lvl>
  </w:abstractNum>
  <w:abstractNum w:abstractNumId="22" w15:restartNumberingAfterBreak="0">
    <w:nsid w:val="1E3A475F"/>
    <w:multiLevelType w:val="hybridMultilevel"/>
    <w:tmpl w:val="B9DEEED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3"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0A63489"/>
    <w:multiLevelType w:val="hybridMultilevel"/>
    <w:tmpl w:val="594AD37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22671296"/>
    <w:multiLevelType w:val="hybridMultilevel"/>
    <w:tmpl w:val="66B498FA"/>
    <w:lvl w:ilvl="0" w:tplc="1ED8C98E">
      <w:start w:val="1"/>
      <w:numFmt w:val="bullet"/>
      <w:lvlText w:val=""/>
      <w:lvlJc w:val="left"/>
      <w:pPr>
        <w:ind w:left="644" w:hanging="360"/>
      </w:pPr>
      <w:rPr>
        <w:rFonts w:ascii="Symbol" w:hAnsi="Symbol" w:hint="default"/>
        <w:sz w:val="22"/>
        <w:szCs w:val="22"/>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 w15:restartNumberingAfterBreak="0">
    <w:nsid w:val="247C5FB4"/>
    <w:multiLevelType w:val="multilevel"/>
    <w:tmpl w:val="6492907C"/>
    <w:lvl w:ilvl="0">
      <w:start w:val="1"/>
      <w:numFmt w:val="decimal"/>
      <w:pStyle w:val="Heading1"/>
      <w:lvlText w:val="Chapter %1: "/>
      <w:lvlJc w:val="left"/>
      <w:pPr>
        <w:ind w:left="431" w:hanging="431"/>
      </w:pPr>
      <w:rPr>
        <w:rFonts w:hint="default"/>
      </w:rPr>
    </w:lvl>
    <w:lvl w:ilvl="1">
      <w:start w:val="1"/>
      <w:numFmt w:val="decimal"/>
      <w:pStyle w:val="Heading2"/>
      <w:lvlText w:val="%1.%2  "/>
      <w:lvlJc w:val="left"/>
      <w:pPr>
        <w:ind w:left="7803" w:hanging="431"/>
      </w:pPr>
      <w:rPr>
        <w:rFonts w:hint="default"/>
      </w:rPr>
    </w:lvl>
    <w:lvl w:ilvl="2">
      <w:start w:val="1"/>
      <w:numFmt w:val="decimal"/>
      <w:pStyle w:val="Heading3"/>
      <w:lvlText w:val="%1.%2.%3  "/>
      <w:lvlJc w:val="left"/>
      <w:pPr>
        <w:ind w:left="431" w:hanging="431"/>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24E055EC"/>
    <w:multiLevelType w:val="hybridMultilevel"/>
    <w:tmpl w:val="FB8264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90A3012"/>
    <w:multiLevelType w:val="hybridMultilevel"/>
    <w:tmpl w:val="A75E679E"/>
    <w:lvl w:ilvl="0" w:tplc="A31C07EC">
      <w:start w:val="5"/>
      <w:numFmt w:val="bullet"/>
      <w:lvlText w:val="-"/>
      <w:lvlJc w:val="left"/>
      <w:pPr>
        <w:ind w:left="720" w:hanging="360"/>
      </w:pPr>
      <w:rPr>
        <w:rFonts w:ascii="Gotham Book" w:eastAsiaTheme="minorEastAsia" w:hAnsi="Gotham Book"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B882D95"/>
    <w:multiLevelType w:val="hybridMultilevel"/>
    <w:tmpl w:val="BEA2F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D2F0CDB"/>
    <w:multiLevelType w:val="hybridMultilevel"/>
    <w:tmpl w:val="2A72D51E"/>
    <w:lvl w:ilvl="0" w:tplc="0C090001">
      <w:start w:val="1"/>
      <w:numFmt w:val="bullet"/>
      <w:lvlText w:val=""/>
      <w:lvlJc w:val="left"/>
      <w:pPr>
        <w:ind w:left="1079" w:hanging="360"/>
      </w:pPr>
      <w:rPr>
        <w:rFonts w:ascii="Symbol" w:hAnsi="Symbol" w:hint="default"/>
      </w:rPr>
    </w:lvl>
    <w:lvl w:ilvl="1" w:tplc="0C090003" w:tentative="1">
      <w:start w:val="1"/>
      <w:numFmt w:val="bullet"/>
      <w:lvlText w:val="o"/>
      <w:lvlJc w:val="left"/>
      <w:pPr>
        <w:ind w:left="1799" w:hanging="360"/>
      </w:pPr>
      <w:rPr>
        <w:rFonts w:ascii="Courier New" w:hAnsi="Courier New" w:cs="Courier New" w:hint="default"/>
      </w:rPr>
    </w:lvl>
    <w:lvl w:ilvl="2" w:tplc="0C090005" w:tentative="1">
      <w:start w:val="1"/>
      <w:numFmt w:val="bullet"/>
      <w:lvlText w:val=""/>
      <w:lvlJc w:val="left"/>
      <w:pPr>
        <w:ind w:left="2519" w:hanging="360"/>
      </w:pPr>
      <w:rPr>
        <w:rFonts w:ascii="Wingdings" w:hAnsi="Wingdings" w:hint="default"/>
      </w:rPr>
    </w:lvl>
    <w:lvl w:ilvl="3" w:tplc="0C090001" w:tentative="1">
      <w:start w:val="1"/>
      <w:numFmt w:val="bullet"/>
      <w:lvlText w:val=""/>
      <w:lvlJc w:val="left"/>
      <w:pPr>
        <w:ind w:left="3239" w:hanging="360"/>
      </w:pPr>
      <w:rPr>
        <w:rFonts w:ascii="Symbol" w:hAnsi="Symbol" w:hint="default"/>
      </w:rPr>
    </w:lvl>
    <w:lvl w:ilvl="4" w:tplc="0C090003" w:tentative="1">
      <w:start w:val="1"/>
      <w:numFmt w:val="bullet"/>
      <w:lvlText w:val="o"/>
      <w:lvlJc w:val="left"/>
      <w:pPr>
        <w:ind w:left="3959" w:hanging="360"/>
      </w:pPr>
      <w:rPr>
        <w:rFonts w:ascii="Courier New" w:hAnsi="Courier New" w:cs="Courier New" w:hint="default"/>
      </w:rPr>
    </w:lvl>
    <w:lvl w:ilvl="5" w:tplc="0C090005" w:tentative="1">
      <w:start w:val="1"/>
      <w:numFmt w:val="bullet"/>
      <w:lvlText w:val=""/>
      <w:lvlJc w:val="left"/>
      <w:pPr>
        <w:ind w:left="4679" w:hanging="360"/>
      </w:pPr>
      <w:rPr>
        <w:rFonts w:ascii="Wingdings" w:hAnsi="Wingdings" w:hint="default"/>
      </w:rPr>
    </w:lvl>
    <w:lvl w:ilvl="6" w:tplc="0C090001" w:tentative="1">
      <w:start w:val="1"/>
      <w:numFmt w:val="bullet"/>
      <w:lvlText w:val=""/>
      <w:lvlJc w:val="left"/>
      <w:pPr>
        <w:ind w:left="5399" w:hanging="360"/>
      </w:pPr>
      <w:rPr>
        <w:rFonts w:ascii="Symbol" w:hAnsi="Symbol" w:hint="default"/>
      </w:rPr>
    </w:lvl>
    <w:lvl w:ilvl="7" w:tplc="0C090003" w:tentative="1">
      <w:start w:val="1"/>
      <w:numFmt w:val="bullet"/>
      <w:lvlText w:val="o"/>
      <w:lvlJc w:val="left"/>
      <w:pPr>
        <w:ind w:left="6119" w:hanging="360"/>
      </w:pPr>
      <w:rPr>
        <w:rFonts w:ascii="Courier New" w:hAnsi="Courier New" w:cs="Courier New" w:hint="default"/>
      </w:rPr>
    </w:lvl>
    <w:lvl w:ilvl="8" w:tplc="0C090005" w:tentative="1">
      <w:start w:val="1"/>
      <w:numFmt w:val="bullet"/>
      <w:lvlText w:val=""/>
      <w:lvlJc w:val="left"/>
      <w:pPr>
        <w:ind w:left="6839" w:hanging="360"/>
      </w:pPr>
      <w:rPr>
        <w:rFonts w:ascii="Wingdings" w:hAnsi="Wingdings" w:hint="default"/>
      </w:rPr>
    </w:lvl>
  </w:abstractNum>
  <w:abstractNum w:abstractNumId="31"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32" w15:restartNumberingAfterBreak="0">
    <w:nsid w:val="2F0E722F"/>
    <w:multiLevelType w:val="hybridMultilevel"/>
    <w:tmpl w:val="64F0A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2900AE7"/>
    <w:multiLevelType w:val="hybridMultilevel"/>
    <w:tmpl w:val="C5EC62A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4" w15:restartNumberingAfterBreak="0">
    <w:nsid w:val="329E251B"/>
    <w:multiLevelType w:val="hybridMultilevel"/>
    <w:tmpl w:val="6902E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45D04B0"/>
    <w:multiLevelType w:val="hybridMultilevel"/>
    <w:tmpl w:val="E8DE1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8C76E5C"/>
    <w:multiLevelType w:val="hybridMultilevel"/>
    <w:tmpl w:val="F9E2FF50"/>
    <w:lvl w:ilvl="0" w:tplc="0C090001">
      <w:start w:val="1"/>
      <w:numFmt w:val="bullet"/>
      <w:lvlText w:val=""/>
      <w:lvlJc w:val="left"/>
      <w:pPr>
        <w:ind w:left="1079" w:hanging="360"/>
      </w:pPr>
      <w:rPr>
        <w:rFonts w:ascii="Symbol" w:hAnsi="Symbol" w:hint="default"/>
      </w:rPr>
    </w:lvl>
    <w:lvl w:ilvl="1" w:tplc="0C090003" w:tentative="1">
      <w:start w:val="1"/>
      <w:numFmt w:val="bullet"/>
      <w:lvlText w:val="o"/>
      <w:lvlJc w:val="left"/>
      <w:pPr>
        <w:ind w:left="1799" w:hanging="360"/>
      </w:pPr>
      <w:rPr>
        <w:rFonts w:ascii="Courier New" w:hAnsi="Courier New" w:cs="Courier New" w:hint="default"/>
      </w:rPr>
    </w:lvl>
    <w:lvl w:ilvl="2" w:tplc="0C090005" w:tentative="1">
      <w:start w:val="1"/>
      <w:numFmt w:val="bullet"/>
      <w:lvlText w:val=""/>
      <w:lvlJc w:val="left"/>
      <w:pPr>
        <w:ind w:left="2519" w:hanging="360"/>
      </w:pPr>
      <w:rPr>
        <w:rFonts w:ascii="Wingdings" w:hAnsi="Wingdings" w:hint="default"/>
      </w:rPr>
    </w:lvl>
    <w:lvl w:ilvl="3" w:tplc="0C090001" w:tentative="1">
      <w:start w:val="1"/>
      <w:numFmt w:val="bullet"/>
      <w:lvlText w:val=""/>
      <w:lvlJc w:val="left"/>
      <w:pPr>
        <w:ind w:left="3239" w:hanging="360"/>
      </w:pPr>
      <w:rPr>
        <w:rFonts w:ascii="Symbol" w:hAnsi="Symbol" w:hint="default"/>
      </w:rPr>
    </w:lvl>
    <w:lvl w:ilvl="4" w:tplc="0C090003" w:tentative="1">
      <w:start w:val="1"/>
      <w:numFmt w:val="bullet"/>
      <w:lvlText w:val="o"/>
      <w:lvlJc w:val="left"/>
      <w:pPr>
        <w:ind w:left="3959" w:hanging="360"/>
      </w:pPr>
      <w:rPr>
        <w:rFonts w:ascii="Courier New" w:hAnsi="Courier New" w:cs="Courier New" w:hint="default"/>
      </w:rPr>
    </w:lvl>
    <w:lvl w:ilvl="5" w:tplc="0C090005" w:tentative="1">
      <w:start w:val="1"/>
      <w:numFmt w:val="bullet"/>
      <w:lvlText w:val=""/>
      <w:lvlJc w:val="left"/>
      <w:pPr>
        <w:ind w:left="4679" w:hanging="360"/>
      </w:pPr>
      <w:rPr>
        <w:rFonts w:ascii="Wingdings" w:hAnsi="Wingdings" w:hint="default"/>
      </w:rPr>
    </w:lvl>
    <w:lvl w:ilvl="6" w:tplc="0C090001" w:tentative="1">
      <w:start w:val="1"/>
      <w:numFmt w:val="bullet"/>
      <w:lvlText w:val=""/>
      <w:lvlJc w:val="left"/>
      <w:pPr>
        <w:ind w:left="5399" w:hanging="360"/>
      </w:pPr>
      <w:rPr>
        <w:rFonts w:ascii="Symbol" w:hAnsi="Symbol" w:hint="default"/>
      </w:rPr>
    </w:lvl>
    <w:lvl w:ilvl="7" w:tplc="0C090003" w:tentative="1">
      <w:start w:val="1"/>
      <w:numFmt w:val="bullet"/>
      <w:lvlText w:val="o"/>
      <w:lvlJc w:val="left"/>
      <w:pPr>
        <w:ind w:left="6119" w:hanging="360"/>
      </w:pPr>
      <w:rPr>
        <w:rFonts w:ascii="Courier New" w:hAnsi="Courier New" w:cs="Courier New" w:hint="default"/>
      </w:rPr>
    </w:lvl>
    <w:lvl w:ilvl="8" w:tplc="0C090005" w:tentative="1">
      <w:start w:val="1"/>
      <w:numFmt w:val="bullet"/>
      <w:lvlText w:val=""/>
      <w:lvlJc w:val="left"/>
      <w:pPr>
        <w:ind w:left="6839" w:hanging="360"/>
      </w:pPr>
      <w:rPr>
        <w:rFonts w:ascii="Wingdings" w:hAnsi="Wingdings" w:hint="default"/>
      </w:rPr>
    </w:lvl>
  </w:abstractNum>
  <w:abstractNum w:abstractNumId="37" w15:restartNumberingAfterBreak="0">
    <w:nsid w:val="38E32943"/>
    <w:multiLevelType w:val="hybridMultilevel"/>
    <w:tmpl w:val="9FB0BA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9A65F38"/>
    <w:multiLevelType w:val="hybridMultilevel"/>
    <w:tmpl w:val="78B6601C"/>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9" w15:restartNumberingAfterBreak="0">
    <w:nsid w:val="3A836FC7"/>
    <w:multiLevelType w:val="multilevel"/>
    <w:tmpl w:val="C640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FDA566F"/>
    <w:multiLevelType w:val="hybridMultilevel"/>
    <w:tmpl w:val="6C2066A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1" w15:restartNumberingAfterBreak="0">
    <w:nsid w:val="40E1355C"/>
    <w:multiLevelType w:val="hybridMultilevel"/>
    <w:tmpl w:val="3FDC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13250A4"/>
    <w:multiLevelType w:val="hybridMultilevel"/>
    <w:tmpl w:val="B058BE0A"/>
    <w:lvl w:ilvl="0" w:tplc="5CF0F966">
      <w:start w:val="1"/>
      <w:numFmt w:val="bullet"/>
      <w:lvlText w:val=""/>
      <w:lvlJc w:val="left"/>
      <w:pPr>
        <w:ind w:left="720" w:hanging="360"/>
      </w:pPr>
      <w:rPr>
        <w:rFonts w:ascii="Symbol" w:hAnsi="Symbol" w:hint="default"/>
      </w:rPr>
    </w:lvl>
    <w:lvl w:ilvl="1" w:tplc="6630D3C2" w:tentative="1">
      <w:start w:val="1"/>
      <w:numFmt w:val="bullet"/>
      <w:lvlText w:val="o"/>
      <w:lvlJc w:val="left"/>
      <w:pPr>
        <w:ind w:left="1440" w:hanging="360"/>
      </w:pPr>
      <w:rPr>
        <w:rFonts w:ascii="Courier New" w:hAnsi="Courier New" w:cs="Courier New" w:hint="default"/>
      </w:rPr>
    </w:lvl>
    <w:lvl w:ilvl="2" w:tplc="585E7DF0" w:tentative="1">
      <w:start w:val="1"/>
      <w:numFmt w:val="bullet"/>
      <w:lvlText w:val=""/>
      <w:lvlJc w:val="left"/>
      <w:pPr>
        <w:ind w:left="2160" w:hanging="360"/>
      </w:pPr>
      <w:rPr>
        <w:rFonts w:ascii="Wingdings" w:hAnsi="Wingdings" w:hint="default"/>
      </w:rPr>
    </w:lvl>
    <w:lvl w:ilvl="3" w:tplc="EFA66464" w:tentative="1">
      <w:start w:val="1"/>
      <w:numFmt w:val="bullet"/>
      <w:lvlText w:val=""/>
      <w:lvlJc w:val="left"/>
      <w:pPr>
        <w:ind w:left="2880" w:hanging="360"/>
      </w:pPr>
      <w:rPr>
        <w:rFonts w:ascii="Symbol" w:hAnsi="Symbol" w:hint="default"/>
      </w:rPr>
    </w:lvl>
    <w:lvl w:ilvl="4" w:tplc="E924A1EE" w:tentative="1">
      <w:start w:val="1"/>
      <w:numFmt w:val="bullet"/>
      <w:lvlText w:val="o"/>
      <w:lvlJc w:val="left"/>
      <w:pPr>
        <w:ind w:left="3600" w:hanging="360"/>
      </w:pPr>
      <w:rPr>
        <w:rFonts w:ascii="Courier New" w:hAnsi="Courier New" w:cs="Courier New" w:hint="default"/>
      </w:rPr>
    </w:lvl>
    <w:lvl w:ilvl="5" w:tplc="CDCC928C" w:tentative="1">
      <w:start w:val="1"/>
      <w:numFmt w:val="bullet"/>
      <w:lvlText w:val=""/>
      <w:lvlJc w:val="left"/>
      <w:pPr>
        <w:ind w:left="4320" w:hanging="360"/>
      </w:pPr>
      <w:rPr>
        <w:rFonts w:ascii="Wingdings" w:hAnsi="Wingdings" w:hint="default"/>
      </w:rPr>
    </w:lvl>
    <w:lvl w:ilvl="6" w:tplc="6BA07366" w:tentative="1">
      <w:start w:val="1"/>
      <w:numFmt w:val="bullet"/>
      <w:lvlText w:val=""/>
      <w:lvlJc w:val="left"/>
      <w:pPr>
        <w:ind w:left="5040" w:hanging="360"/>
      </w:pPr>
      <w:rPr>
        <w:rFonts w:ascii="Symbol" w:hAnsi="Symbol" w:hint="default"/>
      </w:rPr>
    </w:lvl>
    <w:lvl w:ilvl="7" w:tplc="B05EA69E" w:tentative="1">
      <w:start w:val="1"/>
      <w:numFmt w:val="bullet"/>
      <w:lvlText w:val="o"/>
      <w:lvlJc w:val="left"/>
      <w:pPr>
        <w:ind w:left="5760" w:hanging="360"/>
      </w:pPr>
      <w:rPr>
        <w:rFonts w:ascii="Courier New" w:hAnsi="Courier New" w:cs="Courier New" w:hint="default"/>
      </w:rPr>
    </w:lvl>
    <w:lvl w:ilvl="8" w:tplc="9646A806" w:tentative="1">
      <w:start w:val="1"/>
      <w:numFmt w:val="bullet"/>
      <w:lvlText w:val=""/>
      <w:lvlJc w:val="left"/>
      <w:pPr>
        <w:ind w:left="6480" w:hanging="360"/>
      </w:pPr>
      <w:rPr>
        <w:rFonts w:ascii="Wingdings" w:hAnsi="Wingdings" w:hint="default"/>
      </w:rPr>
    </w:lvl>
  </w:abstractNum>
  <w:abstractNum w:abstractNumId="43"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44" w15:restartNumberingAfterBreak="0">
    <w:nsid w:val="427B1FDD"/>
    <w:multiLevelType w:val="hybridMultilevel"/>
    <w:tmpl w:val="5D08832C"/>
    <w:lvl w:ilvl="0" w:tplc="A972F910">
      <w:numFmt w:val="bullet"/>
      <w:lvlText w:val="-"/>
      <w:lvlJc w:val="left"/>
      <w:pPr>
        <w:ind w:left="720" w:hanging="360"/>
      </w:pPr>
      <w:rPr>
        <w:rFonts w:ascii="Calibri" w:eastAsia="Times New Roman"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2F451C1"/>
    <w:multiLevelType w:val="multilevel"/>
    <w:tmpl w:val="63A6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CE653B"/>
    <w:multiLevelType w:val="hybridMultilevel"/>
    <w:tmpl w:val="C638031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7" w15:restartNumberingAfterBreak="0">
    <w:nsid w:val="45A16B83"/>
    <w:multiLevelType w:val="hybridMultilevel"/>
    <w:tmpl w:val="E98097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71252DA"/>
    <w:multiLevelType w:val="hybridMultilevel"/>
    <w:tmpl w:val="DCD8F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7362C01"/>
    <w:multiLevelType w:val="hybridMultilevel"/>
    <w:tmpl w:val="8918F34C"/>
    <w:lvl w:ilvl="0" w:tplc="CA081E58">
      <w:start w:val="1"/>
      <w:numFmt w:val="bullet"/>
      <w:lvlText w:val=""/>
      <w:lvlJc w:val="left"/>
      <w:pPr>
        <w:ind w:left="720" w:hanging="360"/>
      </w:pPr>
      <w:rPr>
        <w:rFonts w:ascii="Symbol" w:eastAsia="Calibri" w:hAnsi="Symbol" w:cs="Times New Roman" w:hint="default"/>
      </w:rPr>
    </w:lvl>
    <w:lvl w:ilvl="1" w:tplc="921489DA">
      <w:start w:val="1"/>
      <w:numFmt w:val="bullet"/>
      <w:lvlText w:val="o"/>
      <w:lvlJc w:val="left"/>
      <w:pPr>
        <w:ind w:left="1440" w:hanging="360"/>
      </w:pPr>
      <w:rPr>
        <w:rFonts w:ascii="Courier New" w:hAnsi="Courier New" w:cs="Courier New" w:hint="default"/>
      </w:rPr>
    </w:lvl>
    <w:lvl w:ilvl="2" w:tplc="CFF8D914">
      <w:start w:val="1"/>
      <w:numFmt w:val="bullet"/>
      <w:lvlText w:val=""/>
      <w:lvlJc w:val="left"/>
      <w:pPr>
        <w:ind w:left="2160" w:hanging="360"/>
      </w:pPr>
      <w:rPr>
        <w:rFonts w:ascii="Wingdings" w:hAnsi="Wingdings" w:hint="default"/>
      </w:rPr>
    </w:lvl>
    <w:lvl w:ilvl="3" w:tplc="83B4380C">
      <w:start w:val="1"/>
      <w:numFmt w:val="bullet"/>
      <w:lvlText w:val=""/>
      <w:lvlJc w:val="left"/>
      <w:pPr>
        <w:ind w:left="2880" w:hanging="360"/>
      </w:pPr>
      <w:rPr>
        <w:rFonts w:ascii="Symbol" w:hAnsi="Symbol" w:hint="default"/>
      </w:rPr>
    </w:lvl>
    <w:lvl w:ilvl="4" w:tplc="7742980E">
      <w:start w:val="1"/>
      <w:numFmt w:val="bullet"/>
      <w:lvlText w:val="o"/>
      <w:lvlJc w:val="left"/>
      <w:pPr>
        <w:ind w:left="3600" w:hanging="360"/>
      </w:pPr>
      <w:rPr>
        <w:rFonts w:ascii="Courier New" w:hAnsi="Courier New" w:cs="Courier New" w:hint="default"/>
      </w:rPr>
    </w:lvl>
    <w:lvl w:ilvl="5" w:tplc="D10408D2">
      <w:start w:val="1"/>
      <w:numFmt w:val="bullet"/>
      <w:lvlText w:val=""/>
      <w:lvlJc w:val="left"/>
      <w:pPr>
        <w:ind w:left="4320" w:hanging="360"/>
      </w:pPr>
      <w:rPr>
        <w:rFonts w:ascii="Wingdings" w:hAnsi="Wingdings" w:hint="default"/>
      </w:rPr>
    </w:lvl>
    <w:lvl w:ilvl="6" w:tplc="D8DADBD2">
      <w:start w:val="1"/>
      <w:numFmt w:val="bullet"/>
      <w:lvlText w:val=""/>
      <w:lvlJc w:val="left"/>
      <w:pPr>
        <w:ind w:left="5040" w:hanging="360"/>
      </w:pPr>
      <w:rPr>
        <w:rFonts w:ascii="Symbol" w:hAnsi="Symbol" w:hint="default"/>
      </w:rPr>
    </w:lvl>
    <w:lvl w:ilvl="7" w:tplc="8AD476AC">
      <w:start w:val="1"/>
      <w:numFmt w:val="bullet"/>
      <w:lvlText w:val="o"/>
      <w:lvlJc w:val="left"/>
      <w:pPr>
        <w:ind w:left="5760" w:hanging="360"/>
      </w:pPr>
      <w:rPr>
        <w:rFonts w:ascii="Courier New" w:hAnsi="Courier New" w:cs="Courier New" w:hint="default"/>
      </w:rPr>
    </w:lvl>
    <w:lvl w:ilvl="8" w:tplc="037A9DC2">
      <w:start w:val="1"/>
      <w:numFmt w:val="bullet"/>
      <w:lvlText w:val=""/>
      <w:lvlJc w:val="left"/>
      <w:pPr>
        <w:ind w:left="6480" w:hanging="360"/>
      </w:pPr>
      <w:rPr>
        <w:rFonts w:ascii="Wingdings" w:hAnsi="Wingdings" w:hint="default"/>
      </w:rPr>
    </w:lvl>
  </w:abstractNum>
  <w:abstractNum w:abstractNumId="50" w15:restartNumberingAfterBreak="0">
    <w:nsid w:val="4A404F2A"/>
    <w:multiLevelType w:val="hybridMultilevel"/>
    <w:tmpl w:val="7F242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A9C7C63"/>
    <w:multiLevelType w:val="hybridMultilevel"/>
    <w:tmpl w:val="53F69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BDC6C8E"/>
    <w:multiLevelType w:val="multilevel"/>
    <w:tmpl w:val="131EEC6C"/>
    <w:numStyleLink w:val="TableNumbers"/>
  </w:abstractNum>
  <w:abstractNum w:abstractNumId="53" w15:restartNumberingAfterBreak="0">
    <w:nsid w:val="4E374C31"/>
    <w:multiLevelType w:val="hybridMultilevel"/>
    <w:tmpl w:val="6032BF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4" w15:restartNumberingAfterBreak="0">
    <w:nsid w:val="50146117"/>
    <w:multiLevelType w:val="hybridMultilevel"/>
    <w:tmpl w:val="D2C69A5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5" w15:restartNumberingAfterBreak="0">
    <w:nsid w:val="508D0125"/>
    <w:multiLevelType w:val="hybridMultilevel"/>
    <w:tmpl w:val="81CCFC78"/>
    <w:lvl w:ilvl="0" w:tplc="430C9A62">
      <w:start w:val="1"/>
      <w:numFmt w:val="decimal"/>
      <w:lvlText w:val="%1."/>
      <w:lvlJc w:val="left"/>
      <w:pPr>
        <w:ind w:left="644" w:hanging="360"/>
      </w:pPr>
      <w:rPr>
        <w:sz w:val="22"/>
        <w:szCs w:val="20"/>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6" w15:restartNumberingAfterBreak="0">
    <w:nsid w:val="535249AF"/>
    <w:multiLevelType w:val="multilevel"/>
    <w:tmpl w:val="A41689A2"/>
    <w:styleLink w:val="AppendixNumbers"/>
    <w:lvl w:ilvl="0">
      <w:start w:val="1"/>
      <w:numFmt w:val="upperLetter"/>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4C37C47"/>
    <w:multiLevelType w:val="hybridMultilevel"/>
    <w:tmpl w:val="FE803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689172C"/>
    <w:multiLevelType w:val="hybridMultilevel"/>
    <w:tmpl w:val="5D22495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9"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7C435EC"/>
    <w:multiLevelType w:val="hybridMultilevel"/>
    <w:tmpl w:val="DB32C272"/>
    <w:lvl w:ilvl="0" w:tplc="0C090017">
      <w:start w:val="1"/>
      <w:numFmt w:val="lowerLetter"/>
      <w:lvlText w:val="%1)"/>
      <w:lvlJc w:val="left"/>
      <w:pPr>
        <w:ind w:left="839" w:hanging="360"/>
      </w:pPr>
    </w:lvl>
    <w:lvl w:ilvl="1" w:tplc="0C090019" w:tentative="1">
      <w:start w:val="1"/>
      <w:numFmt w:val="lowerLetter"/>
      <w:lvlText w:val="%2."/>
      <w:lvlJc w:val="left"/>
      <w:pPr>
        <w:ind w:left="1559" w:hanging="360"/>
      </w:pPr>
    </w:lvl>
    <w:lvl w:ilvl="2" w:tplc="0C09001B" w:tentative="1">
      <w:start w:val="1"/>
      <w:numFmt w:val="lowerRoman"/>
      <w:lvlText w:val="%3."/>
      <w:lvlJc w:val="right"/>
      <w:pPr>
        <w:ind w:left="2279" w:hanging="180"/>
      </w:pPr>
    </w:lvl>
    <w:lvl w:ilvl="3" w:tplc="0C09000F" w:tentative="1">
      <w:start w:val="1"/>
      <w:numFmt w:val="decimal"/>
      <w:lvlText w:val="%4."/>
      <w:lvlJc w:val="left"/>
      <w:pPr>
        <w:ind w:left="2999" w:hanging="360"/>
      </w:pPr>
    </w:lvl>
    <w:lvl w:ilvl="4" w:tplc="0C090019" w:tentative="1">
      <w:start w:val="1"/>
      <w:numFmt w:val="lowerLetter"/>
      <w:lvlText w:val="%5."/>
      <w:lvlJc w:val="left"/>
      <w:pPr>
        <w:ind w:left="3719" w:hanging="360"/>
      </w:pPr>
    </w:lvl>
    <w:lvl w:ilvl="5" w:tplc="0C09001B" w:tentative="1">
      <w:start w:val="1"/>
      <w:numFmt w:val="lowerRoman"/>
      <w:lvlText w:val="%6."/>
      <w:lvlJc w:val="right"/>
      <w:pPr>
        <w:ind w:left="4439" w:hanging="180"/>
      </w:pPr>
    </w:lvl>
    <w:lvl w:ilvl="6" w:tplc="0C09000F" w:tentative="1">
      <w:start w:val="1"/>
      <w:numFmt w:val="decimal"/>
      <w:lvlText w:val="%7."/>
      <w:lvlJc w:val="left"/>
      <w:pPr>
        <w:ind w:left="5159" w:hanging="360"/>
      </w:pPr>
    </w:lvl>
    <w:lvl w:ilvl="7" w:tplc="0C090019" w:tentative="1">
      <w:start w:val="1"/>
      <w:numFmt w:val="lowerLetter"/>
      <w:lvlText w:val="%8."/>
      <w:lvlJc w:val="left"/>
      <w:pPr>
        <w:ind w:left="5879" w:hanging="360"/>
      </w:pPr>
    </w:lvl>
    <w:lvl w:ilvl="8" w:tplc="0C09001B" w:tentative="1">
      <w:start w:val="1"/>
      <w:numFmt w:val="lowerRoman"/>
      <w:lvlText w:val="%9."/>
      <w:lvlJc w:val="right"/>
      <w:pPr>
        <w:ind w:left="6599" w:hanging="180"/>
      </w:pPr>
    </w:lvl>
  </w:abstractNum>
  <w:abstractNum w:abstractNumId="61" w15:restartNumberingAfterBreak="0">
    <w:nsid w:val="57CC6924"/>
    <w:multiLevelType w:val="hybridMultilevel"/>
    <w:tmpl w:val="C4E2B3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2" w15:restartNumberingAfterBreak="0">
    <w:nsid w:val="58615703"/>
    <w:multiLevelType w:val="multilevel"/>
    <w:tmpl w:val="803CF862"/>
    <w:numStyleLink w:val="List1Numbered"/>
  </w:abstractNum>
  <w:abstractNum w:abstractNumId="63" w15:restartNumberingAfterBreak="0">
    <w:nsid w:val="58696DD4"/>
    <w:multiLevelType w:val="hybridMultilevel"/>
    <w:tmpl w:val="5704D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B42451A"/>
    <w:multiLevelType w:val="hybridMultilevel"/>
    <w:tmpl w:val="8F08BBD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65" w15:restartNumberingAfterBreak="0">
    <w:nsid w:val="5CC24865"/>
    <w:multiLevelType w:val="multilevel"/>
    <w:tmpl w:val="64FCAFC6"/>
    <w:lvl w:ilvl="0">
      <w:start w:val="1"/>
      <w:numFmt w:val="upperLetter"/>
      <w:pStyle w:val="Heading6"/>
      <w:suff w:val="nothing"/>
      <w:lvlText w:val="Appendix %1.  "/>
      <w:lvlJc w:val="left"/>
      <w:pPr>
        <w:ind w:left="397" w:hanging="397"/>
      </w:pPr>
      <w:rPr>
        <w:rFonts w:ascii="Gotham Medium" w:hAnsi="Gotham Medium" w:hint="default"/>
        <w:sz w:val="28"/>
      </w:rPr>
    </w:lvl>
    <w:lvl w:ilvl="1">
      <w:start w:val="1"/>
      <w:numFmt w:val="decimal"/>
      <w:pStyle w:val="Heading7"/>
      <w:suff w:val="nothing"/>
      <w:lvlText w:val="%1.%2.  "/>
      <w:lvlJc w:val="left"/>
      <w:pPr>
        <w:ind w:left="360" w:hanging="360"/>
      </w:pPr>
      <w:rPr>
        <w:rFonts w:hint="default"/>
        <w:i w:val="0"/>
        <w:iCs w:val="0"/>
      </w:rPr>
    </w:lvl>
    <w:lvl w:ilvl="2">
      <w:start w:val="1"/>
      <w:numFmt w:val="decimal"/>
      <w:pStyle w:val="Heading8"/>
      <w:lvlText w:val="%1.%2.%3."/>
      <w:lvlJc w:val="right"/>
      <w:pPr>
        <w:ind w:left="2160" w:hanging="180"/>
      </w:pPr>
      <w:rPr>
        <w:rFonts w:hint="default"/>
      </w:rPr>
    </w:lvl>
    <w:lvl w:ilvl="3">
      <w:start w:val="1"/>
      <w:numFmt w:val="decimal"/>
      <w:lvlRestart w:val="0"/>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5E676E09"/>
    <w:multiLevelType w:val="multilevel"/>
    <w:tmpl w:val="0C09001F"/>
    <w:numStyleLink w:val="NumberedHeadings"/>
  </w:abstractNum>
  <w:abstractNum w:abstractNumId="67" w15:restartNumberingAfterBreak="0">
    <w:nsid w:val="5E96748F"/>
    <w:multiLevelType w:val="hybridMultilevel"/>
    <w:tmpl w:val="C7162F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1360CED"/>
    <w:multiLevelType w:val="hybridMultilevel"/>
    <w:tmpl w:val="2752B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1DD2ED1"/>
    <w:multiLevelType w:val="hybridMultilevel"/>
    <w:tmpl w:val="66C2BCE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0" w15:restartNumberingAfterBreak="0">
    <w:nsid w:val="62191B4A"/>
    <w:multiLevelType w:val="hybridMultilevel"/>
    <w:tmpl w:val="4C48B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41B19C1"/>
    <w:multiLevelType w:val="hybridMultilevel"/>
    <w:tmpl w:val="D94E0F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4BE7894">
      <w:numFmt w:val="bullet"/>
      <w:lvlText w:val="•"/>
      <w:lvlJc w:val="left"/>
      <w:pPr>
        <w:ind w:left="2160" w:hanging="360"/>
      </w:pPr>
      <w:rPr>
        <w:rFonts w:ascii="Gotham Book" w:eastAsiaTheme="minorEastAsia" w:hAnsi="Gotham Book"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61C12C1"/>
    <w:multiLevelType w:val="hybridMultilevel"/>
    <w:tmpl w:val="55367908"/>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73" w15:restartNumberingAfterBreak="0">
    <w:nsid w:val="6B805E1A"/>
    <w:multiLevelType w:val="multilevel"/>
    <w:tmpl w:val="AA449C0E"/>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74" w15:restartNumberingAfterBreak="0">
    <w:nsid w:val="6BA318ED"/>
    <w:multiLevelType w:val="hybridMultilevel"/>
    <w:tmpl w:val="7AF2F180"/>
    <w:lvl w:ilvl="0" w:tplc="FFFFFFFF">
      <w:start w:val="1"/>
      <w:numFmt w:val="bullet"/>
      <w:lvlText w:val=""/>
      <w:lvlJc w:val="left"/>
      <w:pPr>
        <w:ind w:left="719" w:hanging="360"/>
      </w:pPr>
      <w:rPr>
        <w:rFonts w:ascii="Symbol" w:hAnsi="Symbol" w:hint="default"/>
        <w:color w:val="FFFFFF" w:themeColor="background1"/>
        <w:sz w:val="18"/>
        <w:szCs w:val="16"/>
      </w:rPr>
    </w:lvl>
    <w:lvl w:ilvl="1" w:tplc="C58283B6">
      <w:start w:val="8"/>
      <w:numFmt w:val="bullet"/>
      <w:lvlText w:val="-"/>
      <w:lvlJc w:val="left"/>
      <w:pPr>
        <w:ind w:left="1439" w:hanging="360"/>
      </w:pPr>
      <w:rPr>
        <w:rFonts w:ascii="Cambria" w:eastAsiaTheme="minorEastAsia" w:hAnsi="Cambria" w:cstheme="minorBidi" w:hint="default"/>
      </w:r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75" w15:restartNumberingAfterBreak="0">
    <w:nsid w:val="738A4D83"/>
    <w:multiLevelType w:val="multilevel"/>
    <w:tmpl w:val="023C10B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6" w15:restartNumberingAfterBreak="0">
    <w:nsid w:val="75CE2224"/>
    <w:multiLevelType w:val="hybridMultilevel"/>
    <w:tmpl w:val="FA16A1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6FD2A2D"/>
    <w:multiLevelType w:val="hybridMultilevel"/>
    <w:tmpl w:val="70FE3DF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8" w15:restartNumberingAfterBreak="0">
    <w:nsid w:val="798E190D"/>
    <w:multiLevelType w:val="hybridMultilevel"/>
    <w:tmpl w:val="9858E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D0B5116"/>
    <w:multiLevelType w:val="hybridMultilevel"/>
    <w:tmpl w:val="176C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80"/>
  </w:num>
  <w:num w:numId="2" w16cid:durableId="709764690">
    <w:abstractNumId w:val="56"/>
  </w:num>
  <w:num w:numId="3" w16cid:durableId="1158381352">
    <w:abstractNumId w:val="43"/>
  </w:num>
  <w:num w:numId="4" w16cid:durableId="1070150997">
    <w:abstractNumId w:val="75"/>
  </w:num>
  <w:num w:numId="5" w16cid:durableId="2095473806">
    <w:abstractNumId w:val="20"/>
  </w:num>
  <w:num w:numId="6" w16cid:durableId="960039475">
    <w:abstractNumId w:val="2"/>
    <w:lvlOverride w:ilvl="0">
      <w:lvl w:ilvl="0">
        <w:start w:val="1"/>
        <w:numFmt w:val="decimal"/>
        <w:pStyle w:val="FigureTitle"/>
        <w:lvlText w:val="Figure %1."/>
        <w:lvlJc w:val="left"/>
        <w:pPr>
          <w:ind w:left="2836" w:hanging="1134"/>
        </w:pPr>
        <w:rPr>
          <w:rFonts w:hint="default"/>
          <w:b/>
          <w:i w:val="0"/>
          <w:caps w:val="0"/>
          <w:color w:val="005F85" w:themeColor="accent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16cid:durableId="1213810782">
    <w:abstractNumId w:val="59"/>
  </w:num>
  <w:num w:numId="8" w16cid:durableId="999507997">
    <w:abstractNumId w:val="11"/>
  </w:num>
  <w:num w:numId="9" w16cid:durableId="991106785">
    <w:abstractNumId w:val="18"/>
  </w:num>
  <w:num w:numId="10" w16cid:durableId="1228960154">
    <w:abstractNumId w:val="62"/>
  </w:num>
  <w:num w:numId="11" w16cid:durableId="1083524882">
    <w:abstractNumId w:val="31"/>
  </w:num>
  <w:num w:numId="12" w16cid:durableId="709378581">
    <w:abstractNumId w:val="23"/>
  </w:num>
  <w:num w:numId="13" w16cid:durableId="1198665999">
    <w:abstractNumId w:val="52"/>
  </w:num>
  <w:num w:numId="14" w16cid:durableId="1173569713">
    <w:abstractNumId w:val="76"/>
  </w:num>
  <w:num w:numId="15" w16cid:durableId="90862833">
    <w:abstractNumId w:val="17"/>
  </w:num>
  <w:num w:numId="16" w16cid:durableId="1725256120">
    <w:abstractNumId w:val="21"/>
  </w:num>
  <w:num w:numId="17" w16cid:durableId="2017343541">
    <w:abstractNumId w:val="13"/>
  </w:num>
  <w:num w:numId="18" w16cid:durableId="1795174542">
    <w:abstractNumId w:val="79"/>
  </w:num>
  <w:num w:numId="19" w16cid:durableId="401876110">
    <w:abstractNumId w:val="71"/>
  </w:num>
  <w:num w:numId="20" w16cid:durableId="3290956">
    <w:abstractNumId w:val="8"/>
  </w:num>
  <w:num w:numId="21" w16cid:durableId="75441007">
    <w:abstractNumId w:val="27"/>
  </w:num>
  <w:num w:numId="22" w16cid:durableId="851380429">
    <w:abstractNumId w:val="69"/>
  </w:num>
  <w:num w:numId="23" w16cid:durableId="1684747538">
    <w:abstractNumId w:val="46"/>
  </w:num>
  <w:num w:numId="24" w16cid:durableId="1436898513">
    <w:abstractNumId w:val="28"/>
  </w:num>
  <w:num w:numId="25" w16cid:durableId="1250771500">
    <w:abstractNumId w:val="67"/>
  </w:num>
  <w:num w:numId="26" w16cid:durableId="1789547957">
    <w:abstractNumId w:val="57"/>
  </w:num>
  <w:num w:numId="27" w16cid:durableId="1835296541">
    <w:abstractNumId w:val="29"/>
  </w:num>
  <w:num w:numId="28" w16cid:durableId="112405474">
    <w:abstractNumId w:val="78"/>
  </w:num>
  <w:num w:numId="29" w16cid:durableId="941717026">
    <w:abstractNumId w:val="47"/>
  </w:num>
  <w:num w:numId="30" w16cid:durableId="1073501877">
    <w:abstractNumId w:val="9"/>
  </w:num>
  <w:num w:numId="31" w16cid:durableId="761947595">
    <w:abstractNumId w:val="49"/>
  </w:num>
  <w:num w:numId="32" w16cid:durableId="159543257">
    <w:abstractNumId w:val="66"/>
    <w:lvlOverride w:ilvl="0">
      <w:lvl w:ilvl="0">
        <w:start w:val="1"/>
        <w:numFmt w:val="decimal"/>
        <w:pStyle w:val="Heading2Numbered"/>
        <w:lvlText w:val="%1."/>
        <w:lvlJc w:val="left"/>
        <w:pPr>
          <w:ind w:left="360" w:hanging="360"/>
        </w:pPr>
        <w:rPr>
          <w:rFonts w:hint="default"/>
        </w:rPr>
      </w:lvl>
    </w:lvlOverride>
    <w:lvlOverride w:ilvl="1">
      <w:lvl w:ilvl="1">
        <w:start w:val="1"/>
        <w:numFmt w:val="decimal"/>
        <w:pStyle w:val="Heading3Numbered"/>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412163003">
    <w:abstractNumId w:val="42"/>
  </w:num>
  <w:num w:numId="34" w16cid:durableId="1287662289">
    <w:abstractNumId w:val="72"/>
  </w:num>
  <w:num w:numId="35" w16cid:durableId="536092000">
    <w:abstractNumId w:val="12"/>
  </w:num>
  <w:num w:numId="36" w16cid:durableId="1103305163">
    <w:abstractNumId w:val="48"/>
  </w:num>
  <w:num w:numId="37" w16cid:durableId="1859004680">
    <w:abstractNumId w:val="41"/>
  </w:num>
  <w:num w:numId="38" w16cid:durableId="473569244">
    <w:abstractNumId w:val="4"/>
  </w:num>
  <w:num w:numId="39" w16cid:durableId="1971934228">
    <w:abstractNumId w:val="51"/>
  </w:num>
  <w:num w:numId="40" w16cid:durableId="1562866780">
    <w:abstractNumId w:val="32"/>
  </w:num>
  <w:num w:numId="41" w16cid:durableId="943731103">
    <w:abstractNumId w:val="61"/>
  </w:num>
  <w:num w:numId="42" w16cid:durableId="1874489796">
    <w:abstractNumId w:val="60"/>
  </w:num>
  <w:num w:numId="43" w16cid:durableId="1046027567">
    <w:abstractNumId w:val="63"/>
  </w:num>
  <w:num w:numId="44" w16cid:durableId="2086683839">
    <w:abstractNumId w:val="15"/>
  </w:num>
  <w:num w:numId="45" w16cid:durableId="2107386401">
    <w:abstractNumId w:val="70"/>
  </w:num>
  <w:num w:numId="46" w16cid:durableId="1290740946">
    <w:abstractNumId w:val="44"/>
  </w:num>
  <w:num w:numId="47" w16cid:durableId="1281495981">
    <w:abstractNumId w:val="3"/>
  </w:num>
  <w:num w:numId="48" w16cid:durableId="881288967">
    <w:abstractNumId w:val="73"/>
  </w:num>
  <w:num w:numId="49" w16cid:durableId="26486519">
    <w:abstractNumId w:val="45"/>
  </w:num>
  <w:num w:numId="50" w16cid:durableId="922184825">
    <w:abstractNumId w:val="19"/>
  </w:num>
  <w:num w:numId="51" w16cid:durableId="2092580878">
    <w:abstractNumId w:val="39"/>
  </w:num>
  <w:num w:numId="52" w16cid:durableId="1233739386">
    <w:abstractNumId w:val="14"/>
  </w:num>
  <w:num w:numId="53" w16cid:durableId="997341942">
    <w:abstractNumId w:val="35"/>
  </w:num>
  <w:num w:numId="54" w16cid:durableId="677655754">
    <w:abstractNumId w:val="68"/>
  </w:num>
  <w:num w:numId="55" w16cid:durableId="1991013094">
    <w:abstractNumId w:val="34"/>
  </w:num>
  <w:num w:numId="56" w16cid:durableId="1844516052">
    <w:abstractNumId w:val="37"/>
  </w:num>
  <w:num w:numId="57" w16cid:durableId="1349796466">
    <w:abstractNumId w:val="53"/>
  </w:num>
  <w:num w:numId="58" w16cid:durableId="1058434736">
    <w:abstractNumId w:val="24"/>
  </w:num>
  <w:num w:numId="59" w16cid:durableId="2122263928">
    <w:abstractNumId w:val="10"/>
  </w:num>
  <w:num w:numId="60" w16cid:durableId="626743053">
    <w:abstractNumId w:val="65"/>
  </w:num>
  <w:num w:numId="61" w16cid:durableId="2107068126">
    <w:abstractNumId w:val="26"/>
  </w:num>
  <w:num w:numId="62" w16cid:durableId="1005205317">
    <w:abstractNumId w:val="25"/>
  </w:num>
  <w:num w:numId="63" w16cid:durableId="1584414995">
    <w:abstractNumId w:val="40"/>
  </w:num>
  <w:num w:numId="64" w16cid:durableId="1118767019">
    <w:abstractNumId w:val="58"/>
  </w:num>
  <w:num w:numId="65" w16cid:durableId="120419055">
    <w:abstractNumId w:val="22"/>
  </w:num>
  <w:num w:numId="66" w16cid:durableId="1083454134">
    <w:abstractNumId w:val="38"/>
  </w:num>
  <w:num w:numId="67" w16cid:durableId="1354189867">
    <w:abstractNumId w:val="54"/>
  </w:num>
  <w:num w:numId="68" w16cid:durableId="359356351">
    <w:abstractNumId w:val="6"/>
  </w:num>
  <w:num w:numId="69" w16cid:durableId="1829979573">
    <w:abstractNumId w:val="5"/>
  </w:num>
  <w:num w:numId="70" w16cid:durableId="20714714">
    <w:abstractNumId w:val="16"/>
  </w:num>
  <w:num w:numId="71" w16cid:durableId="813572129">
    <w:abstractNumId w:val="64"/>
  </w:num>
  <w:num w:numId="72" w16cid:durableId="1990396846">
    <w:abstractNumId w:val="33"/>
  </w:num>
  <w:num w:numId="73" w16cid:durableId="1443837347">
    <w:abstractNumId w:val="77"/>
  </w:num>
  <w:num w:numId="74" w16cid:durableId="255794401">
    <w:abstractNumId w:val="7"/>
  </w:num>
  <w:num w:numId="75" w16cid:durableId="2091996400">
    <w:abstractNumId w:val="55"/>
  </w:num>
  <w:num w:numId="76" w16cid:durableId="323900462">
    <w:abstractNumId w:val="0"/>
  </w:num>
  <w:num w:numId="77" w16cid:durableId="5180230">
    <w:abstractNumId w:val="30"/>
  </w:num>
  <w:num w:numId="78" w16cid:durableId="927544744">
    <w:abstractNumId w:val="36"/>
  </w:num>
  <w:num w:numId="79" w16cid:durableId="1630356675">
    <w:abstractNumId w:val="74"/>
  </w:num>
  <w:num w:numId="80" w16cid:durableId="699014284">
    <w:abstractNumId w:val="1"/>
  </w:num>
  <w:num w:numId="81" w16cid:durableId="601911805">
    <w:abstractNumId w:val="5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 NHMRC&lt;/Style&gt;&lt;LeftDelim&gt;{&lt;/LeftDelim&gt;&lt;RightDelim&gt;}&lt;/RightDelim&gt;&lt;FontName&gt;Gotham Book&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faevvrgpsxebez5ec5vspfe2av5dtxt9xx&quot;&gt;Methodological Framework&lt;record-ids&gt;&lt;item&gt;1&lt;/item&gt;&lt;item&gt;3&lt;/item&gt;&lt;item&gt;4&lt;/item&gt;&lt;item&gt;5&lt;/item&gt;&lt;item&gt;7&lt;/item&gt;&lt;item&gt;10&lt;/item&gt;&lt;item&gt;12&lt;/item&gt;&lt;item&gt;14&lt;/item&gt;&lt;item&gt;16&lt;/item&gt;&lt;item&gt;17&lt;/item&gt;&lt;item&gt;18&lt;/item&gt;&lt;item&gt;24&lt;/item&gt;&lt;item&gt;26&lt;/item&gt;&lt;item&gt;31&lt;/item&gt;&lt;item&gt;32&lt;/item&gt;&lt;item&gt;33&lt;/item&gt;&lt;item&gt;39&lt;/item&gt;&lt;item&gt;40&lt;/item&gt;&lt;item&gt;43&lt;/item&gt;&lt;item&gt;45&lt;/item&gt;&lt;item&gt;46&lt;/item&gt;&lt;item&gt;47&lt;/item&gt;&lt;item&gt;48&lt;/item&gt;&lt;item&gt;49&lt;/item&gt;&lt;item&gt;50&lt;/item&gt;&lt;item&gt;51&lt;/item&gt;&lt;item&gt;52&lt;/item&gt;&lt;item&gt;53&lt;/item&gt;&lt;item&gt;54&lt;/item&gt;&lt;item&gt;55&lt;/item&gt;&lt;item&gt;59&lt;/item&gt;&lt;item&gt;61&lt;/item&gt;&lt;item&gt;66&lt;/item&gt;&lt;item&gt;67&lt;/item&gt;&lt;item&gt;72&lt;/item&gt;&lt;item&gt;76&lt;/item&gt;&lt;item&gt;79&lt;/item&gt;&lt;item&gt;80&lt;/item&gt;&lt;item&gt;82&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20&lt;/item&gt;&lt;item&gt;121&lt;/item&gt;&lt;item&gt;122&lt;/item&gt;&lt;item&gt;123&lt;/item&gt;&lt;item&gt;124&lt;/item&gt;&lt;item&gt;125&lt;/item&gt;&lt;item&gt;126&lt;/item&gt;&lt;item&gt;127&lt;/item&gt;&lt;/record-ids&gt;&lt;/item&gt;&lt;/Libraries&gt;"/>
  </w:docVars>
  <w:rsids>
    <w:rsidRoot w:val="00823595"/>
    <w:rsid w:val="00000135"/>
    <w:rsid w:val="00000404"/>
    <w:rsid w:val="0000094D"/>
    <w:rsid w:val="00000ADC"/>
    <w:rsid w:val="00000C9E"/>
    <w:rsid w:val="00000CD0"/>
    <w:rsid w:val="00000DD7"/>
    <w:rsid w:val="00000E9F"/>
    <w:rsid w:val="00000F13"/>
    <w:rsid w:val="00000FF8"/>
    <w:rsid w:val="00001092"/>
    <w:rsid w:val="0000124A"/>
    <w:rsid w:val="000014E1"/>
    <w:rsid w:val="00001962"/>
    <w:rsid w:val="0000253F"/>
    <w:rsid w:val="000026F8"/>
    <w:rsid w:val="00002764"/>
    <w:rsid w:val="00002786"/>
    <w:rsid w:val="0000293D"/>
    <w:rsid w:val="00002B32"/>
    <w:rsid w:val="00002B8D"/>
    <w:rsid w:val="00002CCB"/>
    <w:rsid w:val="00002D17"/>
    <w:rsid w:val="00002E2F"/>
    <w:rsid w:val="00003050"/>
    <w:rsid w:val="0000334B"/>
    <w:rsid w:val="0000350B"/>
    <w:rsid w:val="00003631"/>
    <w:rsid w:val="00003CCE"/>
    <w:rsid w:val="00003D30"/>
    <w:rsid w:val="0000404C"/>
    <w:rsid w:val="000040AB"/>
    <w:rsid w:val="000040BE"/>
    <w:rsid w:val="000043BE"/>
    <w:rsid w:val="00004467"/>
    <w:rsid w:val="000047CA"/>
    <w:rsid w:val="00004986"/>
    <w:rsid w:val="000049A2"/>
    <w:rsid w:val="00004B89"/>
    <w:rsid w:val="00004EEB"/>
    <w:rsid w:val="000050E0"/>
    <w:rsid w:val="0000574A"/>
    <w:rsid w:val="00005B1D"/>
    <w:rsid w:val="00005C73"/>
    <w:rsid w:val="00006183"/>
    <w:rsid w:val="00006825"/>
    <w:rsid w:val="00006924"/>
    <w:rsid w:val="00006B8A"/>
    <w:rsid w:val="00006C4C"/>
    <w:rsid w:val="00007025"/>
    <w:rsid w:val="00007121"/>
    <w:rsid w:val="00007254"/>
    <w:rsid w:val="00007376"/>
    <w:rsid w:val="00007387"/>
    <w:rsid w:val="00007B95"/>
    <w:rsid w:val="00007C1A"/>
    <w:rsid w:val="00007DF0"/>
    <w:rsid w:val="0001041F"/>
    <w:rsid w:val="000104FD"/>
    <w:rsid w:val="00010862"/>
    <w:rsid w:val="00010B00"/>
    <w:rsid w:val="00010C65"/>
    <w:rsid w:val="00010EC6"/>
    <w:rsid w:val="00010FDF"/>
    <w:rsid w:val="0001116E"/>
    <w:rsid w:val="0001120F"/>
    <w:rsid w:val="000114CF"/>
    <w:rsid w:val="00011615"/>
    <w:rsid w:val="000118EA"/>
    <w:rsid w:val="0001196A"/>
    <w:rsid w:val="00011CDE"/>
    <w:rsid w:val="00011FBB"/>
    <w:rsid w:val="000122DE"/>
    <w:rsid w:val="0001241B"/>
    <w:rsid w:val="000125D3"/>
    <w:rsid w:val="00012678"/>
    <w:rsid w:val="00012DBA"/>
    <w:rsid w:val="00013199"/>
    <w:rsid w:val="000135E0"/>
    <w:rsid w:val="000137D1"/>
    <w:rsid w:val="00013DC8"/>
    <w:rsid w:val="000141F7"/>
    <w:rsid w:val="00014395"/>
    <w:rsid w:val="00014617"/>
    <w:rsid w:val="000147BE"/>
    <w:rsid w:val="000148E4"/>
    <w:rsid w:val="000149D2"/>
    <w:rsid w:val="00014A0E"/>
    <w:rsid w:val="00014DA5"/>
    <w:rsid w:val="00014FD0"/>
    <w:rsid w:val="000152D7"/>
    <w:rsid w:val="00015808"/>
    <w:rsid w:val="00015B68"/>
    <w:rsid w:val="00015FAE"/>
    <w:rsid w:val="00016205"/>
    <w:rsid w:val="00016370"/>
    <w:rsid w:val="000163C7"/>
    <w:rsid w:val="000168E7"/>
    <w:rsid w:val="00016AD9"/>
    <w:rsid w:val="00016BE8"/>
    <w:rsid w:val="00016E56"/>
    <w:rsid w:val="0001747A"/>
    <w:rsid w:val="00017D1F"/>
    <w:rsid w:val="00020148"/>
    <w:rsid w:val="00020322"/>
    <w:rsid w:val="00020843"/>
    <w:rsid w:val="00020868"/>
    <w:rsid w:val="000208F8"/>
    <w:rsid w:val="0002096D"/>
    <w:rsid w:val="000209AD"/>
    <w:rsid w:val="00020F0C"/>
    <w:rsid w:val="00020FCD"/>
    <w:rsid w:val="000211E0"/>
    <w:rsid w:val="00021886"/>
    <w:rsid w:val="0002194E"/>
    <w:rsid w:val="00021D13"/>
    <w:rsid w:val="00021E18"/>
    <w:rsid w:val="00021ED8"/>
    <w:rsid w:val="0002264F"/>
    <w:rsid w:val="00022762"/>
    <w:rsid w:val="000229A2"/>
    <w:rsid w:val="00022DDF"/>
    <w:rsid w:val="0002312F"/>
    <w:rsid w:val="000233A8"/>
    <w:rsid w:val="000236FE"/>
    <w:rsid w:val="0002394F"/>
    <w:rsid w:val="00023E85"/>
    <w:rsid w:val="00023F38"/>
    <w:rsid w:val="00023FC4"/>
    <w:rsid w:val="000241E4"/>
    <w:rsid w:val="000247F8"/>
    <w:rsid w:val="00024833"/>
    <w:rsid w:val="00024854"/>
    <w:rsid w:val="00024967"/>
    <w:rsid w:val="00024992"/>
    <w:rsid w:val="00024B28"/>
    <w:rsid w:val="00024D10"/>
    <w:rsid w:val="00024E44"/>
    <w:rsid w:val="000252B9"/>
    <w:rsid w:val="000253CA"/>
    <w:rsid w:val="00025ABC"/>
    <w:rsid w:val="00025B80"/>
    <w:rsid w:val="00025BB9"/>
    <w:rsid w:val="00025C3D"/>
    <w:rsid w:val="00025E88"/>
    <w:rsid w:val="00025EF3"/>
    <w:rsid w:val="00025F5D"/>
    <w:rsid w:val="000261C8"/>
    <w:rsid w:val="000266D2"/>
    <w:rsid w:val="000267DE"/>
    <w:rsid w:val="00026916"/>
    <w:rsid w:val="00026E51"/>
    <w:rsid w:val="000272D3"/>
    <w:rsid w:val="000273F1"/>
    <w:rsid w:val="000274B5"/>
    <w:rsid w:val="00027A2C"/>
    <w:rsid w:val="00027EFD"/>
    <w:rsid w:val="00030474"/>
    <w:rsid w:val="000304C0"/>
    <w:rsid w:val="00030C73"/>
    <w:rsid w:val="00030D7B"/>
    <w:rsid w:val="00030FA6"/>
    <w:rsid w:val="0003131F"/>
    <w:rsid w:val="000316F1"/>
    <w:rsid w:val="000317D8"/>
    <w:rsid w:val="00031C16"/>
    <w:rsid w:val="00031DD1"/>
    <w:rsid w:val="0003217C"/>
    <w:rsid w:val="00032879"/>
    <w:rsid w:val="000330BA"/>
    <w:rsid w:val="00033216"/>
    <w:rsid w:val="00033295"/>
    <w:rsid w:val="00033DFC"/>
    <w:rsid w:val="000340CF"/>
    <w:rsid w:val="0003473C"/>
    <w:rsid w:val="00034B6E"/>
    <w:rsid w:val="00034C13"/>
    <w:rsid w:val="00034D28"/>
    <w:rsid w:val="0003530A"/>
    <w:rsid w:val="00035A0D"/>
    <w:rsid w:val="00035B7B"/>
    <w:rsid w:val="00035FF7"/>
    <w:rsid w:val="000366D9"/>
    <w:rsid w:val="000366DB"/>
    <w:rsid w:val="000367CF"/>
    <w:rsid w:val="00036814"/>
    <w:rsid w:val="00036EAD"/>
    <w:rsid w:val="00036FB1"/>
    <w:rsid w:val="0003754F"/>
    <w:rsid w:val="000376C8"/>
    <w:rsid w:val="00037857"/>
    <w:rsid w:val="0003793D"/>
    <w:rsid w:val="00037DE1"/>
    <w:rsid w:val="00040290"/>
    <w:rsid w:val="00040512"/>
    <w:rsid w:val="000405D1"/>
    <w:rsid w:val="00040A39"/>
    <w:rsid w:val="00040F74"/>
    <w:rsid w:val="0004135B"/>
    <w:rsid w:val="00041825"/>
    <w:rsid w:val="000418E0"/>
    <w:rsid w:val="00041C6A"/>
    <w:rsid w:val="0004204B"/>
    <w:rsid w:val="00042106"/>
    <w:rsid w:val="00042968"/>
    <w:rsid w:val="00042FDE"/>
    <w:rsid w:val="00043095"/>
    <w:rsid w:val="00043285"/>
    <w:rsid w:val="000435B1"/>
    <w:rsid w:val="000436A3"/>
    <w:rsid w:val="000437BD"/>
    <w:rsid w:val="000438FB"/>
    <w:rsid w:val="00043B67"/>
    <w:rsid w:val="00043B93"/>
    <w:rsid w:val="00043DDF"/>
    <w:rsid w:val="000445B0"/>
    <w:rsid w:val="00044792"/>
    <w:rsid w:val="000448BD"/>
    <w:rsid w:val="00044F15"/>
    <w:rsid w:val="00044F88"/>
    <w:rsid w:val="0004529E"/>
    <w:rsid w:val="00045411"/>
    <w:rsid w:val="00045477"/>
    <w:rsid w:val="000454C9"/>
    <w:rsid w:val="000455F8"/>
    <w:rsid w:val="0004573B"/>
    <w:rsid w:val="00045740"/>
    <w:rsid w:val="00045800"/>
    <w:rsid w:val="00045850"/>
    <w:rsid w:val="00045AFD"/>
    <w:rsid w:val="00045B9A"/>
    <w:rsid w:val="00045C71"/>
    <w:rsid w:val="0004631C"/>
    <w:rsid w:val="0004635D"/>
    <w:rsid w:val="0004683C"/>
    <w:rsid w:val="00046865"/>
    <w:rsid w:val="00046898"/>
    <w:rsid w:val="00046CCC"/>
    <w:rsid w:val="00046DF5"/>
    <w:rsid w:val="00046EAC"/>
    <w:rsid w:val="00047E0A"/>
    <w:rsid w:val="00050008"/>
    <w:rsid w:val="00050404"/>
    <w:rsid w:val="00050440"/>
    <w:rsid w:val="00050501"/>
    <w:rsid w:val="000507F9"/>
    <w:rsid w:val="0005083E"/>
    <w:rsid w:val="00050D09"/>
    <w:rsid w:val="00050F36"/>
    <w:rsid w:val="0005127B"/>
    <w:rsid w:val="000513FE"/>
    <w:rsid w:val="0005145D"/>
    <w:rsid w:val="0005159A"/>
    <w:rsid w:val="0005167B"/>
    <w:rsid w:val="000516A4"/>
    <w:rsid w:val="000517E8"/>
    <w:rsid w:val="000518D5"/>
    <w:rsid w:val="0005190F"/>
    <w:rsid w:val="00051962"/>
    <w:rsid w:val="00051F2D"/>
    <w:rsid w:val="00052247"/>
    <w:rsid w:val="000525AF"/>
    <w:rsid w:val="0005264E"/>
    <w:rsid w:val="00052A6B"/>
    <w:rsid w:val="00052A88"/>
    <w:rsid w:val="00053176"/>
    <w:rsid w:val="00053559"/>
    <w:rsid w:val="00053721"/>
    <w:rsid w:val="000539FF"/>
    <w:rsid w:val="00053D23"/>
    <w:rsid w:val="00053E67"/>
    <w:rsid w:val="00054060"/>
    <w:rsid w:val="00054231"/>
    <w:rsid w:val="0005467F"/>
    <w:rsid w:val="00054BA5"/>
    <w:rsid w:val="00054C25"/>
    <w:rsid w:val="00054DCE"/>
    <w:rsid w:val="00055215"/>
    <w:rsid w:val="000553DE"/>
    <w:rsid w:val="00055A4A"/>
    <w:rsid w:val="00055AAA"/>
    <w:rsid w:val="0005606F"/>
    <w:rsid w:val="00056074"/>
    <w:rsid w:val="000560B5"/>
    <w:rsid w:val="0005687D"/>
    <w:rsid w:val="00056BDA"/>
    <w:rsid w:val="00056C53"/>
    <w:rsid w:val="00056D72"/>
    <w:rsid w:val="00056F97"/>
    <w:rsid w:val="00057069"/>
    <w:rsid w:val="00057329"/>
    <w:rsid w:val="00057568"/>
    <w:rsid w:val="0005760A"/>
    <w:rsid w:val="000578C8"/>
    <w:rsid w:val="00057B92"/>
    <w:rsid w:val="00057CCE"/>
    <w:rsid w:val="00057FCA"/>
    <w:rsid w:val="00060590"/>
    <w:rsid w:val="00060781"/>
    <w:rsid w:val="000607ED"/>
    <w:rsid w:val="00060ECE"/>
    <w:rsid w:val="00060F86"/>
    <w:rsid w:val="000612BB"/>
    <w:rsid w:val="00061535"/>
    <w:rsid w:val="00061894"/>
    <w:rsid w:val="00061B60"/>
    <w:rsid w:val="00061E52"/>
    <w:rsid w:val="00061FE3"/>
    <w:rsid w:val="00062A3D"/>
    <w:rsid w:val="00062A72"/>
    <w:rsid w:val="00062C94"/>
    <w:rsid w:val="00062D04"/>
    <w:rsid w:val="00062F51"/>
    <w:rsid w:val="00062FF4"/>
    <w:rsid w:val="00063122"/>
    <w:rsid w:val="00063741"/>
    <w:rsid w:val="00063F83"/>
    <w:rsid w:val="00064165"/>
    <w:rsid w:val="000641F7"/>
    <w:rsid w:val="000644EE"/>
    <w:rsid w:val="00064560"/>
    <w:rsid w:val="00064963"/>
    <w:rsid w:val="00064987"/>
    <w:rsid w:val="00064B8C"/>
    <w:rsid w:val="00064FA9"/>
    <w:rsid w:val="00065370"/>
    <w:rsid w:val="000654F1"/>
    <w:rsid w:val="0006554C"/>
    <w:rsid w:val="00065BB9"/>
    <w:rsid w:val="00065E1E"/>
    <w:rsid w:val="00065EC2"/>
    <w:rsid w:val="000662A2"/>
    <w:rsid w:val="0006662D"/>
    <w:rsid w:val="0006672D"/>
    <w:rsid w:val="000668EF"/>
    <w:rsid w:val="00066A8D"/>
    <w:rsid w:val="00066ACD"/>
    <w:rsid w:val="00066BA6"/>
    <w:rsid w:val="00066DEC"/>
    <w:rsid w:val="00066E45"/>
    <w:rsid w:val="00066FBF"/>
    <w:rsid w:val="00067320"/>
    <w:rsid w:val="00067480"/>
    <w:rsid w:val="00067702"/>
    <w:rsid w:val="00067710"/>
    <w:rsid w:val="00067CCB"/>
    <w:rsid w:val="00070384"/>
    <w:rsid w:val="00070652"/>
    <w:rsid w:val="000708E0"/>
    <w:rsid w:val="00070E74"/>
    <w:rsid w:val="00070ECF"/>
    <w:rsid w:val="00071C67"/>
    <w:rsid w:val="00071E06"/>
    <w:rsid w:val="0007212F"/>
    <w:rsid w:val="000722A3"/>
    <w:rsid w:val="0007232B"/>
    <w:rsid w:val="0007240A"/>
    <w:rsid w:val="0007245D"/>
    <w:rsid w:val="00072478"/>
    <w:rsid w:val="000724D9"/>
    <w:rsid w:val="00072D2F"/>
    <w:rsid w:val="00073092"/>
    <w:rsid w:val="000730E1"/>
    <w:rsid w:val="0007342F"/>
    <w:rsid w:val="00073486"/>
    <w:rsid w:val="0007362B"/>
    <w:rsid w:val="0007375B"/>
    <w:rsid w:val="0007396F"/>
    <w:rsid w:val="00073B7F"/>
    <w:rsid w:val="00073B95"/>
    <w:rsid w:val="00073E8D"/>
    <w:rsid w:val="00073EFB"/>
    <w:rsid w:val="0007408B"/>
    <w:rsid w:val="0007409D"/>
    <w:rsid w:val="000746E4"/>
    <w:rsid w:val="00074992"/>
    <w:rsid w:val="000749FE"/>
    <w:rsid w:val="00074C1A"/>
    <w:rsid w:val="00074C1F"/>
    <w:rsid w:val="000750A4"/>
    <w:rsid w:val="000750A8"/>
    <w:rsid w:val="000755D7"/>
    <w:rsid w:val="00075730"/>
    <w:rsid w:val="000758E1"/>
    <w:rsid w:val="00075AE7"/>
    <w:rsid w:val="00075DE7"/>
    <w:rsid w:val="00075DF9"/>
    <w:rsid w:val="00076194"/>
    <w:rsid w:val="00076517"/>
    <w:rsid w:val="00076597"/>
    <w:rsid w:val="000766FE"/>
    <w:rsid w:val="00076756"/>
    <w:rsid w:val="00076765"/>
    <w:rsid w:val="0007678A"/>
    <w:rsid w:val="00076B86"/>
    <w:rsid w:val="00076CC1"/>
    <w:rsid w:val="00076DB0"/>
    <w:rsid w:val="000774F4"/>
    <w:rsid w:val="0007766C"/>
    <w:rsid w:val="0007778E"/>
    <w:rsid w:val="00077A65"/>
    <w:rsid w:val="000801D3"/>
    <w:rsid w:val="00080256"/>
    <w:rsid w:val="0008117E"/>
    <w:rsid w:val="00081581"/>
    <w:rsid w:val="000816EB"/>
    <w:rsid w:val="00081F1D"/>
    <w:rsid w:val="00082306"/>
    <w:rsid w:val="0008270A"/>
    <w:rsid w:val="00082723"/>
    <w:rsid w:val="0008272E"/>
    <w:rsid w:val="000828BB"/>
    <w:rsid w:val="00082950"/>
    <w:rsid w:val="00083066"/>
    <w:rsid w:val="0008326D"/>
    <w:rsid w:val="000836B3"/>
    <w:rsid w:val="000838FC"/>
    <w:rsid w:val="00083F04"/>
    <w:rsid w:val="00084088"/>
    <w:rsid w:val="000840AF"/>
    <w:rsid w:val="000841E8"/>
    <w:rsid w:val="000847A5"/>
    <w:rsid w:val="00084B87"/>
    <w:rsid w:val="00084D3B"/>
    <w:rsid w:val="000858AA"/>
    <w:rsid w:val="00085AD7"/>
    <w:rsid w:val="00085E47"/>
    <w:rsid w:val="00086005"/>
    <w:rsid w:val="0008622C"/>
    <w:rsid w:val="00086262"/>
    <w:rsid w:val="000865F2"/>
    <w:rsid w:val="00086A5B"/>
    <w:rsid w:val="0008708E"/>
    <w:rsid w:val="000870F3"/>
    <w:rsid w:val="0008719C"/>
    <w:rsid w:val="00087224"/>
    <w:rsid w:val="0008746D"/>
    <w:rsid w:val="000875B5"/>
    <w:rsid w:val="0008762B"/>
    <w:rsid w:val="000878DD"/>
    <w:rsid w:val="0008799B"/>
    <w:rsid w:val="00087F9C"/>
    <w:rsid w:val="000905DF"/>
    <w:rsid w:val="00090B15"/>
    <w:rsid w:val="00090B25"/>
    <w:rsid w:val="00090D00"/>
    <w:rsid w:val="00090E9B"/>
    <w:rsid w:val="0009111D"/>
    <w:rsid w:val="0009126C"/>
    <w:rsid w:val="000914E4"/>
    <w:rsid w:val="0009172C"/>
    <w:rsid w:val="00091AAC"/>
    <w:rsid w:val="00091BCB"/>
    <w:rsid w:val="00091F80"/>
    <w:rsid w:val="000922E5"/>
    <w:rsid w:val="000923AD"/>
    <w:rsid w:val="00092ABA"/>
    <w:rsid w:val="00092C54"/>
    <w:rsid w:val="00092C98"/>
    <w:rsid w:val="000931AC"/>
    <w:rsid w:val="000931CE"/>
    <w:rsid w:val="000933B2"/>
    <w:rsid w:val="000933B9"/>
    <w:rsid w:val="00094373"/>
    <w:rsid w:val="00094469"/>
    <w:rsid w:val="000949BF"/>
    <w:rsid w:val="00094AAC"/>
    <w:rsid w:val="00094ED7"/>
    <w:rsid w:val="00094FEE"/>
    <w:rsid w:val="00095400"/>
    <w:rsid w:val="00095794"/>
    <w:rsid w:val="00095C3C"/>
    <w:rsid w:val="00095DA9"/>
    <w:rsid w:val="0009638F"/>
    <w:rsid w:val="000963C3"/>
    <w:rsid w:val="000966B0"/>
    <w:rsid w:val="0009672A"/>
    <w:rsid w:val="00096FB4"/>
    <w:rsid w:val="000974CA"/>
    <w:rsid w:val="00097734"/>
    <w:rsid w:val="00097BA0"/>
    <w:rsid w:val="00097F8D"/>
    <w:rsid w:val="000A0173"/>
    <w:rsid w:val="000A0391"/>
    <w:rsid w:val="000A03AC"/>
    <w:rsid w:val="000A089B"/>
    <w:rsid w:val="000A08A9"/>
    <w:rsid w:val="000A0A7B"/>
    <w:rsid w:val="000A0AEE"/>
    <w:rsid w:val="000A0AFB"/>
    <w:rsid w:val="000A0CAD"/>
    <w:rsid w:val="000A0CF5"/>
    <w:rsid w:val="000A0E91"/>
    <w:rsid w:val="000A1564"/>
    <w:rsid w:val="000A1E16"/>
    <w:rsid w:val="000A1FDA"/>
    <w:rsid w:val="000A2016"/>
    <w:rsid w:val="000A2251"/>
    <w:rsid w:val="000A2292"/>
    <w:rsid w:val="000A25AC"/>
    <w:rsid w:val="000A25C4"/>
    <w:rsid w:val="000A2734"/>
    <w:rsid w:val="000A2CA7"/>
    <w:rsid w:val="000A2D8D"/>
    <w:rsid w:val="000A363D"/>
    <w:rsid w:val="000A363E"/>
    <w:rsid w:val="000A36EB"/>
    <w:rsid w:val="000A3A60"/>
    <w:rsid w:val="000A3E43"/>
    <w:rsid w:val="000A415F"/>
    <w:rsid w:val="000A4486"/>
    <w:rsid w:val="000A4685"/>
    <w:rsid w:val="000A46CE"/>
    <w:rsid w:val="000A474E"/>
    <w:rsid w:val="000A4823"/>
    <w:rsid w:val="000A4D26"/>
    <w:rsid w:val="000A4E27"/>
    <w:rsid w:val="000A52A7"/>
    <w:rsid w:val="000A5881"/>
    <w:rsid w:val="000A589D"/>
    <w:rsid w:val="000A58A7"/>
    <w:rsid w:val="000A5D0C"/>
    <w:rsid w:val="000A5D8A"/>
    <w:rsid w:val="000A5DCA"/>
    <w:rsid w:val="000A5E41"/>
    <w:rsid w:val="000A5E8C"/>
    <w:rsid w:val="000A61A2"/>
    <w:rsid w:val="000A61DA"/>
    <w:rsid w:val="000A6C01"/>
    <w:rsid w:val="000A6C08"/>
    <w:rsid w:val="000A7193"/>
    <w:rsid w:val="000A7398"/>
    <w:rsid w:val="000A73BC"/>
    <w:rsid w:val="000A777F"/>
    <w:rsid w:val="000A7825"/>
    <w:rsid w:val="000A7B24"/>
    <w:rsid w:val="000A7BDF"/>
    <w:rsid w:val="000A7C32"/>
    <w:rsid w:val="000B0076"/>
    <w:rsid w:val="000B02DD"/>
    <w:rsid w:val="000B067E"/>
    <w:rsid w:val="000B07A9"/>
    <w:rsid w:val="000B0944"/>
    <w:rsid w:val="000B0FCE"/>
    <w:rsid w:val="000B10B5"/>
    <w:rsid w:val="000B1505"/>
    <w:rsid w:val="000B18D3"/>
    <w:rsid w:val="000B18F2"/>
    <w:rsid w:val="000B1EDE"/>
    <w:rsid w:val="000B2201"/>
    <w:rsid w:val="000B2294"/>
    <w:rsid w:val="000B296A"/>
    <w:rsid w:val="000B296F"/>
    <w:rsid w:val="000B326F"/>
    <w:rsid w:val="000B34E3"/>
    <w:rsid w:val="000B35EE"/>
    <w:rsid w:val="000B381F"/>
    <w:rsid w:val="000B3B5C"/>
    <w:rsid w:val="000B3C22"/>
    <w:rsid w:val="000B4261"/>
    <w:rsid w:val="000B4296"/>
    <w:rsid w:val="000B45EE"/>
    <w:rsid w:val="000B4A76"/>
    <w:rsid w:val="000B4D79"/>
    <w:rsid w:val="000B5287"/>
    <w:rsid w:val="000B579F"/>
    <w:rsid w:val="000B57D1"/>
    <w:rsid w:val="000B57E9"/>
    <w:rsid w:val="000B59AF"/>
    <w:rsid w:val="000B5A4A"/>
    <w:rsid w:val="000B6123"/>
    <w:rsid w:val="000B61F1"/>
    <w:rsid w:val="000B6262"/>
    <w:rsid w:val="000B65C8"/>
    <w:rsid w:val="000B67BB"/>
    <w:rsid w:val="000B6A50"/>
    <w:rsid w:val="000B6CA0"/>
    <w:rsid w:val="000B7157"/>
    <w:rsid w:val="000B7651"/>
    <w:rsid w:val="000B76A9"/>
    <w:rsid w:val="000B7AD9"/>
    <w:rsid w:val="000B7DC4"/>
    <w:rsid w:val="000B7EE8"/>
    <w:rsid w:val="000B7EFB"/>
    <w:rsid w:val="000B7FEA"/>
    <w:rsid w:val="000C0312"/>
    <w:rsid w:val="000C051D"/>
    <w:rsid w:val="000C0623"/>
    <w:rsid w:val="000C0670"/>
    <w:rsid w:val="000C06F3"/>
    <w:rsid w:val="000C06F7"/>
    <w:rsid w:val="000C0C93"/>
    <w:rsid w:val="000C0F24"/>
    <w:rsid w:val="000C10F8"/>
    <w:rsid w:val="000C12ED"/>
    <w:rsid w:val="000C14FA"/>
    <w:rsid w:val="000C1808"/>
    <w:rsid w:val="000C1876"/>
    <w:rsid w:val="000C1D2E"/>
    <w:rsid w:val="000C1F71"/>
    <w:rsid w:val="000C21B5"/>
    <w:rsid w:val="000C2B75"/>
    <w:rsid w:val="000C2C50"/>
    <w:rsid w:val="000C2EAC"/>
    <w:rsid w:val="000C3282"/>
    <w:rsid w:val="000C348A"/>
    <w:rsid w:val="000C3FC4"/>
    <w:rsid w:val="000C4CDF"/>
    <w:rsid w:val="000C4EF1"/>
    <w:rsid w:val="000C4EFB"/>
    <w:rsid w:val="000C5174"/>
    <w:rsid w:val="000C52AB"/>
    <w:rsid w:val="000C6220"/>
    <w:rsid w:val="000C6265"/>
    <w:rsid w:val="000C6B6A"/>
    <w:rsid w:val="000C6C42"/>
    <w:rsid w:val="000C6CF6"/>
    <w:rsid w:val="000C6E66"/>
    <w:rsid w:val="000C6ECC"/>
    <w:rsid w:val="000C6FE2"/>
    <w:rsid w:val="000C7842"/>
    <w:rsid w:val="000C788E"/>
    <w:rsid w:val="000C7D93"/>
    <w:rsid w:val="000D010A"/>
    <w:rsid w:val="000D0F1D"/>
    <w:rsid w:val="000D138C"/>
    <w:rsid w:val="000D14D7"/>
    <w:rsid w:val="000D1556"/>
    <w:rsid w:val="000D19FC"/>
    <w:rsid w:val="000D1B86"/>
    <w:rsid w:val="000D1BE8"/>
    <w:rsid w:val="000D1CEB"/>
    <w:rsid w:val="000D2150"/>
    <w:rsid w:val="000D249A"/>
    <w:rsid w:val="000D24C4"/>
    <w:rsid w:val="000D25D6"/>
    <w:rsid w:val="000D263A"/>
    <w:rsid w:val="000D27ED"/>
    <w:rsid w:val="000D2FB1"/>
    <w:rsid w:val="000D322D"/>
    <w:rsid w:val="000D3396"/>
    <w:rsid w:val="000D3442"/>
    <w:rsid w:val="000D3B8B"/>
    <w:rsid w:val="000D4484"/>
    <w:rsid w:val="000D4740"/>
    <w:rsid w:val="000D49A7"/>
    <w:rsid w:val="000D4AD9"/>
    <w:rsid w:val="000D4B42"/>
    <w:rsid w:val="000D4CC4"/>
    <w:rsid w:val="000D4CF5"/>
    <w:rsid w:val="000D50C1"/>
    <w:rsid w:val="000D5323"/>
    <w:rsid w:val="000D53F7"/>
    <w:rsid w:val="000D5592"/>
    <w:rsid w:val="000D572C"/>
    <w:rsid w:val="000D586A"/>
    <w:rsid w:val="000D5BD7"/>
    <w:rsid w:val="000D6119"/>
    <w:rsid w:val="000D6744"/>
    <w:rsid w:val="000D6753"/>
    <w:rsid w:val="000D6DC3"/>
    <w:rsid w:val="000D6F5C"/>
    <w:rsid w:val="000D6F8D"/>
    <w:rsid w:val="000D7063"/>
    <w:rsid w:val="000D7115"/>
    <w:rsid w:val="000D78D9"/>
    <w:rsid w:val="000D7E9B"/>
    <w:rsid w:val="000E0335"/>
    <w:rsid w:val="000E052F"/>
    <w:rsid w:val="000E063F"/>
    <w:rsid w:val="000E0739"/>
    <w:rsid w:val="000E0A70"/>
    <w:rsid w:val="000E1252"/>
    <w:rsid w:val="000E1284"/>
    <w:rsid w:val="000E1CEB"/>
    <w:rsid w:val="000E1DF1"/>
    <w:rsid w:val="000E1E0E"/>
    <w:rsid w:val="000E21E4"/>
    <w:rsid w:val="000E2667"/>
    <w:rsid w:val="000E281D"/>
    <w:rsid w:val="000E2D63"/>
    <w:rsid w:val="000E30E2"/>
    <w:rsid w:val="000E34C7"/>
    <w:rsid w:val="000E38FB"/>
    <w:rsid w:val="000E3BEC"/>
    <w:rsid w:val="000E3C43"/>
    <w:rsid w:val="000E3DF6"/>
    <w:rsid w:val="000E3E1A"/>
    <w:rsid w:val="000E4019"/>
    <w:rsid w:val="000E40FB"/>
    <w:rsid w:val="000E4215"/>
    <w:rsid w:val="000E44F9"/>
    <w:rsid w:val="000E4649"/>
    <w:rsid w:val="000E4A50"/>
    <w:rsid w:val="000E50F1"/>
    <w:rsid w:val="000E539F"/>
    <w:rsid w:val="000E5548"/>
    <w:rsid w:val="000E57A3"/>
    <w:rsid w:val="000E59FE"/>
    <w:rsid w:val="000E609A"/>
    <w:rsid w:val="000E60DD"/>
    <w:rsid w:val="000E6663"/>
    <w:rsid w:val="000E6836"/>
    <w:rsid w:val="000E6876"/>
    <w:rsid w:val="000E6970"/>
    <w:rsid w:val="000E69E8"/>
    <w:rsid w:val="000E6AD1"/>
    <w:rsid w:val="000E7145"/>
    <w:rsid w:val="000E7524"/>
    <w:rsid w:val="000E7632"/>
    <w:rsid w:val="000E7CAB"/>
    <w:rsid w:val="000E7D2E"/>
    <w:rsid w:val="000F01C5"/>
    <w:rsid w:val="000F0386"/>
    <w:rsid w:val="000F038B"/>
    <w:rsid w:val="000F06B0"/>
    <w:rsid w:val="000F0BB4"/>
    <w:rsid w:val="000F1093"/>
    <w:rsid w:val="000F12E0"/>
    <w:rsid w:val="000F1487"/>
    <w:rsid w:val="000F14E4"/>
    <w:rsid w:val="000F166C"/>
    <w:rsid w:val="000F17A3"/>
    <w:rsid w:val="000F19A3"/>
    <w:rsid w:val="000F1AF5"/>
    <w:rsid w:val="000F1F55"/>
    <w:rsid w:val="000F25D0"/>
    <w:rsid w:val="000F2927"/>
    <w:rsid w:val="000F2BE5"/>
    <w:rsid w:val="000F2C98"/>
    <w:rsid w:val="000F2CFD"/>
    <w:rsid w:val="000F2D6E"/>
    <w:rsid w:val="000F3510"/>
    <w:rsid w:val="000F3653"/>
    <w:rsid w:val="000F381E"/>
    <w:rsid w:val="000F38DF"/>
    <w:rsid w:val="000F3D92"/>
    <w:rsid w:val="000F4345"/>
    <w:rsid w:val="000F4502"/>
    <w:rsid w:val="000F4A40"/>
    <w:rsid w:val="000F4E1C"/>
    <w:rsid w:val="000F54D5"/>
    <w:rsid w:val="000F57CA"/>
    <w:rsid w:val="000F5A03"/>
    <w:rsid w:val="000F5A88"/>
    <w:rsid w:val="000F5E80"/>
    <w:rsid w:val="000F621D"/>
    <w:rsid w:val="000F6724"/>
    <w:rsid w:val="000F6961"/>
    <w:rsid w:val="000F69D3"/>
    <w:rsid w:val="000F6BE0"/>
    <w:rsid w:val="000F6CF0"/>
    <w:rsid w:val="000F6F8C"/>
    <w:rsid w:val="000F7208"/>
    <w:rsid w:val="000F7230"/>
    <w:rsid w:val="000F7510"/>
    <w:rsid w:val="000F7745"/>
    <w:rsid w:val="000F7B97"/>
    <w:rsid w:val="0010012D"/>
    <w:rsid w:val="00100378"/>
    <w:rsid w:val="00100636"/>
    <w:rsid w:val="00100742"/>
    <w:rsid w:val="0010094C"/>
    <w:rsid w:val="0010095B"/>
    <w:rsid w:val="00100B10"/>
    <w:rsid w:val="00100F6A"/>
    <w:rsid w:val="00101097"/>
    <w:rsid w:val="00101198"/>
    <w:rsid w:val="001014DC"/>
    <w:rsid w:val="00101630"/>
    <w:rsid w:val="0010185A"/>
    <w:rsid w:val="00101D7E"/>
    <w:rsid w:val="001024E2"/>
    <w:rsid w:val="001026EE"/>
    <w:rsid w:val="0010278F"/>
    <w:rsid w:val="00102855"/>
    <w:rsid w:val="00102D21"/>
    <w:rsid w:val="00103034"/>
    <w:rsid w:val="0010315F"/>
    <w:rsid w:val="00103554"/>
    <w:rsid w:val="001035A8"/>
    <w:rsid w:val="001036B1"/>
    <w:rsid w:val="00103BC4"/>
    <w:rsid w:val="00103D65"/>
    <w:rsid w:val="001042D5"/>
    <w:rsid w:val="00104379"/>
    <w:rsid w:val="0010442B"/>
    <w:rsid w:val="001047B6"/>
    <w:rsid w:val="00104F9D"/>
    <w:rsid w:val="00105008"/>
    <w:rsid w:val="001053C1"/>
    <w:rsid w:val="0010554F"/>
    <w:rsid w:val="001057D6"/>
    <w:rsid w:val="00105BCF"/>
    <w:rsid w:val="001060E2"/>
    <w:rsid w:val="00106151"/>
    <w:rsid w:val="0010616C"/>
    <w:rsid w:val="0010653B"/>
    <w:rsid w:val="00106570"/>
    <w:rsid w:val="00106747"/>
    <w:rsid w:val="0010678E"/>
    <w:rsid w:val="001067F9"/>
    <w:rsid w:val="00106A07"/>
    <w:rsid w:val="00106E80"/>
    <w:rsid w:val="00106F58"/>
    <w:rsid w:val="001076FB"/>
    <w:rsid w:val="0010770F"/>
    <w:rsid w:val="001079EF"/>
    <w:rsid w:val="00107A4B"/>
    <w:rsid w:val="00107B3D"/>
    <w:rsid w:val="00110A11"/>
    <w:rsid w:val="00110A86"/>
    <w:rsid w:val="00110BE9"/>
    <w:rsid w:val="00110D5D"/>
    <w:rsid w:val="00111236"/>
    <w:rsid w:val="00111263"/>
    <w:rsid w:val="00111414"/>
    <w:rsid w:val="00111758"/>
    <w:rsid w:val="00112443"/>
    <w:rsid w:val="001124C8"/>
    <w:rsid w:val="0011291B"/>
    <w:rsid w:val="00112B0C"/>
    <w:rsid w:val="00112B16"/>
    <w:rsid w:val="00112C2C"/>
    <w:rsid w:val="00112CD3"/>
    <w:rsid w:val="00113488"/>
    <w:rsid w:val="001139F3"/>
    <w:rsid w:val="00113EC5"/>
    <w:rsid w:val="00113FC0"/>
    <w:rsid w:val="001142C3"/>
    <w:rsid w:val="00114697"/>
    <w:rsid w:val="0011470F"/>
    <w:rsid w:val="00114720"/>
    <w:rsid w:val="001149C9"/>
    <w:rsid w:val="001149FF"/>
    <w:rsid w:val="00114A8B"/>
    <w:rsid w:val="00114F22"/>
    <w:rsid w:val="001152A9"/>
    <w:rsid w:val="001155B7"/>
    <w:rsid w:val="00115B8F"/>
    <w:rsid w:val="00115CDE"/>
    <w:rsid w:val="00115FA8"/>
    <w:rsid w:val="00116493"/>
    <w:rsid w:val="00116576"/>
    <w:rsid w:val="0011658E"/>
    <w:rsid w:val="00116B3C"/>
    <w:rsid w:val="00116C84"/>
    <w:rsid w:val="00116D1C"/>
    <w:rsid w:val="00116E90"/>
    <w:rsid w:val="00116FFD"/>
    <w:rsid w:val="001170D1"/>
    <w:rsid w:val="00117313"/>
    <w:rsid w:val="0011756B"/>
    <w:rsid w:val="00117CCC"/>
    <w:rsid w:val="00117DA7"/>
    <w:rsid w:val="00117EB9"/>
    <w:rsid w:val="00120210"/>
    <w:rsid w:val="00120232"/>
    <w:rsid w:val="00120931"/>
    <w:rsid w:val="00120FD6"/>
    <w:rsid w:val="00121069"/>
    <w:rsid w:val="0012112C"/>
    <w:rsid w:val="0012150F"/>
    <w:rsid w:val="001217D3"/>
    <w:rsid w:val="001219CB"/>
    <w:rsid w:val="00121A4E"/>
    <w:rsid w:val="00121A75"/>
    <w:rsid w:val="00121B01"/>
    <w:rsid w:val="00121CF3"/>
    <w:rsid w:val="00121E1C"/>
    <w:rsid w:val="0012240D"/>
    <w:rsid w:val="00122811"/>
    <w:rsid w:val="001229F5"/>
    <w:rsid w:val="00123163"/>
    <w:rsid w:val="001231EB"/>
    <w:rsid w:val="00123252"/>
    <w:rsid w:val="00123B65"/>
    <w:rsid w:val="001243AF"/>
    <w:rsid w:val="00124439"/>
    <w:rsid w:val="0012455A"/>
    <w:rsid w:val="001246C2"/>
    <w:rsid w:val="00124AF1"/>
    <w:rsid w:val="00124B9A"/>
    <w:rsid w:val="00124CAB"/>
    <w:rsid w:val="00124E93"/>
    <w:rsid w:val="0012529A"/>
    <w:rsid w:val="001252A2"/>
    <w:rsid w:val="00125385"/>
    <w:rsid w:val="00125574"/>
    <w:rsid w:val="0012565E"/>
    <w:rsid w:val="001256B8"/>
    <w:rsid w:val="001257AC"/>
    <w:rsid w:val="00125819"/>
    <w:rsid w:val="00125C2E"/>
    <w:rsid w:val="00125D86"/>
    <w:rsid w:val="00125DFD"/>
    <w:rsid w:val="00125F06"/>
    <w:rsid w:val="00126239"/>
    <w:rsid w:val="001266A2"/>
    <w:rsid w:val="00126918"/>
    <w:rsid w:val="00126F79"/>
    <w:rsid w:val="00126F84"/>
    <w:rsid w:val="00127079"/>
    <w:rsid w:val="0012720A"/>
    <w:rsid w:val="001273A9"/>
    <w:rsid w:val="0012744B"/>
    <w:rsid w:val="001274AC"/>
    <w:rsid w:val="001274BC"/>
    <w:rsid w:val="001277CC"/>
    <w:rsid w:val="00127D11"/>
    <w:rsid w:val="00127EC7"/>
    <w:rsid w:val="0013047E"/>
    <w:rsid w:val="001305AC"/>
    <w:rsid w:val="001307A2"/>
    <w:rsid w:val="001307FB"/>
    <w:rsid w:val="00130B79"/>
    <w:rsid w:val="00130CAC"/>
    <w:rsid w:val="00130D09"/>
    <w:rsid w:val="00130E70"/>
    <w:rsid w:val="00130F9A"/>
    <w:rsid w:val="00130FE5"/>
    <w:rsid w:val="001311CB"/>
    <w:rsid w:val="0013120C"/>
    <w:rsid w:val="00131371"/>
    <w:rsid w:val="00131888"/>
    <w:rsid w:val="00131C2F"/>
    <w:rsid w:val="00131D01"/>
    <w:rsid w:val="00131D65"/>
    <w:rsid w:val="00131E45"/>
    <w:rsid w:val="00132396"/>
    <w:rsid w:val="00132427"/>
    <w:rsid w:val="001324A4"/>
    <w:rsid w:val="001326F7"/>
    <w:rsid w:val="00132848"/>
    <w:rsid w:val="0013288D"/>
    <w:rsid w:val="00132983"/>
    <w:rsid w:val="00132B4E"/>
    <w:rsid w:val="00132CB5"/>
    <w:rsid w:val="00132DA8"/>
    <w:rsid w:val="00132DBE"/>
    <w:rsid w:val="00133AB7"/>
    <w:rsid w:val="00133DD8"/>
    <w:rsid w:val="0013406B"/>
    <w:rsid w:val="001346B4"/>
    <w:rsid w:val="00134BA0"/>
    <w:rsid w:val="00134C22"/>
    <w:rsid w:val="00134E0B"/>
    <w:rsid w:val="00134F86"/>
    <w:rsid w:val="001354C0"/>
    <w:rsid w:val="001356AC"/>
    <w:rsid w:val="001357B8"/>
    <w:rsid w:val="00135D5A"/>
    <w:rsid w:val="001361C8"/>
    <w:rsid w:val="0013623B"/>
    <w:rsid w:val="00136326"/>
    <w:rsid w:val="0013650C"/>
    <w:rsid w:val="00136518"/>
    <w:rsid w:val="00136B35"/>
    <w:rsid w:val="00136BC9"/>
    <w:rsid w:val="0013716F"/>
    <w:rsid w:val="001377C2"/>
    <w:rsid w:val="001377DF"/>
    <w:rsid w:val="00137811"/>
    <w:rsid w:val="00137B12"/>
    <w:rsid w:val="00140231"/>
    <w:rsid w:val="001402D2"/>
    <w:rsid w:val="00140478"/>
    <w:rsid w:val="001406FD"/>
    <w:rsid w:val="00140796"/>
    <w:rsid w:val="00140A6F"/>
    <w:rsid w:val="00140FA1"/>
    <w:rsid w:val="001414C2"/>
    <w:rsid w:val="00141B6E"/>
    <w:rsid w:val="00141E0B"/>
    <w:rsid w:val="00141F23"/>
    <w:rsid w:val="001421F8"/>
    <w:rsid w:val="001422F9"/>
    <w:rsid w:val="0014232E"/>
    <w:rsid w:val="001423E8"/>
    <w:rsid w:val="001425BD"/>
    <w:rsid w:val="001436F3"/>
    <w:rsid w:val="00143BA0"/>
    <w:rsid w:val="00143C51"/>
    <w:rsid w:val="00144028"/>
    <w:rsid w:val="001440DD"/>
    <w:rsid w:val="001440E7"/>
    <w:rsid w:val="001441D5"/>
    <w:rsid w:val="0014436C"/>
    <w:rsid w:val="00144562"/>
    <w:rsid w:val="001447BE"/>
    <w:rsid w:val="00144878"/>
    <w:rsid w:val="00144C49"/>
    <w:rsid w:val="0014526F"/>
    <w:rsid w:val="0014566D"/>
    <w:rsid w:val="00145ACB"/>
    <w:rsid w:val="00145B27"/>
    <w:rsid w:val="00145C58"/>
    <w:rsid w:val="00145D6B"/>
    <w:rsid w:val="00145DCD"/>
    <w:rsid w:val="00146041"/>
    <w:rsid w:val="00146055"/>
    <w:rsid w:val="00146171"/>
    <w:rsid w:val="00146232"/>
    <w:rsid w:val="001462E5"/>
    <w:rsid w:val="001463E8"/>
    <w:rsid w:val="001464CA"/>
    <w:rsid w:val="00146657"/>
    <w:rsid w:val="0014666A"/>
    <w:rsid w:val="0014688E"/>
    <w:rsid w:val="001468BE"/>
    <w:rsid w:val="00146C87"/>
    <w:rsid w:val="00146D6F"/>
    <w:rsid w:val="00146E64"/>
    <w:rsid w:val="001472AE"/>
    <w:rsid w:val="0014777C"/>
    <w:rsid w:val="001477FE"/>
    <w:rsid w:val="00147C48"/>
    <w:rsid w:val="00147C62"/>
    <w:rsid w:val="00147ED9"/>
    <w:rsid w:val="00150134"/>
    <w:rsid w:val="001504A5"/>
    <w:rsid w:val="001504B3"/>
    <w:rsid w:val="001506AE"/>
    <w:rsid w:val="001507D0"/>
    <w:rsid w:val="001508C3"/>
    <w:rsid w:val="00150A7E"/>
    <w:rsid w:val="00150FF8"/>
    <w:rsid w:val="0015164B"/>
    <w:rsid w:val="00151BCC"/>
    <w:rsid w:val="00151BD5"/>
    <w:rsid w:val="00151DD5"/>
    <w:rsid w:val="00151FCF"/>
    <w:rsid w:val="00151FDC"/>
    <w:rsid w:val="00152251"/>
    <w:rsid w:val="001522DE"/>
    <w:rsid w:val="00152458"/>
    <w:rsid w:val="0015282B"/>
    <w:rsid w:val="001528D0"/>
    <w:rsid w:val="001529DD"/>
    <w:rsid w:val="00152D1F"/>
    <w:rsid w:val="001530E5"/>
    <w:rsid w:val="00153421"/>
    <w:rsid w:val="00153946"/>
    <w:rsid w:val="00153AA2"/>
    <w:rsid w:val="00153D9D"/>
    <w:rsid w:val="00153E74"/>
    <w:rsid w:val="001543D5"/>
    <w:rsid w:val="00154698"/>
    <w:rsid w:val="001548A1"/>
    <w:rsid w:val="00154B6F"/>
    <w:rsid w:val="00154C84"/>
    <w:rsid w:val="00154D17"/>
    <w:rsid w:val="00154FF1"/>
    <w:rsid w:val="001554AD"/>
    <w:rsid w:val="00155BE1"/>
    <w:rsid w:val="00155F13"/>
    <w:rsid w:val="00155F56"/>
    <w:rsid w:val="001565D4"/>
    <w:rsid w:val="001566D4"/>
    <w:rsid w:val="00156B90"/>
    <w:rsid w:val="00156BB7"/>
    <w:rsid w:val="00156D54"/>
    <w:rsid w:val="00156D6C"/>
    <w:rsid w:val="0015701C"/>
    <w:rsid w:val="001570C9"/>
    <w:rsid w:val="00157EFD"/>
    <w:rsid w:val="001600D8"/>
    <w:rsid w:val="0016015A"/>
    <w:rsid w:val="0016020B"/>
    <w:rsid w:val="00160234"/>
    <w:rsid w:val="001606C8"/>
    <w:rsid w:val="001607EC"/>
    <w:rsid w:val="00160A10"/>
    <w:rsid w:val="00160B9F"/>
    <w:rsid w:val="00160BFB"/>
    <w:rsid w:val="00160EBC"/>
    <w:rsid w:val="00160EF9"/>
    <w:rsid w:val="00161328"/>
    <w:rsid w:val="001614AB"/>
    <w:rsid w:val="00161801"/>
    <w:rsid w:val="00162054"/>
    <w:rsid w:val="00162191"/>
    <w:rsid w:val="001623CF"/>
    <w:rsid w:val="00162526"/>
    <w:rsid w:val="001626BF"/>
    <w:rsid w:val="0016298E"/>
    <w:rsid w:val="00162A45"/>
    <w:rsid w:val="00162EA8"/>
    <w:rsid w:val="00163312"/>
    <w:rsid w:val="0016343B"/>
    <w:rsid w:val="00163820"/>
    <w:rsid w:val="001638D6"/>
    <w:rsid w:val="00163B79"/>
    <w:rsid w:val="00163D1F"/>
    <w:rsid w:val="0016400B"/>
    <w:rsid w:val="00164306"/>
    <w:rsid w:val="0016430C"/>
    <w:rsid w:val="00164443"/>
    <w:rsid w:val="00164703"/>
    <w:rsid w:val="00164728"/>
    <w:rsid w:val="001649DE"/>
    <w:rsid w:val="00164A17"/>
    <w:rsid w:val="00164F40"/>
    <w:rsid w:val="00164F42"/>
    <w:rsid w:val="00165365"/>
    <w:rsid w:val="0016559C"/>
    <w:rsid w:val="00165875"/>
    <w:rsid w:val="00165A5B"/>
    <w:rsid w:val="00165C1E"/>
    <w:rsid w:val="00165D9C"/>
    <w:rsid w:val="00165E59"/>
    <w:rsid w:val="00165EAA"/>
    <w:rsid w:val="0016602A"/>
    <w:rsid w:val="00166052"/>
    <w:rsid w:val="001660A9"/>
    <w:rsid w:val="0016670D"/>
    <w:rsid w:val="00166A05"/>
    <w:rsid w:val="00166B1C"/>
    <w:rsid w:val="00166E8D"/>
    <w:rsid w:val="00167176"/>
    <w:rsid w:val="001676B3"/>
    <w:rsid w:val="00167782"/>
    <w:rsid w:val="00167846"/>
    <w:rsid w:val="00167988"/>
    <w:rsid w:val="00167C46"/>
    <w:rsid w:val="00167F96"/>
    <w:rsid w:val="00170C83"/>
    <w:rsid w:val="00170D2D"/>
    <w:rsid w:val="001716CC"/>
    <w:rsid w:val="00171764"/>
    <w:rsid w:val="00171B4E"/>
    <w:rsid w:val="00171CF0"/>
    <w:rsid w:val="00171D4D"/>
    <w:rsid w:val="0017219E"/>
    <w:rsid w:val="001729AD"/>
    <w:rsid w:val="00172ABB"/>
    <w:rsid w:val="00172B34"/>
    <w:rsid w:val="00172EA0"/>
    <w:rsid w:val="0017326D"/>
    <w:rsid w:val="001733AE"/>
    <w:rsid w:val="001735FE"/>
    <w:rsid w:val="001737BC"/>
    <w:rsid w:val="00173BAE"/>
    <w:rsid w:val="001741A4"/>
    <w:rsid w:val="001741BA"/>
    <w:rsid w:val="0017433A"/>
    <w:rsid w:val="00174388"/>
    <w:rsid w:val="00174F72"/>
    <w:rsid w:val="00175046"/>
    <w:rsid w:val="0017525A"/>
    <w:rsid w:val="001753D4"/>
    <w:rsid w:val="00175807"/>
    <w:rsid w:val="00175820"/>
    <w:rsid w:val="00175846"/>
    <w:rsid w:val="00175974"/>
    <w:rsid w:val="00175AB7"/>
    <w:rsid w:val="00175C70"/>
    <w:rsid w:val="00175CA2"/>
    <w:rsid w:val="00175EC6"/>
    <w:rsid w:val="00175EE3"/>
    <w:rsid w:val="00175EFC"/>
    <w:rsid w:val="001760DA"/>
    <w:rsid w:val="00176146"/>
    <w:rsid w:val="001774F0"/>
    <w:rsid w:val="0017769D"/>
    <w:rsid w:val="0017772F"/>
    <w:rsid w:val="001778E9"/>
    <w:rsid w:val="00177907"/>
    <w:rsid w:val="00177D26"/>
    <w:rsid w:val="0018012F"/>
    <w:rsid w:val="001809C2"/>
    <w:rsid w:val="00180B0F"/>
    <w:rsid w:val="00180CB8"/>
    <w:rsid w:val="00180FC7"/>
    <w:rsid w:val="00181068"/>
    <w:rsid w:val="0018107C"/>
    <w:rsid w:val="0018132A"/>
    <w:rsid w:val="001815B8"/>
    <w:rsid w:val="001815D8"/>
    <w:rsid w:val="00181889"/>
    <w:rsid w:val="00181A54"/>
    <w:rsid w:val="00181B97"/>
    <w:rsid w:val="00181BB5"/>
    <w:rsid w:val="00181DB3"/>
    <w:rsid w:val="00182215"/>
    <w:rsid w:val="0018248C"/>
    <w:rsid w:val="001825BF"/>
    <w:rsid w:val="001828E1"/>
    <w:rsid w:val="00182B94"/>
    <w:rsid w:val="00182BD6"/>
    <w:rsid w:val="001832CF"/>
    <w:rsid w:val="001832F4"/>
    <w:rsid w:val="0018345D"/>
    <w:rsid w:val="001835AD"/>
    <w:rsid w:val="001835D3"/>
    <w:rsid w:val="00183CA7"/>
    <w:rsid w:val="00183CB0"/>
    <w:rsid w:val="0018446B"/>
    <w:rsid w:val="0018457E"/>
    <w:rsid w:val="00184914"/>
    <w:rsid w:val="0018491E"/>
    <w:rsid w:val="00184C9D"/>
    <w:rsid w:val="00184E2A"/>
    <w:rsid w:val="00185451"/>
    <w:rsid w:val="00185824"/>
    <w:rsid w:val="001858AF"/>
    <w:rsid w:val="00185AD9"/>
    <w:rsid w:val="00185C66"/>
    <w:rsid w:val="001860E1"/>
    <w:rsid w:val="00186135"/>
    <w:rsid w:val="00186221"/>
    <w:rsid w:val="00186576"/>
    <w:rsid w:val="00186673"/>
    <w:rsid w:val="001866A4"/>
    <w:rsid w:val="001868D3"/>
    <w:rsid w:val="0018697C"/>
    <w:rsid w:val="00186A7F"/>
    <w:rsid w:val="00186DA2"/>
    <w:rsid w:val="00186ED1"/>
    <w:rsid w:val="00186F4E"/>
    <w:rsid w:val="00187031"/>
    <w:rsid w:val="00187283"/>
    <w:rsid w:val="00187410"/>
    <w:rsid w:val="0018742C"/>
    <w:rsid w:val="0018757D"/>
    <w:rsid w:val="00187919"/>
    <w:rsid w:val="00187C94"/>
    <w:rsid w:val="00187F32"/>
    <w:rsid w:val="001902F2"/>
    <w:rsid w:val="00190308"/>
    <w:rsid w:val="0019040A"/>
    <w:rsid w:val="00190524"/>
    <w:rsid w:val="001907C0"/>
    <w:rsid w:val="00190A5E"/>
    <w:rsid w:val="001912F1"/>
    <w:rsid w:val="001913FB"/>
    <w:rsid w:val="00191B60"/>
    <w:rsid w:val="00191C8F"/>
    <w:rsid w:val="00191E07"/>
    <w:rsid w:val="001924CB"/>
    <w:rsid w:val="001927AB"/>
    <w:rsid w:val="00193DAC"/>
    <w:rsid w:val="001946DF"/>
    <w:rsid w:val="00194B98"/>
    <w:rsid w:val="00194DB3"/>
    <w:rsid w:val="0019512D"/>
    <w:rsid w:val="00195216"/>
    <w:rsid w:val="001952F6"/>
    <w:rsid w:val="001954FD"/>
    <w:rsid w:val="00195560"/>
    <w:rsid w:val="00195AEF"/>
    <w:rsid w:val="00195BB9"/>
    <w:rsid w:val="001962E0"/>
    <w:rsid w:val="001963C9"/>
    <w:rsid w:val="00196777"/>
    <w:rsid w:val="00196AB0"/>
    <w:rsid w:val="00196FCD"/>
    <w:rsid w:val="0019745E"/>
    <w:rsid w:val="001977A0"/>
    <w:rsid w:val="001977EA"/>
    <w:rsid w:val="00197919"/>
    <w:rsid w:val="00197C59"/>
    <w:rsid w:val="001A0238"/>
    <w:rsid w:val="001A04C5"/>
    <w:rsid w:val="001A062B"/>
    <w:rsid w:val="001A074A"/>
    <w:rsid w:val="001A0A86"/>
    <w:rsid w:val="001A0B1B"/>
    <w:rsid w:val="001A0B8F"/>
    <w:rsid w:val="001A0D0F"/>
    <w:rsid w:val="001A0DFD"/>
    <w:rsid w:val="001A15D8"/>
    <w:rsid w:val="001A182A"/>
    <w:rsid w:val="001A1BE5"/>
    <w:rsid w:val="001A1C4F"/>
    <w:rsid w:val="001A240A"/>
    <w:rsid w:val="001A24BB"/>
    <w:rsid w:val="001A291D"/>
    <w:rsid w:val="001A2C8E"/>
    <w:rsid w:val="001A3054"/>
    <w:rsid w:val="001A3234"/>
    <w:rsid w:val="001A369C"/>
    <w:rsid w:val="001A3804"/>
    <w:rsid w:val="001A3D7C"/>
    <w:rsid w:val="001A3F08"/>
    <w:rsid w:val="001A4595"/>
    <w:rsid w:val="001A476C"/>
    <w:rsid w:val="001A4D18"/>
    <w:rsid w:val="001A4E6D"/>
    <w:rsid w:val="001A50EF"/>
    <w:rsid w:val="001A517D"/>
    <w:rsid w:val="001A51D8"/>
    <w:rsid w:val="001A5455"/>
    <w:rsid w:val="001A54A4"/>
    <w:rsid w:val="001A5655"/>
    <w:rsid w:val="001A5B41"/>
    <w:rsid w:val="001A5D65"/>
    <w:rsid w:val="001A5F77"/>
    <w:rsid w:val="001A5FB7"/>
    <w:rsid w:val="001A5FFC"/>
    <w:rsid w:val="001A612A"/>
    <w:rsid w:val="001A614E"/>
    <w:rsid w:val="001A61C9"/>
    <w:rsid w:val="001A62A2"/>
    <w:rsid w:val="001A638A"/>
    <w:rsid w:val="001A6747"/>
    <w:rsid w:val="001A6867"/>
    <w:rsid w:val="001A6C40"/>
    <w:rsid w:val="001A6C9D"/>
    <w:rsid w:val="001A6DEF"/>
    <w:rsid w:val="001A738C"/>
    <w:rsid w:val="001A7715"/>
    <w:rsid w:val="001A79CC"/>
    <w:rsid w:val="001B014A"/>
    <w:rsid w:val="001B0192"/>
    <w:rsid w:val="001B03AF"/>
    <w:rsid w:val="001B04BC"/>
    <w:rsid w:val="001B04D1"/>
    <w:rsid w:val="001B062B"/>
    <w:rsid w:val="001B0A2E"/>
    <w:rsid w:val="001B0B0E"/>
    <w:rsid w:val="001B0C0E"/>
    <w:rsid w:val="001B128C"/>
    <w:rsid w:val="001B15A2"/>
    <w:rsid w:val="001B1AB9"/>
    <w:rsid w:val="001B1D05"/>
    <w:rsid w:val="001B1FE0"/>
    <w:rsid w:val="001B22F0"/>
    <w:rsid w:val="001B2AEE"/>
    <w:rsid w:val="001B2C29"/>
    <w:rsid w:val="001B2CA6"/>
    <w:rsid w:val="001B2D79"/>
    <w:rsid w:val="001B2FBD"/>
    <w:rsid w:val="001B3115"/>
    <w:rsid w:val="001B3176"/>
    <w:rsid w:val="001B3521"/>
    <w:rsid w:val="001B38D0"/>
    <w:rsid w:val="001B3E68"/>
    <w:rsid w:val="001B3F46"/>
    <w:rsid w:val="001B41D5"/>
    <w:rsid w:val="001B45E8"/>
    <w:rsid w:val="001B46CA"/>
    <w:rsid w:val="001B4C32"/>
    <w:rsid w:val="001B58F3"/>
    <w:rsid w:val="001B5BB6"/>
    <w:rsid w:val="001B5BD5"/>
    <w:rsid w:val="001B5EA6"/>
    <w:rsid w:val="001B6086"/>
    <w:rsid w:val="001B617C"/>
    <w:rsid w:val="001B6648"/>
    <w:rsid w:val="001B6757"/>
    <w:rsid w:val="001B6D36"/>
    <w:rsid w:val="001B6D52"/>
    <w:rsid w:val="001B6ED8"/>
    <w:rsid w:val="001B7057"/>
    <w:rsid w:val="001B719A"/>
    <w:rsid w:val="001B7204"/>
    <w:rsid w:val="001B725F"/>
    <w:rsid w:val="001B72BA"/>
    <w:rsid w:val="001B75B2"/>
    <w:rsid w:val="001B76D7"/>
    <w:rsid w:val="001B7E85"/>
    <w:rsid w:val="001B7EAD"/>
    <w:rsid w:val="001C000A"/>
    <w:rsid w:val="001C0D8C"/>
    <w:rsid w:val="001C0F7D"/>
    <w:rsid w:val="001C119F"/>
    <w:rsid w:val="001C124A"/>
    <w:rsid w:val="001C145E"/>
    <w:rsid w:val="001C17AC"/>
    <w:rsid w:val="001C1841"/>
    <w:rsid w:val="001C1AB0"/>
    <w:rsid w:val="001C1B0A"/>
    <w:rsid w:val="001C1C10"/>
    <w:rsid w:val="001C1D37"/>
    <w:rsid w:val="001C1E9A"/>
    <w:rsid w:val="001C2028"/>
    <w:rsid w:val="001C2860"/>
    <w:rsid w:val="001C2969"/>
    <w:rsid w:val="001C2A53"/>
    <w:rsid w:val="001C2AE0"/>
    <w:rsid w:val="001C2CA9"/>
    <w:rsid w:val="001C2D7D"/>
    <w:rsid w:val="001C311F"/>
    <w:rsid w:val="001C3170"/>
    <w:rsid w:val="001C372F"/>
    <w:rsid w:val="001C3ABF"/>
    <w:rsid w:val="001C458F"/>
    <w:rsid w:val="001C4597"/>
    <w:rsid w:val="001C4638"/>
    <w:rsid w:val="001C46E1"/>
    <w:rsid w:val="001C497A"/>
    <w:rsid w:val="001C4E75"/>
    <w:rsid w:val="001C5011"/>
    <w:rsid w:val="001C53C5"/>
    <w:rsid w:val="001C55E6"/>
    <w:rsid w:val="001C5636"/>
    <w:rsid w:val="001C57B9"/>
    <w:rsid w:val="001C5A8C"/>
    <w:rsid w:val="001C5CB2"/>
    <w:rsid w:val="001C6269"/>
    <w:rsid w:val="001C6283"/>
    <w:rsid w:val="001C669E"/>
    <w:rsid w:val="001C671F"/>
    <w:rsid w:val="001C67B6"/>
    <w:rsid w:val="001C684A"/>
    <w:rsid w:val="001C6B30"/>
    <w:rsid w:val="001C6CC3"/>
    <w:rsid w:val="001C6D54"/>
    <w:rsid w:val="001C7286"/>
    <w:rsid w:val="001C746D"/>
    <w:rsid w:val="001C7541"/>
    <w:rsid w:val="001C769B"/>
    <w:rsid w:val="001C7DCC"/>
    <w:rsid w:val="001C7ED4"/>
    <w:rsid w:val="001C7F61"/>
    <w:rsid w:val="001D032F"/>
    <w:rsid w:val="001D0356"/>
    <w:rsid w:val="001D06D0"/>
    <w:rsid w:val="001D0924"/>
    <w:rsid w:val="001D0D06"/>
    <w:rsid w:val="001D0F19"/>
    <w:rsid w:val="001D121E"/>
    <w:rsid w:val="001D130C"/>
    <w:rsid w:val="001D139A"/>
    <w:rsid w:val="001D1551"/>
    <w:rsid w:val="001D19B0"/>
    <w:rsid w:val="001D1C3E"/>
    <w:rsid w:val="001D1C8F"/>
    <w:rsid w:val="001D1CBF"/>
    <w:rsid w:val="001D1EF2"/>
    <w:rsid w:val="001D2156"/>
    <w:rsid w:val="001D2794"/>
    <w:rsid w:val="001D2CD3"/>
    <w:rsid w:val="001D2DB5"/>
    <w:rsid w:val="001D31DA"/>
    <w:rsid w:val="001D325F"/>
    <w:rsid w:val="001D367B"/>
    <w:rsid w:val="001D3902"/>
    <w:rsid w:val="001D4023"/>
    <w:rsid w:val="001D40B8"/>
    <w:rsid w:val="001D446B"/>
    <w:rsid w:val="001D44B0"/>
    <w:rsid w:val="001D44FE"/>
    <w:rsid w:val="001D4651"/>
    <w:rsid w:val="001D46C3"/>
    <w:rsid w:val="001D49D3"/>
    <w:rsid w:val="001D4AEB"/>
    <w:rsid w:val="001D50D6"/>
    <w:rsid w:val="001D52DC"/>
    <w:rsid w:val="001D53E9"/>
    <w:rsid w:val="001D5665"/>
    <w:rsid w:val="001D56DD"/>
    <w:rsid w:val="001D5801"/>
    <w:rsid w:val="001D5827"/>
    <w:rsid w:val="001D593F"/>
    <w:rsid w:val="001D5EC1"/>
    <w:rsid w:val="001D61A8"/>
    <w:rsid w:val="001D6260"/>
    <w:rsid w:val="001D675F"/>
    <w:rsid w:val="001D6D63"/>
    <w:rsid w:val="001D6D8C"/>
    <w:rsid w:val="001D6E0F"/>
    <w:rsid w:val="001D7162"/>
    <w:rsid w:val="001D72D1"/>
    <w:rsid w:val="001D7431"/>
    <w:rsid w:val="001D7459"/>
    <w:rsid w:val="001D7532"/>
    <w:rsid w:val="001D799B"/>
    <w:rsid w:val="001D7C4D"/>
    <w:rsid w:val="001D7D02"/>
    <w:rsid w:val="001E02D6"/>
    <w:rsid w:val="001E0467"/>
    <w:rsid w:val="001E04F2"/>
    <w:rsid w:val="001E0524"/>
    <w:rsid w:val="001E0790"/>
    <w:rsid w:val="001E0C5A"/>
    <w:rsid w:val="001E0C8D"/>
    <w:rsid w:val="001E10F4"/>
    <w:rsid w:val="001E1CA3"/>
    <w:rsid w:val="001E1E36"/>
    <w:rsid w:val="001E2325"/>
    <w:rsid w:val="001E235E"/>
    <w:rsid w:val="001E26FA"/>
    <w:rsid w:val="001E270F"/>
    <w:rsid w:val="001E29A0"/>
    <w:rsid w:val="001E323F"/>
    <w:rsid w:val="001E3A74"/>
    <w:rsid w:val="001E3EA1"/>
    <w:rsid w:val="001E42DB"/>
    <w:rsid w:val="001E4369"/>
    <w:rsid w:val="001E4623"/>
    <w:rsid w:val="001E469F"/>
    <w:rsid w:val="001E4AD3"/>
    <w:rsid w:val="001E4B56"/>
    <w:rsid w:val="001E4E46"/>
    <w:rsid w:val="001E4E70"/>
    <w:rsid w:val="001E516B"/>
    <w:rsid w:val="001E5CC4"/>
    <w:rsid w:val="001E6225"/>
    <w:rsid w:val="001E62E4"/>
    <w:rsid w:val="001E6627"/>
    <w:rsid w:val="001E673E"/>
    <w:rsid w:val="001E73BA"/>
    <w:rsid w:val="001E74BF"/>
    <w:rsid w:val="001E7AF5"/>
    <w:rsid w:val="001E7DAA"/>
    <w:rsid w:val="001E7F25"/>
    <w:rsid w:val="001F0313"/>
    <w:rsid w:val="001F0336"/>
    <w:rsid w:val="001F053C"/>
    <w:rsid w:val="001F0548"/>
    <w:rsid w:val="001F05B4"/>
    <w:rsid w:val="001F0F10"/>
    <w:rsid w:val="001F125E"/>
    <w:rsid w:val="001F204D"/>
    <w:rsid w:val="001F2168"/>
    <w:rsid w:val="001F2176"/>
    <w:rsid w:val="001F21C0"/>
    <w:rsid w:val="001F2368"/>
    <w:rsid w:val="001F2435"/>
    <w:rsid w:val="001F2766"/>
    <w:rsid w:val="001F2F97"/>
    <w:rsid w:val="001F3418"/>
    <w:rsid w:val="001F3536"/>
    <w:rsid w:val="001F36E3"/>
    <w:rsid w:val="001F39D0"/>
    <w:rsid w:val="001F3BBA"/>
    <w:rsid w:val="001F3D5C"/>
    <w:rsid w:val="001F414A"/>
    <w:rsid w:val="001F41B9"/>
    <w:rsid w:val="001F41C6"/>
    <w:rsid w:val="001F44C2"/>
    <w:rsid w:val="001F471E"/>
    <w:rsid w:val="001F4847"/>
    <w:rsid w:val="001F48F7"/>
    <w:rsid w:val="001F4C71"/>
    <w:rsid w:val="001F4FF7"/>
    <w:rsid w:val="001F5042"/>
    <w:rsid w:val="001F52E8"/>
    <w:rsid w:val="001F5430"/>
    <w:rsid w:val="001F5459"/>
    <w:rsid w:val="001F5BCD"/>
    <w:rsid w:val="001F5F22"/>
    <w:rsid w:val="001F604A"/>
    <w:rsid w:val="001F60AA"/>
    <w:rsid w:val="001F6443"/>
    <w:rsid w:val="001F65D2"/>
    <w:rsid w:val="001F6663"/>
    <w:rsid w:val="001F6D9F"/>
    <w:rsid w:val="001F7316"/>
    <w:rsid w:val="001F73B8"/>
    <w:rsid w:val="001F77B5"/>
    <w:rsid w:val="001F7EEE"/>
    <w:rsid w:val="002000EE"/>
    <w:rsid w:val="00200212"/>
    <w:rsid w:val="00200299"/>
    <w:rsid w:val="002002B0"/>
    <w:rsid w:val="0020064D"/>
    <w:rsid w:val="0020098C"/>
    <w:rsid w:val="00200D6C"/>
    <w:rsid w:val="0020103F"/>
    <w:rsid w:val="002010A6"/>
    <w:rsid w:val="0020158F"/>
    <w:rsid w:val="0020197D"/>
    <w:rsid w:val="00201AC4"/>
    <w:rsid w:val="00201B68"/>
    <w:rsid w:val="002020BC"/>
    <w:rsid w:val="0020225B"/>
    <w:rsid w:val="002023C8"/>
    <w:rsid w:val="00202582"/>
    <w:rsid w:val="0020269A"/>
    <w:rsid w:val="0020297B"/>
    <w:rsid w:val="00202B37"/>
    <w:rsid w:val="00202C20"/>
    <w:rsid w:val="00202D78"/>
    <w:rsid w:val="00203449"/>
    <w:rsid w:val="00203B9C"/>
    <w:rsid w:val="00203DE5"/>
    <w:rsid w:val="00203E81"/>
    <w:rsid w:val="00204292"/>
    <w:rsid w:val="0020431C"/>
    <w:rsid w:val="0020432F"/>
    <w:rsid w:val="00204376"/>
    <w:rsid w:val="002045F3"/>
    <w:rsid w:val="00204612"/>
    <w:rsid w:val="00204785"/>
    <w:rsid w:val="002047E6"/>
    <w:rsid w:val="00204868"/>
    <w:rsid w:val="0020489B"/>
    <w:rsid w:val="00204E09"/>
    <w:rsid w:val="00204F89"/>
    <w:rsid w:val="00205003"/>
    <w:rsid w:val="002053E4"/>
    <w:rsid w:val="002058A2"/>
    <w:rsid w:val="002058BA"/>
    <w:rsid w:val="00205C28"/>
    <w:rsid w:val="00206350"/>
    <w:rsid w:val="00206359"/>
    <w:rsid w:val="00206412"/>
    <w:rsid w:val="0020666C"/>
    <w:rsid w:val="00206CFE"/>
    <w:rsid w:val="00206E04"/>
    <w:rsid w:val="002071B1"/>
    <w:rsid w:val="0020739F"/>
    <w:rsid w:val="002074D5"/>
    <w:rsid w:val="00207909"/>
    <w:rsid w:val="00207B03"/>
    <w:rsid w:val="00210201"/>
    <w:rsid w:val="0021023F"/>
    <w:rsid w:val="0021037E"/>
    <w:rsid w:val="0021070B"/>
    <w:rsid w:val="00210896"/>
    <w:rsid w:val="00210E3F"/>
    <w:rsid w:val="002110A7"/>
    <w:rsid w:val="002112A6"/>
    <w:rsid w:val="0021131D"/>
    <w:rsid w:val="00211597"/>
    <w:rsid w:val="00211782"/>
    <w:rsid w:val="00211A38"/>
    <w:rsid w:val="00211DEF"/>
    <w:rsid w:val="00211F1C"/>
    <w:rsid w:val="00211F4C"/>
    <w:rsid w:val="00211FFF"/>
    <w:rsid w:val="00212235"/>
    <w:rsid w:val="00212627"/>
    <w:rsid w:val="00212809"/>
    <w:rsid w:val="00212DC5"/>
    <w:rsid w:val="00213270"/>
    <w:rsid w:val="002137FD"/>
    <w:rsid w:val="00213CB6"/>
    <w:rsid w:val="00213D3D"/>
    <w:rsid w:val="00213E6C"/>
    <w:rsid w:val="00213E83"/>
    <w:rsid w:val="002141C5"/>
    <w:rsid w:val="002141FE"/>
    <w:rsid w:val="0021436B"/>
    <w:rsid w:val="00214433"/>
    <w:rsid w:val="002146AF"/>
    <w:rsid w:val="00214CB7"/>
    <w:rsid w:val="00214D51"/>
    <w:rsid w:val="00214F46"/>
    <w:rsid w:val="00214FBB"/>
    <w:rsid w:val="00214FF4"/>
    <w:rsid w:val="002153C7"/>
    <w:rsid w:val="002155EE"/>
    <w:rsid w:val="0021561E"/>
    <w:rsid w:val="00215DEF"/>
    <w:rsid w:val="00215F41"/>
    <w:rsid w:val="002162DC"/>
    <w:rsid w:val="002163F9"/>
    <w:rsid w:val="0021699F"/>
    <w:rsid w:val="00216D05"/>
    <w:rsid w:val="00216F43"/>
    <w:rsid w:val="00217387"/>
    <w:rsid w:val="002176E4"/>
    <w:rsid w:val="0021777D"/>
    <w:rsid w:val="00217A8E"/>
    <w:rsid w:val="00217CAE"/>
    <w:rsid w:val="00217E2E"/>
    <w:rsid w:val="00220331"/>
    <w:rsid w:val="002203EA"/>
    <w:rsid w:val="00220648"/>
    <w:rsid w:val="002206AA"/>
    <w:rsid w:val="002209A9"/>
    <w:rsid w:val="00221236"/>
    <w:rsid w:val="00221259"/>
    <w:rsid w:val="002218CB"/>
    <w:rsid w:val="0022226C"/>
    <w:rsid w:val="0022234A"/>
    <w:rsid w:val="002225A7"/>
    <w:rsid w:val="0022267A"/>
    <w:rsid w:val="0022295C"/>
    <w:rsid w:val="00222B4A"/>
    <w:rsid w:val="00222C9B"/>
    <w:rsid w:val="00222CCD"/>
    <w:rsid w:val="00222EDF"/>
    <w:rsid w:val="002232E8"/>
    <w:rsid w:val="002234D1"/>
    <w:rsid w:val="002235E0"/>
    <w:rsid w:val="00223689"/>
    <w:rsid w:val="002237BB"/>
    <w:rsid w:val="00224075"/>
    <w:rsid w:val="0022418E"/>
    <w:rsid w:val="00224220"/>
    <w:rsid w:val="002245C3"/>
    <w:rsid w:val="002246C3"/>
    <w:rsid w:val="002248BA"/>
    <w:rsid w:val="00224C3A"/>
    <w:rsid w:val="00224DAB"/>
    <w:rsid w:val="00224F87"/>
    <w:rsid w:val="0022559B"/>
    <w:rsid w:val="002255CB"/>
    <w:rsid w:val="0022563F"/>
    <w:rsid w:val="00225C2F"/>
    <w:rsid w:val="00225E49"/>
    <w:rsid w:val="00226211"/>
    <w:rsid w:val="0022668B"/>
    <w:rsid w:val="002266CE"/>
    <w:rsid w:val="0022682D"/>
    <w:rsid w:val="00226A9E"/>
    <w:rsid w:val="00226EDB"/>
    <w:rsid w:val="00226F39"/>
    <w:rsid w:val="00227311"/>
    <w:rsid w:val="00227735"/>
    <w:rsid w:val="00227C48"/>
    <w:rsid w:val="00227CB7"/>
    <w:rsid w:val="002303E4"/>
    <w:rsid w:val="002305D1"/>
    <w:rsid w:val="002305DC"/>
    <w:rsid w:val="002308EE"/>
    <w:rsid w:val="00230D1A"/>
    <w:rsid w:val="00230E4B"/>
    <w:rsid w:val="00230EEA"/>
    <w:rsid w:val="0023112C"/>
    <w:rsid w:val="0023133C"/>
    <w:rsid w:val="002314C7"/>
    <w:rsid w:val="002321F7"/>
    <w:rsid w:val="002325E4"/>
    <w:rsid w:val="002326CB"/>
    <w:rsid w:val="0023270A"/>
    <w:rsid w:val="00232BB0"/>
    <w:rsid w:val="00232BF8"/>
    <w:rsid w:val="00232E6E"/>
    <w:rsid w:val="00232F9E"/>
    <w:rsid w:val="0023322D"/>
    <w:rsid w:val="00233635"/>
    <w:rsid w:val="00233760"/>
    <w:rsid w:val="00233ACB"/>
    <w:rsid w:val="00234035"/>
    <w:rsid w:val="0023424A"/>
    <w:rsid w:val="0023432E"/>
    <w:rsid w:val="00234768"/>
    <w:rsid w:val="00234C04"/>
    <w:rsid w:val="00234DB7"/>
    <w:rsid w:val="00234FAC"/>
    <w:rsid w:val="0023504C"/>
    <w:rsid w:val="00235078"/>
    <w:rsid w:val="00235286"/>
    <w:rsid w:val="00235319"/>
    <w:rsid w:val="0023534D"/>
    <w:rsid w:val="002357ED"/>
    <w:rsid w:val="00235917"/>
    <w:rsid w:val="002359FA"/>
    <w:rsid w:val="00235AC8"/>
    <w:rsid w:val="00235C0A"/>
    <w:rsid w:val="00235DEA"/>
    <w:rsid w:val="00235DF7"/>
    <w:rsid w:val="00236132"/>
    <w:rsid w:val="002363BE"/>
    <w:rsid w:val="002363DD"/>
    <w:rsid w:val="002364CD"/>
    <w:rsid w:val="00236910"/>
    <w:rsid w:val="002369CA"/>
    <w:rsid w:val="00236DDF"/>
    <w:rsid w:val="00236F4C"/>
    <w:rsid w:val="0023729B"/>
    <w:rsid w:val="002373C8"/>
    <w:rsid w:val="002374FC"/>
    <w:rsid w:val="002376AD"/>
    <w:rsid w:val="00237A55"/>
    <w:rsid w:val="00237E3F"/>
    <w:rsid w:val="002401DE"/>
    <w:rsid w:val="002402CE"/>
    <w:rsid w:val="002403CB"/>
    <w:rsid w:val="002407F7"/>
    <w:rsid w:val="00240A55"/>
    <w:rsid w:val="00240C86"/>
    <w:rsid w:val="00240EF0"/>
    <w:rsid w:val="00240F66"/>
    <w:rsid w:val="00241086"/>
    <w:rsid w:val="00241537"/>
    <w:rsid w:val="002416AA"/>
    <w:rsid w:val="00241709"/>
    <w:rsid w:val="002417EA"/>
    <w:rsid w:val="00241956"/>
    <w:rsid w:val="00241A25"/>
    <w:rsid w:val="00241E1D"/>
    <w:rsid w:val="00241F6C"/>
    <w:rsid w:val="0024221E"/>
    <w:rsid w:val="00242531"/>
    <w:rsid w:val="00242905"/>
    <w:rsid w:val="0024290E"/>
    <w:rsid w:val="00242EC4"/>
    <w:rsid w:val="00243100"/>
    <w:rsid w:val="00243183"/>
    <w:rsid w:val="002431CC"/>
    <w:rsid w:val="002435A2"/>
    <w:rsid w:val="002436BB"/>
    <w:rsid w:val="00243A11"/>
    <w:rsid w:val="00243A83"/>
    <w:rsid w:val="00243AE4"/>
    <w:rsid w:val="00243E90"/>
    <w:rsid w:val="00244675"/>
    <w:rsid w:val="00244A65"/>
    <w:rsid w:val="00244C79"/>
    <w:rsid w:val="00244DB2"/>
    <w:rsid w:val="00245344"/>
    <w:rsid w:val="002454F4"/>
    <w:rsid w:val="0024595E"/>
    <w:rsid w:val="00245977"/>
    <w:rsid w:val="00245D1D"/>
    <w:rsid w:val="00245F30"/>
    <w:rsid w:val="002462B7"/>
    <w:rsid w:val="00246402"/>
    <w:rsid w:val="0024673C"/>
    <w:rsid w:val="00246763"/>
    <w:rsid w:val="00247008"/>
    <w:rsid w:val="00247020"/>
    <w:rsid w:val="00247053"/>
    <w:rsid w:val="002475DC"/>
    <w:rsid w:val="00247686"/>
    <w:rsid w:val="002476B4"/>
    <w:rsid w:val="00247BEF"/>
    <w:rsid w:val="00247D4F"/>
    <w:rsid w:val="00247EDD"/>
    <w:rsid w:val="00250128"/>
    <w:rsid w:val="002504CB"/>
    <w:rsid w:val="0025066C"/>
    <w:rsid w:val="002507EC"/>
    <w:rsid w:val="002507FD"/>
    <w:rsid w:val="00250A0E"/>
    <w:rsid w:val="00250D0C"/>
    <w:rsid w:val="00251283"/>
    <w:rsid w:val="002512E0"/>
    <w:rsid w:val="002513AE"/>
    <w:rsid w:val="002515E0"/>
    <w:rsid w:val="00251907"/>
    <w:rsid w:val="00251B56"/>
    <w:rsid w:val="00251BE4"/>
    <w:rsid w:val="00251E82"/>
    <w:rsid w:val="00251F76"/>
    <w:rsid w:val="00252024"/>
    <w:rsid w:val="00252AD1"/>
    <w:rsid w:val="00252C5C"/>
    <w:rsid w:val="00252EC0"/>
    <w:rsid w:val="002534E9"/>
    <w:rsid w:val="002538F3"/>
    <w:rsid w:val="002539EE"/>
    <w:rsid w:val="00253BF9"/>
    <w:rsid w:val="00254403"/>
    <w:rsid w:val="0025463B"/>
    <w:rsid w:val="00254B27"/>
    <w:rsid w:val="00255369"/>
    <w:rsid w:val="002559FE"/>
    <w:rsid w:val="00255AE9"/>
    <w:rsid w:val="00255B1F"/>
    <w:rsid w:val="00255FCC"/>
    <w:rsid w:val="0025601D"/>
    <w:rsid w:val="0025607E"/>
    <w:rsid w:val="00256319"/>
    <w:rsid w:val="0025645F"/>
    <w:rsid w:val="002564D0"/>
    <w:rsid w:val="0025654E"/>
    <w:rsid w:val="00256592"/>
    <w:rsid w:val="00256654"/>
    <w:rsid w:val="002568BE"/>
    <w:rsid w:val="00256987"/>
    <w:rsid w:val="00256B55"/>
    <w:rsid w:val="00256D81"/>
    <w:rsid w:val="00256DB7"/>
    <w:rsid w:val="00257210"/>
    <w:rsid w:val="002575AE"/>
    <w:rsid w:val="00257755"/>
    <w:rsid w:val="0025797A"/>
    <w:rsid w:val="00257B2A"/>
    <w:rsid w:val="00257C2B"/>
    <w:rsid w:val="00260470"/>
    <w:rsid w:val="002605B8"/>
    <w:rsid w:val="00260928"/>
    <w:rsid w:val="00260977"/>
    <w:rsid w:val="00260DDB"/>
    <w:rsid w:val="002611BC"/>
    <w:rsid w:val="00261631"/>
    <w:rsid w:val="00261993"/>
    <w:rsid w:val="002619E8"/>
    <w:rsid w:val="00261D3C"/>
    <w:rsid w:val="002623DC"/>
    <w:rsid w:val="00262498"/>
    <w:rsid w:val="0026253F"/>
    <w:rsid w:val="002625D7"/>
    <w:rsid w:val="00262914"/>
    <w:rsid w:val="00262915"/>
    <w:rsid w:val="00262994"/>
    <w:rsid w:val="00262A48"/>
    <w:rsid w:val="00262AA6"/>
    <w:rsid w:val="00262E54"/>
    <w:rsid w:val="002631E4"/>
    <w:rsid w:val="00263247"/>
    <w:rsid w:val="002632C0"/>
    <w:rsid w:val="00263486"/>
    <w:rsid w:val="002634F4"/>
    <w:rsid w:val="0026358F"/>
    <w:rsid w:val="00263810"/>
    <w:rsid w:val="00263921"/>
    <w:rsid w:val="00263CE2"/>
    <w:rsid w:val="002641F6"/>
    <w:rsid w:val="00264542"/>
    <w:rsid w:val="00264760"/>
    <w:rsid w:val="00264D88"/>
    <w:rsid w:val="0026576E"/>
    <w:rsid w:val="00265805"/>
    <w:rsid w:val="00265903"/>
    <w:rsid w:val="00265928"/>
    <w:rsid w:val="00265966"/>
    <w:rsid w:val="00265F7E"/>
    <w:rsid w:val="00266090"/>
    <w:rsid w:val="002662C1"/>
    <w:rsid w:val="00266B1B"/>
    <w:rsid w:val="00266B5F"/>
    <w:rsid w:val="00266C24"/>
    <w:rsid w:val="00266E63"/>
    <w:rsid w:val="00266F33"/>
    <w:rsid w:val="00266FC4"/>
    <w:rsid w:val="00266FE3"/>
    <w:rsid w:val="002670E9"/>
    <w:rsid w:val="00267301"/>
    <w:rsid w:val="00267D33"/>
    <w:rsid w:val="00267EF1"/>
    <w:rsid w:val="0027004C"/>
    <w:rsid w:val="00270494"/>
    <w:rsid w:val="00270A33"/>
    <w:rsid w:val="00270AA6"/>
    <w:rsid w:val="0027106D"/>
    <w:rsid w:val="0027111D"/>
    <w:rsid w:val="00271228"/>
    <w:rsid w:val="0027159F"/>
    <w:rsid w:val="00271D93"/>
    <w:rsid w:val="0027247E"/>
    <w:rsid w:val="00272752"/>
    <w:rsid w:val="0027289C"/>
    <w:rsid w:val="0027290B"/>
    <w:rsid w:val="00272910"/>
    <w:rsid w:val="00272AC4"/>
    <w:rsid w:val="00272D16"/>
    <w:rsid w:val="00272DC5"/>
    <w:rsid w:val="0027314F"/>
    <w:rsid w:val="00273302"/>
    <w:rsid w:val="00273541"/>
    <w:rsid w:val="00273763"/>
    <w:rsid w:val="00273823"/>
    <w:rsid w:val="00273A4E"/>
    <w:rsid w:val="00273B2C"/>
    <w:rsid w:val="00273ED9"/>
    <w:rsid w:val="00274343"/>
    <w:rsid w:val="002743C0"/>
    <w:rsid w:val="00274464"/>
    <w:rsid w:val="002744E4"/>
    <w:rsid w:val="0027469D"/>
    <w:rsid w:val="002749C8"/>
    <w:rsid w:val="00274B61"/>
    <w:rsid w:val="00275510"/>
    <w:rsid w:val="0027555B"/>
    <w:rsid w:val="00275801"/>
    <w:rsid w:val="00275929"/>
    <w:rsid w:val="00275C89"/>
    <w:rsid w:val="00275CC3"/>
    <w:rsid w:val="002762D8"/>
    <w:rsid w:val="0027643D"/>
    <w:rsid w:val="0027657C"/>
    <w:rsid w:val="002765EC"/>
    <w:rsid w:val="002765F5"/>
    <w:rsid w:val="0027668F"/>
    <w:rsid w:val="0027681A"/>
    <w:rsid w:val="00276BEE"/>
    <w:rsid w:val="00276D43"/>
    <w:rsid w:val="00276FA4"/>
    <w:rsid w:val="0027734C"/>
    <w:rsid w:val="002778C6"/>
    <w:rsid w:val="002779A9"/>
    <w:rsid w:val="00277CA4"/>
    <w:rsid w:val="00277CE1"/>
    <w:rsid w:val="00277DF8"/>
    <w:rsid w:val="002804A3"/>
    <w:rsid w:val="00280D2D"/>
    <w:rsid w:val="00280DE1"/>
    <w:rsid w:val="002811D8"/>
    <w:rsid w:val="00281347"/>
    <w:rsid w:val="00281374"/>
    <w:rsid w:val="00281C1E"/>
    <w:rsid w:val="00281DE8"/>
    <w:rsid w:val="00282DAE"/>
    <w:rsid w:val="002830CD"/>
    <w:rsid w:val="00283105"/>
    <w:rsid w:val="00283267"/>
    <w:rsid w:val="00283449"/>
    <w:rsid w:val="002835DF"/>
    <w:rsid w:val="00283787"/>
    <w:rsid w:val="002838EF"/>
    <w:rsid w:val="00283CEA"/>
    <w:rsid w:val="00283E62"/>
    <w:rsid w:val="00283EE7"/>
    <w:rsid w:val="00283F29"/>
    <w:rsid w:val="002842D6"/>
    <w:rsid w:val="002843ED"/>
    <w:rsid w:val="002844ED"/>
    <w:rsid w:val="00284693"/>
    <w:rsid w:val="0028470D"/>
    <w:rsid w:val="00284D7E"/>
    <w:rsid w:val="002850D3"/>
    <w:rsid w:val="00285129"/>
    <w:rsid w:val="002852AD"/>
    <w:rsid w:val="0028539D"/>
    <w:rsid w:val="0028544F"/>
    <w:rsid w:val="00285876"/>
    <w:rsid w:val="002859FE"/>
    <w:rsid w:val="00285D10"/>
    <w:rsid w:val="00285E10"/>
    <w:rsid w:val="002860F4"/>
    <w:rsid w:val="002863BE"/>
    <w:rsid w:val="002866F6"/>
    <w:rsid w:val="00286761"/>
    <w:rsid w:val="00286A53"/>
    <w:rsid w:val="00286C3C"/>
    <w:rsid w:val="00286E42"/>
    <w:rsid w:val="00286FCF"/>
    <w:rsid w:val="002873B9"/>
    <w:rsid w:val="0028756D"/>
    <w:rsid w:val="0028761D"/>
    <w:rsid w:val="00287AD2"/>
    <w:rsid w:val="00287B26"/>
    <w:rsid w:val="0029056A"/>
    <w:rsid w:val="002905A0"/>
    <w:rsid w:val="002905C3"/>
    <w:rsid w:val="002907CB"/>
    <w:rsid w:val="00290812"/>
    <w:rsid w:val="00290C22"/>
    <w:rsid w:val="00290C45"/>
    <w:rsid w:val="00290CF9"/>
    <w:rsid w:val="00291322"/>
    <w:rsid w:val="00291464"/>
    <w:rsid w:val="00291E9E"/>
    <w:rsid w:val="0029237A"/>
    <w:rsid w:val="002925E9"/>
    <w:rsid w:val="002928D2"/>
    <w:rsid w:val="0029290A"/>
    <w:rsid w:val="00292AC9"/>
    <w:rsid w:val="00292EEC"/>
    <w:rsid w:val="002939CB"/>
    <w:rsid w:val="00293A98"/>
    <w:rsid w:val="00293AA6"/>
    <w:rsid w:val="002941BC"/>
    <w:rsid w:val="0029455C"/>
    <w:rsid w:val="00294961"/>
    <w:rsid w:val="00294FEC"/>
    <w:rsid w:val="0029533F"/>
    <w:rsid w:val="002955C8"/>
    <w:rsid w:val="00295691"/>
    <w:rsid w:val="00295D6E"/>
    <w:rsid w:val="00295E37"/>
    <w:rsid w:val="00295FAA"/>
    <w:rsid w:val="00296491"/>
    <w:rsid w:val="00296AA0"/>
    <w:rsid w:val="00296B19"/>
    <w:rsid w:val="00296C39"/>
    <w:rsid w:val="00296C7B"/>
    <w:rsid w:val="00296D4C"/>
    <w:rsid w:val="00296EA8"/>
    <w:rsid w:val="002972E2"/>
    <w:rsid w:val="00297E08"/>
    <w:rsid w:val="00297E77"/>
    <w:rsid w:val="00297F18"/>
    <w:rsid w:val="002A0099"/>
    <w:rsid w:val="002A0231"/>
    <w:rsid w:val="002A02C6"/>
    <w:rsid w:val="002A0390"/>
    <w:rsid w:val="002A03F9"/>
    <w:rsid w:val="002A04C1"/>
    <w:rsid w:val="002A04FF"/>
    <w:rsid w:val="002A0A05"/>
    <w:rsid w:val="002A0B3D"/>
    <w:rsid w:val="002A0FBA"/>
    <w:rsid w:val="002A11F3"/>
    <w:rsid w:val="002A12D7"/>
    <w:rsid w:val="002A1377"/>
    <w:rsid w:val="002A1AB0"/>
    <w:rsid w:val="002A1C3A"/>
    <w:rsid w:val="002A1D03"/>
    <w:rsid w:val="002A1F7F"/>
    <w:rsid w:val="002A1F8A"/>
    <w:rsid w:val="002A219D"/>
    <w:rsid w:val="002A21B0"/>
    <w:rsid w:val="002A22B4"/>
    <w:rsid w:val="002A22B7"/>
    <w:rsid w:val="002A25FE"/>
    <w:rsid w:val="002A2A87"/>
    <w:rsid w:val="002A2C72"/>
    <w:rsid w:val="002A2CEE"/>
    <w:rsid w:val="002A3071"/>
    <w:rsid w:val="002A30AA"/>
    <w:rsid w:val="002A3397"/>
    <w:rsid w:val="002A3471"/>
    <w:rsid w:val="002A3739"/>
    <w:rsid w:val="002A374F"/>
    <w:rsid w:val="002A37AB"/>
    <w:rsid w:val="002A3844"/>
    <w:rsid w:val="002A3B29"/>
    <w:rsid w:val="002A401D"/>
    <w:rsid w:val="002A412D"/>
    <w:rsid w:val="002A44D6"/>
    <w:rsid w:val="002A4A3B"/>
    <w:rsid w:val="002A4DB3"/>
    <w:rsid w:val="002A4E86"/>
    <w:rsid w:val="002A5437"/>
    <w:rsid w:val="002A57E9"/>
    <w:rsid w:val="002A59C6"/>
    <w:rsid w:val="002A5B57"/>
    <w:rsid w:val="002A5B5B"/>
    <w:rsid w:val="002A5B6C"/>
    <w:rsid w:val="002A5D16"/>
    <w:rsid w:val="002A5DAA"/>
    <w:rsid w:val="002A6118"/>
    <w:rsid w:val="002A6155"/>
    <w:rsid w:val="002A6476"/>
    <w:rsid w:val="002A6588"/>
    <w:rsid w:val="002A6795"/>
    <w:rsid w:val="002A6918"/>
    <w:rsid w:val="002A69CC"/>
    <w:rsid w:val="002A6BBC"/>
    <w:rsid w:val="002A6BCD"/>
    <w:rsid w:val="002A6FB4"/>
    <w:rsid w:val="002A6FB7"/>
    <w:rsid w:val="002A70D6"/>
    <w:rsid w:val="002A71C5"/>
    <w:rsid w:val="002A72ED"/>
    <w:rsid w:val="002A76C5"/>
    <w:rsid w:val="002A7747"/>
    <w:rsid w:val="002A78B0"/>
    <w:rsid w:val="002A7DD5"/>
    <w:rsid w:val="002A7DD8"/>
    <w:rsid w:val="002B002B"/>
    <w:rsid w:val="002B0236"/>
    <w:rsid w:val="002B0293"/>
    <w:rsid w:val="002B02CA"/>
    <w:rsid w:val="002B038D"/>
    <w:rsid w:val="002B062D"/>
    <w:rsid w:val="002B0630"/>
    <w:rsid w:val="002B065B"/>
    <w:rsid w:val="002B08B3"/>
    <w:rsid w:val="002B1196"/>
    <w:rsid w:val="002B11D3"/>
    <w:rsid w:val="002B122A"/>
    <w:rsid w:val="002B1A73"/>
    <w:rsid w:val="002B1CFA"/>
    <w:rsid w:val="002B1DC6"/>
    <w:rsid w:val="002B20B8"/>
    <w:rsid w:val="002B20BB"/>
    <w:rsid w:val="002B21B6"/>
    <w:rsid w:val="002B25D4"/>
    <w:rsid w:val="002B2758"/>
    <w:rsid w:val="002B2C0B"/>
    <w:rsid w:val="002B2D55"/>
    <w:rsid w:val="002B2D81"/>
    <w:rsid w:val="002B2E1D"/>
    <w:rsid w:val="002B2FD4"/>
    <w:rsid w:val="002B321E"/>
    <w:rsid w:val="002B3431"/>
    <w:rsid w:val="002B368B"/>
    <w:rsid w:val="002B3DBE"/>
    <w:rsid w:val="002B4106"/>
    <w:rsid w:val="002B4296"/>
    <w:rsid w:val="002B42B6"/>
    <w:rsid w:val="002B42CA"/>
    <w:rsid w:val="002B47B8"/>
    <w:rsid w:val="002B4C60"/>
    <w:rsid w:val="002B4C94"/>
    <w:rsid w:val="002B4DF2"/>
    <w:rsid w:val="002B505D"/>
    <w:rsid w:val="002B55A8"/>
    <w:rsid w:val="002B55C3"/>
    <w:rsid w:val="002B57A7"/>
    <w:rsid w:val="002B57F4"/>
    <w:rsid w:val="002B5BFF"/>
    <w:rsid w:val="002B5D28"/>
    <w:rsid w:val="002B5F9A"/>
    <w:rsid w:val="002B5FC9"/>
    <w:rsid w:val="002B6080"/>
    <w:rsid w:val="002B6296"/>
    <w:rsid w:val="002B6DFD"/>
    <w:rsid w:val="002B725B"/>
    <w:rsid w:val="002B75BA"/>
    <w:rsid w:val="002B79FE"/>
    <w:rsid w:val="002C0244"/>
    <w:rsid w:val="002C024F"/>
    <w:rsid w:val="002C0323"/>
    <w:rsid w:val="002C040B"/>
    <w:rsid w:val="002C0B9B"/>
    <w:rsid w:val="002C10E6"/>
    <w:rsid w:val="002C159A"/>
    <w:rsid w:val="002C164F"/>
    <w:rsid w:val="002C169E"/>
    <w:rsid w:val="002C193F"/>
    <w:rsid w:val="002C195E"/>
    <w:rsid w:val="002C2093"/>
    <w:rsid w:val="002C2175"/>
    <w:rsid w:val="002C239B"/>
    <w:rsid w:val="002C24FC"/>
    <w:rsid w:val="002C2527"/>
    <w:rsid w:val="002C29B2"/>
    <w:rsid w:val="002C2AA5"/>
    <w:rsid w:val="002C2C08"/>
    <w:rsid w:val="002C2C77"/>
    <w:rsid w:val="002C3390"/>
    <w:rsid w:val="002C3D98"/>
    <w:rsid w:val="002C42B7"/>
    <w:rsid w:val="002C453B"/>
    <w:rsid w:val="002C4876"/>
    <w:rsid w:val="002C4A6B"/>
    <w:rsid w:val="002C4A97"/>
    <w:rsid w:val="002C4B4A"/>
    <w:rsid w:val="002C5040"/>
    <w:rsid w:val="002C52B2"/>
    <w:rsid w:val="002C5547"/>
    <w:rsid w:val="002C5913"/>
    <w:rsid w:val="002C5C0C"/>
    <w:rsid w:val="002C5D9E"/>
    <w:rsid w:val="002C5DFF"/>
    <w:rsid w:val="002C606D"/>
    <w:rsid w:val="002C60AB"/>
    <w:rsid w:val="002C6335"/>
    <w:rsid w:val="002C6550"/>
    <w:rsid w:val="002C65E4"/>
    <w:rsid w:val="002C65EE"/>
    <w:rsid w:val="002C6740"/>
    <w:rsid w:val="002C6958"/>
    <w:rsid w:val="002C6982"/>
    <w:rsid w:val="002C6DCE"/>
    <w:rsid w:val="002C711D"/>
    <w:rsid w:val="002C789C"/>
    <w:rsid w:val="002C79AF"/>
    <w:rsid w:val="002D074E"/>
    <w:rsid w:val="002D07A1"/>
    <w:rsid w:val="002D0A4F"/>
    <w:rsid w:val="002D0A6A"/>
    <w:rsid w:val="002D0B7D"/>
    <w:rsid w:val="002D0D18"/>
    <w:rsid w:val="002D0E9B"/>
    <w:rsid w:val="002D12BC"/>
    <w:rsid w:val="002D13DE"/>
    <w:rsid w:val="002D150A"/>
    <w:rsid w:val="002D19B1"/>
    <w:rsid w:val="002D1A50"/>
    <w:rsid w:val="002D1BBA"/>
    <w:rsid w:val="002D1F18"/>
    <w:rsid w:val="002D20FE"/>
    <w:rsid w:val="002D221D"/>
    <w:rsid w:val="002D2431"/>
    <w:rsid w:val="002D2437"/>
    <w:rsid w:val="002D272B"/>
    <w:rsid w:val="002D28CE"/>
    <w:rsid w:val="002D320F"/>
    <w:rsid w:val="002D322F"/>
    <w:rsid w:val="002D38CF"/>
    <w:rsid w:val="002D3B05"/>
    <w:rsid w:val="002D4037"/>
    <w:rsid w:val="002D413E"/>
    <w:rsid w:val="002D4553"/>
    <w:rsid w:val="002D49E7"/>
    <w:rsid w:val="002D4FA0"/>
    <w:rsid w:val="002D504D"/>
    <w:rsid w:val="002D515D"/>
    <w:rsid w:val="002D519D"/>
    <w:rsid w:val="002D53B0"/>
    <w:rsid w:val="002D5C27"/>
    <w:rsid w:val="002D60E8"/>
    <w:rsid w:val="002D6101"/>
    <w:rsid w:val="002D610B"/>
    <w:rsid w:val="002D66C7"/>
    <w:rsid w:val="002D6711"/>
    <w:rsid w:val="002D6A62"/>
    <w:rsid w:val="002D6D92"/>
    <w:rsid w:val="002D6E16"/>
    <w:rsid w:val="002D708B"/>
    <w:rsid w:val="002D70B5"/>
    <w:rsid w:val="002D753C"/>
    <w:rsid w:val="002D781E"/>
    <w:rsid w:val="002D7BE9"/>
    <w:rsid w:val="002D7D5C"/>
    <w:rsid w:val="002E0339"/>
    <w:rsid w:val="002E0347"/>
    <w:rsid w:val="002E03F4"/>
    <w:rsid w:val="002E04F8"/>
    <w:rsid w:val="002E0516"/>
    <w:rsid w:val="002E05C6"/>
    <w:rsid w:val="002E1104"/>
    <w:rsid w:val="002E1269"/>
    <w:rsid w:val="002E1736"/>
    <w:rsid w:val="002E2186"/>
    <w:rsid w:val="002E225A"/>
    <w:rsid w:val="002E230E"/>
    <w:rsid w:val="002E2D89"/>
    <w:rsid w:val="002E2DF0"/>
    <w:rsid w:val="002E2FEC"/>
    <w:rsid w:val="002E309E"/>
    <w:rsid w:val="002E331B"/>
    <w:rsid w:val="002E341C"/>
    <w:rsid w:val="002E361F"/>
    <w:rsid w:val="002E3983"/>
    <w:rsid w:val="002E3A42"/>
    <w:rsid w:val="002E3C69"/>
    <w:rsid w:val="002E3DC0"/>
    <w:rsid w:val="002E445B"/>
    <w:rsid w:val="002E4778"/>
    <w:rsid w:val="002E4823"/>
    <w:rsid w:val="002E4C5A"/>
    <w:rsid w:val="002E5119"/>
    <w:rsid w:val="002E560C"/>
    <w:rsid w:val="002E58BB"/>
    <w:rsid w:val="002E5932"/>
    <w:rsid w:val="002E6026"/>
    <w:rsid w:val="002E63B3"/>
    <w:rsid w:val="002E652C"/>
    <w:rsid w:val="002E67EC"/>
    <w:rsid w:val="002E6AA3"/>
    <w:rsid w:val="002E6E28"/>
    <w:rsid w:val="002E6EF5"/>
    <w:rsid w:val="002E7129"/>
    <w:rsid w:val="002E712E"/>
    <w:rsid w:val="002E734F"/>
    <w:rsid w:val="002E73E9"/>
    <w:rsid w:val="002E74C2"/>
    <w:rsid w:val="002E77AE"/>
    <w:rsid w:val="002E796C"/>
    <w:rsid w:val="002F0206"/>
    <w:rsid w:val="002F0283"/>
    <w:rsid w:val="002F03DE"/>
    <w:rsid w:val="002F063C"/>
    <w:rsid w:val="002F067D"/>
    <w:rsid w:val="002F07E2"/>
    <w:rsid w:val="002F0845"/>
    <w:rsid w:val="002F0A5E"/>
    <w:rsid w:val="002F0E5A"/>
    <w:rsid w:val="002F10FC"/>
    <w:rsid w:val="002F11E7"/>
    <w:rsid w:val="002F1355"/>
    <w:rsid w:val="002F1524"/>
    <w:rsid w:val="002F1657"/>
    <w:rsid w:val="002F1977"/>
    <w:rsid w:val="002F1F6C"/>
    <w:rsid w:val="002F2CCB"/>
    <w:rsid w:val="002F2E31"/>
    <w:rsid w:val="002F32D5"/>
    <w:rsid w:val="002F337A"/>
    <w:rsid w:val="002F3399"/>
    <w:rsid w:val="002F3485"/>
    <w:rsid w:val="002F3639"/>
    <w:rsid w:val="002F3691"/>
    <w:rsid w:val="002F3891"/>
    <w:rsid w:val="002F39AA"/>
    <w:rsid w:val="002F3F2C"/>
    <w:rsid w:val="002F4413"/>
    <w:rsid w:val="002F49B1"/>
    <w:rsid w:val="002F50C6"/>
    <w:rsid w:val="002F5244"/>
    <w:rsid w:val="002F54F8"/>
    <w:rsid w:val="002F5A21"/>
    <w:rsid w:val="002F5A49"/>
    <w:rsid w:val="002F5A56"/>
    <w:rsid w:val="002F5D71"/>
    <w:rsid w:val="002F6099"/>
    <w:rsid w:val="002F61F0"/>
    <w:rsid w:val="002F672A"/>
    <w:rsid w:val="002F6D25"/>
    <w:rsid w:val="002F6DD0"/>
    <w:rsid w:val="002F6EA1"/>
    <w:rsid w:val="002F7011"/>
    <w:rsid w:val="002F7032"/>
    <w:rsid w:val="002F70C7"/>
    <w:rsid w:val="002F71E3"/>
    <w:rsid w:val="002F760A"/>
    <w:rsid w:val="002F7707"/>
    <w:rsid w:val="002F7CF2"/>
    <w:rsid w:val="002F7D74"/>
    <w:rsid w:val="003004C8"/>
    <w:rsid w:val="0030069B"/>
    <w:rsid w:val="00300787"/>
    <w:rsid w:val="00300AAE"/>
    <w:rsid w:val="00300B18"/>
    <w:rsid w:val="0030123F"/>
    <w:rsid w:val="00301300"/>
    <w:rsid w:val="00301378"/>
    <w:rsid w:val="00301406"/>
    <w:rsid w:val="003014BE"/>
    <w:rsid w:val="003017A7"/>
    <w:rsid w:val="00301849"/>
    <w:rsid w:val="00301ACC"/>
    <w:rsid w:val="00301B3F"/>
    <w:rsid w:val="003023AB"/>
    <w:rsid w:val="003024A4"/>
    <w:rsid w:val="003025E7"/>
    <w:rsid w:val="003025FF"/>
    <w:rsid w:val="00302665"/>
    <w:rsid w:val="00302A39"/>
    <w:rsid w:val="00302B73"/>
    <w:rsid w:val="00302E4E"/>
    <w:rsid w:val="00302F06"/>
    <w:rsid w:val="003038B0"/>
    <w:rsid w:val="00303A4F"/>
    <w:rsid w:val="00303D02"/>
    <w:rsid w:val="00303D25"/>
    <w:rsid w:val="003040C5"/>
    <w:rsid w:val="0030442C"/>
    <w:rsid w:val="00304465"/>
    <w:rsid w:val="00304479"/>
    <w:rsid w:val="003045BE"/>
    <w:rsid w:val="00304BD2"/>
    <w:rsid w:val="00304D09"/>
    <w:rsid w:val="00304EE5"/>
    <w:rsid w:val="003050AB"/>
    <w:rsid w:val="00305113"/>
    <w:rsid w:val="003052D9"/>
    <w:rsid w:val="0030572A"/>
    <w:rsid w:val="00305793"/>
    <w:rsid w:val="00305796"/>
    <w:rsid w:val="00306120"/>
    <w:rsid w:val="003061D4"/>
    <w:rsid w:val="00306627"/>
    <w:rsid w:val="00306B91"/>
    <w:rsid w:val="00306BC9"/>
    <w:rsid w:val="00306BCD"/>
    <w:rsid w:val="00306C3D"/>
    <w:rsid w:val="00306CE9"/>
    <w:rsid w:val="00306EC0"/>
    <w:rsid w:val="003071DB"/>
    <w:rsid w:val="00307367"/>
    <w:rsid w:val="00307713"/>
    <w:rsid w:val="00307781"/>
    <w:rsid w:val="00307C61"/>
    <w:rsid w:val="00307C9D"/>
    <w:rsid w:val="00307F6B"/>
    <w:rsid w:val="00310067"/>
    <w:rsid w:val="003100DA"/>
    <w:rsid w:val="00310145"/>
    <w:rsid w:val="00310354"/>
    <w:rsid w:val="00310E44"/>
    <w:rsid w:val="00310FA9"/>
    <w:rsid w:val="003112BE"/>
    <w:rsid w:val="003115E9"/>
    <w:rsid w:val="003115EB"/>
    <w:rsid w:val="003116B4"/>
    <w:rsid w:val="003116E7"/>
    <w:rsid w:val="00311AD8"/>
    <w:rsid w:val="00311B94"/>
    <w:rsid w:val="00311F37"/>
    <w:rsid w:val="003120CE"/>
    <w:rsid w:val="003121FC"/>
    <w:rsid w:val="0031240F"/>
    <w:rsid w:val="003128F6"/>
    <w:rsid w:val="00312AE0"/>
    <w:rsid w:val="00312D4D"/>
    <w:rsid w:val="00313083"/>
    <w:rsid w:val="00313128"/>
    <w:rsid w:val="00313B4E"/>
    <w:rsid w:val="00313C23"/>
    <w:rsid w:val="00313C31"/>
    <w:rsid w:val="00314090"/>
    <w:rsid w:val="003141C9"/>
    <w:rsid w:val="003141FA"/>
    <w:rsid w:val="003146CB"/>
    <w:rsid w:val="00314999"/>
    <w:rsid w:val="00314AD3"/>
    <w:rsid w:val="00314E2F"/>
    <w:rsid w:val="00314F59"/>
    <w:rsid w:val="00314F6B"/>
    <w:rsid w:val="00314F6F"/>
    <w:rsid w:val="00315079"/>
    <w:rsid w:val="00315099"/>
    <w:rsid w:val="00315754"/>
    <w:rsid w:val="00315819"/>
    <w:rsid w:val="00315A6F"/>
    <w:rsid w:val="00315AD2"/>
    <w:rsid w:val="0031622D"/>
    <w:rsid w:val="003162E3"/>
    <w:rsid w:val="0031630A"/>
    <w:rsid w:val="00316366"/>
    <w:rsid w:val="0031652F"/>
    <w:rsid w:val="003168C1"/>
    <w:rsid w:val="00316B72"/>
    <w:rsid w:val="00316D8F"/>
    <w:rsid w:val="003170C4"/>
    <w:rsid w:val="00317531"/>
    <w:rsid w:val="0031786E"/>
    <w:rsid w:val="00317C4C"/>
    <w:rsid w:val="00317E1E"/>
    <w:rsid w:val="00317F5E"/>
    <w:rsid w:val="0032015C"/>
    <w:rsid w:val="00320377"/>
    <w:rsid w:val="0032047A"/>
    <w:rsid w:val="00320D01"/>
    <w:rsid w:val="0032125A"/>
    <w:rsid w:val="0032125C"/>
    <w:rsid w:val="00321355"/>
    <w:rsid w:val="00321539"/>
    <w:rsid w:val="00322103"/>
    <w:rsid w:val="0032231C"/>
    <w:rsid w:val="00322750"/>
    <w:rsid w:val="003227B6"/>
    <w:rsid w:val="00322A0D"/>
    <w:rsid w:val="00322D4E"/>
    <w:rsid w:val="00322E6C"/>
    <w:rsid w:val="00322F9D"/>
    <w:rsid w:val="00323062"/>
    <w:rsid w:val="00323476"/>
    <w:rsid w:val="003234C9"/>
    <w:rsid w:val="00323611"/>
    <w:rsid w:val="003239BE"/>
    <w:rsid w:val="00323BE7"/>
    <w:rsid w:val="00323D95"/>
    <w:rsid w:val="00323FB5"/>
    <w:rsid w:val="00324167"/>
    <w:rsid w:val="00324751"/>
    <w:rsid w:val="0032478C"/>
    <w:rsid w:val="0032484B"/>
    <w:rsid w:val="00324A21"/>
    <w:rsid w:val="00324EC1"/>
    <w:rsid w:val="00325371"/>
    <w:rsid w:val="003253DB"/>
    <w:rsid w:val="0032548B"/>
    <w:rsid w:val="00325D22"/>
    <w:rsid w:val="00325D2B"/>
    <w:rsid w:val="003265F8"/>
    <w:rsid w:val="00326768"/>
    <w:rsid w:val="0032682C"/>
    <w:rsid w:val="00326A20"/>
    <w:rsid w:val="00326CCC"/>
    <w:rsid w:val="0032725C"/>
    <w:rsid w:val="00327328"/>
    <w:rsid w:val="00327638"/>
    <w:rsid w:val="003279E4"/>
    <w:rsid w:val="00327C22"/>
    <w:rsid w:val="00327C27"/>
    <w:rsid w:val="00327F02"/>
    <w:rsid w:val="00327FB2"/>
    <w:rsid w:val="00330242"/>
    <w:rsid w:val="00330245"/>
    <w:rsid w:val="003303E0"/>
    <w:rsid w:val="00330C45"/>
    <w:rsid w:val="00330E24"/>
    <w:rsid w:val="00331090"/>
    <w:rsid w:val="0033114E"/>
    <w:rsid w:val="00331339"/>
    <w:rsid w:val="0033158D"/>
    <w:rsid w:val="00331710"/>
    <w:rsid w:val="00331788"/>
    <w:rsid w:val="003319D5"/>
    <w:rsid w:val="00331AB7"/>
    <w:rsid w:val="00331C63"/>
    <w:rsid w:val="00331FD4"/>
    <w:rsid w:val="003320AF"/>
    <w:rsid w:val="00332211"/>
    <w:rsid w:val="0033238C"/>
    <w:rsid w:val="003324FB"/>
    <w:rsid w:val="0033264D"/>
    <w:rsid w:val="00332820"/>
    <w:rsid w:val="00332964"/>
    <w:rsid w:val="00332986"/>
    <w:rsid w:val="00332C7B"/>
    <w:rsid w:val="00333159"/>
    <w:rsid w:val="003336A7"/>
    <w:rsid w:val="0033378D"/>
    <w:rsid w:val="00333D22"/>
    <w:rsid w:val="00333EDA"/>
    <w:rsid w:val="00334147"/>
    <w:rsid w:val="00334383"/>
    <w:rsid w:val="003343E4"/>
    <w:rsid w:val="003343EA"/>
    <w:rsid w:val="00334574"/>
    <w:rsid w:val="00334728"/>
    <w:rsid w:val="003348C1"/>
    <w:rsid w:val="00334B10"/>
    <w:rsid w:val="00334CED"/>
    <w:rsid w:val="00335097"/>
    <w:rsid w:val="0033512C"/>
    <w:rsid w:val="00335545"/>
    <w:rsid w:val="0033579C"/>
    <w:rsid w:val="003358B6"/>
    <w:rsid w:val="00335C65"/>
    <w:rsid w:val="00335CC3"/>
    <w:rsid w:val="00335EB4"/>
    <w:rsid w:val="00336188"/>
    <w:rsid w:val="00336233"/>
    <w:rsid w:val="00336330"/>
    <w:rsid w:val="00336363"/>
    <w:rsid w:val="00336396"/>
    <w:rsid w:val="003363DC"/>
    <w:rsid w:val="00336438"/>
    <w:rsid w:val="003365B5"/>
    <w:rsid w:val="003369FE"/>
    <w:rsid w:val="00336D5C"/>
    <w:rsid w:val="00336F6F"/>
    <w:rsid w:val="00337061"/>
    <w:rsid w:val="00337066"/>
    <w:rsid w:val="00337267"/>
    <w:rsid w:val="003379DA"/>
    <w:rsid w:val="003400D1"/>
    <w:rsid w:val="0034024E"/>
    <w:rsid w:val="003408BA"/>
    <w:rsid w:val="003412BD"/>
    <w:rsid w:val="003413B5"/>
    <w:rsid w:val="003417C8"/>
    <w:rsid w:val="0034185E"/>
    <w:rsid w:val="00342197"/>
    <w:rsid w:val="0034228A"/>
    <w:rsid w:val="003422F3"/>
    <w:rsid w:val="0034242D"/>
    <w:rsid w:val="00342AE8"/>
    <w:rsid w:val="00342D8F"/>
    <w:rsid w:val="00342EC9"/>
    <w:rsid w:val="0034318D"/>
    <w:rsid w:val="00343214"/>
    <w:rsid w:val="0034353C"/>
    <w:rsid w:val="003438F5"/>
    <w:rsid w:val="003439E9"/>
    <w:rsid w:val="00343C09"/>
    <w:rsid w:val="00343D95"/>
    <w:rsid w:val="00344162"/>
    <w:rsid w:val="0034426F"/>
    <w:rsid w:val="00344578"/>
    <w:rsid w:val="003449A0"/>
    <w:rsid w:val="003449C9"/>
    <w:rsid w:val="003449E2"/>
    <w:rsid w:val="00344C48"/>
    <w:rsid w:val="00344CCE"/>
    <w:rsid w:val="0034591F"/>
    <w:rsid w:val="00345952"/>
    <w:rsid w:val="00345ADE"/>
    <w:rsid w:val="00345AE3"/>
    <w:rsid w:val="00345DAA"/>
    <w:rsid w:val="00346140"/>
    <w:rsid w:val="003461BE"/>
    <w:rsid w:val="003461C3"/>
    <w:rsid w:val="00346690"/>
    <w:rsid w:val="0034687A"/>
    <w:rsid w:val="00346E9B"/>
    <w:rsid w:val="003471CA"/>
    <w:rsid w:val="00347218"/>
    <w:rsid w:val="003475E0"/>
    <w:rsid w:val="0034760C"/>
    <w:rsid w:val="00347CD6"/>
    <w:rsid w:val="00347D15"/>
    <w:rsid w:val="00347F3A"/>
    <w:rsid w:val="00350175"/>
    <w:rsid w:val="00350446"/>
    <w:rsid w:val="00350450"/>
    <w:rsid w:val="00350651"/>
    <w:rsid w:val="00350706"/>
    <w:rsid w:val="00350926"/>
    <w:rsid w:val="00350CCC"/>
    <w:rsid w:val="00350D72"/>
    <w:rsid w:val="00350E12"/>
    <w:rsid w:val="00350E1D"/>
    <w:rsid w:val="00350FCD"/>
    <w:rsid w:val="00351490"/>
    <w:rsid w:val="0035173A"/>
    <w:rsid w:val="0035184B"/>
    <w:rsid w:val="00351984"/>
    <w:rsid w:val="00351A3B"/>
    <w:rsid w:val="003524D0"/>
    <w:rsid w:val="003526A3"/>
    <w:rsid w:val="003526D4"/>
    <w:rsid w:val="0035290B"/>
    <w:rsid w:val="00352998"/>
    <w:rsid w:val="00352C2D"/>
    <w:rsid w:val="00352D32"/>
    <w:rsid w:val="00352F8E"/>
    <w:rsid w:val="0035337B"/>
    <w:rsid w:val="003535B7"/>
    <w:rsid w:val="003536B2"/>
    <w:rsid w:val="00353785"/>
    <w:rsid w:val="00353976"/>
    <w:rsid w:val="00353D09"/>
    <w:rsid w:val="0035403B"/>
    <w:rsid w:val="003540D5"/>
    <w:rsid w:val="00354557"/>
    <w:rsid w:val="00354613"/>
    <w:rsid w:val="003547A5"/>
    <w:rsid w:val="0035524A"/>
    <w:rsid w:val="003552E4"/>
    <w:rsid w:val="00355704"/>
    <w:rsid w:val="00355842"/>
    <w:rsid w:val="003558DF"/>
    <w:rsid w:val="003559AA"/>
    <w:rsid w:val="00355A12"/>
    <w:rsid w:val="00355A93"/>
    <w:rsid w:val="00355B45"/>
    <w:rsid w:val="00355D6B"/>
    <w:rsid w:val="00356063"/>
    <w:rsid w:val="003560C2"/>
    <w:rsid w:val="0035619D"/>
    <w:rsid w:val="00356587"/>
    <w:rsid w:val="003565E8"/>
    <w:rsid w:val="0035673D"/>
    <w:rsid w:val="00356A16"/>
    <w:rsid w:val="00356B5F"/>
    <w:rsid w:val="00356CA7"/>
    <w:rsid w:val="00356F87"/>
    <w:rsid w:val="00357077"/>
    <w:rsid w:val="003572D4"/>
    <w:rsid w:val="0035735C"/>
    <w:rsid w:val="0035783D"/>
    <w:rsid w:val="0035797B"/>
    <w:rsid w:val="00357FFD"/>
    <w:rsid w:val="0036004C"/>
    <w:rsid w:val="00360391"/>
    <w:rsid w:val="003603E9"/>
    <w:rsid w:val="00360711"/>
    <w:rsid w:val="00360EA2"/>
    <w:rsid w:val="00361297"/>
    <w:rsid w:val="003614F3"/>
    <w:rsid w:val="0036167A"/>
    <w:rsid w:val="003617B1"/>
    <w:rsid w:val="00361A25"/>
    <w:rsid w:val="00361FAF"/>
    <w:rsid w:val="003622D6"/>
    <w:rsid w:val="0036253D"/>
    <w:rsid w:val="003626D1"/>
    <w:rsid w:val="003629A8"/>
    <w:rsid w:val="00362BA7"/>
    <w:rsid w:val="00362CE7"/>
    <w:rsid w:val="0036303E"/>
    <w:rsid w:val="00364684"/>
    <w:rsid w:val="0036487A"/>
    <w:rsid w:val="00364F74"/>
    <w:rsid w:val="00365255"/>
    <w:rsid w:val="003652AE"/>
    <w:rsid w:val="0036545F"/>
    <w:rsid w:val="00365700"/>
    <w:rsid w:val="00365D07"/>
    <w:rsid w:val="00365D89"/>
    <w:rsid w:val="00365F5C"/>
    <w:rsid w:val="003660F1"/>
    <w:rsid w:val="0036615A"/>
    <w:rsid w:val="00366AD9"/>
    <w:rsid w:val="00366DAF"/>
    <w:rsid w:val="00366F77"/>
    <w:rsid w:val="00367145"/>
    <w:rsid w:val="003673F5"/>
    <w:rsid w:val="003674F4"/>
    <w:rsid w:val="00367585"/>
    <w:rsid w:val="00367BAD"/>
    <w:rsid w:val="00367C17"/>
    <w:rsid w:val="00367CE6"/>
    <w:rsid w:val="00367FE2"/>
    <w:rsid w:val="0037016B"/>
    <w:rsid w:val="00370368"/>
    <w:rsid w:val="003707A6"/>
    <w:rsid w:val="00370F21"/>
    <w:rsid w:val="0037132E"/>
    <w:rsid w:val="0037169A"/>
    <w:rsid w:val="0037179A"/>
    <w:rsid w:val="00371F4C"/>
    <w:rsid w:val="00372412"/>
    <w:rsid w:val="003728BC"/>
    <w:rsid w:val="00372964"/>
    <w:rsid w:val="0037337F"/>
    <w:rsid w:val="00373A4C"/>
    <w:rsid w:val="00373DF2"/>
    <w:rsid w:val="00374392"/>
    <w:rsid w:val="00374495"/>
    <w:rsid w:val="003745D7"/>
    <w:rsid w:val="0037475E"/>
    <w:rsid w:val="00374963"/>
    <w:rsid w:val="0037518F"/>
    <w:rsid w:val="003752B8"/>
    <w:rsid w:val="00375378"/>
    <w:rsid w:val="00375DED"/>
    <w:rsid w:val="00375FF2"/>
    <w:rsid w:val="003763D0"/>
    <w:rsid w:val="003765E1"/>
    <w:rsid w:val="00376C62"/>
    <w:rsid w:val="00376ED8"/>
    <w:rsid w:val="0037708E"/>
    <w:rsid w:val="0037714D"/>
    <w:rsid w:val="003775AF"/>
    <w:rsid w:val="003777F2"/>
    <w:rsid w:val="00377DF5"/>
    <w:rsid w:val="0038040B"/>
    <w:rsid w:val="003808B1"/>
    <w:rsid w:val="003808C7"/>
    <w:rsid w:val="00380925"/>
    <w:rsid w:val="003809D6"/>
    <w:rsid w:val="00380CB5"/>
    <w:rsid w:val="00380D31"/>
    <w:rsid w:val="00381092"/>
    <w:rsid w:val="003812AF"/>
    <w:rsid w:val="00381586"/>
    <w:rsid w:val="00381D07"/>
    <w:rsid w:val="00381EAA"/>
    <w:rsid w:val="0038224E"/>
    <w:rsid w:val="00382278"/>
    <w:rsid w:val="0038234F"/>
    <w:rsid w:val="003823AA"/>
    <w:rsid w:val="0038261C"/>
    <w:rsid w:val="0038268B"/>
    <w:rsid w:val="003826AA"/>
    <w:rsid w:val="00382848"/>
    <w:rsid w:val="00382B06"/>
    <w:rsid w:val="00382B28"/>
    <w:rsid w:val="00382CE1"/>
    <w:rsid w:val="00382E09"/>
    <w:rsid w:val="00383061"/>
    <w:rsid w:val="00383A9D"/>
    <w:rsid w:val="00383CA8"/>
    <w:rsid w:val="0038406F"/>
    <w:rsid w:val="00384736"/>
    <w:rsid w:val="00384775"/>
    <w:rsid w:val="003849CC"/>
    <w:rsid w:val="00384A13"/>
    <w:rsid w:val="00384AC8"/>
    <w:rsid w:val="00384E2B"/>
    <w:rsid w:val="00384E38"/>
    <w:rsid w:val="00384F99"/>
    <w:rsid w:val="003850D1"/>
    <w:rsid w:val="003850E0"/>
    <w:rsid w:val="00385543"/>
    <w:rsid w:val="00385881"/>
    <w:rsid w:val="00385934"/>
    <w:rsid w:val="003859B9"/>
    <w:rsid w:val="00385B2F"/>
    <w:rsid w:val="00385C15"/>
    <w:rsid w:val="00385D12"/>
    <w:rsid w:val="00385D83"/>
    <w:rsid w:val="003860F1"/>
    <w:rsid w:val="003865BC"/>
    <w:rsid w:val="003867AA"/>
    <w:rsid w:val="00386A69"/>
    <w:rsid w:val="00386C09"/>
    <w:rsid w:val="00386C3B"/>
    <w:rsid w:val="00386DC7"/>
    <w:rsid w:val="00387419"/>
    <w:rsid w:val="00387534"/>
    <w:rsid w:val="00387A9B"/>
    <w:rsid w:val="00387BED"/>
    <w:rsid w:val="00387FC7"/>
    <w:rsid w:val="00390642"/>
    <w:rsid w:val="003908A8"/>
    <w:rsid w:val="00390BAA"/>
    <w:rsid w:val="00390D91"/>
    <w:rsid w:val="00390DBD"/>
    <w:rsid w:val="00390E5A"/>
    <w:rsid w:val="003912B4"/>
    <w:rsid w:val="00391361"/>
    <w:rsid w:val="003914EE"/>
    <w:rsid w:val="003915F4"/>
    <w:rsid w:val="00391720"/>
    <w:rsid w:val="00391729"/>
    <w:rsid w:val="0039198F"/>
    <w:rsid w:val="00391A84"/>
    <w:rsid w:val="00391D3B"/>
    <w:rsid w:val="00392098"/>
    <w:rsid w:val="00392193"/>
    <w:rsid w:val="0039229E"/>
    <w:rsid w:val="00392739"/>
    <w:rsid w:val="003927AF"/>
    <w:rsid w:val="003929DC"/>
    <w:rsid w:val="00392F9D"/>
    <w:rsid w:val="0039334C"/>
    <w:rsid w:val="0039342A"/>
    <w:rsid w:val="00393599"/>
    <w:rsid w:val="003937E2"/>
    <w:rsid w:val="00393A12"/>
    <w:rsid w:val="00393A72"/>
    <w:rsid w:val="00393D0C"/>
    <w:rsid w:val="00393F05"/>
    <w:rsid w:val="003940CD"/>
    <w:rsid w:val="00394105"/>
    <w:rsid w:val="00394213"/>
    <w:rsid w:val="00394423"/>
    <w:rsid w:val="0039442B"/>
    <w:rsid w:val="003944C9"/>
    <w:rsid w:val="00394539"/>
    <w:rsid w:val="003945FA"/>
    <w:rsid w:val="0039481F"/>
    <w:rsid w:val="00394CAC"/>
    <w:rsid w:val="003958D8"/>
    <w:rsid w:val="00395F6C"/>
    <w:rsid w:val="00395FE3"/>
    <w:rsid w:val="0039606F"/>
    <w:rsid w:val="003962A3"/>
    <w:rsid w:val="003962FC"/>
    <w:rsid w:val="003963B2"/>
    <w:rsid w:val="003963E2"/>
    <w:rsid w:val="0039643D"/>
    <w:rsid w:val="00396532"/>
    <w:rsid w:val="00396596"/>
    <w:rsid w:val="00396774"/>
    <w:rsid w:val="003968A2"/>
    <w:rsid w:val="00396B59"/>
    <w:rsid w:val="00396B99"/>
    <w:rsid w:val="00396E57"/>
    <w:rsid w:val="00396E5A"/>
    <w:rsid w:val="00397145"/>
    <w:rsid w:val="003972A6"/>
    <w:rsid w:val="003972B7"/>
    <w:rsid w:val="00397581"/>
    <w:rsid w:val="0039777E"/>
    <w:rsid w:val="00397A37"/>
    <w:rsid w:val="00397E79"/>
    <w:rsid w:val="003A01DF"/>
    <w:rsid w:val="003A02C8"/>
    <w:rsid w:val="003A03CD"/>
    <w:rsid w:val="003A03DE"/>
    <w:rsid w:val="003A068F"/>
    <w:rsid w:val="003A0CD9"/>
    <w:rsid w:val="003A0D96"/>
    <w:rsid w:val="003A1186"/>
    <w:rsid w:val="003A138D"/>
    <w:rsid w:val="003A186F"/>
    <w:rsid w:val="003A1B28"/>
    <w:rsid w:val="003A1E97"/>
    <w:rsid w:val="003A1F25"/>
    <w:rsid w:val="003A1F68"/>
    <w:rsid w:val="003A2356"/>
    <w:rsid w:val="003A2436"/>
    <w:rsid w:val="003A28C9"/>
    <w:rsid w:val="003A2915"/>
    <w:rsid w:val="003A299F"/>
    <w:rsid w:val="003A2D44"/>
    <w:rsid w:val="003A353F"/>
    <w:rsid w:val="003A3801"/>
    <w:rsid w:val="003A3B5B"/>
    <w:rsid w:val="003A3F37"/>
    <w:rsid w:val="003A3F49"/>
    <w:rsid w:val="003A3F75"/>
    <w:rsid w:val="003A4056"/>
    <w:rsid w:val="003A4105"/>
    <w:rsid w:val="003A45D0"/>
    <w:rsid w:val="003A481B"/>
    <w:rsid w:val="003A4B6B"/>
    <w:rsid w:val="003A4BD5"/>
    <w:rsid w:val="003A4D0F"/>
    <w:rsid w:val="003A4F61"/>
    <w:rsid w:val="003A51DF"/>
    <w:rsid w:val="003A5415"/>
    <w:rsid w:val="003A5444"/>
    <w:rsid w:val="003A56D8"/>
    <w:rsid w:val="003A5888"/>
    <w:rsid w:val="003A5DE8"/>
    <w:rsid w:val="003A630E"/>
    <w:rsid w:val="003A63C1"/>
    <w:rsid w:val="003A6669"/>
    <w:rsid w:val="003A6A20"/>
    <w:rsid w:val="003A6BB9"/>
    <w:rsid w:val="003A6C5C"/>
    <w:rsid w:val="003A6C79"/>
    <w:rsid w:val="003A73F8"/>
    <w:rsid w:val="003A77C0"/>
    <w:rsid w:val="003A794E"/>
    <w:rsid w:val="003A7A4E"/>
    <w:rsid w:val="003A7C1B"/>
    <w:rsid w:val="003A7CB0"/>
    <w:rsid w:val="003A7D10"/>
    <w:rsid w:val="003B000A"/>
    <w:rsid w:val="003B015F"/>
    <w:rsid w:val="003B0285"/>
    <w:rsid w:val="003B03BA"/>
    <w:rsid w:val="003B04AA"/>
    <w:rsid w:val="003B06CE"/>
    <w:rsid w:val="003B06E3"/>
    <w:rsid w:val="003B07F4"/>
    <w:rsid w:val="003B09E6"/>
    <w:rsid w:val="003B0F1A"/>
    <w:rsid w:val="003B103F"/>
    <w:rsid w:val="003B1450"/>
    <w:rsid w:val="003B1688"/>
    <w:rsid w:val="003B181D"/>
    <w:rsid w:val="003B18A7"/>
    <w:rsid w:val="003B1AF3"/>
    <w:rsid w:val="003B1CC8"/>
    <w:rsid w:val="003B22A5"/>
    <w:rsid w:val="003B231B"/>
    <w:rsid w:val="003B2660"/>
    <w:rsid w:val="003B2CC6"/>
    <w:rsid w:val="003B2EC8"/>
    <w:rsid w:val="003B319E"/>
    <w:rsid w:val="003B33E6"/>
    <w:rsid w:val="003B33E8"/>
    <w:rsid w:val="003B35A1"/>
    <w:rsid w:val="003B3DE8"/>
    <w:rsid w:val="003B42B8"/>
    <w:rsid w:val="003B42C2"/>
    <w:rsid w:val="003B4791"/>
    <w:rsid w:val="003B4A2E"/>
    <w:rsid w:val="003B4BC6"/>
    <w:rsid w:val="003B514F"/>
    <w:rsid w:val="003B53EB"/>
    <w:rsid w:val="003B584A"/>
    <w:rsid w:val="003B590F"/>
    <w:rsid w:val="003B5E2D"/>
    <w:rsid w:val="003B5EC4"/>
    <w:rsid w:val="003B6513"/>
    <w:rsid w:val="003B6551"/>
    <w:rsid w:val="003B6A1B"/>
    <w:rsid w:val="003B6DC2"/>
    <w:rsid w:val="003B6E3E"/>
    <w:rsid w:val="003B72F7"/>
    <w:rsid w:val="003B73A8"/>
    <w:rsid w:val="003B742D"/>
    <w:rsid w:val="003B7460"/>
    <w:rsid w:val="003B7616"/>
    <w:rsid w:val="003B777F"/>
    <w:rsid w:val="003B7856"/>
    <w:rsid w:val="003B7B23"/>
    <w:rsid w:val="003C0112"/>
    <w:rsid w:val="003C027F"/>
    <w:rsid w:val="003C0476"/>
    <w:rsid w:val="003C060D"/>
    <w:rsid w:val="003C07AD"/>
    <w:rsid w:val="003C08CB"/>
    <w:rsid w:val="003C0944"/>
    <w:rsid w:val="003C0B63"/>
    <w:rsid w:val="003C0C91"/>
    <w:rsid w:val="003C0DB2"/>
    <w:rsid w:val="003C14AB"/>
    <w:rsid w:val="003C1522"/>
    <w:rsid w:val="003C1552"/>
    <w:rsid w:val="003C1577"/>
    <w:rsid w:val="003C15BE"/>
    <w:rsid w:val="003C196E"/>
    <w:rsid w:val="003C1C29"/>
    <w:rsid w:val="003C1EAD"/>
    <w:rsid w:val="003C1F8C"/>
    <w:rsid w:val="003C1FF0"/>
    <w:rsid w:val="003C2639"/>
    <w:rsid w:val="003C288E"/>
    <w:rsid w:val="003C2B06"/>
    <w:rsid w:val="003C3635"/>
    <w:rsid w:val="003C3720"/>
    <w:rsid w:val="003C3D65"/>
    <w:rsid w:val="003C3DA3"/>
    <w:rsid w:val="003C40E2"/>
    <w:rsid w:val="003C4353"/>
    <w:rsid w:val="003C43BC"/>
    <w:rsid w:val="003C4461"/>
    <w:rsid w:val="003C46CC"/>
    <w:rsid w:val="003C497A"/>
    <w:rsid w:val="003C4A8B"/>
    <w:rsid w:val="003C4A98"/>
    <w:rsid w:val="003C4BBB"/>
    <w:rsid w:val="003C4EA9"/>
    <w:rsid w:val="003C516A"/>
    <w:rsid w:val="003C5426"/>
    <w:rsid w:val="003C57CC"/>
    <w:rsid w:val="003C5A56"/>
    <w:rsid w:val="003C5F8E"/>
    <w:rsid w:val="003C624E"/>
    <w:rsid w:val="003C6266"/>
    <w:rsid w:val="003C638D"/>
    <w:rsid w:val="003C6453"/>
    <w:rsid w:val="003C6553"/>
    <w:rsid w:val="003C672E"/>
    <w:rsid w:val="003C68E6"/>
    <w:rsid w:val="003C68F8"/>
    <w:rsid w:val="003C691F"/>
    <w:rsid w:val="003C69A3"/>
    <w:rsid w:val="003C6BA6"/>
    <w:rsid w:val="003C6D11"/>
    <w:rsid w:val="003C6E10"/>
    <w:rsid w:val="003C724A"/>
    <w:rsid w:val="003C74E7"/>
    <w:rsid w:val="003C7D30"/>
    <w:rsid w:val="003C7FC0"/>
    <w:rsid w:val="003D0175"/>
    <w:rsid w:val="003D0223"/>
    <w:rsid w:val="003D027C"/>
    <w:rsid w:val="003D0418"/>
    <w:rsid w:val="003D0B69"/>
    <w:rsid w:val="003D0D28"/>
    <w:rsid w:val="003D1017"/>
    <w:rsid w:val="003D115B"/>
    <w:rsid w:val="003D11A0"/>
    <w:rsid w:val="003D12BA"/>
    <w:rsid w:val="003D12CA"/>
    <w:rsid w:val="003D12F5"/>
    <w:rsid w:val="003D1528"/>
    <w:rsid w:val="003D1C2A"/>
    <w:rsid w:val="003D1D7D"/>
    <w:rsid w:val="003D1E0E"/>
    <w:rsid w:val="003D20D8"/>
    <w:rsid w:val="003D21B2"/>
    <w:rsid w:val="003D23D0"/>
    <w:rsid w:val="003D26D9"/>
    <w:rsid w:val="003D276D"/>
    <w:rsid w:val="003D2892"/>
    <w:rsid w:val="003D2C5E"/>
    <w:rsid w:val="003D2D5D"/>
    <w:rsid w:val="003D30C1"/>
    <w:rsid w:val="003D3130"/>
    <w:rsid w:val="003D331B"/>
    <w:rsid w:val="003D3479"/>
    <w:rsid w:val="003D372C"/>
    <w:rsid w:val="003D37EF"/>
    <w:rsid w:val="003D3D17"/>
    <w:rsid w:val="003D3E5C"/>
    <w:rsid w:val="003D41A8"/>
    <w:rsid w:val="003D41B7"/>
    <w:rsid w:val="003D447B"/>
    <w:rsid w:val="003D44E0"/>
    <w:rsid w:val="003D4769"/>
    <w:rsid w:val="003D4851"/>
    <w:rsid w:val="003D48D8"/>
    <w:rsid w:val="003D498A"/>
    <w:rsid w:val="003D4F74"/>
    <w:rsid w:val="003D5437"/>
    <w:rsid w:val="003D55CA"/>
    <w:rsid w:val="003D55F1"/>
    <w:rsid w:val="003D5C38"/>
    <w:rsid w:val="003D5DB5"/>
    <w:rsid w:val="003D6057"/>
    <w:rsid w:val="003D6128"/>
    <w:rsid w:val="003D66B3"/>
    <w:rsid w:val="003D6BF6"/>
    <w:rsid w:val="003D70F5"/>
    <w:rsid w:val="003D7133"/>
    <w:rsid w:val="003D74D0"/>
    <w:rsid w:val="003D7534"/>
    <w:rsid w:val="003D784E"/>
    <w:rsid w:val="003D7B7E"/>
    <w:rsid w:val="003D7E2C"/>
    <w:rsid w:val="003E0088"/>
    <w:rsid w:val="003E0401"/>
    <w:rsid w:val="003E08CF"/>
    <w:rsid w:val="003E09A1"/>
    <w:rsid w:val="003E0AC1"/>
    <w:rsid w:val="003E1477"/>
    <w:rsid w:val="003E147F"/>
    <w:rsid w:val="003E1536"/>
    <w:rsid w:val="003E1770"/>
    <w:rsid w:val="003E1BCB"/>
    <w:rsid w:val="003E1DB8"/>
    <w:rsid w:val="003E1EDB"/>
    <w:rsid w:val="003E24F4"/>
    <w:rsid w:val="003E2582"/>
    <w:rsid w:val="003E2715"/>
    <w:rsid w:val="003E2D88"/>
    <w:rsid w:val="003E2E95"/>
    <w:rsid w:val="003E3085"/>
    <w:rsid w:val="003E3248"/>
    <w:rsid w:val="003E34C8"/>
    <w:rsid w:val="003E35CA"/>
    <w:rsid w:val="003E35D7"/>
    <w:rsid w:val="003E3874"/>
    <w:rsid w:val="003E387C"/>
    <w:rsid w:val="003E3A0C"/>
    <w:rsid w:val="003E3ED4"/>
    <w:rsid w:val="003E3EE9"/>
    <w:rsid w:val="003E4045"/>
    <w:rsid w:val="003E451F"/>
    <w:rsid w:val="003E4C8C"/>
    <w:rsid w:val="003E4CBF"/>
    <w:rsid w:val="003E5164"/>
    <w:rsid w:val="003E5549"/>
    <w:rsid w:val="003E5A5D"/>
    <w:rsid w:val="003E5E5B"/>
    <w:rsid w:val="003E5F25"/>
    <w:rsid w:val="003E60A9"/>
    <w:rsid w:val="003E60E8"/>
    <w:rsid w:val="003E6428"/>
    <w:rsid w:val="003E69EC"/>
    <w:rsid w:val="003E6CE5"/>
    <w:rsid w:val="003E703D"/>
    <w:rsid w:val="003E7845"/>
    <w:rsid w:val="003E7C35"/>
    <w:rsid w:val="003F03A8"/>
    <w:rsid w:val="003F0948"/>
    <w:rsid w:val="003F09E5"/>
    <w:rsid w:val="003F108B"/>
    <w:rsid w:val="003F1187"/>
    <w:rsid w:val="003F1DFE"/>
    <w:rsid w:val="003F208D"/>
    <w:rsid w:val="003F20C8"/>
    <w:rsid w:val="003F261A"/>
    <w:rsid w:val="003F2B21"/>
    <w:rsid w:val="003F2CBA"/>
    <w:rsid w:val="003F2E78"/>
    <w:rsid w:val="003F3188"/>
    <w:rsid w:val="003F319B"/>
    <w:rsid w:val="003F3476"/>
    <w:rsid w:val="003F3799"/>
    <w:rsid w:val="003F3E73"/>
    <w:rsid w:val="003F411F"/>
    <w:rsid w:val="003F4177"/>
    <w:rsid w:val="003F4907"/>
    <w:rsid w:val="003F5012"/>
    <w:rsid w:val="003F519A"/>
    <w:rsid w:val="003F529E"/>
    <w:rsid w:val="003F53C5"/>
    <w:rsid w:val="003F55C6"/>
    <w:rsid w:val="003F5A91"/>
    <w:rsid w:val="003F5BB5"/>
    <w:rsid w:val="003F5D9C"/>
    <w:rsid w:val="003F614D"/>
    <w:rsid w:val="003F6186"/>
    <w:rsid w:val="003F63A3"/>
    <w:rsid w:val="003F63BD"/>
    <w:rsid w:val="003F6427"/>
    <w:rsid w:val="003F693C"/>
    <w:rsid w:val="003F6D02"/>
    <w:rsid w:val="003F6D36"/>
    <w:rsid w:val="003F6DEB"/>
    <w:rsid w:val="003F72D4"/>
    <w:rsid w:val="003F74F8"/>
    <w:rsid w:val="003F7570"/>
    <w:rsid w:val="003F7581"/>
    <w:rsid w:val="003F759C"/>
    <w:rsid w:val="003F75D2"/>
    <w:rsid w:val="003F7715"/>
    <w:rsid w:val="003F788A"/>
    <w:rsid w:val="003F7D2F"/>
    <w:rsid w:val="003F7D87"/>
    <w:rsid w:val="004002D0"/>
    <w:rsid w:val="004005CA"/>
    <w:rsid w:val="00400857"/>
    <w:rsid w:val="00400AD6"/>
    <w:rsid w:val="00400B34"/>
    <w:rsid w:val="00400BBB"/>
    <w:rsid w:val="00400BCC"/>
    <w:rsid w:val="00400FDF"/>
    <w:rsid w:val="00401249"/>
    <w:rsid w:val="004012BB"/>
    <w:rsid w:val="004014DE"/>
    <w:rsid w:val="00401702"/>
    <w:rsid w:val="00401B31"/>
    <w:rsid w:val="00401C50"/>
    <w:rsid w:val="00401FEA"/>
    <w:rsid w:val="00402436"/>
    <w:rsid w:val="004028B0"/>
    <w:rsid w:val="004029F2"/>
    <w:rsid w:val="004030DA"/>
    <w:rsid w:val="0040312C"/>
    <w:rsid w:val="00403276"/>
    <w:rsid w:val="004039F1"/>
    <w:rsid w:val="00403C9F"/>
    <w:rsid w:val="00403D2D"/>
    <w:rsid w:val="00403FBF"/>
    <w:rsid w:val="004040AD"/>
    <w:rsid w:val="00404112"/>
    <w:rsid w:val="00404237"/>
    <w:rsid w:val="00404309"/>
    <w:rsid w:val="004043A6"/>
    <w:rsid w:val="00404630"/>
    <w:rsid w:val="004046A1"/>
    <w:rsid w:val="004051A4"/>
    <w:rsid w:val="00405653"/>
    <w:rsid w:val="004056ED"/>
    <w:rsid w:val="00405B0E"/>
    <w:rsid w:val="00405DE1"/>
    <w:rsid w:val="00405EE7"/>
    <w:rsid w:val="004060CC"/>
    <w:rsid w:val="0040646C"/>
    <w:rsid w:val="0040665D"/>
    <w:rsid w:val="00406B93"/>
    <w:rsid w:val="00406E38"/>
    <w:rsid w:val="00406E90"/>
    <w:rsid w:val="004075C6"/>
    <w:rsid w:val="00407A71"/>
    <w:rsid w:val="00407BF8"/>
    <w:rsid w:val="00407D84"/>
    <w:rsid w:val="00407DB1"/>
    <w:rsid w:val="00407F7A"/>
    <w:rsid w:val="004100AD"/>
    <w:rsid w:val="004102CB"/>
    <w:rsid w:val="00410AE8"/>
    <w:rsid w:val="00411042"/>
    <w:rsid w:val="004112DD"/>
    <w:rsid w:val="00411682"/>
    <w:rsid w:val="0041173E"/>
    <w:rsid w:val="004117CD"/>
    <w:rsid w:val="004119FB"/>
    <w:rsid w:val="00411A44"/>
    <w:rsid w:val="00411AB8"/>
    <w:rsid w:val="00411C0E"/>
    <w:rsid w:val="00411CF9"/>
    <w:rsid w:val="00411D18"/>
    <w:rsid w:val="0041208B"/>
    <w:rsid w:val="004126B8"/>
    <w:rsid w:val="00412A2A"/>
    <w:rsid w:val="00412FF5"/>
    <w:rsid w:val="00413820"/>
    <w:rsid w:val="00413A26"/>
    <w:rsid w:val="00413A46"/>
    <w:rsid w:val="00413F36"/>
    <w:rsid w:val="00413FFD"/>
    <w:rsid w:val="00414641"/>
    <w:rsid w:val="00414781"/>
    <w:rsid w:val="00414AAE"/>
    <w:rsid w:val="00414B2F"/>
    <w:rsid w:val="00414D32"/>
    <w:rsid w:val="00414E21"/>
    <w:rsid w:val="00414EF1"/>
    <w:rsid w:val="00414FC4"/>
    <w:rsid w:val="0041510F"/>
    <w:rsid w:val="00415792"/>
    <w:rsid w:val="00415C95"/>
    <w:rsid w:val="00415ED7"/>
    <w:rsid w:val="004160C7"/>
    <w:rsid w:val="004161A7"/>
    <w:rsid w:val="004162D0"/>
    <w:rsid w:val="00416590"/>
    <w:rsid w:val="0041683F"/>
    <w:rsid w:val="00416A64"/>
    <w:rsid w:val="00416B6A"/>
    <w:rsid w:val="00416BED"/>
    <w:rsid w:val="00416EB8"/>
    <w:rsid w:val="00417134"/>
    <w:rsid w:val="00417D7A"/>
    <w:rsid w:val="00420093"/>
    <w:rsid w:val="0042023F"/>
    <w:rsid w:val="004202F2"/>
    <w:rsid w:val="00420515"/>
    <w:rsid w:val="0042062C"/>
    <w:rsid w:val="00420797"/>
    <w:rsid w:val="00420DC5"/>
    <w:rsid w:val="00420F53"/>
    <w:rsid w:val="0042106F"/>
    <w:rsid w:val="004211A8"/>
    <w:rsid w:val="00421272"/>
    <w:rsid w:val="004215B4"/>
    <w:rsid w:val="00421C62"/>
    <w:rsid w:val="00421D24"/>
    <w:rsid w:val="0042223B"/>
    <w:rsid w:val="004223BB"/>
    <w:rsid w:val="00422863"/>
    <w:rsid w:val="0042289B"/>
    <w:rsid w:val="00422BDD"/>
    <w:rsid w:val="00422F99"/>
    <w:rsid w:val="004232E2"/>
    <w:rsid w:val="004232F0"/>
    <w:rsid w:val="0042374F"/>
    <w:rsid w:val="00423964"/>
    <w:rsid w:val="00423AE0"/>
    <w:rsid w:val="00423C4C"/>
    <w:rsid w:val="00423CCF"/>
    <w:rsid w:val="00423D65"/>
    <w:rsid w:val="00423F5D"/>
    <w:rsid w:val="00423FA2"/>
    <w:rsid w:val="00424302"/>
    <w:rsid w:val="0042436D"/>
    <w:rsid w:val="004244B9"/>
    <w:rsid w:val="004244D2"/>
    <w:rsid w:val="00424587"/>
    <w:rsid w:val="0042461B"/>
    <w:rsid w:val="00424A6F"/>
    <w:rsid w:val="00424DEA"/>
    <w:rsid w:val="004257D6"/>
    <w:rsid w:val="00425BFC"/>
    <w:rsid w:val="00425DCD"/>
    <w:rsid w:val="00426007"/>
    <w:rsid w:val="0042606E"/>
    <w:rsid w:val="00426102"/>
    <w:rsid w:val="00426577"/>
    <w:rsid w:val="0042662B"/>
    <w:rsid w:val="0042694E"/>
    <w:rsid w:val="004269C8"/>
    <w:rsid w:val="00426BB5"/>
    <w:rsid w:val="00426EFB"/>
    <w:rsid w:val="00426F0B"/>
    <w:rsid w:val="00426F95"/>
    <w:rsid w:val="00427027"/>
    <w:rsid w:val="004270F2"/>
    <w:rsid w:val="0042726C"/>
    <w:rsid w:val="00427972"/>
    <w:rsid w:val="00427A2F"/>
    <w:rsid w:val="00427A7D"/>
    <w:rsid w:val="00427BE0"/>
    <w:rsid w:val="00427D8B"/>
    <w:rsid w:val="00427F8C"/>
    <w:rsid w:val="0043047B"/>
    <w:rsid w:val="0043085D"/>
    <w:rsid w:val="00430DD7"/>
    <w:rsid w:val="00430F4B"/>
    <w:rsid w:val="004310D9"/>
    <w:rsid w:val="0043163C"/>
    <w:rsid w:val="004316DD"/>
    <w:rsid w:val="00431AC7"/>
    <w:rsid w:val="00431C3F"/>
    <w:rsid w:val="00431DF0"/>
    <w:rsid w:val="00431E2D"/>
    <w:rsid w:val="00431F07"/>
    <w:rsid w:val="00431FC2"/>
    <w:rsid w:val="004320F2"/>
    <w:rsid w:val="00432137"/>
    <w:rsid w:val="00432469"/>
    <w:rsid w:val="00432563"/>
    <w:rsid w:val="004325F9"/>
    <w:rsid w:val="00432A15"/>
    <w:rsid w:val="00432ADE"/>
    <w:rsid w:val="00432B0A"/>
    <w:rsid w:val="00433831"/>
    <w:rsid w:val="00433FB1"/>
    <w:rsid w:val="0043415D"/>
    <w:rsid w:val="00434622"/>
    <w:rsid w:val="004346D5"/>
    <w:rsid w:val="00434731"/>
    <w:rsid w:val="00434742"/>
    <w:rsid w:val="00434886"/>
    <w:rsid w:val="00434B82"/>
    <w:rsid w:val="0043508E"/>
    <w:rsid w:val="00435320"/>
    <w:rsid w:val="004353DB"/>
    <w:rsid w:val="00435540"/>
    <w:rsid w:val="00435560"/>
    <w:rsid w:val="004357CD"/>
    <w:rsid w:val="0043601F"/>
    <w:rsid w:val="004360EE"/>
    <w:rsid w:val="00436114"/>
    <w:rsid w:val="0043628A"/>
    <w:rsid w:val="004365CC"/>
    <w:rsid w:val="00436B47"/>
    <w:rsid w:val="00436D8B"/>
    <w:rsid w:val="00436DD1"/>
    <w:rsid w:val="0043721A"/>
    <w:rsid w:val="00437279"/>
    <w:rsid w:val="004378FB"/>
    <w:rsid w:val="0043792B"/>
    <w:rsid w:val="00437AB3"/>
    <w:rsid w:val="0044060F"/>
    <w:rsid w:val="004407CD"/>
    <w:rsid w:val="00440847"/>
    <w:rsid w:val="0044091C"/>
    <w:rsid w:val="00440E89"/>
    <w:rsid w:val="00440F53"/>
    <w:rsid w:val="004412A7"/>
    <w:rsid w:val="00441732"/>
    <w:rsid w:val="00442023"/>
    <w:rsid w:val="00442243"/>
    <w:rsid w:val="00442557"/>
    <w:rsid w:val="00442D30"/>
    <w:rsid w:val="00443209"/>
    <w:rsid w:val="00443225"/>
    <w:rsid w:val="00443992"/>
    <w:rsid w:val="004439BA"/>
    <w:rsid w:val="00443C3D"/>
    <w:rsid w:val="00443C5F"/>
    <w:rsid w:val="00444094"/>
    <w:rsid w:val="004443C7"/>
    <w:rsid w:val="0044474A"/>
    <w:rsid w:val="004447B8"/>
    <w:rsid w:val="004448EA"/>
    <w:rsid w:val="00444AA3"/>
    <w:rsid w:val="00444B96"/>
    <w:rsid w:val="004452FF"/>
    <w:rsid w:val="00445315"/>
    <w:rsid w:val="004454BC"/>
    <w:rsid w:val="004454E1"/>
    <w:rsid w:val="004458D3"/>
    <w:rsid w:val="00445C9B"/>
    <w:rsid w:val="00445D3A"/>
    <w:rsid w:val="0044622F"/>
    <w:rsid w:val="004465B6"/>
    <w:rsid w:val="00446657"/>
    <w:rsid w:val="00446735"/>
    <w:rsid w:val="0044704A"/>
    <w:rsid w:val="0044722A"/>
    <w:rsid w:val="004472FA"/>
    <w:rsid w:val="00447866"/>
    <w:rsid w:val="004500A7"/>
    <w:rsid w:val="004504B2"/>
    <w:rsid w:val="00450667"/>
    <w:rsid w:val="004507E1"/>
    <w:rsid w:val="00450855"/>
    <w:rsid w:val="004517D6"/>
    <w:rsid w:val="00451884"/>
    <w:rsid w:val="004519B5"/>
    <w:rsid w:val="0045352E"/>
    <w:rsid w:val="004537B8"/>
    <w:rsid w:val="00453983"/>
    <w:rsid w:val="00453F31"/>
    <w:rsid w:val="00454272"/>
    <w:rsid w:val="004544DF"/>
    <w:rsid w:val="004546A7"/>
    <w:rsid w:val="004547D7"/>
    <w:rsid w:val="004547D8"/>
    <w:rsid w:val="00454896"/>
    <w:rsid w:val="00454B74"/>
    <w:rsid w:val="00454C94"/>
    <w:rsid w:val="00454EFC"/>
    <w:rsid w:val="0045503B"/>
    <w:rsid w:val="00455249"/>
    <w:rsid w:val="0045561B"/>
    <w:rsid w:val="004557BB"/>
    <w:rsid w:val="00455FFF"/>
    <w:rsid w:val="004560E5"/>
    <w:rsid w:val="0045622C"/>
    <w:rsid w:val="004562E8"/>
    <w:rsid w:val="00456581"/>
    <w:rsid w:val="0045661B"/>
    <w:rsid w:val="0045661F"/>
    <w:rsid w:val="004568D5"/>
    <w:rsid w:val="00456BF8"/>
    <w:rsid w:val="00457284"/>
    <w:rsid w:val="004573B5"/>
    <w:rsid w:val="0045748D"/>
    <w:rsid w:val="004575F8"/>
    <w:rsid w:val="00457B06"/>
    <w:rsid w:val="00457E46"/>
    <w:rsid w:val="0046005F"/>
    <w:rsid w:val="00460109"/>
    <w:rsid w:val="00460293"/>
    <w:rsid w:val="00460535"/>
    <w:rsid w:val="00460569"/>
    <w:rsid w:val="004606C5"/>
    <w:rsid w:val="00460911"/>
    <w:rsid w:val="00460A01"/>
    <w:rsid w:val="00460F09"/>
    <w:rsid w:val="00460F84"/>
    <w:rsid w:val="0046107E"/>
    <w:rsid w:val="00461107"/>
    <w:rsid w:val="004611D5"/>
    <w:rsid w:val="00461351"/>
    <w:rsid w:val="0046149E"/>
    <w:rsid w:val="004614FE"/>
    <w:rsid w:val="00461624"/>
    <w:rsid w:val="004618CA"/>
    <w:rsid w:val="004619E4"/>
    <w:rsid w:val="00461A42"/>
    <w:rsid w:val="00461B48"/>
    <w:rsid w:val="00461C05"/>
    <w:rsid w:val="00461CE1"/>
    <w:rsid w:val="00461E10"/>
    <w:rsid w:val="0046217A"/>
    <w:rsid w:val="00462194"/>
    <w:rsid w:val="00462652"/>
    <w:rsid w:val="00462857"/>
    <w:rsid w:val="0046285A"/>
    <w:rsid w:val="004628A7"/>
    <w:rsid w:val="004628E5"/>
    <w:rsid w:val="004637A4"/>
    <w:rsid w:val="004639BD"/>
    <w:rsid w:val="00463A04"/>
    <w:rsid w:val="00463A52"/>
    <w:rsid w:val="00463BC1"/>
    <w:rsid w:val="00463EF7"/>
    <w:rsid w:val="0046408E"/>
    <w:rsid w:val="00464181"/>
    <w:rsid w:val="0046420A"/>
    <w:rsid w:val="00464495"/>
    <w:rsid w:val="00464629"/>
    <w:rsid w:val="0046468E"/>
    <w:rsid w:val="00464B6D"/>
    <w:rsid w:val="00464CAA"/>
    <w:rsid w:val="004650CB"/>
    <w:rsid w:val="0046511C"/>
    <w:rsid w:val="004653E6"/>
    <w:rsid w:val="004657FF"/>
    <w:rsid w:val="004658A6"/>
    <w:rsid w:val="00465CF6"/>
    <w:rsid w:val="00465FA1"/>
    <w:rsid w:val="00466131"/>
    <w:rsid w:val="00466280"/>
    <w:rsid w:val="004662C2"/>
    <w:rsid w:val="004669DB"/>
    <w:rsid w:val="00466A68"/>
    <w:rsid w:val="00466A92"/>
    <w:rsid w:val="00466B3C"/>
    <w:rsid w:val="00466C4C"/>
    <w:rsid w:val="0046701D"/>
    <w:rsid w:val="004673D4"/>
    <w:rsid w:val="00467A96"/>
    <w:rsid w:val="00467B83"/>
    <w:rsid w:val="00467D9D"/>
    <w:rsid w:val="00467F85"/>
    <w:rsid w:val="00470432"/>
    <w:rsid w:val="004704AD"/>
    <w:rsid w:val="0047065F"/>
    <w:rsid w:val="00470968"/>
    <w:rsid w:val="00470AE6"/>
    <w:rsid w:val="00470B93"/>
    <w:rsid w:val="00471389"/>
    <w:rsid w:val="00471A25"/>
    <w:rsid w:val="00471B63"/>
    <w:rsid w:val="00471B93"/>
    <w:rsid w:val="00471BB5"/>
    <w:rsid w:val="00471E33"/>
    <w:rsid w:val="00472455"/>
    <w:rsid w:val="00472589"/>
    <w:rsid w:val="0047276E"/>
    <w:rsid w:val="004729EB"/>
    <w:rsid w:val="00472AEB"/>
    <w:rsid w:val="00472C50"/>
    <w:rsid w:val="00472E91"/>
    <w:rsid w:val="00472F52"/>
    <w:rsid w:val="00473690"/>
    <w:rsid w:val="00473938"/>
    <w:rsid w:val="00473964"/>
    <w:rsid w:val="00473DDD"/>
    <w:rsid w:val="00473F60"/>
    <w:rsid w:val="0047410F"/>
    <w:rsid w:val="00474786"/>
    <w:rsid w:val="004748B9"/>
    <w:rsid w:val="004749B3"/>
    <w:rsid w:val="00474A7F"/>
    <w:rsid w:val="00474F2C"/>
    <w:rsid w:val="004753A2"/>
    <w:rsid w:val="004754E3"/>
    <w:rsid w:val="004754F5"/>
    <w:rsid w:val="004754FC"/>
    <w:rsid w:val="0047568B"/>
    <w:rsid w:val="00475BAD"/>
    <w:rsid w:val="00475C56"/>
    <w:rsid w:val="00475D09"/>
    <w:rsid w:val="0047638E"/>
    <w:rsid w:val="00476641"/>
    <w:rsid w:val="0047665A"/>
    <w:rsid w:val="0047666B"/>
    <w:rsid w:val="00476AFC"/>
    <w:rsid w:val="00476B29"/>
    <w:rsid w:val="00476C8C"/>
    <w:rsid w:val="00476DC8"/>
    <w:rsid w:val="00476F95"/>
    <w:rsid w:val="0047737C"/>
    <w:rsid w:val="0047767D"/>
    <w:rsid w:val="004776D7"/>
    <w:rsid w:val="004777C1"/>
    <w:rsid w:val="0047789A"/>
    <w:rsid w:val="00477D89"/>
    <w:rsid w:val="00477E67"/>
    <w:rsid w:val="00477F1D"/>
    <w:rsid w:val="004800A5"/>
    <w:rsid w:val="0048049A"/>
    <w:rsid w:val="0048054E"/>
    <w:rsid w:val="004806F7"/>
    <w:rsid w:val="00480894"/>
    <w:rsid w:val="00480AB7"/>
    <w:rsid w:val="00480B80"/>
    <w:rsid w:val="00480E84"/>
    <w:rsid w:val="00480E8A"/>
    <w:rsid w:val="004819FA"/>
    <w:rsid w:val="00481B64"/>
    <w:rsid w:val="00482253"/>
    <w:rsid w:val="00482487"/>
    <w:rsid w:val="0048250E"/>
    <w:rsid w:val="004826B8"/>
    <w:rsid w:val="00482919"/>
    <w:rsid w:val="00482A0F"/>
    <w:rsid w:val="00482C15"/>
    <w:rsid w:val="0048329F"/>
    <w:rsid w:val="0048337A"/>
    <w:rsid w:val="00483B69"/>
    <w:rsid w:val="00483FF1"/>
    <w:rsid w:val="00484077"/>
    <w:rsid w:val="00484287"/>
    <w:rsid w:val="00485373"/>
    <w:rsid w:val="00485579"/>
    <w:rsid w:val="00485666"/>
    <w:rsid w:val="004856E7"/>
    <w:rsid w:val="0048587A"/>
    <w:rsid w:val="00485F2C"/>
    <w:rsid w:val="0048621A"/>
    <w:rsid w:val="00486F5C"/>
    <w:rsid w:val="0048712F"/>
    <w:rsid w:val="004871B5"/>
    <w:rsid w:val="0048779F"/>
    <w:rsid w:val="004878F9"/>
    <w:rsid w:val="004879CD"/>
    <w:rsid w:val="00487B73"/>
    <w:rsid w:val="00487D97"/>
    <w:rsid w:val="004906AA"/>
    <w:rsid w:val="004906EC"/>
    <w:rsid w:val="00490BC8"/>
    <w:rsid w:val="00490CAC"/>
    <w:rsid w:val="00490CC1"/>
    <w:rsid w:val="00490CDE"/>
    <w:rsid w:val="00490D67"/>
    <w:rsid w:val="00490F03"/>
    <w:rsid w:val="004913A2"/>
    <w:rsid w:val="00491444"/>
    <w:rsid w:val="004914A5"/>
    <w:rsid w:val="00491D07"/>
    <w:rsid w:val="00491F66"/>
    <w:rsid w:val="004921E1"/>
    <w:rsid w:val="0049236F"/>
    <w:rsid w:val="00492D96"/>
    <w:rsid w:val="00492F48"/>
    <w:rsid w:val="00493541"/>
    <w:rsid w:val="00493892"/>
    <w:rsid w:val="00493A70"/>
    <w:rsid w:val="00493B30"/>
    <w:rsid w:val="00493C94"/>
    <w:rsid w:val="00494037"/>
    <w:rsid w:val="004943AF"/>
    <w:rsid w:val="00494639"/>
    <w:rsid w:val="0049488D"/>
    <w:rsid w:val="00494AC7"/>
    <w:rsid w:val="00494B74"/>
    <w:rsid w:val="00494C6F"/>
    <w:rsid w:val="00494DB0"/>
    <w:rsid w:val="00495274"/>
    <w:rsid w:val="004956A5"/>
    <w:rsid w:val="0049589C"/>
    <w:rsid w:val="00495A89"/>
    <w:rsid w:val="00496081"/>
    <w:rsid w:val="004963D5"/>
    <w:rsid w:val="004963FB"/>
    <w:rsid w:val="00496497"/>
    <w:rsid w:val="00496C5B"/>
    <w:rsid w:val="004970E1"/>
    <w:rsid w:val="004972A8"/>
    <w:rsid w:val="004972FE"/>
    <w:rsid w:val="00497577"/>
    <w:rsid w:val="0049767A"/>
    <w:rsid w:val="00497B5D"/>
    <w:rsid w:val="00497B83"/>
    <w:rsid w:val="00497BC0"/>
    <w:rsid w:val="00497CCA"/>
    <w:rsid w:val="00497D1E"/>
    <w:rsid w:val="004A0117"/>
    <w:rsid w:val="004A0192"/>
    <w:rsid w:val="004A04EF"/>
    <w:rsid w:val="004A051A"/>
    <w:rsid w:val="004A05FC"/>
    <w:rsid w:val="004A0EDB"/>
    <w:rsid w:val="004A108D"/>
    <w:rsid w:val="004A1116"/>
    <w:rsid w:val="004A11EE"/>
    <w:rsid w:val="004A1212"/>
    <w:rsid w:val="004A12B9"/>
    <w:rsid w:val="004A17E7"/>
    <w:rsid w:val="004A1D21"/>
    <w:rsid w:val="004A1EFF"/>
    <w:rsid w:val="004A21A4"/>
    <w:rsid w:val="004A2299"/>
    <w:rsid w:val="004A23DB"/>
    <w:rsid w:val="004A2594"/>
    <w:rsid w:val="004A27C9"/>
    <w:rsid w:val="004A2B0F"/>
    <w:rsid w:val="004A2B96"/>
    <w:rsid w:val="004A2D0C"/>
    <w:rsid w:val="004A2E2A"/>
    <w:rsid w:val="004A2F6D"/>
    <w:rsid w:val="004A2FFF"/>
    <w:rsid w:val="004A3020"/>
    <w:rsid w:val="004A3467"/>
    <w:rsid w:val="004A356D"/>
    <w:rsid w:val="004A362C"/>
    <w:rsid w:val="004A38F5"/>
    <w:rsid w:val="004A3999"/>
    <w:rsid w:val="004A3B3C"/>
    <w:rsid w:val="004A409B"/>
    <w:rsid w:val="004A419C"/>
    <w:rsid w:val="004A419D"/>
    <w:rsid w:val="004A4527"/>
    <w:rsid w:val="004A45A9"/>
    <w:rsid w:val="004A4D69"/>
    <w:rsid w:val="004A4F34"/>
    <w:rsid w:val="004A500E"/>
    <w:rsid w:val="004A5228"/>
    <w:rsid w:val="004A52D0"/>
    <w:rsid w:val="004A564A"/>
    <w:rsid w:val="004A569F"/>
    <w:rsid w:val="004A5715"/>
    <w:rsid w:val="004A5A21"/>
    <w:rsid w:val="004A5CA2"/>
    <w:rsid w:val="004A5D9A"/>
    <w:rsid w:val="004A5E79"/>
    <w:rsid w:val="004A6004"/>
    <w:rsid w:val="004A617F"/>
    <w:rsid w:val="004A6235"/>
    <w:rsid w:val="004A65A9"/>
    <w:rsid w:val="004A67B7"/>
    <w:rsid w:val="004A6CD8"/>
    <w:rsid w:val="004A6DE1"/>
    <w:rsid w:val="004A6E7A"/>
    <w:rsid w:val="004A7168"/>
    <w:rsid w:val="004A71D4"/>
    <w:rsid w:val="004A76D1"/>
    <w:rsid w:val="004A799A"/>
    <w:rsid w:val="004A7A54"/>
    <w:rsid w:val="004B0069"/>
    <w:rsid w:val="004B08A3"/>
    <w:rsid w:val="004B0C88"/>
    <w:rsid w:val="004B0D94"/>
    <w:rsid w:val="004B0EAC"/>
    <w:rsid w:val="004B107E"/>
    <w:rsid w:val="004B19FB"/>
    <w:rsid w:val="004B1D61"/>
    <w:rsid w:val="004B1E35"/>
    <w:rsid w:val="004B2036"/>
    <w:rsid w:val="004B208C"/>
    <w:rsid w:val="004B20C9"/>
    <w:rsid w:val="004B2112"/>
    <w:rsid w:val="004B216B"/>
    <w:rsid w:val="004B21A0"/>
    <w:rsid w:val="004B222E"/>
    <w:rsid w:val="004B2419"/>
    <w:rsid w:val="004B24AF"/>
    <w:rsid w:val="004B2A2A"/>
    <w:rsid w:val="004B2A40"/>
    <w:rsid w:val="004B2CC0"/>
    <w:rsid w:val="004B2CCE"/>
    <w:rsid w:val="004B2E09"/>
    <w:rsid w:val="004B32B8"/>
    <w:rsid w:val="004B32F0"/>
    <w:rsid w:val="004B33E4"/>
    <w:rsid w:val="004B35BE"/>
    <w:rsid w:val="004B36B6"/>
    <w:rsid w:val="004B39F4"/>
    <w:rsid w:val="004B3B10"/>
    <w:rsid w:val="004B3C69"/>
    <w:rsid w:val="004B424E"/>
    <w:rsid w:val="004B4B22"/>
    <w:rsid w:val="004B4EBA"/>
    <w:rsid w:val="004B5869"/>
    <w:rsid w:val="004B5887"/>
    <w:rsid w:val="004B5A41"/>
    <w:rsid w:val="004B5E3A"/>
    <w:rsid w:val="004B5F1E"/>
    <w:rsid w:val="004B5F58"/>
    <w:rsid w:val="004B63FF"/>
    <w:rsid w:val="004B6507"/>
    <w:rsid w:val="004B659E"/>
    <w:rsid w:val="004B6667"/>
    <w:rsid w:val="004B6843"/>
    <w:rsid w:val="004B69E2"/>
    <w:rsid w:val="004B6C5F"/>
    <w:rsid w:val="004B6FE6"/>
    <w:rsid w:val="004B7351"/>
    <w:rsid w:val="004B73B1"/>
    <w:rsid w:val="004B7704"/>
    <w:rsid w:val="004B7C59"/>
    <w:rsid w:val="004B7DE4"/>
    <w:rsid w:val="004C04EB"/>
    <w:rsid w:val="004C0824"/>
    <w:rsid w:val="004C08A1"/>
    <w:rsid w:val="004C0A47"/>
    <w:rsid w:val="004C0AD4"/>
    <w:rsid w:val="004C10F4"/>
    <w:rsid w:val="004C11EB"/>
    <w:rsid w:val="004C1214"/>
    <w:rsid w:val="004C14C2"/>
    <w:rsid w:val="004C15DE"/>
    <w:rsid w:val="004C1699"/>
    <w:rsid w:val="004C1BAB"/>
    <w:rsid w:val="004C212C"/>
    <w:rsid w:val="004C246F"/>
    <w:rsid w:val="004C2628"/>
    <w:rsid w:val="004C2636"/>
    <w:rsid w:val="004C2882"/>
    <w:rsid w:val="004C28CE"/>
    <w:rsid w:val="004C2AC6"/>
    <w:rsid w:val="004C2CDA"/>
    <w:rsid w:val="004C2D50"/>
    <w:rsid w:val="004C2FAD"/>
    <w:rsid w:val="004C31AB"/>
    <w:rsid w:val="004C32FD"/>
    <w:rsid w:val="004C35A7"/>
    <w:rsid w:val="004C35EC"/>
    <w:rsid w:val="004C3776"/>
    <w:rsid w:val="004C3F7C"/>
    <w:rsid w:val="004C41B5"/>
    <w:rsid w:val="004C4206"/>
    <w:rsid w:val="004C42B9"/>
    <w:rsid w:val="004C44CD"/>
    <w:rsid w:val="004C47BD"/>
    <w:rsid w:val="004C482B"/>
    <w:rsid w:val="004C4A50"/>
    <w:rsid w:val="004C5258"/>
    <w:rsid w:val="004C5659"/>
    <w:rsid w:val="004C5C7D"/>
    <w:rsid w:val="004C5DDA"/>
    <w:rsid w:val="004C61DC"/>
    <w:rsid w:val="004C677E"/>
    <w:rsid w:val="004C70B3"/>
    <w:rsid w:val="004C70B4"/>
    <w:rsid w:val="004C74BA"/>
    <w:rsid w:val="004D00C5"/>
    <w:rsid w:val="004D02C5"/>
    <w:rsid w:val="004D041D"/>
    <w:rsid w:val="004D04CF"/>
    <w:rsid w:val="004D0837"/>
    <w:rsid w:val="004D0938"/>
    <w:rsid w:val="004D0953"/>
    <w:rsid w:val="004D0AA1"/>
    <w:rsid w:val="004D1292"/>
    <w:rsid w:val="004D132C"/>
    <w:rsid w:val="004D156F"/>
    <w:rsid w:val="004D1B61"/>
    <w:rsid w:val="004D1E18"/>
    <w:rsid w:val="004D1E47"/>
    <w:rsid w:val="004D1F28"/>
    <w:rsid w:val="004D21B4"/>
    <w:rsid w:val="004D21F3"/>
    <w:rsid w:val="004D2797"/>
    <w:rsid w:val="004D2A47"/>
    <w:rsid w:val="004D2AB6"/>
    <w:rsid w:val="004D2AE0"/>
    <w:rsid w:val="004D3316"/>
    <w:rsid w:val="004D3924"/>
    <w:rsid w:val="004D3E5B"/>
    <w:rsid w:val="004D45AF"/>
    <w:rsid w:val="004D50A1"/>
    <w:rsid w:val="004D52E3"/>
    <w:rsid w:val="004D54A7"/>
    <w:rsid w:val="004D58D3"/>
    <w:rsid w:val="004D5B81"/>
    <w:rsid w:val="004D5C55"/>
    <w:rsid w:val="004D5CE4"/>
    <w:rsid w:val="004D5D19"/>
    <w:rsid w:val="004D64F7"/>
    <w:rsid w:val="004D6525"/>
    <w:rsid w:val="004D661D"/>
    <w:rsid w:val="004D7035"/>
    <w:rsid w:val="004D7286"/>
    <w:rsid w:val="004D7821"/>
    <w:rsid w:val="004D7C07"/>
    <w:rsid w:val="004E00B3"/>
    <w:rsid w:val="004E0300"/>
    <w:rsid w:val="004E04C9"/>
    <w:rsid w:val="004E0570"/>
    <w:rsid w:val="004E0900"/>
    <w:rsid w:val="004E0B03"/>
    <w:rsid w:val="004E0E32"/>
    <w:rsid w:val="004E0E42"/>
    <w:rsid w:val="004E1276"/>
    <w:rsid w:val="004E163F"/>
    <w:rsid w:val="004E16A6"/>
    <w:rsid w:val="004E171C"/>
    <w:rsid w:val="004E1C30"/>
    <w:rsid w:val="004E1EFF"/>
    <w:rsid w:val="004E22F6"/>
    <w:rsid w:val="004E23A1"/>
    <w:rsid w:val="004E23B8"/>
    <w:rsid w:val="004E242B"/>
    <w:rsid w:val="004E24C1"/>
    <w:rsid w:val="004E2736"/>
    <w:rsid w:val="004E27ED"/>
    <w:rsid w:val="004E28D2"/>
    <w:rsid w:val="004E2CE1"/>
    <w:rsid w:val="004E2E50"/>
    <w:rsid w:val="004E3044"/>
    <w:rsid w:val="004E3276"/>
    <w:rsid w:val="004E345F"/>
    <w:rsid w:val="004E3642"/>
    <w:rsid w:val="004E41BA"/>
    <w:rsid w:val="004E45B8"/>
    <w:rsid w:val="004E45E1"/>
    <w:rsid w:val="004E462E"/>
    <w:rsid w:val="004E4774"/>
    <w:rsid w:val="004E4F17"/>
    <w:rsid w:val="004E504A"/>
    <w:rsid w:val="004E51AC"/>
    <w:rsid w:val="004E5375"/>
    <w:rsid w:val="004E55FD"/>
    <w:rsid w:val="004E57D1"/>
    <w:rsid w:val="004E58F1"/>
    <w:rsid w:val="004E5C5C"/>
    <w:rsid w:val="004E5EB7"/>
    <w:rsid w:val="004E60B5"/>
    <w:rsid w:val="004E6128"/>
    <w:rsid w:val="004E65A9"/>
    <w:rsid w:val="004E6628"/>
    <w:rsid w:val="004E687F"/>
    <w:rsid w:val="004E69FD"/>
    <w:rsid w:val="004E6E12"/>
    <w:rsid w:val="004E728F"/>
    <w:rsid w:val="004E72AD"/>
    <w:rsid w:val="004E72C1"/>
    <w:rsid w:val="004E7364"/>
    <w:rsid w:val="004E760C"/>
    <w:rsid w:val="004E78DC"/>
    <w:rsid w:val="004E78E3"/>
    <w:rsid w:val="004E7A6D"/>
    <w:rsid w:val="004E7A88"/>
    <w:rsid w:val="004E7DFB"/>
    <w:rsid w:val="004E7FCA"/>
    <w:rsid w:val="004F0070"/>
    <w:rsid w:val="004F01BE"/>
    <w:rsid w:val="004F09F6"/>
    <w:rsid w:val="004F10FE"/>
    <w:rsid w:val="004F1122"/>
    <w:rsid w:val="004F1833"/>
    <w:rsid w:val="004F18AD"/>
    <w:rsid w:val="004F1923"/>
    <w:rsid w:val="004F218C"/>
    <w:rsid w:val="004F22C8"/>
    <w:rsid w:val="004F24A7"/>
    <w:rsid w:val="004F282D"/>
    <w:rsid w:val="004F283A"/>
    <w:rsid w:val="004F283D"/>
    <w:rsid w:val="004F29EE"/>
    <w:rsid w:val="004F29F3"/>
    <w:rsid w:val="004F2EAF"/>
    <w:rsid w:val="004F2EBF"/>
    <w:rsid w:val="004F3037"/>
    <w:rsid w:val="004F34A7"/>
    <w:rsid w:val="004F34F2"/>
    <w:rsid w:val="004F3613"/>
    <w:rsid w:val="004F3839"/>
    <w:rsid w:val="004F3A8E"/>
    <w:rsid w:val="004F3B05"/>
    <w:rsid w:val="004F3B91"/>
    <w:rsid w:val="004F3E3D"/>
    <w:rsid w:val="004F3FAD"/>
    <w:rsid w:val="004F4102"/>
    <w:rsid w:val="004F4122"/>
    <w:rsid w:val="004F41D4"/>
    <w:rsid w:val="004F43F0"/>
    <w:rsid w:val="004F44CC"/>
    <w:rsid w:val="004F463F"/>
    <w:rsid w:val="004F47F3"/>
    <w:rsid w:val="004F4966"/>
    <w:rsid w:val="004F4C4A"/>
    <w:rsid w:val="004F4EF2"/>
    <w:rsid w:val="004F4F36"/>
    <w:rsid w:val="004F5192"/>
    <w:rsid w:val="004F5A7C"/>
    <w:rsid w:val="004F5E5C"/>
    <w:rsid w:val="004F5F7A"/>
    <w:rsid w:val="004F60D2"/>
    <w:rsid w:val="004F6671"/>
    <w:rsid w:val="004F6B07"/>
    <w:rsid w:val="004F6C35"/>
    <w:rsid w:val="004F6D1C"/>
    <w:rsid w:val="004F72DE"/>
    <w:rsid w:val="004F769A"/>
    <w:rsid w:val="004F7F3F"/>
    <w:rsid w:val="004F7FFD"/>
    <w:rsid w:val="005002ED"/>
    <w:rsid w:val="005002FA"/>
    <w:rsid w:val="00500466"/>
    <w:rsid w:val="00500695"/>
    <w:rsid w:val="0050070C"/>
    <w:rsid w:val="00500754"/>
    <w:rsid w:val="0050080D"/>
    <w:rsid w:val="00500A3F"/>
    <w:rsid w:val="00500B40"/>
    <w:rsid w:val="00500DD9"/>
    <w:rsid w:val="00501628"/>
    <w:rsid w:val="005016CE"/>
    <w:rsid w:val="00501920"/>
    <w:rsid w:val="00501EC0"/>
    <w:rsid w:val="00502062"/>
    <w:rsid w:val="0050247D"/>
    <w:rsid w:val="0050264B"/>
    <w:rsid w:val="005026DF"/>
    <w:rsid w:val="0050298C"/>
    <w:rsid w:val="005029AA"/>
    <w:rsid w:val="00502B7C"/>
    <w:rsid w:val="00502C8C"/>
    <w:rsid w:val="00503010"/>
    <w:rsid w:val="00503BCD"/>
    <w:rsid w:val="00503E7A"/>
    <w:rsid w:val="00503E94"/>
    <w:rsid w:val="00503EA6"/>
    <w:rsid w:val="00504119"/>
    <w:rsid w:val="005043D7"/>
    <w:rsid w:val="0050444D"/>
    <w:rsid w:val="00504823"/>
    <w:rsid w:val="00504AFE"/>
    <w:rsid w:val="00504B31"/>
    <w:rsid w:val="00504D29"/>
    <w:rsid w:val="005052CF"/>
    <w:rsid w:val="00505805"/>
    <w:rsid w:val="00505B53"/>
    <w:rsid w:val="00505B8F"/>
    <w:rsid w:val="00505CA5"/>
    <w:rsid w:val="00505CD0"/>
    <w:rsid w:val="00505DC9"/>
    <w:rsid w:val="00505FCA"/>
    <w:rsid w:val="005060BF"/>
    <w:rsid w:val="005060C5"/>
    <w:rsid w:val="0050625F"/>
    <w:rsid w:val="0050642E"/>
    <w:rsid w:val="005064F6"/>
    <w:rsid w:val="005067E5"/>
    <w:rsid w:val="005068DF"/>
    <w:rsid w:val="00506C43"/>
    <w:rsid w:val="00506C9E"/>
    <w:rsid w:val="00507098"/>
    <w:rsid w:val="005071F3"/>
    <w:rsid w:val="005072AE"/>
    <w:rsid w:val="00507337"/>
    <w:rsid w:val="0050754B"/>
    <w:rsid w:val="005075F5"/>
    <w:rsid w:val="00507767"/>
    <w:rsid w:val="0050782E"/>
    <w:rsid w:val="00507B60"/>
    <w:rsid w:val="00510459"/>
    <w:rsid w:val="005106CA"/>
    <w:rsid w:val="005109CD"/>
    <w:rsid w:val="00510A07"/>
    <w:rsid w:val="00510C18"/>
    <w:rsid w:val="00510FF3"/>
    <w:rsid w:val="005111D9"/>
    <w:rsid w:val="00511336"/>
    <w:rsid w:val="005115C8"/>
    <w:rsid w:val="005115F4"/>
    <w:rsid w:val="00511848"/>
    <w:rsid w:val="00511A51"/>
    <w:rsid w:val="00511BAF"/>
    <w:rsid w:val="00511E20"/>
    <w:rsid w:val="00511F60"/>
    <w:rsid w:val="00512275"/>
    <w:rsid w:val="00512C8C"/>
    <w:rsid w:val="00512E92"/>
    <w:rsid w:val="00512F09"/>
    <w:rsid w:val="00512F4F"/>
    <w:rsid w:val="00512F96"/>
    <w:rsid w:val="005133DF"/>
    <w:rsid w:val="005135D6"/>
    <w:rsid w:val="0051370E"/>
    <w:rsid w:val="005137D6"/>
    <w:rsid w:val="00513949"/>
    <w:rsid w:val="005139CA"/>
    <w:rsid w:val="00513C0A"/>
    <w:rsid w:val="0051427D"/>
    <w:rsid w:val="0051473D"/>
    <w:rsid w:val="00514A61"/>
    <w:rsid w:val="00514C0E"/>
    <w:rsid w:val="00514E50"/>
    <w:rsid w:val="00514FAD"/>
    <w:rsid w:val="00515196"/>
    <w:rsid w:val="00515419"/>
    <w:rsid w:val="005154C0"/>
    <w:rsid w:val="00515844"/>
    <w:rsid w:val="00516122"/>
    <w:rsid w:val="00516336"/>
    <w:rsid w:val="00516394"/>
    <w:rsid w:val="005164FA"/>
    <w:rsid w:val="005167C3"/>
    <w:rsid w:val="005167EC"/>
    <w:rsid w:val="005168FF"/>
    <w:rsid w:val="00516BEE"/>
    <w:rsid w:val="00516CCF"/>
    <w:rsid w:val="00516DFA"/>
    <w:rsid w:val="00516F3A"/>
    <w:rsid w:val="00517158"/>
    <w:rsid w:val="00517196"/>
    <w:rsid w:val="0051780F"/>
    <w:rsid w:val="00517A90"/>
    <w:rsid w:val="00517D26"/>
    <w:rsid w:val="00517F1F"/>
    <w:rsid w:val="00520085"/>
    <w:rsid w:val="00520270"/>
    <w:rsid w:val="00520A1F"/>
    <w:rsid w:val="00520BA8"/>
    <w:rsid w:val="00520DFC"/>
    <w:rsid w:val="00521228"/>
    <w:rsid w:val="00521537"/>
    <w:rsid w:val="005216A1"/>
    <w:rsid w:val="0052180A"/>
    <w:rsid w:val="00521A3B"/>
    <w:rsid w:val="00521B30"/>
    <w:rsid w:val="00521B9E"/>
    <w:rsid w:val="00521DC7"/>
    <w:rsid w:val="00521E16"/>
    <w:rsid w:val="00521F2D"/>
    <w:rsid w:val="00521FFD"/>
    <w:rsid w:val="005222D4"/>
    <w:rsid w:val="00522859"/>
    <w:rsid w:val="005229B3"/>
    <w:rsid w:val="00522A23"/>
    <w:rsid w:val="00522C83"/>
    <w:rsid w:val="00522D86"/>
    <w:rsid w:val="00522E50"/>
    <w:rsid w:val="0052302F"/>
    <w:rsid w:val="005234B8"/>
    <w:rsid w:val="00523AE9"/>
    <w:rsid w:val="005241C2"/>
    <w:rsid w:val="0052435A"/>
    <w:rsid w:val="005244E8"/>
    <w:rsid w:val="00524909"/>
    <w:rsid w:val="00524DBF"/>
    <w:rsid w:val="00524F10"/>
    <w:rsid w:val="005254C9"/>
    <w:rsid w:val="00525521"/>
    <w:rsid w:val="0052569D"/>
    <w:rsid w:val="0052591F"/>
    <w:rsid w:val="00525D44"/>
    <w:rsid w:val="00525DB6"/>
    <w:rsid w:val="00526101"/>
    <w:rsid w:val="00526362"/>
    <w:rsid w:val="0052648D"/>
    <w:rsid w:val="00526497"/>
    <w:rsid w:val="005264C5"/>
    <w:rsid w:val="00526EC1"/>
    <w:rsid w:val="00526FA5"/>
    <w:rsid w:val="00526FF0"/>
    <w:rsid w:val="0052736C"/>
    <w:rsid w:val="00527549"/>
    <w:rsid w:val="0052767B"/>
    <w:rsid w:val="00527718"/>
    <w:rsid w:val="0052791C"/>
    <w:rsid w:val="00527FF5"/>
    <w:rsid w:val="005304A7"/>
    <w:rsid w:val="005304B9"/>
    <w:rsid w:val="0053062E"/>
    <w:rsid w:val="00530E59"/>
    <w:rsid w:val="00530EC3"/>
    <w:rsid w:val="00530F42"/>
    <w:rsid w:val="00530F7E"/>
    <w:rsid w:val="00531187"/>
    <w:rsid w:val="00531833"/>
    <w:rsid w:val="00531878"/>
    <w:rsid w:val="0053198F"/>
    <w:rsid w:val="00531EA8"/>
    <w:rsid w:val="005324D9"/>
    <w:rsid w:val="005324E2"/>
    <w:rsid w:val="00532614"/>
    <w:rsid w:val="00532A42"/>
    <w:rsid w:val="00532C18"/>
    <w:rsid w:val="00532FAB"/>
    <w:rsid w:val="005331FC"/>
    <w:rsid w:val="00533437"/>
    <w:rsid w:val="005334CE"/>
    <w:rsid w:val="00533557"/>
    <w:rsid w:val="0053368E"/>
    <w:rsid w:val="00533751"/>
    <w:rsid w:val="005337E7"/>
    <w:rsid w:val="00533802"/>
    <w:rsid w:val="0053380C"/>
    <w:rsid w:val="00533B45"/>
    <w:rsid w:val="005344D8"/>
    <w:rsid w:val="00534620"/>
    <w:rsid w:val="005347D6"/>
    <w:rsid w:val="00534ED8"/>
    <w:rsid w:val="00534EDB"/>
    <w:rsid w:val="00534FF5"/>
    <w:rsid w:val="005356BC"/>
    <w:rsid w:val="0053586A"/>
    <w:rsid w:val="00535FC6"/>
    <w:rsid w:val="00536222"/>
    <w:rsid w:val="0053622C"/>
    <w:rsid w:val="005362D8"/>
    <w:rsid w:val="00536665"/>
    <w:rsid w:val="00536843"/>
    <w:rsid w:val="00536D63"/>
    <w:rsid w:val="00536F5F"/>
    <w:rsid w:val="00536FFF"/>
    <w:rsid w:val="005374A1"/>
    <w:rsid w:val="005376F2"/>
    <w:rsid w:val="00537748"/>
    <w:rsid w:val="005377CD"/>
    <w:rsid w:val="00537CFE"/>
    <w:rsid w:val="00537D1B"/>
    <w:rsid w:val="00537D84"/>
    <w:rsid w:val="00537E7A"/>
    <w:rsid w:val="00537EF7"/>
    <w:rsid w:val="005405F3"/>
    <w:rsid w:val="005409FB"/>
    <w:rsid w:val="00540B82"/>
    <w:rsid w:val="00540E78"/>
    <w:rsid w:val="00540EE9"/>
    <w:rsid w:val="005411B9"/>
    <w:rsid w:val="0054147C"/>
    <w:rsid w:val="00541844"/>
    <w:rsid w:val="0054193C"/>
    <w:rsid w:val="00541AFD"/>
    <w:rsid w:val="00542235"/>
    <w:rsid w:val="0054229E"/>
    <w:rsid w:val="00542362"/>
    <w:rsid w:val="005425C9"/>
    <w:rsid w:val="00542669"/>
    <w:rsid w:val="0054266E"/>
    <w:rsid w:val="00542692"/>
    <w:rsid w:val="00542934"/>
    <w:rsid w:val="00542C60"/>
    <w:rsid w:val="00542CBA"/>
    <w:rsid w:val="00542CC3"/>
    <w:rsid w:val="00542F3F"/>
    <w:rsid w:val="0054345A"/>
    <w:rsid w:val="005434C9"/>
    <w:rsid w:val="005439A0"/>
    <w:rsid w:val="00543C2A"/>
    <w:rsid w:val="00543D6F"/>
    <w:rsid w:val="00544098"/>
    <w:rsid w:val="0054410E"/>
    <w:rsid w:val="00544176"/>
    <w:rsid w:val="00544657"/>
    <w:rsid w:val="00544680"/>
    <w:rsid w:val="005446DD"/>
    <w:rsid w:val="005446E3"/>
    <w:rsid w:val="005448A5"/>
    <w:rsid w:val="00544A2A"/>
    <w:rsid w:val="00544B3D"/>
    <w:rsid w:val="0054506D"/>
    <w:rsid w:val="0054535C"/>
    <w:rsid w:val="00545806"/>
    <w:rsid w:val="0054585A"/>
    <w:rsid w:val="00545882"/>
    <w:rsid w:val="005458E0"/>
    <w:rsid w:val="00545C81"/>
    <w:rsid w:val="00545CF4"/>
    <w:rsid w:val="00545CFB"/>
    <w:rsid w:val="00545E64"/>
    <w:rsid w:val="00545EAF"/>
    <w:rsid w:val="00546159"/>
    <w:rsid w:val="0054648D"/>
    <w:rsid w:val="005466FC"/>
    <w:rsid w:val="00546888"/>
    <w:rsid w:val="005468D2"/>
    <w:rsid w:val="00546D0E"/>
    <w:rsid w:val="00546D36"/>
    <w:rsid w:val="00547306"/>
    <w:rsid w:val="005476A3"/>
    <w:rsid w:val="00547D29"/>
    <w:rsid w:val="00547DAE"/>
    <w:rsid w:val="005501D8"/>
    <w:rsid w:val="0055025D"/>
    <w:rsid w:val="00550677"/>
    <w:rsid w:val="00550901"/>
    <w:rsid w:val="00550A41"/>
    <w:rsid w:val="00550EFC"/>
    <w:rsid w:val="00550F4D"/>
    <w:rsid w:val="00550FE6"/>
    <w:rsid w:val="005510E6"/>
    <w:rsid w:val="0055193D"/>
    <w:rsid w:val="00551B65"/>
    <w:rsid w:val="00551BA2"/>
    <w:rsid w:val="00551DA2"/>
    <w:rsid w:val="00551EB9"/>
    <w:rsid w:val="00552022"/>
    <w:rsid w:val="005522D5"/>
    <w:rsid w:val="00552328"/>
    <w:rsid w:val="00552D32"/>
    <w:rsid w:val="0055302A"/>
    <w:rsid w:val="005532E5"/>
    <w:rsid w:val="00553695"/>
    <w:rsid w:val="005536E0"/>
    <w:rsid w:val="00553ACB"/>
    <w:rsid w:val="00553B27"/>
    <w:rsid w:val="00553BC2"/>
    <w:rsid w:val="00553D47"/>
    <w:rsid w:val="005541A3"/>
    <w:rsid w:val="00554943"/>
    <w:rsid w:val="0055496A"/>
    <w:rsid w:val="005554BA"/>
    <w:rsid w:val="005556E7"/>
    <w:rsid w:val="00555755"/>
    <w:rsid w:val="00555A47"/>
    <w:rsid w:val="00555C17"/>
    <w:rsid w:val="00555DFF"/>
    <w:rsid w:val="005563E8"/>
    <w:rsid w:val="00556480"/>
    <w:rsid w:val="0055652A"/>
    <w:rsid w:val="00556A88"/>
    <w:rsid w:val="00556FE9"/>
    <w:rsid w:val="0055703F"/>
    <w:rsid w:val="005573CD"/>
    <w:rsid w:val="0055740B"/>
    <w:rsid w:val="005577B4"/>
    <w:rsid w:val="00557AC7"/>
    <w:rsid w:val="00557C6F"/>
    <w:rsid w:val="00557D21"/>
    <w:rsid w:val="00557E25"/>
    <w:rsid w:val="005601E9"/>
    <w:rsid w:val="00560234"/>
    <w:rsid w:val="0056026F"/>
    <w:rsid w:val="005602E4"/>
    <w:rsid w:val="005603B1"/>
    <w:rsid w:val="005606F3"/>
    <w:rsid w:val="00560E56"/>
    <w:rsid w:val="00560EDC"/>
    <w:rsid w:val="0056128B"/>
    <w:rsid w:val="005612A2"/>
    <w:rsid w:val="00561513"/>
    <w:rsid w:val="005615CF"/>
    <w:rsid w:val="005616BA"/>
    <w:rsid w:val="00561B1B"/>
    <w:rsid w:val="00561D7D"/>
    <w:rsid w:val="00561D83"/>
    <w:rsid w:val="00561E1F"/>
    <w:rsid w:val="0056202B"/>
    <w:rsid w:val="0056206F"/>
    <w:rsid w:val="00562635"/>
    <w:rsid w:val="0056271D"/>
    <w:rsid w:val="00562A93"/>
    <w:rsid w:val="00562E97"/>
    <w:rsid w:val="005632CE"/>
    <w:rsid w:val="00563493"/>
    <w:rsid w:val="005634B8"/>
    <w:rsid w:val="0056360D"/>
    <w:rsid w:val="00563B87"/>
    <w:rsid w:val="005643C8"/>
    <w:rsid w:val="005645CF"/>
    <w:rsid w:val="005647EE"/>
    <w:rsid w:val="00564815"/>
    <w:rsid w:val="0056517B"/>
    <w:rsid w:val="00565261"/>
    <w:rsid w:val="00565262"/>
    <w:rsid w:val="00565600"/>
    <w:rsid w:val="00565626"/>
    <w:rsid w:val="00565CB6"/>
    <w:rsid w:val="00565F38"/>
    <w:rsid w:val="00565FB7"/>
    <w:rsid w:val="0056601E"/>
    <w:rsid w:val="00566110"/>
    <w:rsid w:val="005661C6"/>
    <w:rsid w:val="00566346"/>
    <w:rsid w:val="00566753"/>
    <w:rsid w:val="00566BA3"/>
    <w:rsid w:val="00566D0B"/>
    <w:rsid w:val="005671C5"/>
    <w:rsid w:val="005674A6"/>
    <w:rsid w:val="00567528"/>
    <w:rsid w:val="005676F9"/>
    <w:rsid w:val="00567842"/>
    <w:rsid w:val="00567988"/>
    <w:rsid w:val="00567A25"/>
    <w:rsid w:val="00567B7F"/>
    <w:rsid w:val="00567F17"/>
    <w:rsid w:val="00570133"/>
    <w:rsid w:val="0057017E"/>
    <w:rsid w:val="005701C2"/>
    <w:rsid w:val="005704DD"/>
    <w:rsid w:val="005705E7"/>
    <w:rsid w:val="00570B43"/>
    <w:rsid w:val="00570EF6"/>
    <w:rsid w:val="00570F1B"/>
    <w:rsid w:val="00570F8A"/>
    <w:rsid w:val="0057114F"/>
    <w:rsid w:val="005711EF"/>
    <w:rsid w:val="00571268"/>
    <w:rsid w:val="00571568"/>
    <w:rsid w:val="00571595"/>
    <w:rsid w:val="005715ED"/>
    <w:rsid w:val="00571700"/>
    <w:rsid w:val="005719C6"/>
    <w:rsid w:val="00571D23"/>
    <w:rsid w:val="00571EBC"/>
    <w:rsid w:val="005727AC"/>
    <w:rsid w:val="005728B6"/>
    <w:rsid w:val="00572DC9"/>
    <w:rsid w:val="00572E06"/>
    <w:rsid w:val="00572E18"/>
    <w:rsid w:val="00572FC8"/>
    <w:rsid w:val="0057310C"/>
    <w:rsid w:val="00573231"/>
    <w:rsid w:val="00573233"/>
    <w:rsid w:val="0057349E"/>
    <w:rsid w:val="00573C58"/>
    <w:rsid w:val="005740CD"/>
    <w:rsid w:val="00574434"/>
    <w:rsid w:val="005744C4"/>
    <w:rsid w:val="0057465B"/>
    <w:rsid w:val="005746E2"/>
    <w:rsid w:val="00574730"/>
    <w:rsid w:val="0057489B"/>
    <w:rsid w:val="00575101"/>
    <w:rsid w:val="00575250"/>
    <w:rsid w:val="00575269"/>
    <w:rsid w:val="0057530D"/>
    <w:rsid w:val="005754A6"/>
    <w:rsid w:val="0057562F"/>
    <w:rsid w:val="0057577C"/>
    <w:rsid w:val="00575A66"/>
    <w:rsid w:val="00575F01"/>
    <w:rsid w:val="00575F0A"/>
    <w:rsid w:val="00576109"/>
    <w:rsid w:val="00576605"/>
    <w:rsid w:val="00576701"/>
    <w:rsid w:val="00576966"/>
    <w:rsid w:val="00576A81"/>
    <w:rsid w:val="00576AB1"/>
    <w:rsid w:val="00576CCB"/>
    <w:rsid w:val="0057735D"/>
    <w:rsid w:val="00577CA1"/>
    <w:rsid w:val="00577CA6"/>
    <w:rsid w:val="00577DCE"/>
    <w:rsid w:val="00580202"/>
    <w:rsid w:val="0058021F"/>
    <w:rsid w:val="005804CD"/>
    <w:rsid w:val="0058057F"/>
    <w:rsid w:val="005805E9"/>
    <w:rsid w:val="005808D7"/>
    <w:rsid w:val="00580CDA"/>
    <w:rsid w:val="00581023"/>
    <w:rsid w:val="005814DA"/>
    <w:rsid w:val="00581745"/>
    <w:rsid w:val="0058175E"/>
    <w:rsid w:val="00581C67"/>
    <w:rsid w:val="00581E91"/>
    <w:rsid w:val="00581EA1"/>
    <w:rsid w:val="00581F01"/>
    <w:rsid w:val="0058232C"/>
    <w:rsid w:val="00582392"/>
    <w:rsid w:val="00582489"/>
    <w:rsid w:val="005824E1"/>
    <w:rsid w:val="00582940"/>
    <w:rsid w:val="00582966"/>
    <w:rsid w:val="00582BF7"/>
    <w:rsid w:val="00582DB5"/>
    <w:rsid w:val="00582FC6"/>
    <w:rsid w:val="0058300C"/>
    <w:rsid w:val="005830B4"/>
    <w:rsid w:val="0058315A"/>
    <w:rsid w:val="0058334F"/>
    <w:rsid w:val="005834D6"/>
    <w:rsid w:val="00583762"/>
    <w:rsid w:val="00583889"/>
    <w:rsid w:val="005838F5"/>
    <w:rsid w:val="0058398A"/>
    <w:rsid w:val="00583C59"/>
    <w:rsid w:val="00583D58"/>
    <w:rsid w:val="00584394"/>
    <w:rsid w:val="00584527"/>
    <w:rsid w:val="00584D49"/>
    <w:rsid w:val="00584F50"/>
    <w:rsid w:val="00585341"/>
    <w:rsid w:val="00585377"/>
    <w:rsid w:val="005858B0"/>
    <w:rsid w:val="00585E8B"/>
    <w:rsid w:val="00586236"/>
    <w:rsid w:val="00586379"/>
    <w:rsid w:val="005863F5"/>
    <w:rsid w:val="00586767"/>
    <w:rsid w:val="00586ADB"/>
    <w:rsid w:val="00586E76"/>
    <w:rsid w:val="00587229"/>
    <w:rsid w:val="005872D6"/>
    <w:rsid w:val="005874EB"/>
    <w:rsid w:val="00587C04"/>
    <w:rsid w:val="00587F0E"/>
    <w:rsid w:val="00590053"/>
    <w:rsid w:val="0059005F"/>
    <w:rsid w:val="005908C7"/>
    <w:rsid w:val="005910DD"/>
    <w:rsid w:val="0059118B"/>
    <w:rsid w:val="00591605"/>
    <w:rsid w:val="0059171C"/>
    <w:rsid w:val="005919BB"/>
    <w:rsid w:val="00591F40"/>
    <w:rsid w:val="00592184"/>
    <w:rsid w:val="00592270"/>
    <w:rsid w:val="00592323"/>
    <w:rsid w:val="0059264D"/>
    <w:rsid w:val="005928E8"/>
    <w:rsid w:val="00592D0B"/>
    <w:rsid w:val="00592E87"/>
    <w:rsid w:val="00592EA2"/>
    <w:rsid w:val="00592FF8"/>
    <w:rsid w:val="005932BD"/>
    <w:rsid w:val="005934D1"/>
    <w:rsid w:val="0059355D"/>
    <w:rsid w:val="00593A35"/>
    <w:rsid w:val="00593B71"/>
    <w:rsid w:val="00593C79"/>
    <w:rsid w:val="00593E06"/>
    <w:rsid w:val="00594453"/>
    <w:rsid w:val="00594876"/>
    <w:rsid w:val="005949A7"/>
    <w:rsid w:val="00594F73"/>
    <w:rsid w:val="00595A97"/>
    <w:rsid w:val="00595B96"/>
    <w:rsid w:val="00595E9F"/>
    <w:rsid w:val="00595FC9"/>
    <w:rsid w:val="00596100"/>
    <w:rsid w:val="00596158"/>
    <w:rsid w:val="0059624D"/>
    <w:rsid w:val="00596307"/>
    <w:rsid w:val="00596442"/>
    <w:rsid w:val="00596496"/>
    <w:rsid w:val="00596517"/>
    <w:rsid w:val="00596860"/>
    <w:rsid w:val="00596D8E"/>
    <w:rsid w:val="00596EE1"/>
    <w:rsid w:val="00597BFE"/>
    <w:rsid w:val="00597D27"/>
    <w:rsid w:val="005A010C"/>
    <w:rsid w:val="005A0209"/>
    <w:rsid w:val="005A036A"/>
    <w:rsid w:val="005A03DF"/>
    <w:rsid w:val="005A04FA"/>
    <w:rsid w:val="005A0574"/>
    <w:rsid w:val="005A0A56"/>
    <w:rsid w:val="005A135E"/>
    <w:rsid w:val="005A1499"/>
    <w:rsid w:val="005A1B90"/>
    <w:rsid w:val="005A1C2F"/>
    <w:rsid w:val="005A1CC2"/>
    <w:rsid w:val="005A1D78"/>
    <w:rsid w:val="005A1DD6"/>
    <w:rsid w:val="005A1E58"/>
    <w:rsid w:val="005A2435"/>
    <w:rsid w:val="005A24D3"/>
    <w:rsid w:val="005A2758"/>
    <w:rsid w:val="005A28DC"/>
    <w:rsid w:val="005A2B42"/>
    <w:rsid w:val="005A2B43"/>
    <w:rsid w:val="005A2C61"/>
    <w:rsid w:val="005A2DFE"/>
    <w:rsid w:val="005A2F74"/>
    <w:rsid w:val="005A3223"/>
    <w:rsid w:val="005A375E"/>
    <w:rsid w:val="005A384F"/>
    <w:rsid w:val="005A38A0"/>
    <w:rsid w:val="005A39D0"/>
    <w:rsid w:val="005A3A1A"/>
    <w:rsid w:val="005A3C25"/>
    <w:rsid w:val="005A3FE8"/>
    <w:rsid w:val="005A42E6"/>
    <w:rsid w:val="005A4486"/>
    <w:rsid w:val="005A44F1"/>
    <w:rsid w:val="005A476A"/>
    <w:rsid w:val="005A48C4"/>
    <w:rsid w:val="005A51E9"/>
    <w:rsid w:val="005A5714"/>
    <w:rsid w:val="005A5DAF"/>
    <w:rsid w:val="005A5DFD"/>
    <w:rsid w:val="005A5E1B"/>
    <w:rsid w:val="005A5FDA"/>
    <w:rsid w:val="005A6018"/>
    <w:rsid w:val="005A6128"/>
    <w:rsid w:val="005A67AC"/>
    <w:rsid w:val="005A6989"/>
    <w:rsid w:val="005A6B85"/>
    <w:rsid w:val="005A6BE8"/>
    <w:rsid w:val="005A6C26"/>
    <w:rsid w:val="005A6EBA"/>
    <w:rsid w:val="005A732D"/>
    <w:rsid w:val="005A7385"/>
    <w:rsid w:val="005A74C8"/>
    <w:rsid w:val="005A7A74"/>
    <w:rsid w:val="005A7A75"/>
    <w:rsid w:val="005B0652"/>
    <w:rsid w:val="005B0935"/>
    <w:rsid w:val="005B0B57"/>
    <w:rsid w:val="005B0D16"/>
    <w:rsid w:val="005B14DC"/>
    <w:rsid w:val="005B1750"/>
    <w:rsid w:val="005B18A8"/>
    <w:rsid w:val="005B19A3"/>
    <w:rsid w:val="005B1A81"/>
    <w:rsid w:val="005B1DCE"/>
    <w:rsid w:val="005B203F"/>
    <w:rsid w:val="005B2107"/>
    <w:rsid w:val="005B218C"/>
    <w:rsid w:val="005B24D0"/>
    <w:rsid w:val="005B2927"/>
    <w:rsid w:val="005B2CBB"/>
    <w:rsid w:val="005B36E7"/>
    <w:rsid w:val="005B38E1"/>
    <w:rsid w:val="005B3BFA"/>
    <w:rsid w:val="005B3F3C"/>
    <w:rsid w:val="005B42DD"/>
    <w:rsid w:val="005B4399"/>
    <w:rsid w:val="005B43E0"/>
    <w:rsid w:val="005B501E"/>
    <w:rsid w:val="005B511B"/>
    <w:rsid w:val="005B513D"/>
    <w:rsid w:val="005B5794"/>
    <w:rsid w:val="005B59C5"/>
    <w:rsid w:val="005B5B18"/>
    <w:rsid w:val="005B5C57"/>
    <w:rsid w:val="005B6390"/>
    <w:rsid w:val="005B6452"/>
    <w:rsid w:val="005B6769"/>
    <w:rsid w:val="005B6A94"/>
    <w:rsid w:val="005B6C06"/>
    <w:rsid w:val="005B7035"/>
    <w:rsid w:val="005B708C"/>
    <w:rsid w:val="005B718D"/>
    <w:rsid w:val="005B7664"/>
    <w:rsid w:val="005B76D8"/>
    <w:rsid w:val="005B77DF"/>
    <w:rsid w:val="005B7997"/>
    <w:rsid w:val="005B7B42"/>
    <w:rsid w:val="005C02AF"/>
    <w:rsid w:val="005C0B22"/>
    <w:rsid w:val="005C0D91"/>
    <w:rsid w:val="005C11A5"/>
    <w:rsid w:val="005C1276"/>
    <w:rsid w:val="005C14D6"/>
    <w:rsid w:val="005C150A"/>
    <w:rsid w:val="005C1721"/>
    <w:rsid w:val="005C174E"/>
    <w:rsid w:val="005C177A"/>
    <w:rsid w:val="005C1A16"/>
    <w:rsid w:val="005C1D60"/>
    <w:rsid w:val="005C1E54"/>
    <w:rsid w:val="005C201F"/>
    <w:rsid w:val="005C2350"/>
    <w:rsid w:val="005C273A"/>
    <w:rsid w:val="005C28DD"/>
    <w:rsid w:val="005C2EB2"/>
    <w:rsid w:val="005C323A"/>
    <w:rsid w:val="005C3523"/>
    <w:rsid w:val="005C3750"/>
    <w:rsid w:val="005C3A6C"/>
    <w:rsid w:val="005C44BB"/>
    <w:rsid w:val="005C45D2"/>
    <w:rsid w:val="005C46B0"/>
    <w:rsid w:val="005C4744"/>
    <w:rsid w:val="005C4B3B"/>
    <w:rsid w:val="005C4C6D"/>
    <w:rsid w:val="005C4C7E"/>
    <w:rsid w:val="005C4EC0"/>
    <w:rsid w:val="005C5214"/>
    <w:rsid w:val="005C5267"/>
    <w:rsid w:val="005C53FD"/>
    <w:rsid w:val="005C5549"/>
    <w:rsid w:val="005C5679"/>
    <w:rsid w:val="005C5682"/>
    <w:rsid w:val="005C586A"/>
    <w:rsid w:val="005C5CCC"/>
    <w:rsid w:val="005C5D45"/>
    <w:rsid w:val="005C5E43"/>
    <w:rsid w:val="005C617B"/>
    <w:rsid w:val="005C67C3"/>
    <w:rsid w:val="005C6A1D"/>
    <w:rsid w:val="005C7173"/>
    <w:rsid w:val="005C7723"/>
    <w:rsid w:val="005C7C83"/>
    <w:rsid w:val="005C7CCA"/>
    <w:rsid w:val="005D02CB"/>
    <w:rsid w:val="005D03F6"/>
    <w:rsid w:val="005D0491"/>
    <w:rsid w:val="005D0737"/>
    <w:rsid w:val="005D07AA"/>
    <w:rsid w:val="005D0EE8"/>
    <w:rsid w:val="005D1253"/>
    <w:rsid w:val="005D186D"/>
    <w:rsid w:val="005D1D8C"/>
    <w:rsid w:val="005D1E1B"/>
    <w:rsid w:val="005D1EB3"/>
    <w:rsid w:val="005D1F29"/>
    <w:rsid w:val="005D214B"/>
    <w:rsid w:val="005D227A"/>
    <w:rsid w:val="005D233E"/>
    <w:rsid w:val="005D2503"/>
    <w:rsid w:val="005D2919"/>
    <w:rsid w:val="005D2C57"/>
    <w:rsid w:val="005D2E97"/>
    <w:rsid w:val="005D2F9D"/>
    <w:rsid w:val="005D3213"/>
    <w:rsid w:val="005D32A8"/>
    <w:rsid w:val="005D336D"/>
    <w:rsid w:val="005D33E8"/>
    <w:rsid w:val="005D3408"/>
    <w:rsid w:val="005D3893"/>
    <w:rsid w:val="005D3A74"/>
    <w:rsid w:val="005D3A8E"/>
    <w:rsid w:val="005D3B79"/>
    <w:rsid w:val="005D47DA"/>
    <w:rsid w:val="005D48D8"/>
    <w:rsid w:val="005D4CB0"/>
    <w:rsid w:val="005D4F45"/>
    <w:rsid w:val="005D4F85"/>
    <w:rsid w:val="005D507B"/>
    <w:rsid w:val="005D54C8"/>
    <w:rsid w:val="005D5773"/>
    <w:rsid w:val="005D58ED"/>
    <w:rsid w:val="005D5D10"/>
    <w:rsid w:val="005D5D82"/>
    <w:rsid w:val="005D5E6E"/>
    <w:rsid w:val="005D60F8"/>
    <w:rsid w:val="005D6402"/>
    <w:rsid w:val="005D64D1"/>
    <w:rsid w:val="005D6921"/>
    <w:rsid w:val="005D6A40"/>
    <w:rsid w:val="005D6B61"/>
    <w:rsid w:val="005D6B6F"/>
    <w:rsid w:val="005D70A6"/>
    <w:rsid w:val="005D7120"/>
    <w:rsid w:val="005D72D3"/>
    <w:rsid w:val="005D757D"/>
    <w:rsid w:val="005D7604"/>
    <w:rsid w:val="005D77D5"/>
    <w:rsid w:val="005D781A"/>
    <w:rsid w:val="005D78B4"/>
    <w:rsid w:val="005D79EA"/>
    <w:rsid w:val="005D7B40"/>
    <w:rsid w:val="005D7E16"/>
    <w:rsid w:val="005E0081"/>
    <w:rsid w:val="005E0C10"/>
    <w:rsid w:val="005E0EC8"/>
    <w:rsid w:val="005E0EDF"/>
    <w:rsid w:val="005E15B3"/>
    <w:rsid w:val="005E15C3"/>
    <w:rsid w:val="005E1623"/>
    <w:rsid w:val="005E1831"/>
    <w:rsid w:val="005E186F"/>
    <w:rsid w:val="005E1875"/>
    <w:rsid w:val="005E18D5"/>
    <w:rsid w:val="005E1909"/>
    <w:rsid w:val="005E1A2F"/>
    <w:rsid w:val="005E206D"/>
    <w:rsid w:val="005E2253"/>
    <w:rsid w:val="005E249F"/>
    <w:rsid w:val="005E26DC"/>
    <w:rsid w:val="005E2A4F"/>
    <w:rsid w:val="005E2B8A"/>
    <w:rsid w:val="005E2B9E"/>
    <w:rsid w:val="005E2FDE"/>
    <w:rsid w:val="005E3121"/>
    <w:rsid w:val="005E31A5"/>
    <w:rsid w:val="005E3E7B"/>
    <w:rsid w:val="005E419D"/>
    <w:rsid w:val="005E4C74"/>
    <w:rsid w:val="005E4E74"/>
    <w:rsid w:val="005E4FB3"/>
    <w:rsid w:val="005E50D4"/>
    <w:rsid w:val="005E5444"/>
    <w:rsid w:val="005E5474"/>
    <w:rsid w:val="005E54F1"/>
    <w:rsid w:val="005E5ECF"/>
    <w:rsid w:val="005E6044"/>
    <w:rsid w:val="005E6555"/>
    <w:rsid w:val="005E6847"/>
    <w:rsid w:val="005E6952"/>
    <w:rsid w:val="005E6E80"/>
    <w:rsid w:val="005E6F6B"/>
    <w:rsid w:val="005E7009"/>
    <w:rsid w:val="005E7208"/>
    <w:rsid w:val="005E729C"/>
    <w:rsid w:val="005E7443"/>
    <w:rsid w:val="005E7545"/>
    <w:rsid w:val="005E7679"/>
    <w:rsid w:val="005E794F"/>
    <w:rsid w:val="005F0031"/>
    <w:rsid w:val="005F0198"/>
    <w:rsid w:val="005F0396"/>
    <w:rsid w:val="005F0480"/>
    <w:rsid w:val="005F0A2A"/>
    <w:rsid w:val="005F0C4F"/>
    <w:rsid w:val="005F106D"/>
    <w:rsid w:val="005F1454"/>
    <w:rsid w:val="005F14CF"/>
    <w:rsid w:val="005F169A"/>
    <w:rsid w:val="005F1861"/>
    <w:rsid w:val="005F1A5D"/>
    <w:rsid w:val="005F1B3B"/>
    <w:rsid w:val="005F1C37"/>
    <w:rsid w:val="005F1E23"/>
    <w:rsid w:val="005F1E71"/>
    <w:rsid w:val="005F2016"/>
    <w:rsid w:val="005F279E"/>
    <w:rsid w:val="005F29D7"/>
    <w:rsid w:val="005F2CD3"/>
    <w:rsid w:val="005F2D4A"/>
    <w:rsid w:val="005F2EC7"/>
    <w:rsid w:val="005F3154"/>
    <w:rsid w:val="005F391D"/>
    <w:rsid w:val="005F3922"/>
    <w:rsid w:val="005F42F5"/>
    <w:rsid w:val="005F4738"/>
    <w:rsid w:val="005F47E6"/>
    <w:rsid w:val="005F48CE"/>
    <w:rsid w:val="005F497F"/>
    <w:rsid w:val="005F4CD0"/>
    <w:rsid w:val="005F50EF"/>
    <w:rsid w:val="005F547B"/>
    <w:rsid w:val="005F5C7B"/>
    <w:rsid w:val="005F5CDD"/>
    <w:rsid w:val="005F5F62"/>
    <w:rsid w:val="005F60E9"/>
    <w:rsid w:val="005F636E"/>
    <w:rsid w:val="005F65B9"/>
    <w:rsid w:val="005F6643"/>
    <w:rsid w:val="005F6849"/>
    <w:rsid w:val="005F6E08"/>
    <w:rsid w:val="005F72F3"/>
    <w:rsid w:val="005F7301"/>
    <w:rsid w:val="005F7319"/>
    <w:rsid w:val="005F7345"/>
    <w:rsid w:val="005F737D"/>
    <w:rsid w:val="005F760A"/>
    <w:rsid w:val="005F77A7"/>
    <w:rsid w:val="005F79AD"/>
    <w:rsid w:val="005F79DD"/>
    <w:rsid w:val="005F7FE1"/>
    <w:rsid w:val="006005DE"/>
    <w:rsid w:val="006006F9"/>
    <w:rsid w:val="00600D6F"/>
    <w:rsid w:val="00600DA2"/>
    <w:rsid w:val="006011D7"/>
    <w:rsid w:val="00601DEC"/>
    <w:rsid w:val="006020CB"/>
    <w:rsid w:val="006023E1"/>
    <w:rsid w:val="006024A0"/>
    <w:rsid w:val="006024EC"/>
    <w:rsid w:val="006025B0"/>
    <w:rsid w:val="00602982"/>
    <w:rsid w:val="00602B71"/>
    <w:rsid w:val="00602E86"/>
    <w:rsid w:val="00602FBF"/>
    <w:rsid w:val="00603204"/>
    <w:rsid w:val="00603396"/>
    <w:rsid w:val="006034E3"/>
    <w:rsid w:val="0060390E"/>
    <w:rsid w:val="00603C3B"/>
    <w:rsid w:val="00603EB2"/>
    <w:rsid w:val="00603FC0"/>
    <w:rsid w:val="00604114"/>
    <w:rsid w:val="006041AB"/>
    <w:rsid w:val="006043DA"/>
    <w:rsid w:val="00604505"/>
    <w:rsid w:val="00604F4A"/>
    <w:rsid w:val="00605068"/>
    <w:rsid w:val="00605A88"/>
    <w:rsid w:val="00605C73"/>
    <w:rsid w:val="00605C8E"/>
    <w:rsid w:val="00605F1C"/>
    <w:rsid w:val="006064D9"/>
    <w:rsid w:val="006069AD"/>
    <w:rsid w:val="006069C0"/>
    <w:rsid w:val="00606BA7"/>
    <w:rsid w:val="00606C44"/>
    <w:rsid w:val="006071CB"/>
    <w:rsid w:val="00607254"/>
    <w:rsid w:val="00607738"/>
    <w:rsid w:val="00607FA3"/>
    <w:rsid w:val="00610187"/>
    <w:rsid w:val="00610432"/>
    <w:rsid w:val="006105CC"/>
    <w:rsid w:val="00610AF9"/>
    <w:rsid w:val="00610B61"/>
    <w:rsid w:val="00610B90"/>
    <w:rsid w:val="00610BBD"/>
    <w:rsid w:val="00610E3F"/>
    <w:rsid w:val="00611214"/>
    <w:rsid w:val="0061135D"/>
    <w:rsid w:val="0061147C"/>
    <w:rsid w:val="00611CFD"/>
    <w:rsid w:val="00611E44"/>
    <w:rsid w:val="00612411"/>
    <w:rsid w:val="0061254F"/>
    <w:rsid w:val="00612E5C"/>
    <w:rsid w:val="00612E99"/>
    <w:rsid w:val="00612ED4"/>
    <w:rsid w:val="006130B0"/>
    <w:rsid w:val="00613204"/>
    <w:rsid w:val="006132FB"/>
    <w:rsid w:val="006135AB"/>
    <w:rsid w:val="00613710"/>
    <w:rsid w:val="00613885"/>
    <w:rsid w:val="00613E9E"/>
    <w:rsid w:val="00614136"/>
    <w:rsid w:val="00614306"/>
    <w:rsid w:val="00614567"/>
    <w:rsid w:val="00614633"/>
    <w:rsid w:val="00614921"/>
    <w:rsid w:val="00614A55"/>
    <w:rsid w:val="00614AF1"/>
    <w:rsid w:val="00614B2F"/>
    <w:rsid w:val="00614B35"/>
    <w:rsid w:val="00614DD2"/>
    <w:rsid w:val="00614DD3"/>
    <w:rsid w:val="006156E6"/>
    <w:rsid w:val="00615975"/>
    <w:rsid w:val="00615AEF"/>
    <w:rsid w:val="00615C60"/>
    <w:rsid w:val="00615F2B"/>
    <w:rsid w:val="00615F3F"/>
    <w:rsid w:val="00616284"/>
    <w:rsid w:val="006162E7"/>
    <w:rsid w:val="006163E6"/>
    <w:rsid w:val="00616D9A"/>
    <w:rsid w:val="00616F0E"/>
    <w:rsid w:val="00617149"/>
    <w:rsid w:val="006172A2"/>
    <w:rsid w:val="006172F7"/>
    <w:rsid w:val="006174E9"/>
    <w:rsid w:val="00617892"/>
    <w:rsid w:val="00617A54"/>
    <w:rsid w:val="00617B3A"/>
    <w:rsid w:val="00617BD9"/>
    <w:rsid w:val="00617D03"/>
    <w:rsid w:val="00617D1D"/>
    <w:rsid w:val="0062016D"/>
    <w:rsid w:val="00620479"/>
    <w:rsid w:val="0062060D"/>
    <w:rsid w:val="0062071B"/>
    <w:rsid w:val="006208AC"/>
    <w:rsid w:val="00620B90"/>
    <w:rsid w:val="00620E33"/>
    <w:rsid w:val="00620E63"/>
    <w:rsid w:val="00621239"/>
    <w:rsid w:val="00621708"/>
    <w:rsid w:val="006218FB"/>
    <w:rsid w:val="00621BB1"/>
    <w:rsid w:val="00621F88"/>
    <w:rsid w:val="00622885"/>
    <w:rsid w:val="006228F4"/>
    <w:rsid w:val="00622BE5"/>
    <w:rsid w:val="0062304E"/>
    <w:rsid w:val="006230ED"/>
    <w:rsid w:val="00623685"/>
    <w:rsid w:val="00623E7A"/>
    <w:rsid w:val="00623F9E"/>
    <w:rsid w:val="0062453E"/>
    <w:rsid w:val="00624560"/>
    <w:rsid w:val="006248A8"/>
    <w:rsid w:val="00624A7D"/>
    <w:rsid w:val="00624D0C"/>
    <w:rsid w:val="00624E29"/>
    <w:rsid w:val="006250E5"/>
    <w:rsid w:val="0062601E"/>
    <w:rsid w:val="006260D7"/>
    <w:rsid w:val="00626672"/>
    <w:rsid w:val="006266FE"/>
    <w:rsid w:val="0062685D"/>
    <w:rsid w:val="00626D9A"/>
    <w:rsid w:val="00626E1D"/>
    <w:rsid w:val="00626F84"/>
    <w:rsid w:val="0062739E"/>
    <w:rsid w:val="006274A5"/>
    <w:rsid w:val="00627537"/>
    <w:rsid w:val="00627B51"/>
    <w:rsid w:val="00627D8D"/>
    <w:rsid w:val="00627DE2"/>
    <w:rsid w:val="00630037"/>
    <w:rsid w:val="006300B5"/>
    <w:rsid w:val="00630317"/>
    <w:rsid w:val="00630453"/>
    <w:rsid w:val="00630555"/>
    <w:rsid w:val="00630CD2"/>
    <w:rsid w:val="006312AF"/>
    <w:rsid w:val="0063153C"/>
    <w:rsid w:val="006317CA"/>
    <w:rsid w:val="006321A8"/>
    <w:rsid w:val="0063281C"/>
    <w:rsid w:val="00632915"/>
    <w:rsid w:val="006329D4"/>
    <w:rsid w:val="00632BA0"/>
    <w:rsid w:val="00632BB3"/>
    <w:rsid w:val="00632DFE"/>
    <w:rsid w:val="00632F0D"/>
    <w:rsid w:val="006338A5"/>
    <w:rsid w:val="006344C1"/>
    <w:rsid w:val="006348F7"/>
    <w:rsid w:val="00634E0C"/>
    <w:rsid w:val="00634FE0"/>
    <w:rsid w:val="00635004"/>
    <w:rsid w:val="0063505E"/>
    <w:rsid w:val="0063531C"/>
    <w:rsid w:val="00635346"/>
    <w:rsid w:val="0063570F"/>
    <w:rsid w:val="00635A75"/>
    <w:rsid w:val="00635BF9"/>
    <w:rsid w:val="00635C86"/>
    <w:rsid w:val="0063633B"/>
    <w:rsid w:val="00636459"/>
    <w:rsid w:val="006364B8"/>
    <w:rsid w:val="00636806"/>
    <w:rsid w:val="00636BF3"/>
    <w:rsid w:val="006370A4"/>
    <w:rsid w:val="00637348"/>
    <w:rsid w:val="00637481"/>
    <w:rsid w:val="00637632"/>
    <w:rsid w:val="0063791D"/>
    <w:rsid w:val="0063792E"/>
    <w:rsid w:val="00637DF8"/>
    <w:rsid w:val="00640086"/>
    <w:rsid w:val="00640448"/>
    <w:rsid w:val="006404BF"/>
    <w:rsid w:val="006405EF"/>
    <w:rsid w:val="006405FD"/>
    <w:rsid w:val="00640656"/>
    <w:rsid w:val="006407F2"/>
    <w:rsid w:val="00640893"/>
    <w:rsid w:val="00640C32"/>
    <w:rsid w:val="00640D84"/>
    <w:rsid w:val="00641028"/>
    <w:rsid w:val="0064108C"/>
    <w:rsid w:val="006410B3"/>
    <w:rsid w:val="006410E7"/>
    <w:rsid w:val="00641568"/>
    <w:rsid w:val="00641896"/>
    <w:rsid w:val="0064199F"/>
    <w:rsid w:val="00642082"/>
    <w:rsid w:val="006421D0"/>
    <w:rsid w:val="006423A0"/>
    <w:rsid w:val="00642BB6"/>
    <w:rsid w:val="006433ED"/>
    <w:rsid w:val="006438B7"/>
    <w:rsid w:val="00643B62"/>
    <w:rsid w:val="00643BCD"/>
    <w:rsid w:val="00643E62"/>
    <w:rsid w:val="00643E88"/>
    <w:rsid w:val="00643EA0"/>
    <w:rsid w:val="00643F14"/>
    <w:rsid w:val="006444BF"/>
    <w:rsid w:val="00644728"/>
    <w:rsid w:val="006447F2"/>
    <w:rsid w:val="00644976"/>
    <w:rsid w:val="00644C16"/>
    <w:rsid w:val="0064507C"/>
    <w:rsid w:val="00645109"/>
    <w:rsid w:val="00645255"/>
    <w:rsid w:val="00645338"/>
    <w:rsid w:val="006453B1"/>
    <w:rsid w:val="0064548B"/>
    <w:rsid w:val="006454A5"/>
    <w:rsid w:val="006455DB"/>
    <w:rsid w:val="00645618"/>
    <w:rsid w:val="006456F9"/>
    <w:rsid w:val="00645CCD"/>
    <w:rsid w:val="00645E34"/>
    <w:rsid w:val="00645E3A"/>
    <w:rsid w:val="00646121"/>
    <w:rsid w:val="00646495"/>
    <w:rsid w:val="00646633"/>
    <w:rsid w:val="006466A5"/>
    <w:rsid w:val="00646A60"/>
    <w:rsid w:val="00646DF6"/>
    <w:rsid w:val="00646E38"/>
    <w:rsid w:val="0064780D"/>
    <w:rsid w:val="00647979"/>
    <w:rsid w:val="00647B72"/>
    <w:rsid w:val="00647CC2"/>
    <w:rsid w:val="00647DCC"/>
    <w:rsid w:val="00647E48"/>
    <w:rsid w:val="0065004D"/>
    <w:rsid w:val="00650901"/>
    <w:rsid w:val="006509C9"/>
    <w:rsid w:val="0065100D"/>
    <w:rsid w:val="0065121D"/>
    <w:rsid w:val="006513CC"/>
    <w:rsid w:val="00651555"/>
    <w:rsid w:val="0065168C"/>
    <w:rsid w:val="00651773"/>
    <w:rsid w:val="0065196D"/>
    <w:rsid w:val="006519AC"/>
    <w:rsid w:val="006519B8"/>
    <w:rsid w:val="00651A9F"/>
    <w:rsid w:val="00652241"/>
    <w:rsid w:val="00652301"/>
    <w:rsid w:val="00652382"/>
    <w:rsid w:val="00652446"/>
    <w:rsid w:val="006525C4"/>
    <w:rsid w:val="00652828"/>
    <w:rsid w:val="006535E1"/>
    <w:rsid w:val="00653CB7"/>
    <w:rsid w:val="00653CE8"/>
    <w:rsid w:val="00653D8B"/>
    <w:rsid w:val="00653ED8"/>
    <w:rsid w:val="006540C0"/>
    <w:rsid w:val="00654157"/>
    <w:rsid w:val="006543B9"/>
    <w:rsid w:val="0065455F"/>
    <w:rsid w:val="0065458A"/>
    <w:rsid w:val="00654AE9"/>
    <w:rsid w:val="00654B05"/>
    <w:rsid w:val="00655809"/>
    <w:rsid w:val="00655CAB"/>
    <w:rsid w:val="00656224"/>
    <w:rsid w:val="006562A9"/>
    <w:rsid w:val="00656423"/>
    <w:rsid w:val="006565C5"/>
    <w:rsid w:val="00656A23"/>
    <w:rsid w:val="006573E4"/>
    <w:rsid w:val="00657448"/>
    <w:rsid w:val="00657A47"/>
    <w:rsid w:val="00657AA6"/>
    <w:rsid w:val="00657AC0"/>
    <w:rsid w:val="0066051F"/>
    <w:rsid w:val="006605CB"/>
    <w:rsid w:val="00660906"/>
    <w:rsid w:val="00661331"/>
    <w:rsid w:val="006613ED"/>
    <w:rsid w:val="006615E1"/>
    <w:rsid w:val="00661A5E"/>
    <w:rsid w:val="00661BBF"/>
    <w:rsid w:val="00661D38"/>
    <w:rsid w:val="00661E5F"/>
    <w:rsid w:val="00661E9C"/>
    <w:rsid w:val="00661F15"/>
    <w:rsid w:val="00662267"/>
    <w:rsid w:val="0066235F"/>
    <w:rsid w:val="006629DF"/>
    <w:rsid w:val="00662AA5"/>
    <w:rsid w:val="00662CD0"/>
    <w:rsid w:val="00662F17"/>
    <w:rsid w:val="00662FAD"/>
    <w:rsid w:val="006631CE"/>
    <w:rsid w:val="0066363C"/>
    <w:rsid w:val="00663713"/>
    <w:rsid w:val="00663A0D"/>
    <w:rsid w:val="00663E49"/>
    <w:rsid w:val="00664324"/>
    <w:rsid w:val="006643DA"/>
    <w:rsid w:val="00664ABA"/>
    <w:rsid w:val="00664B89"/>
    <w:rsid w:val="00664F4F"/>
    <w:rsid w:val="0066514D"/>
    <w:rsid w:val="00665945"/>
    <w:rsid w:val="00665B00"/>
    <w:rsid w:val="00665D5F"/>
    <w:rsid w:val="00665FAD"/>
    <w:rsid w:val="0066604B"/>
    <w:rsid w:val="00666592"/>
    <w:rsid w:val="006665B6"/>
    <w:rsid w:val="0066672E"/>
    <w:rsid w:val="0066676A"/>
    <w:rsid w:val="006668F3"/>
    <w:rsid w:val="00666F44"/>
    <w:rsid w:val="006671CF"/>
    <w:rsid w:val="00667373"/>
    <w:rsid w:val="00667A78"/>
    <w:rsid w:val="00667E42"/>
    <w:rsid w:val="00667E5E"/>
    <w:rsid w:val="00667F7D"/>
    <w:rsid w:val="006701C8"/>
    <w:rsid w:val="00670357"/>
    <w:rsid w:val="0067054F"/>
    <w:rsid w:val="00670C9F"/>
    <w:rsid w:val="00670F60"/>
    <w:rsid w:val="006712F3"/>
    <w:rsid w:val="0067133A"/>
    <w:rsid w:val="00671378"/>
    <w:rsid w:val="00671592"/>
    <w:rsid w:val="006715BA"/>
    <w:rsid w:val="006717B1"/>
    <w:rsid w:val="006718E3"/>
    <w:rsid w:val="006718FD"/>
    <w:rsid w:val="00671942"/>
    <w:rsid w:val="00671ADB"/>
    <w:rsid w:val="00671ADE"/>
    <w:rsid w:val="00671B81"/>
    <w:rsid w:val="00671B9D"/>
    <w:rsid w:val="00671BCE"/>
    <w:rsid w:val="00671CC2"/>
    <w:rsid w:val="006726FB"/>
    <w:rsid w:val="006727A5"/>
    <w:rsid w:val="00672AB0"/>
    <w:rsid w:val="00672C3B"/>
    <w:rsid w:val="00672CCF"/>
    <w:rsid w:val="00673332"/>
    <w:rsid w:val="0067340C"/>
    <w:rsid w:val="0067372C"/>
    <w:rsid w:val="00673A56"/>
    <w:rsid w:val="00673D75"/>
    <w:rsid w:val="0067414F"/>
    <w:rsid w:val="0067432D"/>
    <w:rsid w:val="0067460C"/>
    <w:rsid w:val="00674805"/>
    <w:rsid w:val="006748C2"/>
    <w:rsid w:val="006749F6"/>
    <w:rsid w:val="00674ACC"/>
    <w:rsid w:val="00674BFF"/>
    <w:rsid w:val="00674CB1"/>
    <w:rsid w:val="00674D19"/>
    <w:rsid w:val="00674E07"/>
    <w:rsid w:val="00674ECB"/>
    <w:rsid w:val="0067506A"/>
    <w:rsid w:val="00675315"/>
    <w:rsid w:val="006753BC"/>
    <w:rsid w:val="006753F6"/>
    <w:rsid w:val="00675C9D"/>
    <w:rsid w:val="00675CE3"/>
    <w:rsid w:val="00675DE4"/>
    <w:rsid w:val="00675E26"/>
    <w:rsid w:val="0067603F"/>
    <w:rsid w:val="006760F2"/>
    <w:rsid w:val="00676802"/>
    <w:rsid w:val="00676AA3"/>
    <w:rsid w:val="00676D60"/>
    <w:rsid w:val="00676F22"/>
    <w:rsid w:val="006772FF"/>
    <w:rsid w:val="0067787C"/>
    <w:rsid w:val="00677B6D"/>
    <w:rsid w:val="00677BD5"/>
    <w:rsid w:val="00677CFE"/>
    <w:rsid w:val="00677D37"/>
    <w:rsid w:val="00677F61"/>
    <w:rsid w:val="0068014B"/>
    <w:rsid w:val="006802AA"/>
    <w:rsid w:val="006808B2"/>
    <w:rsid w:val="006809D8"/>
    <w:rsid w:val="00680D09"/>
    <w:rsid w:val="00681730"/>
    <w:rsid w:val="00681A6F"/>
    <w:rsid w:val="00681BBD"/>
    <w:rsid w:val="00681DD2"/>
    <w:rsid w:val="00682017"/>
    <w:rsid w:val="0068209F"/>
    <w:rsid w:val="006821D1"/>
    <w:rsid w:val="00682487"/>
    <w:rsid w:val="0068277A"/>
    <w:rsid w:val="00682785"/>
    <w:rsid w:val="00682ABB"/>
    <w:rsid w:val="00682B0F"/>
    <w:rsid w:val="00682EF9"/>
    <w:rsid w:val="00683074"/>
    <w:rsid w:val="006830F6"/>
    <w:rsid w:val="00683425"/>
    <w:rsid w:val="006837E1"/>
    <w:rsid w:val="00683B0C"/>
    <w:rsid w:val="00683D24"/>
    <w:rsid w:val="00683FCA"/>
    <w:rsid w:val="00684004"/>
    <w:rsid w:val="006841DD"/>
    <w:rsid w:val="006849A3"/>
    <w:rsid w:val="00684C0B"/>
    <w:rsid w:val="00684CCB"/>
    <w:rsid w:val="00684E6B"/>
    <w:rsid w:val="0068517F"/>
    <w:rsid w:val="00685187"/>
    <w:rsid w:val="006856D7"/>
    <w:rsid w:val="00685714"/>
    <w:rsid w:val="006857DA"/>
    <w:rsid w:val="00685D6A"/>
    <w:rsid w:val="00685EA4"/>
    <w:rsid w:val="00686360"/>
    <w:rsid w:val="006863E3"/>
    <w:rsid w:val="00686522"/>
    <w:rsid w:val="0068694C"/>
    <w:rsid w:val="00686E3E"/>
    <w:rsid w:val="0068715B"/>
    <w:rsid w:val="00687588"/>
    <w:rsid w:val="006879F0"/>
    <w:rsid w:val="00687DA9"/>
    <w:rsid w:val="00687E74"/>
    <w:rsid w:val="00687FBF"/>
    <w:rsid w:val="006900F5"/>
    <w:rsid w:val="006903AF"/>
    <w:rsid w:val="00690549"/>
    <w:rsid w:val="0069057D"/>
    <w:rsid w:val="0069065D"/>
    <w:rsid w:val="00690700"/>
    <w:rsid w:val="00690D25"/>
    <w:rsid w:val="00690F67"/>
    <w:rsid w:val="00690FCE"/>
    <w:rsid w:val="00691077"/>
    <w:rsid w:val="0069118B"/>
    <w:rsid w:val="00691336"/>
    <w:rsid w:val="00691386"/>
    <w:rsid w:val="006914CF"/>
    <w:rsid w:val="0069185C"/>
    <w:rsid w:val="0069192E"/>
    <w:rsid w:val="00691F82"/>
    <w:rsid w:val="0069200C"/>
    <w:rsid w:val="00692251"/>
    <w:rsid w:val="0069264D"/>
    <w:rsid w:val="0069290A"/>
    <w:rsid w:val="00692B02"/>
    <w:rsid w:val="00692C39"/>
    <w:rsid w:val="00692E5F"/>
    <w:rsid w:val="00693001"/>
    <w:rsid w:val="0069302F"/>
    <w:rsid w:val="00693089"/>
    <w:rsid w:val="006930A1"/>
    <w:rsid w:val="00693735"/>
    <w:rsid w:val="00693794"/>
    <w:rsid w:val="00693C4F"/>
    <w:rsid w:val="00693C65"/>
    <w:rsid w:val="006942CF"/>
    <w:rsid w:val="00694374"/>
    <w:rsid w:val="00694575"/>
    <w:rsid w:val="00694647"/>
    <w:rsid w:val="0069465B"/>
    <w:rsid w:val="0069512C"/>
    <w:rsid w:val="00695FEE"/>
    <w:rsid w:val="006960EF"/>
    <w:rsid w:val="00696569"/>
    <w:rsid w:val="00696605"/>
    <w:rsid w:val="0069663F"/>
    <w:rsid w:val="0069675C"/>
    <w:rsid w:val="006968AF"/>
    <w:rsid w:val="006968FB"/>
    <w:rsid w:val="00696A98"/>
    <w:rsid w:val="00696BF0"/>
    <w:rsid w:val="00696C6E"/>
    <w:rsid w:val="00696E7E"/>
    <w:rsid w:val="00696E94"/>
    <w:rsid w:val="006973AC"/>
    <w:rsid w:val="00697702"/>
    <w:rsid w:val="006977ED"/>
    <w:rsid w:val="00697B41"/>
    <w:rsid w:val="00697B60"/>
    <w:rsid w:val="00697EC1"/>
    <w:rsid w:val="006A069B"/>
    <w:rsid w:val="006A06F1"/>
    <w:rsid w:val="006A0F25"/>
    <w:rsid w:val="006A1235"/>
    <w:rsid w:val="006A12D9"/>
    <w:rsid w:val="006A1897"/>
    <w:rsid w:val="006A1B7F"/>
    <w:rsid w:val="006A1BBF"/>
    <w:rsid w:val="006A1D98"/>
    <w:rsid w:val="006A1E29"/>
    <w:rsid w:val="006A1ECA"/>
    <w:rsid w:val="006A21E2"/>
    <w:rsid w:val="006A23BE"/>
    <w:rsid w:val="006A2444"/>
    <w:rsid w:val="006A2479"/>
    <w:rsid w:val="006A27E5"/>
    <w:rsid w:val="006A29B9"/>
    <w:rsid w:val="006A2B10"/>
    <w:rsid w:val="006A30D3"/>
    <w:rsid w:val="006A370D"/>
    <w:rsid w:val="006A38B7"/>
    <w:rsid w:val="006A3934"/>
    <w:rsid w:val="006A4947"/>
    <w:rsid w:val="006A49CE"/>
    <w:rsid w:val="006A4C57"/>
    <w:rsid w:val="006A5478"/>
    <w:rsid w:val="006A57B6"/>
    <w:rsid w:val="006A5A3B"/>
    <w:rsid w:val="006A5C50"/>
    <w:rsid w:val="006A5CB3"/>
    <w:rsid w:val="006A61A0"/>
    <w:rsid w:val="006A61AB"/>
    <w:rsid w:val="006A63D1"/>
    <w:rsid w:val="006A6A8D"/>
    <w:rsid w:val="006A6D4F"/>
    <w:rsid w:val="006A708C"/>
    <w:rsid w:val="006A7465"/>
    <w:rsid w:val="006A792F"/>
    <w:rsid w:val="006A7A69"/>
    <w:rsid w:val="006A7BB4"/>
    <w:rsid w:val="006A7EEE"/>
    <w:rsid w:val="006B02B6"/>
    <w:rsid w:val="006B04CB"/>
    <w:rsid w:val="006B0550"/>
    <w:rsid w:val="006B0709"/>
    <w:rsid w:val="006B0736"/>
    <w:rsid w:val="006B08EA"/>
    <w:rsid w:val="006B15F1"/>
    <w:rsid w:val="006B1F60"/>
    <w:rsid w:val="006B206A"/>
    <w:rsid w:val="006B2244"/>
    <w:rsid w:val="006B2898"/>
    <w:rsid w:val="006B2C27"/>
    <w:rsid w:val="006B3131"/>
    <w:rsid w:val="006B317B"/>
    <w:rsid w:val="006B33F3"/>
    <w:rsid w:val="006B3865"/>
    <w:rsid w:val="006B3D89"/>
    <w:rsid w:val="006B3E30"/>
    <w:rsid w:val="006B45AA"/>
    <w:rsid w:val="006B4CE0"/>
    <w:rsid w:val="006B4E3A"/>
    <w:rsid w:val="006B51E6"/>
    <w:rsid w:val="006B5203"/>
    <w:rsid w:val="006B52D5"/>
    <w:rsid w:val="006B5317"/>
    <w:rsid w:val="006B5574"/>
    <w:rsid w:val="006B584B"/>
    <w:rsid w:val="006B58B0"/>
    <w:rsid w:val="006B5914"/>
    <w:rsid w:val="006B59AE"/>
    <w:rsid w:val="006B5B3A"/>
    <w:rsid w:val="006B61A9"/>
    <w:rsid w:val="006B62EF"/>
    <w:rsid w:val="006B6448"/>
    <w:rsid w:val="006B685E"/>
    <w:rsid w:val="006B6AF0"/>
    <w:rsid w:val="006B6CD0"/>
    <w:rsid w:val="006B6E69"/>
    <w:rsid w:val="006B7075"/>
    <w:rsid w:val="006B7133"/>
    <w:rsid w:val="006B7214"/>
    <w:rsid w:val="006B72D0"/>
    <w:rsid w:val="006B77A8"/>
    <w:rsid w:val="006B7BC7"/>
    <w:rsid w:val="006B7C20"/>
    <w:rsid w:val="006B7F8A"/>
    <w:rsid w:val="006C0061"/>
    <w:rsid w:val="006C01AE"/>
    <w:rsid w:val="006C0284"/>
    <w:rsid w:val="006C04D1"/>
    <w:rsid w:val="006C0793"/>
    <w:rsid w:val="006C0902"/>
    <w:rsid w:val="006C0AC6"/>
    <w:rsid w:val="006C0E00"/>
    <w:rsid w:val="006C12A5"/>
    <w:rsid w:val="006C1536"/>
    <w:rsid w:val="006C16BA"/>
    <w:rsid w:val="006C1707"/>
    <w:rsid w:val="006C187C"/>
    <w:rsid w:val="006C1A57"/>
    <w:rsid w:val="006C1AE0"/>
    <w:rsid w:val="006C21E1"/>
    <w:rsid w:val="006C2372"/>
    <w:rsid w:val="006C23D2"/>
    <w:rsid w:val="006C23FD"/>
    <w:rsid w:val="006C2577"/>
    <w:rsid w:val="006C2AE9"/>
    <w:rsid w:val="006C2E31"/>
    <w:rsid w:val="006C32E8"/>
    <w:rsid w:val="006C3378"/>
    <w:rsid w:val="006C39CE"/>
    <w:rsid w:val="006C3B11"/>
    <w:rsid w:val="006C3B7E"/>
    <w:rsid w:val="006C3C6C"/>
    <w:rsid w:val="006C4333"/>
    <w:rsid w:val="006C463A"/>
    <w:rsid w:val="006C48AE"/>
    <w:rsid w:val="006C4978"/>
    <w:rsid w:val="006C4980"/>
    <w:rsid w:val="006C4C5E"/>
    <w:rsid w:val="006C4DFC"/>
    <w:rsid w:val="006C50C3"/>
    <w:rsid w:val="006C517B"/>
    <w:rsid w:val="006C51E7"/>
    <w:rsid w:val="006C54D2"/>
    <w:rsid w:val="006C55E8"/>
    <w:rsid w:val="006C571A"/>
    <w:rsid w:val="006C624A"/>
    <w:rsid w:val="006C626E"/>
    <w:rsid w:val="006C63DE"/>
    <w:rsid w:val="006C68A1"/>
    <w:rsid w:val="006C6A23"/>
    <w:rsid w:val="006C6B2F"/>
    <w:rsid w:val="006C7008"/>
    <w:rsid w:val="006C725E"/>
    <w:rsid w:val="006C767F"/>
    <w:rsid w:val="006C7766"/>
    <w:rsid w:val="006C786E"/>
    <w:rsid w:val="006C7A57"/>
    <w:rsid w:val="006C7CAA"/>
    <w:rsid w:val="006D0544"/>
    <w:rsid w:val="006D09E8"/>
    <w:rsid w:val="006D0D3E"/>
    <w:rsid w:val="006D1105"/>
    <w:rsid w:val="006D11FE"/>
    <w:rsid w:val="006D1BF2"/>
    <w:rsid w:val="006D1FBA"/>
    <w:rsid w:val="006D21B8"/>
    <w:rsid w:val="006D24E8"/>
    <w:rsid w:val="006D2952"/>
    <w:rsid w:val="006D2EE2"/>
    <w:rsid w:val="006D301C"/>
    <w:rsid w:val="006D309F"/>
    <w:rsid w:val="006D37F9"/>
    <w:rsid w:val="006D38B7"/>
    <w:rsid w:val="006D3963"/>
    <w:rsid w:val="006D3A8B"/>
    <w:rsid w:val="006D3EBE"/>
    <w:rsid w:val="006D43F8"/>
    <w:rsid w:val="006D44D1"/>
    <w:rsid w:val="006D472A"/>
    <w:rsid w:val="006D479C"/>
    <w:rsid w:val="006D492D"/>
    <w:rsid w:val="006D4935"/>
    <w:rsid w:val="006D4968"/>
    <w:rsid w:val="006D4BD1"/>
    <w:rsid w:val="006D4D05"/>
    <w:rsid w:val="006D4F19"/>
    <w:rsid w:val="006D4F88"/>
    <w:rsid w:val="006D51E8"/>
    <w:rsid w:val="006D54A4"/>
    <w:rsid w:val="006D54B0"/>
    <w:rsid w:val="006D54B8"/>
    <w:rsid w:val="006D55D3"/>
    <w:rsid w:val="006D5837"/>
    <w:rsid w:val="006D597B"/>
    <w:rsid w:val="006D5BF7"/>
    <w:rsid w:val="006D622C"/>
    <w:rsid w:val="006D63E8"/>
    <w:rsid w:val="006D704A"/>
    <w:rsid w:val="006D729A"/>
    <w:rsid w:val="006D72C6"/>
    <w:rsid w:val="006D7411"/>
    <w:rsid w:val="006D7718"/>
    <w:rsid w:val="006D77F5"/>
    <w:rsid w:val="006D7A4D"/>
    <w:rsid w:val="006D7A68"/>
    <w:rsid w:val="006D7CC5"/>
    <w:rsid w:val="006D7CE6"/>
    <w:rsid w:val="006D7DD3"/>
    <w:rsid w:val="006E0560"/>
    <w:rsid w:val="006E0ABD"/>
    <w:rsid w:val="006E0EF2"/>
    <w:rsid w:val="006E0F71"/>
    <w:rsid w:val="006E101A"/>
    <w:rsid w:val="006E11A2"/>
    <w:rsid w:val="006E152B"/>
    <w:rsid w:val="006E1770"/>
    <w:rsid w:val="006E1794"/>
    <w:rsid w:val="006E1991"/>
    <w:rsid w:val="006E1A3E"/>
    <w:rsid w:val="006E1CA6"/>
    <w:rsid w:val="006E205E"/>
    <w:rsid w:val="006E2437"/>
    <w:rsid w:val="006E26C0"/>
    <w:rsid w:val="006E2834"/>
    <w:rsid w:val="006E2877"/>
    <w:rsid w:val="006E294F"/>
    <w:rsid w:val="006E2A09"/>
    <w:rsid w:val="006E2A26"/>
    <w:rsid w:val="006E3111"/>
    <w:rsid w:val="006E32BB"/>
    <w:rsid w:val="006E33AB"/>
    <w:rsid w:val="006E35AE"/>
    <w:rsid w:val="006E389B"/>
    <w:rsid w:val="006E3A94"/>
    <w:rsid w:val="006E3B72"/>
    <w:rsid w:val="006E3CC2"/>
    <w:rsid w:val="006E3F11"/>
    <w:rsid w:val="006E46B1"/>
    <w:rsid w:val="006E486C"/>
    <w:rsid w:val="006E486D"/>
    <w:rsid w:val="006E489A"/>
    <w:rsid w:val="006E4A9D"/>
    <w:rsid w:val="006E4B5E"/>
    <w:rsid w:val="006E4CF3"/>
    <w:rsid w:val="006E4DB6"/>
    <w:rsid w:val="006E4E7D"/>
    <w:rsid w:val="006E4F85"/>
    <w:rsid w:val="006E5182"/>
    <w:rsid w:val="006E58B5"/>
    <w:rsid w:val="006E58B8"/>
    <w:rsid w:val="006E5BA5"/>
    <w:rsid w:val="006E6079"/>
    <w:rsid w:val="006E637C"/>
    <w:rsid w:val="006E65C0"/>
    <w:rsid w:val="006E663F"/>
    <w:rsid w:val="006E680C"/>
    <w:rsid w:val="006E6EB5"/>
    <w:rsid w:val="006E7121"/>
    <w:rsid w:val="006E723D"/>
    <w:rsid w:val="006E74BA"/>
    <w:rsid w:val="006E7663"/>
    <w:rsid w:val="006E7894"/>
    <w:rsid w:val="006E7AE5"/>
    <w:rsid w:val="006E7C69"/>
    <w:rsid w:val="006F00F1"/>
    <w:rsid w:val="006F01E3"/>
    <w:rsid w:val="006F0507"/>
    <w:rsid w:val="006F064F"/>
    <w:rsid w:val="006F099C"/>
    <w:rsid w:val="006F0A2A"/>
    <w:rsid w:val="006F0FA3"/>
    <w:rsid w:val="006F117A"/>
    <w:rsid w:val="006F12A9"/>
    <w:rsid w:val="006F18F8"/>
    <w:rsid w:val="006F192A"/>
    <w:rsid w:val="006F1939"/>
    <w:rsid w:val="006F193C"/>
    <w:rsid w:val="006F19F3"/>
    <w:rsid w:val="006F1DAF"/>
    <w:rsid w:val="006F1EB9"/>
    <w:rsid w:val="006F1F16"/>
    <w:rsid w:val="006F2059"/>
    <w:rsid w:val="006F2139"/>
    <w:rsid w:val="006F2448"/>
    <w:rsid w:val="006F2586"/>
    <w:rsid w:val="006F2697"/>
    <w:rsid w:val="006F278A"/>
    <w:rsid w:val="006F3502"/>
    <w:rsid w:val="006F36DA"/>
    <w:rsid w:val="006F39CE"/>
    <w:rsid w:val="006F3B00"/>
    <w:rsid w:val="006F3DF4"/>
    <w:rsid w:val="006F3E3A"/>
    <w:rsid w:val="006F4E2D"/>
    <w:rsid w:val="006F50DA"/>
    <w:rsid w:val="006F570A"/>
    <w:rsid w:val="006F58D7"/>
    <w:rsid w:val="006F5C11"/>
    <w:rsid w:val="006F5C1A"/>
    <w:rsid w:val="006F5EEE"/>
    <w:rsid w:val="006F61FF"/>
    <w:rsid w:val="006F6344"/>
    <w:rsid w:val="006F680E"/>
    <w:rsid w:val="006F694B"/>
    <w:rsid w:val="006F69C0"/>
    <w:rsid w:val="006F713F"/>
    <w:rsid w:val="006F73E8"/>
    <w:rsid w:val="006F7A60"/>
    <w:rsid w:val="00700007"/>
    <w:rsid w:val="00700140"/>
    <w:rsid w:val="00700437"/>
    <w:rsid w:val="00700839"/>
    <w:rsid w:val="00700A19"/>
    <w:rsid w:val="00700E81"/>
    <w:rsid w:val="00701069"/>
    <w:rsid w:val="007012D2"/>
    <w:rsid w:val="0070141E"/>
    <w:rsid w:val="0070164E"/>
    <w:rsid w:val="0070171F"/>
    <w:rsid w:val="0070181C"/>
    <w:rsid w:val="00701823"/>
    <w:rsid w:val="00701CC1"/>
    <w:rsid w:val="00701DAE"/>
    <w:rsid w:val="00701E0B"/>
    <w:rsid w:val="00701E3A"/>
    <w:rsid w:val="00701FB3"/>
    <w:rsid w:val="0070233E"/>
    <w:rsid w:val="00702AA6"/>
    <w:rsid w:val="00702F13"/>
    <w:rsid w:val="007031AC"/>
    <w:rsid w:val="007036EF"/>
    <w:rsid w:val="00703880"/>
    <w:rsid w:val="007039B2"/>
    <w:rsid w:val="00703D6E"/>
    <w:rsid w:val="00703E6B"/>
    <w:rsid w:val="00703F40"/>
    <w:rsid w:val="00704381"/>
    <w:rsid w:val="007043D8"/>
    <w:rsid w:val="00704580"/>
    <w:rsid w:val="00704593"/>
    <w:rsid w:val="0070477A"/>
    <w:rsid w:val="00704BC9"/>
    <w:rsid w:val="00704D61"/>
    <w:rsid w:val="0070506F"/>
    <w:rsid w:val="00705079"/>
    <w:rsid w:val="0070540D"/>
    <w:rsid w:val="00705453"/>
    <w:rsid w:val="00705694"/>
    <w:rsid w:val="007056F0"/>
    <w:rsid w:val="00705BB9"/>
    <w:rsid w:val="0070647B"/>
    <w:rsid w:val="007064FC"/>
    <w:rsid w:val="007068D8"/>
    <w:rsid w:val="00706D00"/>
    <w:rsid w:val="00706D03"/>
    <w:rsid w:val="0070764E"/>
    <w:rsid w:val="00707AA7"/>
    <w:rsid w:val="00707AE9"/>
    <w:rsid w:val="00707F4C"/>
    <w:rsid w:val="007102AF"/>
    <w:rsid w:val="00710339"/>
    <w:rsid w:val="00710766"/>
    <w:rsid w:val="00710C16"/>
    <w:rsid w:val="00710DF0"/>
    <w:rsid w:val="00710F77"/>
    <w:rsid w:val="00711211"/>
    <w:rsid w:val="0071134B"/>
    <w:rsid w:val="007116C8"/>
    <w:rsid w:val="0071188D"/>
    <w:rsid w:val="007118B8"/>
    <w:rsid w:val="00712065"/>
    <w:rsid w:val="007121D9"/>
    <w:rsid w:val="0071231A"/>
    <w:rsid w:val="007123B8"/>
    <w:rsid w:val="0071247D"/>
    <w:rsid w:val="007125C5"/>
    <w:rsid w:val="0071271E"/>
    <w:rsid w:val="00712B78"/>
    <w:rsid w:val="00712D94"/>
    <w:rsid w:val="00712F63"/>
    <w:rsid w:val="00712F8C"/>
    <w:rsid w:val="00713143"/>
    <w:rsid w:val="007131B5"/>
    <w:rsid w:val="00713570"/>
    <w:rsid w:val="007135DF"/>
    <w:rsid w:val="00713935"/>
    <w:rsid w:val="007139E9"/>
    <w:rsid w:val="00713F03"/>
    <w:rsid w:val="00714001"/>
    <w:rsid w:val="00714517"/>
    <w:rsid w:val="00714940"/>
    <w:rsid w:val="00714AC5"/>
    <w:rsid w:val="00714B4D"/>
    <w:rsid w:val="00714C67"/>
    <w:rsid w:val="007153B2"/>
    <w:rsid w:val="00715886"/>
    <w:rsid w:val="007158A7"/>
    <w:rsid w:val="007158BC"/>
    <w:rsid w:val="00715BB2"/>
    <w:rsid w:val="00715E0B"/>
    <w:rsid w:val="00715FA3"/>
    <w:rsid w:val="00715FD3"/>
    <w:rsid w:val="0071603C"/>
    <w:rsid w:val="00716401"/>
    <w:rsid w:val="007164FD"/>
    <w:rsid w:val="007165A8"/>
    <w:rsid w:val="00716804"/>
    <w:rsid w:val="00716BFA"/>
    <w:rsid w:val="00716C3F"/>
    <w:rsid w:val="00716C8C"/>
    <w:rsid w:val="00716D31"/>
    <w:rsid w:val="00716E13"/>
    <w:rsid w:val="00716FD4"/>
    <w:rsid w:val="00717872"/>
    <w:rsid w:val="00717AF0"/>
    <w:rsid w:val="00717FC4"/>
    <w:rsid w:val="007200A0"/>
    <w:rsid w:val="00720105"/>
    <w:rsid w:val="00720453"/>
    <w:rsid w:val="00720597"/>
    <w:rsid w:val="0072077F"/>
    <w:rsid w:val="00720988"/>
    <w:rsid w:val="00720B94"/>
    <w:rsid w:val="00720D11"/>
    <w:rsid w:val="00721019"/>
    <w:rsid w:val="00721595"/>
    <w:rsid w:val="00721B5E"/>
    <w:rsid w:val="00721BA2"/>
    <w:rsid w:val="00721BC0"/>
    <w:rsid w:val="00721BDB"/>
    <w:rsid w:val="00721CFD"/>
    <w:rsid w:val="00722035"/>
    <w:rsid w:val="0072218C"/>
    <w:rsid w:val="007221BB"/>
    <w:rsid w:val="007223AE"/>
    <w:rsid w:val="007225BA"/>
    <w:rsid w:val="00722DCC"/>
    <w:rsid w:val="00722F4A"/>
    <w:rsid w:val="007236BE"/>
    <w:rsid w:val="007236F6"/>
    <w:rsid w:val="00723DAF"/>
    <w:rsid w:val="00723F9A"/>
    <w:rsid w:val="0072449A"/>
    <w:rsid w:val="0072492B"/>
    <w:rsid w:val="00724D23"/>
    <w:rsid w:val="00724F04"/>
    <w:rsid w:val="00725190"/>
    <w:rsid w:val="0072551F"/>
    <w:rsid w:val="00725A6E"/>
    <w:rsid w:val="00725DCB"/>
    <w:rsid w:val="007267DB"/>
    <w:rsid w:val="0072683F"/>
    <w:rsid w:val="00726D4E"/>
    <w:rsid w:val="00726DA4"/>
    <w:rsid w:val="00726E65"/>
    <w:rsid w:val="007270CB"/>
    <w:rsid w:val="007270DC"/>
    <w:rsid w:val="00727156"/>
    <w:rsid w:val="0072732B"/>
    <w:rsid w:val="0072786D"/>
    <w:rsid w:val="00727A0D"/>
    <w:rsid w:val="00727EF1"/>
    <w:rsid w:val="0073010D"/>
    <w:rsid w:val="007301E0"/>
    <w:rsid w:val="00730327"/>
    <w:rsid w:val="00730492"/>
    <w:rsid w:val="00730DEF"/>
    <w:rsid w:val="00730E1E"/>
    <w:rsid w:val="00730E24"/>
    <w:rsid w:val="00730F03"/>
    <w:rsid w:val="0073105E"/>
    <w:rsid w:val="00731141"/>
    <w:rsid w:val="00731206"/>
    <w:rsid w:val="00731234"/>
    <w:rsid w:val="0073132C"/>
    <w:rsid w:val="007313AF"/>
    <w:rsid w:val="0073142F"/>
    <w:rsid w:val="00731858"/>
    <w:rsid w:val="00731A85"/>
    <w:rsid w:val="00731B5A"/>
    <w:rsid w:val="00731B83"/>
    <w:rsid w:val="00731F35"/>
    <w:rsid w:val="007326A4"/>
    <w:rsid w:val="0073272E"/>
    <w:rsid w:val="00732755"/>
    <w:rsid w:val="00732BBE"/>
    <w:rsid w:val="0073306B"/>
    <w:rsid w:val="00733089"/>
    <w:rsid w:val="00733769"/>
    <w:rsid w:val="00733851"/>
    <w:rsid w:val="0073389A"/>
    <w:rsid w:val="00733936"/>
    <w:rsid w:val="00733B8B"/>
    <w:rsid w:val="00733CC0"/>
    <w:rsid w:val="00733E0F"/>
    <w:rsid w:val="007341B5"/>
    <w:rsid w:val="00734319"/>
    <w:rsid w:val="0073453A"/>
    <w:rsid w:val="0073472D"/>
    <w:rsid w:val="0073480E"/>
    <w:rsid w:val="00734CEC"/>
    <w:rsid w:val="007352DD"/>
    <w:rsid w:val="00735402"/>
    <w:rsid w:val="0073553C"/>
    <w:rsid w:val="007355E3"/>
    <w:rsid w:val="00735639"/>
    <w:rsid w:val="00735752"/>
    <w:rsid w:val="007360DC"/>
    <w:rsid w:val="00736175"/>
    <w:rsid w:val="007368DD"/>
    <w:rsid w:val="00736965"/>
    <w:rsid w:val="00736BA8"/>
    <w:rsid w:val="00737674"/>
    <w:rsid w:val="007376F3"/>
    <w:rsid w:val="00737DEB"/>
    <w:rsid w:val="007400BF"/>
    <w:rsid w:val="00740484"/>
    <w:rsid w:val="00740735"/>
    <w:rsid w:val="007409A9"/>
    <w:rsid w:val="00740CA5"/>
    <w:rsid w:val="00740D01"/>
    <w:rsid w:val="00740EFD"/>
    <w:rsid w:val="00740F2F"/>
    <w:rsid w:val="00741220"/>
    <w:rsid w:val="00741389"/>
    <w:rsid w:val="00741B26"/>
    <w:rsid w:val="00741EDA"/>
    <w:rsid w:val="00742409"/>
    <w:rsid w:val="00742550"/>
    <w:rsid w:val="00742794"/>
    <w:rsid w:val="0074281C"/>
    <w:rsid w:val="00742B55"/>
    <w:rsid w:val="00742CA4"/>
    <w:rsid w:val="00742F86"/>
    <w:rsid w:val="00743749"/>
    <w:rsid w:val="00743763"/>
    <w:rsid w:val="0074383F"/>
    <w:rsid w:val="00743912"/>
    <w:rsid w:val="00743A2B"/>
    <w:rsid w:val="00743DFC"/>
    <w:rsid w:val="00744302"/>
    <w:rsid w:val="00744AD7"/>
    <w:rsid w:val="00744B4C"/>
    <w:rsid w:val="00744C3B"/>
    <w:rsid w:val="00744CEF"/>
    <w:rsid w:val="00744E47"/>
    <w:rsid w:val="00745397"/>
    <w:rsid w:val="0074539B"/>
    <w:rsid w:val="00745799"/>
    <w:rsid w:val="00745A72"/>
    <w:rsid w:val="00745B0A"/>
    <w:rsid w:val="00745B6F"/>
    <w:rsid w:val="00745FCF"/>
    <w:rsid w:val="00746173"/>
    <w:rsid w:val="00746584"/>
    <w:rsid w:val="00746717"/>
    <w:rsid w:val="0074678F"/>
    <w:rsid w:val="00746A22"/>
    <w:rsid w:val="00746DD4"/>
    <w:rsid w:val="00746E6D"/>
    <w:rsid w:val="00747363"/>
    <w:rsid w:val="007473E1"/>
    <w:rsid w:val="007473F6"/>
    <w:rsid w:val="00747717"/>
    <w:rsid w:val="007478BA"/>
    <w:rsid w:val="00747A8E"/>
    <w:rsid w:val="00747B7E"/>
    <w:rsid w:val="00747B80"/>
    <w:rsid w:val="00750004"/>
    <w:rsid w:val="00750075"/>
    <w:rsid w:val="0075027B"/>
    <w:rsid w:val="0075027C"/>
    <w:rsid w:val="007504A2"/>
    <w:rsid w:val="00750742"/>
    <w:rsid w:val="007508C5"/>
    <w:rsid w:val="007509B1"/>
    <w:rsid w:val="007509B6"/>
    <w:rsid w:val="00750D21"/>
    <w:rsid w:val="00750D4B"/>
    <w:rsid w:val="00751034"/>
    <w:rsid w:val="007511FB"/>
    <w:rsid w:val="00751390"/>
    <w:rsid w:val="0075170B"/>
    <w:rsid w:val="00751AF5"/>
    <w:rsid w:val="00751D17"/>
    <w:rsid w:val="00751D25"/>
    <w:rsid w:val="00752021"/>
    <w:rsid w:val="0075205F"/>
    <w:rsid w:val="0075219F"/>
    <w:rsid w:val="00752282"/>
    <w:rsid w:val="0075229C"/>
    <w:rsid w:val="0075234E"/>
    <w:rsid w:val="00752601"/>
    <w:rsid w:val="007528F1"/>
    <w:rsid w:val="00752B16"/>
    <w:rsid w:val="00752CD1"/>
    <w:rsid w:val="00752F1B"/>
    <w:rsid w:val="0075307A"/>
    <w:rsid w:val="007530BB"/>
    <w:rsid w:val="00753318"/>
    <w:rsid w:val="00753550"/>
    <w:rsid w:val="007535B4"/>
    <w:rsid w:val="00753FA2"/>
    <w:rsid w:val="00753FF2"/>
    <w:rsid w:val="00754027"/>
    <w:rsid w:val="007542A1"/>
    <w:rsid w:val="00754542"/>
    <w:rsid w:val="00755356"/>
    <w:rsid w:val="0075546A"/>
    <w:rsid w:val="0075555F"/>
    <w:rsid w:val="00755574"/>
    <w:rsid w:val="00755766"/>
    <w:rsid w:val="00755A42"/>
    <w:rsid w:val="00755DEF"/>
    <w:rsid w:val="007561AA"/>
    <w:rsid w:val="00756263"/>
    <w:rsid w:val="00756816"/>
    <w:rsid w:val="00756819"/>
    <w:rsid w:val="00756EEE"/>
    <w:rsid w:val="00756FC2"/>
    <w:rsid w:val="00757878"/>
    <w:rsid w:val="00757BB8"/>
    <w:rsid w:val="00757BC4"/>
    <w:rsid w:val="00757C29"/>
    <w:rsid w:val="00760581"/>
    <w:rsid w:val="007607BA"/>
    <w:rsid w:val="00760B91"/>
    <w:rsid w:val="00760DB7"/>
    <w:rsid w:val="0076136A"/>
    <w:rsid w:val="00761461"/>
    <w:rsid w:val="007614E6"/>
    <w:rsid w:val="007615C7"/>
    <w:rsid w:val="0076182C"/>
    <w:rsid w:val="007619C6"/>
    <w:rsid w:val="00761DC7"/>
    <w:rsid w:val="00762063"/>
    <w:rsid w:val="00762802"/>
    <w:rsid w:val="00762AEA"/>
    <w:rsid w:val="00762FF2"/>
    <w:rsid w:val="0076300B"/>
    <w:rsid w:val="007633CC"/>
    <w:rsid w:val="0076376E"/>
    <w:rsid w:val="007638E6"/>
    <w:rsid w:val="00763956"/>
    <w:rsid w:val="00763B27"/>
    <w:rsid w:val="00763B45"/>
    <w:rsid w:val="00763CE1"/>
    <w:rsid w:val="00763D22"/>
    <w:rsid w:val="007641AA"/>
    <w:rsid w:val="00764293"/>
    <w:rsid w:val="00764321"/>
    <w:rsid w:val="0076437A"/>
    <w:rsid w:val="00764434"/>
    <w:rsid w:val="00764449"/>
    <w:rsid w:val="00764473"/>
    <w:rsid w:val="007649BC"/>
    <w:rsid w:val="00764CF1"/>
    <w:rsid w:val="00764FF5"/>
    <w:rsid w:val="007650FF"/>
    <w:rsid w:val="0076538B"/>
    <w:rsid w:val="007653C1"/>
    <w:rsid w:val="007658B8"/>
    <w:rsid w:val="0076590F"/>
    <w:rsid w:val="00765E2D"/>
    <w:rsid w:val="007660BA"/>
    <w:rsid w:val="007660BD"/>
    <w:rsid w:val="00766124"/>
    <w:rsid w:val="0076688D"/>
    <w:rsid w:val="00766BB8"/>
    <w:rsid w:val="00766E03"/>
    <w:rsid w:val="00766F82"/>
    <w:rsid w:val="00767164"/>
    <w:rsid w:val="00767270"/>
    <w:rsid w:val="0076729B"/>
    <w:rsid w:val="007674FC"/>
    <w:rsid w:val="00767643"/>
    <w:rsid w:val="007679EA"/>
    <w:rsid w:val="00767AF5"/>
    <w:rsid w:val="00767C89"/>
    <w:rsid w:val="00767E79"/>
    <w:rsid w:val="007702FC"/>
    <w:rsid w:val="00770C7C"/>
    <w:rsid w:val="00770E56"/>
    <w:rsid w:val="00770F83"/>
    <w:rsid w:val="007710EB"/>
    <w:rsid w:val="0077149B"/>
    <w:rsid w:val="0077171F"/>
    <w:rsid w:val="00771F12"/>
    <w:rsid w:val="00772695"/>
    <w:rsid w:val="00772D30"/>
    <w:rsid w:val="00772E43"/>
    <w:rsid w:val="00772EF3"/>
    <w:rsid w:val="00773223"/>
    <w:rsid w:val="00773577"/>
    <w:rsid w:val="0077377B"/>
    <w:rsid w:val="00773806"/>
    <w:rsid w:val="007739E9"/>
    <w:rsid w:val="00773A07"/>
    <w:rsid w:val="00773B59"/>
    <w:rsid w:val="00773F5A"/>
    <w:rsid w:val="007747EC"/>
    <w:rsid w:val="00774977"/>
    <w:rsid w:val="00775033"/>
    <w:rsid w:val="007757B0"/>
    <w:rsid w:val="00775B66"/>
    <w:rsid w:val="00775D03"/>
    <w:rsid w:val="00776284"/>
    <w:rsid w:val="00776620"/>
    <w:rsid w:val="00776640"/>
    <w:rsid w:val="00776870"/>
    <w:rsid w:val="00776891"/>
    <w:rsid w:val="007769C5"/>
    <w:rsid w:val="00776F27"/>
    <w:rsid w:val="007774F8"/>
    <w:rsid w:val="00777686"/>
    <w:rsid w:val="007776A2"/>
    <w:rsid w:val="00777726"/>
    <w:rsid w:val="0077773E"/>
    <w:rsid w:val="0077788B"/>
    <w:rsid w:val="00777BA6"/>
    <w:rsid w:val="00777C25"/>
    <w:rsid w:val="00777C4C"/>
    <w:rsid w:val="00777C52"/>
    <w:rsid w:val="00777E5A"/>
    <w:rsid w:val="00777E73"/>
    <w:rsid w:val="00777E8E"/>
    <w:rsid w:val="00777E9C"/>
    <w:rsid w:val="00777EA5"/>
    <w:rsid w:val="00777EBF"/>
    <w:rsid w:val="00780148"/>
    <w:rsid w:val="007802A5"/>
    <w:rsid w:val="0078032D"/>
    <w:rsid w:val="0078093C"/>
    <w:rsid w:val="00780B1D"/>
    <w:rsid w:val="00780BEF"/>
    <w:rsid w:val="00780DF8"/>
    <w:rsid w:val="00780F1B"/>
    <w:rsid w:val="007812C3"/>
    <w:rsid w:val="0078155E"/>
    <w:rsid w:val="007816E7"/>
    <w:rsid w:val="007819C2"/>
    <w:rsid w:val="00781BE0"/>
    <w:rsid w:val="00781C4E"/>
    <w:rsid w:val="00781C73"/>
    <w:rsid w:val="00781CEB"/>
    <w:rsid w:val="00782181"/>
    <w:rsid w:val="00782733"/>
    <w:rsid w:val="007829CF"/>
    <w:rsid w:val="00782A4B"/>
    <w:rsid w:val="00782C16"/>
    <w:rsid w:val="00783463"/>
    <w:rsid w:val="0078358E"/>
    <w:rsid w:val="0078360E"/>
    <w:rsid w:val="00783723"/>
    <w:rsid w:val="00783958"/>
    <w:rsid w:val="00783DC4"/>
    <w:rsid w:val="00783F22"/>
    <w:rsid w:val="007840E1"/>
    <w:rsid w:val="007841A1"/>
    <w:rsid w:val="00784695"/>
    <w:rsid w:val="00784728"/>
    <w:rsid w:val="00784811"/>
    <w:rsid w:val="00784BB8"/>
    <w:rsid w:val="0078508C"/>
    <w:rsid w:val="00785B01"/>
    <w:rsid w:val="00785C4D"/>
    <w:rsid w:val="00785DDB"/>
    <w:rsid w:val="0078602C"/>
    <w:rsid w:val="00786080"/>
    <w:rsid w:val="00786273"/>
    <w:rsid w:val="0078637A"/>
    <w:rsid w:val="00786474"/>
    <w:rsid w:val="007865E9"/>
    <w:rsid w:val="00786958"/>
    <w:rsid w:val="00786B66"/>
    <w:rsid w:val="00786CB0"/>
    <w:rsid w:val="00786F63"/>
    <w:rsid w:val="00787558"/>
    <w:rsid w:val="007875CB"/>
    <w:rsid w:val="007875D4"/>
    <w:rsid w:val="00787921"/>
    <w:rsid w:val="007879A7"/>
    <w:rsid w:val="00787A69"/>
    <w:rsid w:val="00787CC1"/>
    <w:rsid w:val="00787EBE"/>
    <w:rsid w:val="007901FD"/>
    <w:rsid w:val="00790308"/>
    <w:rsid w:val="00790B07"/>
    <w:rsid w:val="00790B65"/>
    <w:rsid w:val="00790C48"/>
    <w:rsid w:val="00790D87"/>
    <w:rsid w:val="00790EE5"/>
    <w:rsid w:val="0079108F"/>
    <w:rsid w:val="007910C1"/>
    <w:rsid w:val="007910EC"/>
    <w:rsid w:val="007917A7"/>
    <w:rsid w:val="00791A65"/>
    <w:rsid w:val="00791A70"/>
    <w:rsid w:val="0079203A"/>
    <w:rsid w:val="00792295"/>
    <w:rsid w:val="00792298"/>
    <w:rsid w:val="007922D0"/>
    <w:rsid w:val="007925BC"/>
    <w:rsid w:val="00792620"/>
    <w:rsid w:val="00792CBF"/>
    <w:rsid w:val="00792D4D"/>
    <w:rsid w:val="00792D5D"/>
    <w:rsid w:val="00792E9E"/>
    <w:rsid w:val="00793085"/>
    <w:rsid w:val="00793466"/>
    <w:rsid w:val="00793488"/>
    <w:rsid w:val="00793CFB"/>
    <w:rsid w:val="00794019"/>
    <w:rsid w:val="0079412D"/>
    <w:rsid w:val="0079442D"/>
    <w:rsid w:val="0079453B"/>
    <w:rsid w:val="007945FA"/>
    <w:rsid w:val="00794E56"/>
    <w:rsid w:val="007953B5"/>
    <w:rsid w:val="0079560D"/>
    <w:rsid w:val="00795876"/>
    <w:rsid w:val="0079589A"/>
    <w:rsid w:val="00795BB5"/>
    <w:rsid w:val="007964D0"/>
    <w:rsid w:val="00796516"/>
    <w:rsid w:val="007966C7"/>
    <w:rsid w:val="00796783"/>
    <w:rsid w:val="007969F7"/>
    <w:rsid w:val="00796A79"/>
    <w:rsid w:val="00796C35"/>
    <w:rsid w:val="00796DFA"/>
    <w:rsid w:val="00796F28"/>
    <w:rsid w:val="007971E0"/>
    <w:rsid w:val="00797479"/>
    <w:rsid w:val="007974C0"/>
    <w:rsid w:val="0079753E"/>
    <w:rsid w:val="0079775D"/>
    <w:rsid w:val="007977B9"/>
    <w:rsid w:val="007977C9"/>
    <w:rsid w:val="0079780E"/>
    <w:rsid w:val="00797943"/>
    <w:rsid w:val="00797A88"/>
    <w:rsid w:val="00797C6A"/>
    <w:rsid w:val="00797D1E"/>
    <w:rsid w:val="007A0073"/>
    <w:rsid w:val="007A050D"/>
    <w:rsid w:val="007A0F2B"/>
    <w:rsid w:val="007A0FD8"/>
    <w:rsid w:val="007A11C8"/>
    <w:rsid w:val="007A1335"/>
    <w:rsid w:val="007A14EB"/>
    <w:rsid w:val="007A15CC"/>
    <w:rsid w:val="007A164A"/>
    <w:rsid w:val="007A1959"/>
    <w:rsid w:val="007A1BD4"/>
    <w:rsid w:val="007A1FDD"/>
    <w:rsid w:val="007A21D9"/>
    <w:rsid w:val="007A2328"/>
    <w:rsid w:val="007A2378"/>
    <w:rsid w:val="007A23D8"/>
    <w:rsid w:val="007A26B2"/>
    <w:rsid w:val="007A298A"/>
    <w:rsid w:val="007A2C05"/>
    <w:rsid w:val="007A2F0D"/>
    <w:rsid w:val="007A2F98"/>
    <w:rsid w:val="007A386A"/>
    <w:rsid w:val="007A3C6B"/>
    <w:rsid w:val="007A3CD5"/>
    <w:rsid w:val="007A3D80"/>
    <w:rsid w:val="007A3FEE"/>
    <w:rsid w:val="007A4061"/>
    <w:rsid w:val="007A406F"/>
    <w:rsid w:val="007A42F6"/>
    <w:rsid w:val="007A45A9"/>
    <w:rsid w:val="007A522F"/>
    <w:rsid w:val="007A53A0"/>
    <w:rsid w:val="007A5688"/>
    <w:rsid w:val="007A573C"/>
    <w:rsid w:val="007A57F8"/>
    <w:rsid w:val="007A5DF8"/>
    <w:rsid w:val="007A5F4E"/>
    <w:rsid w:val="007A5F54"/>
    <w:rsid w:val="007A6696"/>
    <w:rsid w:val="007A69CF"/>
    <w:rsid w:val="007A6AB7"/>
    <w:rsid w:val="007A748D"/>
    <w:rsid w:val="007A74A8"/>
    <w:rsid w:val="007A7789"/>
    <w:rsid w:val="007A7A99"/>
    <w:rsid w:val="007B02DC"/>
    <w:rsid w:val="007B062D"/>
    <w:rsid w:val="007B07CA"/>
    <w:rsid w:val="007B0C09"/>
    <w:rsid w:val="007B0DAB"/>
    <w:rsid w:val="007B103C"/>
    <w:rsid w:val="007B1215"/>
    <w:rsid w:val="007B14BE"/>
    <w:rsid w:val="007B14CB"/>
    <w:rsid w:val="007B171A"/>
    <w:rsid w:val="007B19F4"/>
    <w:rsid w:val="007B1C99"/>
    <w:rsid w:val="007B20EC"/>
    <w:rsid w:val="007B251D"/>
    <w:rsid w:val="007B268B"/>
    <w:rsid w:val="007B2743"/>
    <w:rsid w:val="007B275E"/>
    <w:rsid w:val="007B28FA"/>
    <w:rsid w:val="007B2D57"/>
    <w:rsid w:val="007B32C4"/>
    <w:rsid w:val="007B3421"/>
    <w:rsid w:val="007B3455"/>
    <w:rsid w:val="007B3660"/>
    <w:rsid w:val="007B3B02"/>
    <w:rsid w:val="007B3F3F"/>
    <w:rsid w:val="007B459C"/>
    <w:rsid w:val="007B4B00"/>
    <w:rsid w:val="007B4E22"/>
    <w:rsid w:val="007B5090"/>
    <w:rsid w:val="007B5514"/>
    <w:rsid w:val="007B5725"/>
    <w:rsid w:val="007B58CC"/>
    <w:rsid w:val="007B5953"/>
    <w:rsid w:val="007B5AF4"/>
    <w:rsid w:val="007B5BD5"/>
    <w:rsid w:val="007B5C7F"/>
    <w:rsid w:val="007B6248"/>
    <w:rsid w:val="007B631D"/>
    <w:rsid w:val="007B689B"/>
    <w:rsid w:val="007B6A7D"/>
    <w:rsid w:val="007B6BBA"/>
    <w:rsid w:val="007B6DAB"/>
    <w:rsid w:val="007B6FB1"/>
    <w:rsid w:val="007B70B4"/>
    <w:rsid w:val="007B714E"/>
    <w:rsid w:val="007B723C"/>
    <w:rsid w:val="007B7565"/>
    <w:rsid w:val="007B757A"/>
    <w:rsid w:val="007B768B"/>
    <w:rsid w:val="007B76CD"/>
    <w:rsid w:val="007B773D"/>
    <w:rsid w:val="007B7873"/>
    <w:rsid w:val="007B7A18"/>
    <w:rsid w:val="007B7B6C"/>
    <w:rsid w:val="007B7C46"/>
    <w:rsid w:val="007B7CED"/>
    <w:rsid w:val="007C036A"/>
    <w:rsid w:val="007C0884"/>
    <w:rsid w:val="007C0907"/>
    <w:rsid w:val="007C0B01"/>
    <w:rsid w:val="007C0BE6"/>
    <w:rsid w:val="007C0F5E"/>
    <w:rsid w:val="007C0F72"/>
    <w:rsid w:val="007C167C"/>
    <w:rsid w:val="007C2100"/>
    <w:rsid w:val="007C21FC"/>
    <w:rsid w:val="007C22E4"/>
    <w:rsid w:val="007C26F3"/>
    <w:rsid w:val="007C27C8"/>
    <w:rsid w:val="007C2C4D"/>
    <w:rsid w:val="007C2C97"/>
    <w:rsid w:val="007C2E02"/>
    <w:rsid w:val="007C308B"/>
    <w:rsid w:val="007C3307"/>
    <w:rsid w:val="007C3D4C"/>
    <w:rsid w:val="007C3F0F"/>
    <w:rsid w:val="007C4249"/>
    <w:rsid w:val="007C4261"/>
    <w:rsid w:val="007C45C1"/>
    <w:rsid w:val="007C462D"/>
    <w:rsid w:val="007C466E"/>
    <w:rsid w:val="007C4693"/>
    <w:rsid w:val="007C4851"/>
    <w:rsid w:val="007C4889"/>
    <w:rsid w:val="007C4E49"/>
    <w:rsid w:val="007C524F"/>
    <w:rsid w:val="007C5D2A"/>
    <w:rsid w:val="007C6057"/>
    <w:rsid w:val="007C62D9"/>
    <w:rsid w:val="007C6694"/>
    <w:rsid w:val="007C66AC"/>
    <w:rsid w:val="007C66D9"/>
    <w:rsid w:val="007C6A25"/>
    <w:rsid w:val="007C6DED"/>
    <w:rsid w:val="007C6ED9"/>
    <w:rsid w:val="007C70A8"/>
    <w:rsid w:val="007C794C"/>
    <w:rsid w:val="007C7B7C"/>
    <w:rsid w:val="007C7C5D"/>
    <w:rsid w:val="007D004C"/>
    <w:rsid w:val="007D01F6"/>
    <w:rsid w:val="007D0296"/>
    <w:rsid w:val="007D033C"/>
    <w:rsid w:val="007D0562"/>
    <w:rsid w:val="007D0754"/>
    <w:rsid w:val="007D0D5D"/>
    <w:rsid w:val="007D0E5C"/>
    <w:rsid w:val="007D0FE8"/>
    <w:rsid w:val="007D10FF"/>
    <w:rsid w:val="007D1198"/>
    <w:rsid w:val="007D1404"/>
    <w:rsid w:val="007D19A9"/>
    <w:rsid w:val="007D2208"/>
    <w:rsid w:val="007D247C"/>
    <w:rsid w:val="007D2710"/>
    <w:rsid w:val="007D27A0"/>
    <w:rsid w:val="007D2AF4"/>
    <w:rsid w:val="007D2C8F"/>
    <w:rsid w:val="007D2D8B"/>
    <w:rsid w:val="007D2F3A"/>
    <w:rsid w:val="007D303F"/>
    <w:rsid w:val="007D373A"/>
    <w:rsid w:val="007D3852"/>
    <w:rsid w:val="007D3B07"/>
    <w:rsid w:val="007D3B36"/>
    <w:rsid w:val="007D3B4C"/>
    <w:rsid w:val="007D3F77"/>
    <w:rsid w:val="007D4119"/>
    <w:rsid w:val="007D4380"/>
    <w:rsid w:val="007D487A"/>
    <w:rsid w:val="007D4AA1"/>
    <w:rsid w:val="007D4B8C"/>
    <w:rsid w:val="007D4CC9"/>
    <w:rsid w:val="007D55FF"/>
    <w:rsid w:val="007D56FF"/>
    <w:rsid w:val="007D58CB"/>
    <w:rsid w:val="007D5C54"/>
    <w:rsid w:val="007D60CF"/>
    <w:rsid w:val="007D669E"/>
    <w:rsid w:val="007D68CE"/>
    <w:rsid w:val="007D6990"/>
    <w:rsid w:val="007D6FEB"/>
    <w:rsid w:val="007D700B"/>
    <w:rsid w:val="007D7096"/>
    <w:rsid w:val="007D73F1"/>
    <w:rsid w:val="007D757F"/>
    <w:rsid w:val="007D76B3"/>
    <w:rsid w:val="007D76CA"/>
    <w:rsid w:val="007D7F85"/>
    <w:rsid w:val="007D7FF9"/>
    <w:rsid w:val="007E001A"/>
    <w:rsid w:val="007E001C"/>
    <w:rsid w:val="007E01CA"/>
    <w:rsid w:val="007E04DD"/>
    <w:rsid w:val="007E066E"/>
    <w:rsid w:val="007E1002"/>
    <w:rsid w:val="007E15B5"/>
    <w:rsid w:val="007E1A1E"/>
    <w:rsid w:val="007E2003"/>
    <w:rsid w:val="007E21A3"/>
    <w:rsid w:val="007E21F5"/>
    <w:rsid w:val="007E2227"/>
    <w:rsid w:val="007E222B"/>
    <w:rsid w:val="007E233D"/>
    <w:rsid w:val="007E2602"/>
    <w:rsid w:val="007E283D"/>
    <w:rsid w:val="007E289D"/>
    <w:rsid w:val="007E28A3"/>
    <w:rsid w:val="007E3146"/>
    <w:rsid w:val="007E3AAA"/>
    <w:rsid w:val="007E4146"/>
    <w:rsid w:val="007E430C"/>
    <w:rsid w:val="007E4311"/>
    <w:rsid w:val="007E479A"/>
    <w:rsid w:val="007E4CD2"/>
    <w:rsid w:val="007E4D3A"/>
    <w:rsid w:val="007E4F79"/>
    <w:rsid w:val="007E51B7"/>
    <w:rsid w:val="007E53F7"/>
    <w:rsid w:val="007E5AA2"/>
    <w:rsid w:val="007E5BA8"/>
    <w:rsid w:val="007E5BD6"/>
    <w:rsid w:val="007E5BD7"/>
    <w:rsid w:val="007E5C6B"/>
    <w:rsid w:val="007E5E0A"/>
    <w:rsid w:val="007E5F9D"/>
    <w:rsid w:val="007E60B5"/>
    <w:rsid w:val="007E61D4"/>
    <w:rsid w:val="007E6424"/>
    <w:rsid w:val="007E658C"/>
    <w:rsid w:val="007E6809"/>
    <w:rsid w:val="007E6819"/>
    <w:rsid w:val="007E6B76"/>
    <w:rsid w:val="007E6D26"/>
    <w:rsid w:val="007E6E09"/>
    <w:rsid w:val="007E6F3E"/>
    <w:rsid w:val="007E6F98"/>
    <w:rsid w:val="007E7062"/>
    <w:rsid w:val="007E7290"/>
    <w:rsid w:val="007E7418"/>
    <w:rsid w:val="007E75FB"/>
    <w:rsid w:val="007E792A"/>
    <w:rsid w:val="007E7B1C"/>
    <w:rsid w:val="007E7CDB"/>
    <w:rsid w:val="007E7D07"/>
    <w:rsid w:val="007E7F35"/>
    <w:rsid w:val="007F029F"/>
    <w:rsid w:val="007F038C"/>
    <w:rsid w:val="007F0416"/>
    <w:rsid w:val="007F0D01"/>
    <w:rsid w:val="007F0FFA"/>
    <w:rsid w:val="007F174A"/>
    <w:rsid w:val="007F189B"/>
    <w:rsid w:val="007F1B30"/>
    <w:rsid w:val="007F2141"/>
    <w:rsid w:val="007F2183"/>
    <w:rsid w:val="007F2655"/>
    <w:rsid w:val="007F2E5C"/>
    <w:rsid w:val="007F3155"/>
    <w:rsid w:val="007F324F"/>
    <w:rsid w:val="007F335F"/>
    <w:rsid w:val="007F3A10"/>
    <w:rsid w:val="007F3AEE"/>
    <w:rsid w:val="007F3C80"/>
    <w:rsid w:val="007F3DBB"/>
    <w:rsid w:val="007F3EA9"/>
    <w:rsid w:val="007F40C8"/>
    <w:rsid w:val="007F415B"/>
    <w:rsid w:val="007F420D"/>
    <w:rsid w:val="007F440C"/>
    <w:rsid w:val="007F4630"/>
    <w:rsid w:val="007F489B"/>
    <w:rsid w:val="007F4936"/>
    <w:rsid w:val="007F4B67"/>
    <w:rsid w:val="007F4BCB"/>
    <w:rsid w:val="007F4D45"/>
    <w:rsid w:val="007F4D7B"/>
    <w:rsid w:val="007F4DD7"/>
    <w:rsid w:val="007F5080"/>
    <w:rsid w:val="007F5176"/>
    <w:rsid w:val="007F5288"/>
    <w:rsid w:val="007F5420"/>
    <w:rsid w:val="007F5469"/>
    <w:rsid w:val="007F58CB"/>
    <w:rsid w:val="007F59EC"/>
    <w:rsid w:val="007F5DF5"/>
    <w:rsid w:val="007F5E9A"/>
    <w:rsid w:val="007F5EAF"/>
    <w:rsid w:val="007F62E2"/>
    <w:rsid w:val="007F6341"/>
    <w:rsid w:val="007F6572"/>
    <w:rsid w:val="007F6A07"/>
    <w:rsid w:val="007F6D6A"/>
    <w:rsid w:val="007F6EC0"/>
    <w:rsid w:val="007F6EF0"/>
    <w:rsid w:val="007F6F37"/>
    <w:rsid w:val="007F780C"/>
    <w:rsid w:val="007F7830"/>
    <w:rsid w:val="007F7983"/>
    <w:rsid w:val="007F7A90"/>
    <w:rsid w:val="007F7B1E"/>
    <w:rsid w:val="007F7E14"/>
    <w:rsid w:val="007F7EFC"/>
    <w:rsid w:val="007F7F19"/>
    <w:rsid w:val="00800259"/>
    <w:rsid w:val="0080087C"/>
    <w:rsid w:val="00800B25"/>
    <w:rsid w:val="00800F93"/>
    <w:rsid w:val="00800FCD"/>
    <w:rsid w:val="008010B7"/>
    <w:rsid w:val="00801261"/>
    <w:rsid w:val="00801579"/>
    <w:rsid w:val="0080174B"/>
    <w:rsid w:val="0080176E"/>
    <w:rsid w:val="00801B0C"/>
    <w:rsid w:val="00801BD1"/>
    <w:rsid w:val="00801DC9"/>
    <w:rsid w:val="00801E86"/>
    <w:rsid w:val="00801FF7"/>
    <w:rsid w:val="00802122"/>
    <w:rsid w:val="0080219A"/>
    <w:rsid w:val="008027CB"/>
    <w:rsid w:val="00802885"/>
    <w:rsid w:val="00802888"/>
    <w:rsid w:val="00802A14"/>
    <w:rsid w:val="00802D7D"/>
    <w:rsid w:val="0080307E"/>
    <w:rsid w:val="00803165"/>
    <w:rsid w:val="008031B3"/>
    <w:rsid w:val="008033CD"/>
    <w:rsid w:val="008038F1"/>
    <w:rsid w:val="00803920"/>
    <w:rsid w:val="00803CC0"/>
    <w:rsid w:val="00803F26"/>
    <w:rsid w:val="00804252"/>
    <w:rsid w:val="0080445A"/>
    <w:rsid w:val="008045FA"/>
    <w:rsid w:val="00804810"/>
    <w:rsid w:val="00804A74"/>
    <w:rsid w:val="00804A83"/>
    <w:rsid w:val="008053E7"/>
    <w:rsid w:val="00805CDA"/>
    <w:rsid w:val="00805DC9"/>
    <w:rsid w:val="00805ED6"/>
    <w:rsid w:val="008062E7"/>
    <w:rsid w:val="0080640E"/>
    <w:rsid w:val="00806780"/>
    <w:rsid w:val="00806B8F"/>
    <w:rsid w:val="00806D6E"/>
    <w:rsid w:val="00806EC6"/>
    <w:rsid w:val="008070E0"/>
    <w:rsid w:val="008074C9"/>
    <w:rsid w:val="0080762E"/>
    <w:rsid w:val="00807853"/>
    <w:rsid w:val="008079AF"/>
    <w:rsid w:val="00807A53"/>
    <w:rsid w:val="00807B03"/>
    <w:rsid w:val="00807B14"/>
    <w:rsid w:val="00807D90"/>
    <w:rsid w:val="00807E83"/>
    <w:rsid w:val="00807F2E"/>
    <w:rsid w:val="00807F73"/>
    <w:rsid w:val="008100AA"/>
    <w:rsid w:val="008104E5"/>
    <w:rsid w:val="008106D0"/>
    <w:rsid w:val="00810FE6"/>
    <w:rsid w:val="008110C5"/>
    <w:rsid w:val="00811260"/>
    <w:rsid w:val="0081162E"/>
    <w:rsid w:val="008116D3"/>
    <w:rsid w:val="008118E8"/>
    <w:rsid w:val="00811AD4"/>
    <w:rsid w:val="0081226B"/>
    <w:rsid w:val="008122AA"/>
    <w:rsid w:val="00812361"/>
    <w:rsid w:val="008126D8"/>
    <w:rsid w:val="0081284F"/>
    <w:rsid w:val="008129D1"/>
    <w:rsid w:val="00812B18"/>
    <w:rsid w:val="00812B3E"/>
    <w:rsid w:val="00812D89"/>
    <w:rsid w:val="00813016"/>
    <w:rsid w:val="00813B44"/>
    <w:rsid w:val="00813DD2"/>
    <w:rsid w:val="0081421E"/>
    <w:rsid w:val="0081456A"/>
    <w:rsid w:val="00814717"/>
    <w:rsid w:val="00814761"/>
    <w:rsid w:val="00814D02"/>
    <w:rsid w:val="008152BB"/>
    <w:rsid w:val="00815426"/>
    <w:rsid w:val="00815931"/>
    <w:rsid w:val="00815A70"/>
    <w:rsid w:val="00815AB1"/>
    <w:rsid w:val="00815DE5"/>
    <w:rsid w:val="008160FD"/>
    <w:rsid w:val="0081613D"/>
    <w:rsid w:val="008161AA"/>
    <w:rsid w:val="00816408"/>
    <w:rsid w:val="0081656B"/>
    <w:rsid w:val="008167C6"/>
    <w:rsid w:val="008167DF"/>
    <w:rsid w:val="008169AA"/>
    <w:rsid w:val="00816B32"/>
    <w:rsid w:val="00816D84"/>
    <w:rsid w:val="00816E21"/>
    <w:rsid w:val="00817277"/>
    <w:rsid w:val="00817595"/>
    <w:rsid w:val="0081791E"/>
    <w:rsid w:val="00817977"/>
    <w:rsid w:val="00817B28"/>
    <w:rsid w:val="00817BDE"/>
    <w:rsid w:val="00817C9C"/>
    <w:rsid w:val="00820104"/>
    <w:rsid w:val="00820307"/>
    <w:rsid w:val="008205CD"/>
    <w:rsid w:val="00820B15"/>
    <w:rsid w:val="00820F71"/>
    <w:rsid w:val="00821119"/>
    <w:rsid w:val="00821267"/>
    <w:rsid w:val="0082126E"/>
    <w:rsid w:val="008212B8"/>
    <w:rsid w:val="00821795"/>
    <w:rsid w:val="008217F5"/>
    <w:rsid w:val="00821807"/>
    <w:rsid w:val="008219E4"/>
    <w:rsid w:val="00821E0A"/>
    <w:rsid w:val="00821E8C"/>
    <w:rsid w:val="008222C7"/>
    <w:rsid w:val="00822547"/>
    <w:rsid w:val="00822F63"/>
    <w:rsid w:val="00822FB6"/>
    <w:rsid w:val="00823261"/>
    <w:rsid w:val="00823595"/>
    <w:rsid w:val="00823898"/>
    <w:rsid w:val="00823917"/>
    <w:rsid w:val="00823A51"/>
    <w:rsid w:val="00823D10"/>
    <w:rsid w:val="00823FFA"/>
    <w:rsid w:val="0082434F"/>
    <w:rsid w:val="00824518"/>
    <w:rsid w:val="0082455E"/>
    <w:rsid w:val="00824679"/>
    <w:rsid w:val="008246A1"/>
    <w:rsid w:val="008246D0"/>
    <w:rsid w:val="00824B5D"/>
    <w:rsid w:val="00824E3F"/>
    <w:rsid w:val="00824F6F"/>
    <w:rsid w:val="008250B9"/>
    <w:rsid w:val="008256C0"/>
    <w:rsid w:val="00825850"/>
    <w:rsid w:val="00825895"/>
    <w:rsid w:val="008259CB"/>
    <w:rsid w:val="00825B70"/>
    <w:rsid w:val="00825DBC"/>
    <w:rsid w:val="00825EA0"/>
    <w:rsid w:val="00826196"/>
    <w:rsid w:val="008262DA"/>
    <w:rsid w:val="008263D7"/>
    <w:rsid w:val="00826915"/>
    <w:rsid w:val="00826ECE"/>
    <w:rsid w:val="00827112"/>
    <w:rsid w:val="00827215"/>
    <w:rsid w:val="008273D3"/>
    <w:rsid w:val="0082744E"/>
    <w:rsid w:val="0082781C"/>
    <w:rsid w:val="0082788C"/>
    <w:rsid w:val="00827896"/>
    <w:rsid w:val="00827AB2"/>
    <w:rsid w:val="008300FA"/>
    <w:rsid w:val="008302DA"/>
    <w:rsid w:val="00830563"/>
    <w:rsid w:val="008306F2"/>
    <w:rsid w:val="0083080F"/>
    <w:rsid w:val="00830884"/>
    <w:rsid w:val="00830A0C"/>
    <w:rsid w:val="00830BD3"/>
    <w:rsid w:val="00830DFB"/>
    <w:rsid w:val="00831291"/>
    <w:rsid w:val="008314B7"/>
    <w:rsid w:val="00831767"/>
    <w:rsid w:val="008318C4"/>
    <w:rsid w:val="00831B0B"/>
    <w:rsid w:val="00831E9C"/>
    <w:rsid w:val="00831F23"/>
    <w:rsid w:val="00832049"/>
    <w:rsid w:val="008321E5"/>
    <w:rsid w:val="00832B3D"/>
    <w:rsid w:val="00832FFF"/>
    <w:rsid w:val="0083314A"/>
    <w:rsid w:val="008334C1"/>
    <w:rsid w:val="008336D2"/>
    <w:rsid w:val="00833854"/>
    <w:rsid w:val="00833ABB"/>
    <w:rsid w:val="00833D82"/>
    <w:rsid w:val="00833F38"/>
    <w:rsid w:val="008342A1"/>
    <w:rsid w:val="00834649"/>
    <w:rsid w:val="008348F8"/>
    <w:rsid w:val="00834A82"/>
    <w:rsid w:val="00834D6F"/>
    <w:rsid w:val="0083545D"/>
    <w:rsid w:val="00835680"/>
    <w:rsid w:val="0083580D"/>
    <w:rsid w:val="0083584A"/>
    <w:rsid w:val="00835C60"/>
    <w:rsid w:val="00835FB1"/>
    <w:rsid w:val="00836110"/>
    <w:rsid w:val="0083614B"/>
    <w:rsid w:val="00836611"/>
    <w:rsid w:val="00836D58"/>
    <w:rsid w:val="00836F55"/>
    <w:rsid w:val="00836FDF"/>
    <w:rsid w:val="00837040"/>
    <w:rsid w:val="008372D3"/>
    <w:rsid w:val="00837503"/>
    <w:rsid w:val="0083773B"/>
    <w:rsid w:val="00837749"/>
    <w:rsid w:val="00837753"/>
    <w:rsid w:val="0083783F"/>
    <w:rsid w:val="00837E98"/>
    <w:rsid w:val="008401B0"/>
    <w:rsid w:val="00840242"/>
    <w:rsid w:val="00840446"/>
    <w:rsid w:val="008406F9"/>
    <w:rsid w:val="00840734"/>
    <w:rsid w:val="008407FA"/>
    <w:rsid w:val="00840808"/>
    <w:rsid w:val="0084084C"/>
    <w:rsid w:val="00840B8D"/>
    <w:rsid w:val="00840D92"/>
    <w:rsid w:val="00840F1C"/>
    <w:rsid w:val="00841267"/>
    <w:rsid w:val="008412C8"/>
    <w:rsid w:val="008413CC"/>
    <w:rsid w:val="00841554"/>
    <w:rsid w:val="008418EC"/>
    <w:rsid w:val="0084190D"/>
    <w:rsid w:val="00841B24"/>
    <w:rsid w:val="00842108"/>
    <w:rsid w:val="00842332"/>
    <w:rsid w:val="00842AD9"/>
    <w:rsid w:val="00843686"/>
    <w:rsid w:val="00843864"/>
    <w:rsid w:val="008439E6"/>
    <w:rsid w:val="00843AEA"/>
    <w:rsid w:val="00843B08"/>
    <w:rsid w:val="00843B73"/>
    <w:rsid w:val="00843E02"/>
    <w:rsid w:val="00843FC1"/>
    <w:rsid w:val="00844227"/>
    <w:rsid w:val="0084475C"/>
    <w:rsid w:val="0084491E"/>
    <w:rsid w:val="008449B2"/>
    <w:rsid w:val="00844A8B"/>
    <w:rsid w:val="00844CB9"/>
    <w:rsid w:val="00844E65"/>
    <w:rsid w:val="00844F8C"/>
    <w:rsid w:val="00844FCA"/>
    <w:rsid w:val="0084525E"/>
    <w:rsid w:val="0084528D"/>
    <w:rsid w:val="00845325"/>
    <w:rsid w:val="00845B69"/>
    <w:rsid w:val="00845B9D"/>
    <w:rsid w:val="00845FC4"/>
    <w:rsid w:val="008462FB"/>
    <w:rsid w:val="00846513"/>
    <w:rsid w:val="0084681D"/>
    <w:rsid w:val="00846E28"/>
    <w:rsid w:val="008473CA"/>
    <w:rsid w:val="008473CC"/>
    <w:rsid w:val="0084740F"/>
    <w:rsid w:val="00847691"/>
    <w:rsid w:val="008476B3"/>
    <w:rsid w:val="00847843"/>
    <w:rsid w:val="00847AA2"/>
    <w:rsid w:val="00847C4C"/>
    <w:rsid w:val="008502E4"/>
    <w:rsid w:val="008505DE"/>
    <w:rsid w:val="00850717"/>
    <w:rsid w:val="00850852"/>
    <w:rsid w:val="00850A54"/>
    <w:rsid w:val="00850AB2"/>
    <w:rsid w:val="00850D7E"/>
    <w:rsid w:val="00851543"/>
    <w:rsid w:val="0085161D"/>
    <w:rsid w:val="008517D4"/>
    <w:rsid w:val="00851AEB"/>
    <w:rsid w:val="00851DC4"/>
    <w:rsid w:val="00852299"/>
    <w:rsid w:val="008525D9"/>
    <w:rsid w:val="008529A1"/>
    <w:rsid w:val="00852EF4"/>
    <w:rsid w:val="00853027"/>
    <w:rsid w:val="00853A13"/>
    <w:rsid w:val="00853E77"/>
    <w:rsid w:val="0085474D"/>
    <w:rsid w:val="008547AD"/>
    <w:rsid w:val="0085498B"/>
    <w:rsid w:val="00854CA0"/>
    <w:rsid w:val="00854F08"/>
    <w:rsid w:val="0085516D"/>
    <w:rsid w:val="00855960"/>
    <w:rsid w:val="00855BA8"/>
    <w:rsid w:val="00855DBE"/>
    <w:rsid w:val="008560CC"/>
    <w:rsid w:val="00856196"/>
    <w:rsid w:val="0085636F"/>
    <w:rsid w:val="00856407"/>
    <w:rsid w:val="0085640F"/>
    <w:rsid w:val="0085683F"/>
    <w:rsid w:val="00856916"/>
    <w:rsid w:val="00856F5E"/>
    <w:rsid w:val="008572B9"/>
    <w:rsid w:val="00857474"/>
    <w:rsid w:val="008574C7"/>
    <w:rsid w:val="00857760"/>
    <w:rsid w:val="00857FCF"/>
    <w:rsid w:val="008600F2"/>
    <w:rsid w:val="00860794"/>
    <w:rsid w:val="00860843"/>
    <w:rsid w:val="00861133"/>
    <w:rsid w:val="00861A4C"/>
    <w:rsid w:val="00861CC3"/>
    <w:rsid w:val="00861D78"/>
    <w:rsid w:val="00861E07"/>
    <w:rsid w:val="00861F4B"/>
    <w:rsid w:val="00862434"/>
    <w:rsid w:val="00862739"/>
    <w:rsid w:val="00862A15"/>
    <w:rsid w:val="00862CA0"/>
    <w:rsid w:val="00862CA7"/>
    <w:rsid w:val="0086304B"/>
    <w:rsid w:val="00863425"/>
    <w:rsid w:val="008634EB"/>
    <w:rsid w:val="00863946"/>
    <w:rsid w:val="00863AC1"/>
    <w:rsid w:val="00863EA4"/>
    <w:rsid w:val="00863F78"/>
    <w:rsid w:val="00864050"/>
    <w:rsid w:val="0086468F"/>
    <w:rsid w:val="0086480C"/>
    <w:rsid w:val="00864856"/>
    <w:rsid w:val="008648FD"/>
    <w:rsid w:val="00864B03"/>
    <w:rsid w:val="00864C17"/>
    <w:rsid w:val="00864D36"/>
    <w:rsid w:val="00864D72"/>
    <w:rsid w:val="00864F3D"/>
    <w:rsid w:val="008650DB"/>
    <w:rsid w:val="0086520C"/>
    <w:rsid w:val="00865674"/>
    <w:rsid w:val="008656A4"/>
    <w:rsid w:val="008657ED"/>
    <w:rsid w:val="0086581C"/>
    <w:rsid w:val="008658A0"/>
    <w:rsid w:val="00865B98"/>
    <w:rsid w:val="00865CE1"/>
    <w:rsid w:val="00865F28"/>
    <w:rsid w:val="00866221"/>
    <w:rsid w:val="00866421"/>
    <w:rsid w:val="008665BB"/>
    <w:rsid w:val="00866D49"/>
    <w:rsid w:val="00866ED4"/>
    <w:rsid w:val="00866EF0"/>
    <w:rsid w:val="00867272"/>
    <w:rsid w:val="00867700"/>
    <w:rsid w:val="00867C1F"/>
    <w:rsid w:val="00867F57"/>
    <w:rsid w:val="00867FF6"/>
    <w:rsid w:val="0087025D"/>
    <w:rsid w:val="008705A3"/>
    <w:rsid w:val="00870741"/>
    <w:rsid w:val="00870759"/>
    <w:rsid w:val="008709E8"/>
    <w:rsid w:val="0087117A"/>
    <w:rsid w:val="00871551"/>
    <w:rsid w:val="008718C8"/>
    <w:rsid w:val="00871935"/>
    <w:rsid w:val="00871A06"/>
    <w:rsid w:val="00871BDC"/>
    <w:rsid w:val="00871C8A"/>
    <w:rsid w:val="00871D21"/>
    <w:rsid w:val="00871F68"/>
    <w:rsid w:val="00872341"/>
    <w:rsid w:val="0087298F"/>
    <w:rsid w:val="00872C65"/>
    <w:rsid w:val="00872CE5"/>
    <w:rsid w:val="00872D06"/>
    <w:rsid w:val="00872DE0"/>
    <w:rsid w:val="00872E96"/>
    <w:rsid w:val="00872F28"/>
    <w:rsid w:val="00872FD9"/>
    <w:rsid w:val="0087338B"/>
    <w:rsid w:val="008734F9"/>
    <w:rsid w:val="008737D5"/>
    <w:rsid w:val="008737D6"/>
    <w:rsid w:val="008738FC"/>
    <w:rsid w:val="00873EE8"/>
    <w:rsid w:val="00873F56"/>
    <w:rsid w:val="0087430A"/>
    <w:rsid w:val="00874351"/>
    <w:rsid w:val="008744C4"/>
    <w:rsid w:val="0087487B"/>
    <w:rsid w:val="00874974"/>
    <w:rsid w:val="00874C1B"/>
    <w:rsid w:val="0087533B"/>
    <w:rsid w:val="008753C2"/>
    <w:rsid w:val="00875642"/>
    <w:rsid w:val="0087574F"/>
    <w:rsid w:val="00875801"/>
    <w:rsid w:val="00875825"/>
    <w:rsid w:val="008759F2"/>
    <w:rsid w:val="00875BE8"/>
    <w:rsid w:val="00875BEA"/>
    <w:rsid w:val="00876055"/>
    <w:rsid w:val="008761E7"/>
    <w:rsid w:val="0087659B"/>
    <w:rsid w:val="00876630"/>
    <w:rsid w:val="00876880"/>
    <w:rsid w:val="00876901"/>
    <w:rsid w:val="00877237"/>
    <w:rsid w:val="0087745A"/>
    <w:rsid w:val="00877527"/>
    <w:rsid w:val="00877A74"/>
    <w:rsid w:val="00877C2C"/>
    <w:rsid w:val="00877E78"/>
    <w:rsid w:val="00877F0F"/>
    <w:rsid w:val="00880446"/>
    <w:rsid w:val="00880892"/>
    <w:rsid w:val="00880A3E"/>
    <w:rsid w:val="00880C90"/>
    <w:rsid w:val="00880F57"/>
    <w:rsid w:val="00881070"/>
    <w:rsid w:val="0088129F"/>
    <w:rsid w:val="0088131F"/>
    <w:rsid w:val="00881404"/>
    <w:rsid w:val="00881584"/>
    <w:rsid w:val="00881715"/>
    <w:rsid w:val="00881928"/>
    <w:rsid w:val="008820D9"/>
    <w:rsid w:val="008821C1"/>
    <w:rsid w:val="00882A15"/>
    <w:rsid w:val="00882A2E"/>
    <w:rsid w:val="00882C09"/>
    <w:rsid w:val="00882D37"/>
    <w:rsid w:val="008830ED"/>
    <w:rsid w:val="00883158"/>
    <w:rsid w:val="00883377"/>
    <w:rsid w:val="008839B3"/>
    <w:rsid w:val="00883E0F"/>
    <w:rsid w:val="00883F22"/>
    <w:rsid w:val="00883F4D"/>
    <w:rsid w:val="00884213"/>
    <w:rsid w:val="00884242"/>
    <w:rsid w:val="0088462F"/>
    <w:rsid w:val="00884630"/>
    <w:rsid w:val="00884687"/>
    <w:rsid w:val="0088477B"/>
    <w:rsid w:val="00884992"/>
    <w:rsid w:val="008850E0"/>
    <w:rsid w:val="00885227"/>
    <w:rsid w:val="00885279"/>
    <w:rsid w:val="008856C5"/>
    <w:rsid w:val="00885948"/>
    <w:rsid w:val="00885A7C"/>
    <w:rsid w:val="00885BCD"/>
    <w:rsid w:val="00885DF0"/>
    <w:rsid w:val="00886268"/>
    <w:rsid w:val="0088699C"/>
    <w:rsid w:val="00886BB6"/>
    <w:rsid w:val="00886BF5"/>
    <w:rsid w:val="008871D5"/>
    <w:rsid w:val="00887478"/>
    <w:rsid w:val="00887532"/>
    <w:rsid w:val="0088763A"/>
    <w:rsid w:val="00887884"/>
    <w:rsid w:val="00887984"/>
    <w:rsid w:val="00887ABF"/>
    <w:rsid w:val="00890088"/>
    <w:rsid w:val="008900D9"/>
    <w:rsid w:val="008900DE"/>
    <w:rsid w:val="00890298"/>
    <w:rsid w:val="00890812"/>
    <w:rsid w:val="008908BA"/>
    <w:rsid w:val="008909D8"/>
    <w:rsid w:val="00890E52"/>
    <w:rsid w:val="00890FF5"/>
    <w:rsid w:val="00891023"/>
    <w:rsid w:val="00891039"/>
    <w:rsid w:val="008914BC"/>
    <w:rsid w:val="00891881"/>
    <w:rsid w:val="008918B4"/>
    <w:rsid w:val="00891B7E"/>
    <w:rsid w:val="00891C4F"/>
    <w:rsid w:val="00891C79"/>
    <w:rsid w:val="00892070"/>
    <w:rsid w:val="0089214B"/>
    <w:rsid w:val="00892398"/>
    <w:rsid w:val="008923A7"/>
    <w:rsid w:val="008924AD"/>
    <w:rsid w:val="008928FE"/>
    <w:rsid w:val="00892AD5"/>
    <w:rsid w:val="008930CD"/>
    <w:rsid w:val="00893150"/>
    <w:rsid w:val="008931ED"/>
    <w:rsid w:val="0089343C"/>
    <w:rsid w:val="00893B6C"/>
    <w:rsid w:val="00893EF2"/>
    <w:rsid w:val="00893F24"/>
    <w:rsid w:val="00894012"/>
    <w:rsid w:val="0089443D"/>
    <w:rsid w:val="00894587"/>
    <w:rsid w:val="00894D17"/>
    <w:rsid w:val="008950AA"/>
    <w:rsid w:val="008950F3"/>
    <w:rsid w:val="0089514B"/>
    <w:rsid w:val="0089521B"/>
    <w:rsid w:val="008953E5"/>
    <w:rsid w:val="0089558C"/>
    <w:rsid w:val="00895B56"/>
    <w:rsid w:val="00895F1D"/>
    <w:rsid w:val="008963C6"/>
    <w:rsid w:val="008969DF"/>
    <w:rsid w:val="00896A2C"/>
    <w:rsid w:val="00896AEE"/>
    <w:rsid w:val="008970A6"/>
    <w:rsid w:val="008971D1"/>
    <w:rsid w:val="0089721B"/>
    <w:rsid w:val="008972D8"/>
    <w:rsid w:val="008973E2"/>
    <w:rsid w:val="008974E5"/>
    <w:rsid w:val="008977DD"/>
    <w:rsid w:val="0089794C"/>
    <w:rsid w:val="008979E0"/>
    <w:rsid w:val="00897D22"/>
    <w:rsid w:val="008A00BE"/>
    <w:rsid w:val="008A021B"/>
    <w:rsid w:val="008A0348"/>
    <w:rsid w:val="008A0406"/>
    <w:rsid w:val="008A0461"/>
    <w:rsid w:val="008A04AA"/>
    <w:rsid w:val="008A05F2"/>
    <w:rsid w:val="008A06A3"/>
    <w:rsid w:val="008A08A5"/>
    <w:rsid w:val="008A08D6"/>
    <w:rsid w:val="008A0988"/>
    <w:rsid w:val="008A0AC8"/>
    <w:rsid w:val="008A0AF3"/>
    <w:rsid w:val="008A0D23"/>
    <w:rsid w:val="008A0E43"/>
    <w:rsid w:val="008A0FEE"/>
    <w:rsid w:val="008A13A1"/>
    <w:rsid w:val="008A17A7"/>
    <w:rsid w:val="008A18D0"/>
    <w:rsid w:val="008A1CC1"/>
    <w:rsid w:val="008A256C"/>
    <w:rsid w:val="008A2DA4"/>
    <w:rsid w:val="008A38A7"/>
    <w:rsid w:val="008A3B7C"/>
    <w:rsid w:val="008A4392"/>
    <w:rsid w:val="008A444D"/>
    <w:rsid w:val="008A45FE"/>
    <w:rsid w:val="008A4B60"/>
    <w:rsid w:val="008A4EEB"/>
    <w:rsid w:val="008A5398"/>
    <w:rsid w:val="008A550E"/>
    <w:rsid w:val="008A5781"/>
    <w:rsid w:val="008A5806"/>
    <w:rsid w:val="008A58DD"/>
    <w:rsid w:val="008A5CA5"/>
    <w:rsid w:val="008A65F4"/>
    <w:rsid w:val="008A6E93"/>
    <w:rsid w:val="008A6EAB"/>
    <w:rsid w:val="008A6F60"/>
    <w:rsid w:val="008A6FEF"/>
    <w:rsid w:val="008A7150"/>
    <w:rsid w:val="008A7CCC"/>
    <w:rsid w:val="008B01A8"/>
    <w:rsid w:val="008B01E5"/>
    <w:rsid w:val="008B061D"/>
    <w:rsid w:val="008B15CB"/>
    <w:rsid w:val="008B185F"/>
    <w:rsid w:val="008B189A"/>
    <w:rsid w:val="008B18A9"/>
    <w:rsid w:val="008B19CE"/>
    <w:rsid w:val="008B1B80"/>
    <w:rsid w:val="008B1D3F"/>
    <w:rsid w:val="008B1EB2"/>
    <w:rsid w:val="008B2218"/>
    <w:rsid w:val="008B23F1"/>
    <w:rsid w:val="008B24EF"/>
    <w:rsid w:val="008B2889"/>
    <w:rsid w:val="008B2BB5"/>
    <w:rsid w:val="008B2CBD"/>
    <w:rsid w:val="008B2DD4"/>
    <w:rsid w:val="008B2EE8"/>
    <w:rsid w:val="008B2F24"/>
    <w:rsid w:val="008B3310"/>
    <w:rsid w:val="008B348A"/>
    <w:rsid w:val="008B3656"/>
    <w:rsid w:val="008B3799"/>
    <w:rsid w:val="008B37CD"/>
    <w:rsid w:val="008B3BD5"/>
    <w:rsid w:val="008B4899"/>
    <w:rsid w:val="008B4BF0"/>
    <w:rsid w:val="008B4E06"/>
    <w:rsid w:val="008B5081"/>
    <w:rsid w:val="008B5194"/>
    <w:rsid w:val="008B52B2"/>
    <w:rsid w:val="008B538A"/>
    <w:rsid w:val="008B551D"/>
    <w:rsid w:val="008B5542"/>
    <w:rsid w:val="008B57FD"/>
    <w:rsid w:val="008B5911"/>
    <w:rsid w:val="008B5EF8"/>
    <w:rsid w:val="008B613E"/>
    <w:rsid w:val="008B64CE"/>
    <w:rsid w:val="008B6A7B"/>
    <w:rsid w:val="008B6C15"/>
    <w:rsid w:val="008B6D4F"/>
    <w:rsid w:val="008B6E17"/>
    <w:rsid w:val="008B728F"/>
    <w:rsid w:val="008B78FC"/>
    <w:rsid w:val="008B7C60"/>
    <w:rsid w:val="008C03CF"/>
    <w:rsid w:val="008C0435"/>
    <w:rsid w:val="008C0606"/>
    <w:rsid w:val="008C07AD"/>
    <w:rsid w:val="008C0887"/>
    <w:rsid w:val="008C0A76"/>
    <w:rsid w:val="008C0D58"/>
    <w:rsid w:val="008C0E81"/>
    <w:rsid w:val="008C0EED"/>
    <w:rsid w:val="008C0F45"/>
    <w:rsid w:val="008C111A"/>
    <w:rsid w:val="008C1153"/>
    <w:rsid w:val="008C13E5"/>
    <w:rsid w:val="008C155D"/>
    <w:rsid w:val="008C156D"/>
    <w:rsid w:val="008C1581"/>
    <w:rsid w:val="008C1783"/>
    <w:rsid w:val="008C17DD"/>
    <w:rsid w:val="008C182F"/>
    <w:rsid w:val="008C1A62"/>
    <w:rsid w:val="008C1AA0"/>
    <w:rsid w:val="008C1AF0"/>
    <w:rsid w:val="008C1BAC"/>
    <w:rsid w:val="008C1C26"/>
    <w:rsid w:val="008C1D7C"/>
    <w:rsid w:val="008C1D9E"/>
    <w:rsid w:val="008C1F44"/>
    <w:rsid w:val="008C2738"/>
    <w:rsid w:val="008C29DA"/>
    <w:rsid w:val="008C2DC8"/>
    <w:rsid w:val="008C3151"/>
    <w:rsid w:val="008C32AA"/>
    <w:rsid w:val="008C33C6"/>
    <w:rsid w:val="008C3498"/>
    <w:rsid w:val="008C3633"/>
    <w:rsid w:val="008C39DD"/>
    <w:rsid w:val="008C3CA2"/>
    <w:rsid w:val="008C3E41"/>
    <w:rsid w:val="008C3E99"/>
    <w:rsid w:val="008C418D"/>
    <w:rsid w:val="008C418E"/>
    <w:rsid w:val="008C4CA6"/>
    <w:rsid w:val="008C4DCE"/>
    <w:rsid w:val="008C4EBA"/>
    <w:rsid w:val="008C5182"/>
    <w:rsid w:val="008C536E"/>
    <w:rsid w:val="008C5913"/>
    <w:rsid w:val="008C5CC7"/>
    <w:rsid w:val="008C639A"/>
    <w:rsid w:val="008C6666"/>
    <w:rsid w:val="008C6747"/>
    <w:rsid w:val="008C6833"/>
    <w:rsid w:val="008C699A"/>
    <w:rsid w:val="008C6BDB"/>
    <w:rsid w:val="008C6BEA"/>
    <w:rsid w:val="008C6C7E"/>
    <w:rsid w:val="008C6C9A"/>
    <w:rsid w:val="008C7315"/>
    <w:rsid w:val="008C75A2"/>
    <w:rsid w:val="008C7AED"/>
    <w:rsid w:val="008C7C2F"/>
    <w:rsid w:val="008D0240"/>
    <w:rsid w:val="008D0788"/>
    <w:rsid w:val="008D07D1"/>
    <w:rsid w:val="008D0CDA"/>
    <w:rsid w:val="008D0D98"/>
    <w:rsid w:val="008D0E91"/>
    <w:rsid w:val="008D10F6"/>
    <w:rsid w:val="008D10FE"/>
    <w:rsid w:val="008D1383"/>
    <w:rsid w:val="008D14EC"/>
    <w:rsid w:val="008D169A"/>
    <w:rsid w:val="008D1983"/>
    <w:rsid w:val="008D1CA8"/>
    <w:rsid w:val="008D1EA4"/>
    <w:rsid w:val="008D2032"/>
    <w:rsid w:val="008D2AFB"/>
    <w:rsid w:val="008D2BD9"/>
    <w:rsid w:val="008D2BE7"/>
    <w:rsid w:val="008D2DAD"/>
    <w:rsid w:val="008D2E74"/>
    <w:rsid w:val="008D2FC3"/>
    <w:rsid w:val="008D3789"/>
    <w:rsid w:val="008D3796"/>
    <w:rsid w:val="008D3916"/>
    <w:rsid w:val="008D3E54"/>
    <w:rsid w:val="008D3F2D"/>
    <w:rsid w:val="008D3F8D"/>
    <w:rsid w:val="008D4442"/>
    <w:rsid w:val="008D469A"/>
    <w:rsid w:val="008D49BC"/>
    <w:rsid w:val="008D4A30"/>
    <w:rsid w:val="008D4B26"/>
    <w:rsid w:val="008D4D22"/>
    <w:rsid w:val="008D50AD"/>
    <w:rsid w:val="008D50DB"/>
    <w:rsid w:val="008D55AC"/>
    <w:rsid w:val="008D565D"/>
    <w:rsid w:val="008D5A3E"/>
    <w:rsid w:val="008D5BCC"/>
    <w:rsid w:val="008D5FE1"/>
    <w:rsid w:val="008D6004"/>
    <w:rsid w:val="008D6050"/>
    <w:rsid w:val="008D687F"/>
    <w:rsid w:val="008D693F"/>
    <w:rsid w:val="008D6D86"/>
    <w:rsid w:val="008D7304"/>
    <w:rsid w:val="008D76BD"/>
    <w:rsid w:val="008D78D5"/>
    <w:rsid w:val="008D7B26"/>
    <w:rsid w:val="008D7CC4"/>
    <w:rsid w:val="008E0299"/>
    <w:rsid w:val="008E03B3"/>
    <w:rsid w:val="008E058E"/>
    <w:rsid w:val="008E0962"/>
    <w:rsid w:val="008E12FD"/>
    <w:rsid w:val="008E161D"/>
    <w:rsid w:val="008E216F"/>
    <w:rsid w:val="008E2196"/>
    <w:rsid w:val="008E22D3"/>
    <w:rsid w:val="008E2487"/>
    <w:rsid w:val="008E2638"/>
    <w:rsid w:val="008E26AC"/>
    <w:rsid w:val="008E27F1"/>
    <w:rsid w:val="008E2829"/>
    <w:rsid w:val="008E2E33"/>
    <w:rsid w:val="008E2F96"/>
    <w:rsid w:val="008E3248"/>
    <w:rsid w:val="008E3274"/>
    <w:rsid w:val="008E335E"/>
    <w:rsid w:val="008E34EB"/>
    <w:rsid w:val="008E3673"/>
    <w:rsid w:val="008E3832"/>
    <w:rsid w:val="008E386A"/>
    <w:rsid w:val="008E3CBA"/>
    <w:rsid w:val="008E3EE5"/>
    <w:rsid w:val="008E3F2F"/>
    <w:rsid w:val="008E43FD"/>
    <w:rsid w:val="008E4599"/>
    <w:rsid w:val="008E462B"/>
    <w:rsid w:val="008E4945"/>
    <w:rsid w:val="008E4B6B"/>
    <w:rsid w:val="008E505F"/>
    <w:rsid w:val="008E5172"/>
    <w:rsid w:val="008E536D"/>
    <w:rsid w:val="008E5451"/>
    <w:rsid w:val="008E55CF"/>
    <w:rsid w:val="008E562D"/>
    <w:rsid w:val="008E5910"/>
    <w:rsid w:val="008E5C3F"/>
    <w:rsid w:val="008E61DE"/>
    <w:rsid w:val="008E629A"/>
    <w:rsid w:val="008E65A5"/>
    <w:rsid w:val="008E68DF"/>
    <w:rsid w:val="008E6CE8"/>
    <w:rsid w:val="008E6CF4"/>
    <w:rsid w:val="008E6FBA"/>
    <w:rsid w:val="008E701C"/>
    <w:rsid w:val="008E765E"/>
    <w:rsid w:val="008E78BF"/>
    <w:rsid w:val="008E7B4D"/>
    <w:rsid w:val="008E7E7E"/>
    <w:rsid w:val="008E7EDF"/>
    <w:rsid w:val="008F0188"/>
    <w:rsid w:val="008F036E"/>
    <w:rsid w:val="008F039F"/>
    <w:rsid w:val="008F07BD"/>
    <w:rsid w:val="008F097D"/>
    <w:rsid w:val="008F0D00"/>
    <w:rsid w:val="008F1334"/>
    <w:rsid w:val="008F13F1"/>
    <w:rsid w:val="008F1502"/>
    <w:rsid w:val="008F17EC"/>
    <w:rsid w:val="008F18C6"/>
    <w:rsid w:val="008F1E7B"/>
    <w:rsid w:val="008F26F1"/>
    <w:rsid w:val="008F28D0"/>
    <w:rsid w:val="008F2ED2"/>
    <w:rsid w:val="008F2F8D"/>
    <w:rsid w:val="008F315C"/>
    <w:rsid w:val="008F3389"/>
    <w:rsid w:val="008F3863"/>
    <w:rsid w:val="008F3B2B"/>
    <w:rsid w:val="008F3BE7"/>
    <w:rsid w:val="008F3C36"/>
    <w:rsid w:val="008F3C98"/>
    <w:rsid w:val="008F3D8A"/>
    <w:rsid w:val="008F41B8"/>
    <w:rsid w:val="008F4464"/>
    <w:rsid w:val="008F48CD"/>
    <w:rsid w:val="008F49E1"/>
    <w:rsid w:val="008F4A83"/>
    <w:rsid w:val="008F4E0F"/>
    <w:rsid w:val="008F4E3D"/>
    <w:rsid w:val="008F59EA"/>
    <w:rsid w:val="008F5C36"/>
    <w:rsid w:val="008F600D"/>
    <w:rsid w:val="008F6046"/>
    <w:rsid w:val="008F6592"/>
    <w:rsid w:val="008F682F"/>
    <w:rsid w:val="008F6DB0"/>
    <w:rsid w:val="008F6E57"/>
    <w:rsid w:val="008F6F34"/>
    <w:rsid w:val="008F6FC2"/>
    <w:rsid w:val="008F72CF"/>
    <w:rsid w:val="008F7332"/>
    <w:rsid w:val="008F746A"/>
    <w:rsid w:val="008F74E2"/>
    <w:rsid w:val="008F7563"/>
    <w:rsid w:val="008F75C4"/>
    <w:rsid w:val="008F7D97"/>
    <w:rsid w:val="00900217"/>
    <w:rsid w:val="00900367"/>
    <w:rsid w:val="009003AC"/>
    <w:rsid w:val="00900431"/>
    <w:rsid w:val="0090044C"/>
    <w:rsid w:val="009005AF"/>
    <w:rsid w:val="009007FC"/>
    <w:rsid w:val="00900D55"/>
    <w:rsid w:val="00900E99"/>
    <w:rsid w:val="00900EA8"/>
    <w:rsid w:val="00901211"/>
    <w:rsid w:val="009017C3"/>
    <w:rsid w:val="00901838"/>
    <w:rsid w:val="009018FA"/>
    <w:rsid w:val="00901C3D"/>
    <w:rsid w:val="00901CD3"/>
    <w:rsid w:val="00901F59"/>
    <w:rsid w:val="00901F81"/>
    <w:rsid w:val="0090213C"/>
    <w:rsid w:val="009022B7"/>
    <w:rsid w:val="009024A9"/>
    <w:rsid w:val="0090272A"/>
    <w:rsid w:val="0090274C"/>
    <w:rsid w:val="0090298C"/>
    <w:rsid w:val="00902A59"/>
    <w:rsid w:val="00902B97"/>
    <w:rsid w:val="00902BEE"/>
    <w:rsid w:val="00902C09"/>
    <w:rsid w:val="00902E0F"/>
    <w:rsid w:val="0090300E"/>
    <w:rsid w:val="009033DA"/>
    <w:rsid w:val="00903647"/>
    <w:rsid w:val="009039A4"/>
    <w:rsid w:val="00903BB7"/>
    <w:rsid w:val="00903D2E"/>
    <w:rsid w:val="00903D8D"/>
    <w:rsid w:val="00903E29"/>
    <w:rsid w:val="00903E6B"/>
    <w:rsid w:val="00903F7C"/>
    <w:rsid w:val="00904119"/>
    <w:rsid w:val="009044FA"/>
    <w:rsid w:val="00904544"/>
    <w:rsid w:val="00904689"/>
    <w:rsid w:val="009046B2"/>
    <w:rsid w:val="00904717"/>
    <w:rsid w:val="009048BF"/>
    <w:rsid w:val="00904ADD"/>
    <w:rsid w:val="00904D3C"/>
    <w:rsid w:val="00904D6A"/>
    <w:rsid w:val="00904E83"/>
    <w:rsid w:val="00904FC1"/>
    <w:rsid w:val="00905045"/>
    <w:rsid w:val="0090528A"/>
    <w:rsid w:val="00905394"/>
    <w:rsid w:val="009054EE"/>
    <w:rsid w:val="00905696"/>
    <w:rsid w:val="00905BCB"/>
    <w:rsid w:val="009060FA"/>
    <w:rsid w:val="009061A1"/>
    <w:rsid w:val="0090637C"/>
    <w:rsid w:val="009068BD"/>
    <w:rsid w:val="0090691A"/>
    <w:rsid w:val="00906CA4"/>
    <w:rsid w:val="00906E1F"/>
    <w:rsid w:val="00906F0B"/>
    <w:rsid w:val="009070BE"/>
    <w:rsid w:val="00907215"/>
    <w:rsid w:val="00907350"/>
    <w:rsid w:val="00907513"/>
    <w:rsid w:val="009075F6"/>
    <w:rsid w:val="00907C4D"/>
    <w:rsid w:val="00907FAF"/>
    <w:rsid w:val="009105AE"/>
    <w:rsid w:val="00910739"/>
    <w:rsid w:val="009108B3"/>
    <w:rsid w:val="00910E99"/>
    <w:rsid w:val="00911366"/>
    <w:rsid w:val="00911510"/>
    <w:rsid w:val="00911B8E"/>
    <w:rsid w:val="00911F2C"/>
    <w:rsid w:val="00911F6C"/>
    <w:rsid w:val="0091213C"/>
    <w:rsid w:val="009128AF"/>
    <w:rsid w:val="00912C9C"/>
    <w:rsid w:val="00912D02"/>
    <w:rsid w:val="009133E8"/>
    <w:rsid w:val="00913532"/>
    <w:rsid w:val="0091373C"/>
    <w:rsid w:val="00913753"/>
    <w:rsid w:val="0091385B"/>
    <w:rsid w:val="009139AE"/>
    <w:rsid w:val="00913AA5"/>
    <w:rsid w:val="00913B37"/>
    <w:rsid w:val="00913E5F"/>
    <w:rsid w:val="00913EB3"/>
    <w:rsid w:val="00913F0D"/>
    <w:rsid w:val="00913F59"/>
    <w:rsid w:val="00914935"/>
    <w:rsid w:val="009151B1"/>
    <w:rsid w:val="00915A93"/>
    <w:rsid w:val="00915AAC"/>
    <w:rsid w:val="00915C55"/>
    <w:rsid w:val="00915D1F"/>
    <w:rsid w:val="00915D45"/>
    <w:rsid w:val="00916291"/>
    <w:rsid w:val="009164A9"/>
    <w:rsid w:val="00916534"/>
    <w:rsid w:val="00916593"/>
    <w:rsid w:val="0091692D"/>
    <w:rsid w:val="009169CA"/>
    <w:rsid w:val="00916C7E"/>
    <w:rsid w:val="00916D4C"/>
    <w:rsid w:val="0091755E"/>
    <w:rsid w:val="0092022F"/>
    <w:rsid w:val="0092081C"/>
    <w:rsid w:val="0092084C"/>
    <w:rsid w:val="00920C58"/>
    <w:rsid w:val="0092115F"/>
    <w:rsid w:val="00921347"/>
    <w:rsid w:val="009214BE"/>
    <w:rsid w:val="0092176E"/>
    <w:rsid w:val="00921975"/>
    <w:rsid w:val="00921A59"/>
    <w:rsid w:val="00921A75"/>
    <w:rsid w:val="00921DFC"/>
    <w:rsid w:val="00921ECD"/>
    <w:rsid w:val="00921F7F"/>
    <w:rsid w:val="009220A9"/>
    <w:rsid w:val="009220E6"/>
    <w:rsid w:val="0092266E"/>
    <w:rsid w:val="00922706"/>
    <w:rsid w:val="00922CF4"/>
    <w:rsid w:val="00922D99"/>
    <w:rsid w:val="00923502"/>
    <w:rsid w:val="009239D2"/>
    <w:rsid w:val="00923A7A"/>
    <w:rsid w:val="00923B0D"/>
    <w:rsid w:val="00923CDA"/>
    <w:rsid w:val="00923EB2"/>
    <w:rsid w:val="00923FFA"/>
    <w:rsid w:val="00924572"/>
    <w:rsid w:val="0092473E"/>
    <w:rsid w:val="00924A8B"/>
    <w:rsid w:val="00924D2C"/>
    <w:rsid w:val="009250A9"/>
    <w:rsid w:val="009251BC"/>
    <w:rsid w:val="0092525F"/>
    <w:rsid w:val="009253A5"/>
    <w:rsid w:val="009254EA"/>
    <w:rsid w:val="00925668"/>
    <w:rsid w:val="00925A92"/>
    <w:rsid w:val="00925B8C"/>
    <w:rsid w:val="00925D0F"/>
    <w:rsid w:val="00925D7E"/>
    <w:rsid w:val="0092610C"/>
    <w:rsid w:val="0092639E"/>
    <w:rsid w:val="009263E0"/>
    <w:rsid w:val="00926497"/>
    <w:rsid w:val="0092692C"/>
    <w:rsid w:val="00926E94"/>
    <w:rsid w:val="0092700B"/>
    <w:rsid w:val="009270A5"/>
    <w:rsid w:val="00927417"/>
    <w:rsid w:val="0092756D"/>
    <w:rsid w:val="00927C45"/>
    <w:rsid w:val="00927E7D"/>
    <w:rsid w:val="0093005E"/>
    <w:rsid w:val="009300B6"/>
    <w:rsid w:val="009303A8"/>
    <w:rsid w:val="00930649"/>
    <w:rsid w:val="009308ED"/>
    <w:rsid w:val="0093093E"/>
    <w:rsid w:val="00930A56"/>
    <w:rsid w:val="00930C2D"/>
    <w:rsid w:val="00930F12"/>
    <w:rsid w:val="009310F2"/>
    <w:rsid w:val="00931174"/>
    <w:rsid w:val="00931428"/>
    <w:rsid w:val="00931851"/>
    <w:rsid w:val="00931AF1"/>
    <w:rsid w:val="00931C63"/>
    <w:rsid w:val="00931D9C"/>
    <w:rsid w:val="00931DAE"/>
    <w:rsid w:val="009322B9"/>
    <w:rsid w:val="00932632"/>
    <w:rsid w:val="00932704"/>
    <w:rsid w:val="00932A40"/>
    <w:rsid w:val="00932B55"/>
    <w:rsid w:val="00932C8A"/>
    <w:rsid w:val="00932EA6"/>
    <w:rsid w:val="00933234"/>
    <w:rsid w:val="009336CB"/>
    <w:rsid w:val="009337BF"/>
    <w:rsid w:val="00933B56"/>
    <w:rsid w:val="00933E21"/>
    <w:rsid w:val="00933FB5"/>
    <w:rsid w:val="0093404C"/>
    <w:rsid w:val="009341DC"/>
    <w:rsid w:val="00934D26"/>
    <w:rsid w:val="00934D93"/>
    <w:rsid w:val="00934DC3"/>
    <w:rsid w:val="00935993"/>
    <w:rsid w:val="00935C02"/>
    <w:rsid w:val="009360C6"/>
    <w:rsid w:val="0093639E"/>
    <w:rsid w:val="0093652A"/>
    <w:rsid w:val="0093672B"/>
    <w:rsid w:val="009367E9"/>
    <w:rsid w:val="00936CCE"/>
    <w:rsid w:val="00937042"/>
    <w:rsid w:val="00937690"/>
    <w:rsid w:val="009378C1"/>
    <w:rsid w:val="00937A14"/>
    <w:rsid w:val="00937A44"/>
    <w:rsid w:val="00937AE3"/>
    <w:rsid w:val="00937C87"/>
    <w:rsid w:val="00937CBC"/>
    <w:rsid w:val="00937FE8"/>
    <w:rsid w:val="0094001C"/>
    <w:rsid w:val="009400A9"/>
    <w:rsid w:val="009400F4"/>
    <w:rsid w:val="009401CC"/>
    <w:rsid w:val="009405E6"/>
    <w:rsid w:val="009406D9"/>
    <w:rsid w:val="009409AC"/>
    <w:rsid w:val="00940DC0"/>
    <w:rsid w:val="00940E5D"/>
    <w:rsid w:val="00940EA4"/>
    <w:rsid w:val="0094142F"/>
    <w:rsid w:val="0094172E"/>
    <w:rsid w:val="00941AD0"/>
    <w:rsid w:val="009421C2"/>
    <w:rsid w:val="00942335"/>
    <w:rsid w:val="009424EE"/>
    <w:rsid w:val="0094251B"/>
    <w:rsid w:val="009425B8"/>
    <w:rsid w:val="00943A37"/>
    <w:rsid w:val="0094403A"/>
    <w:rsid w:val="0094413D"/>
    <w:rsid w:val="00944198"/>
    <w:rsid w:val="00944328"/>
    <w:rsid w:val="009447CD"/>
    <w:rsid w:val="009449AC"/>
    <w:rsid w:val="00944B86"/>
    <w:rsid w:val="00944BA8"/>
    <w:rsid w:val="00944BC9"/>
    <w:rsid w:val="00944C5E"/>
    <w:rsid w:val="00944CD7"/>
    <w:rsid w:val="00944CE9"/>
    <w:rsid w:val="00944EB3"/>
    <w:rsid w:val="00944FB9"/>
    <w:rsid w:val="00945016"/>
    <w:rsid w:val="009452A9"/>
    <w:rsid w:val="00945379"/>
    <w:rsid w:val="009453BB"/>
    <w:rsid w:val="00945443"/>
    <w:rsid w:val="00945944"/>
    <w:rsid w:val="00945D09"/>
    <w:rsid w:val="00945FC3"/>
    <w:rsid w:val="00946196"/>
    <w:rsid w:val="0094620B"/>
    <w:rsid w:val="009463E7"/>
    <w:rsid w:val="009469FC"/>
    <w:rsid w:val="00946AAB"/>
    <w:rsid w:val="00946FB8"/>
    <w:rsid w:val="00947093"/>
    <w:rsid w:val="009471CA"/>
    <w:rsid w:val="00947699"/>
    <w:rsid w:val="009478E5"/>
    <w:rsid w:val="00947D68"/>
    <w:rsid w:val="00950232"/>
    <w:rsid w:val="009504E5"/>
    <w:rsid w:val="0095059E"/>
    <w:rsid w:val="00950868"/>
    <w:rsid w:val="00950B46"/>
    <w:rsid w:val="00950C0B"/>
    <w:rsid w:val="00950C3A"/>
    <w:rsid w:val="00950D92"/>
    <w:rsid w:val="0095135C"/>
    <w:rsid w:val="00951476"/>
    <w:rsid w:val="0095186B"/>
    <w:rsid w:val="00951A6D"/>
    <w:rsid w:val="009520F0"/>
    <w:rsid w:val="00952198"/>
    <w:rsid w:val="00952938"/>
    <w:rsid w:val="009529F6"/>
    <w:rsid w:val="00952BD2"/>
    <w:rsid w:val="00952D94"/>
    <w:rsid w:val="00952E55"/>
    <w:rsid w:val="00953983"/>
    <w:rsid w:val="00953C95"/>
    <w:rsid w:val="00953CCA"/>
    <w:rsid w:val="00953E85"/>
    <w:rsid w:val="00954857"/>
    <w:rsid w:val="009549CD"/>
    <w:rsid w:val="00954A99"/>
    <w:rsid w:val="00954B19"/>
    <w:rsid w:val="00954FF2"/>
    <w:rsid w:val="009550D5"/>
    <w:rsid w:val="00955682"/>
    <w:rsid w:val="00955840"/>
    <w:rsid w:val="0095598D"/>
    <w:rsid w:val="00955BFE"/>
    <w:rsid w:val="00955C45"/>
    <w:rsid w:val="00955D35"/>
    <w:rsid w:val="00956042"/>
    <w:rsid w:val="009562F2"/>
    <w:rsid w:val="00956422"/>
    <w:rsid w:val="0095644F"/>
    <w:rsid w:val="009565AA"/>
    <w:rsid w:val="00956660"/>
    <w:rsid w:val="00956BA3"/>
    <w:rsid w:val="00956C67"/>
    <w:rsid w:val="009574C5"/>
    <w:rsid w:val="00957693"/>
    <w:rsid w:val="00957A31"/>
    <w:rsid w:val="00957C11"/>
    <w:rsid w:val="00957F8D"/>
    <w:rsid w:val="009602D0"/>
    <w:rsid w:val="00960307"/>
    <w:rsid w:val="0096092A"/>
    <w:rsid w:val="00960C01"/>
    <w:rsid w:val="00960EB2"/>
    <w:rsid w:val="00961076"/>
    <w:rsid w:val="009614FA"/>
    <w:rsid w:val="0096181D"/>
    <w:rsid w:val="0096190C"/>
    <w:rsid w:val="00961A68"/>
    <w:rsid w:val="00961F07"/>
    <w:rsid w:val="00962436"/>
    <w:rsid w:val="0096259D"/>
    <w:rsid w:val="00963056"/>
    <w:rsid w:val="00963221"/>
    <w:rsid w:val="00963483"/>
    <w:rsid w:val="00963743"/>
    <w:rsid w:val="00963DBA"/>
    <w:rsid w:val="00963DCD"/>
    <w:rsid w:val="00964882"/>
    <w:rsid w:val="00964A0B"/>
    <w:rsid w:val="00964B3F"/>
    <w:rsid w:val="00964C64"/>
    <w:rsid w:val="00964D8D"/>
    <w:rsid w:val="00964FA6"/>
    <w:rsid w:val="009651E9"/>
    <w:rsid w:val="00965314"/>
    <w:rsid w:val="00965497"/>
    <w:rsid w:val="00965510"/>
    <w:rsid w:val="00965E1C"/>
    <w:rsid w:val="00965EFF"/>
    <w:rsid w:val="00966043"/>
    <w:rsid w:val="00966142"/>
    <w:rsid w:val="009661CD"/>
    <w:rsid w:val="00966A9F"/>
    <w:rsid w:val="00966AD7"/>
    <w:rsid w:val="00966B6B"/>
    <w:rsid w:val="00966CF6"/>
    <w:rsid w:val="009670FA"/>
    <w:rsid w:val="00967400"/>
    <w:rsid w:val="00967481"/>
    <w:rsid w:val="009676A9"/>
    <w:rsid w:val="0096776B"/>
    <w:rsid w:val="00967A05"/>
    <w:rsid w:val="00967AAC"/>
    <w:rsid w:val="009703C2"/>
    <w:rsid w:val="009706C1"/>
    <w:rsid w:val="009707F1"/>
    <w:rsid w:val="00970E02"/>
    <w:rsid w:val="00970EEA"/>
    <w:rsid w:val="00970FBA"/>
    <w:rsid w:val="009711BF"/>
    <w:rsid w:val="009713AB"/>
    <w:rsid w:val="00971C88"/>
    <w:rsid w:val="00971E18"/>
    <w:rsid w:val="00972082"/>
    <w:rsid w:val="0097210A"/>
    <w:rsid w:val="0097211C"/>
    <w:rsid w:val="009721C5"/>
    <w:rsid w:val="009726B4"/>
    <w:rsid w:val="0097284D"/>
    <w:rsid w:val="0097354E"/>
    <w:rsid w:val="009736FF"/>
    <w:rsid w:val="00973720"/>
    <w:rsid w:val="00973743"/>
    <w:rsid w:val="00973826"/>
    <w:rsid w:val="009738D8"/>
    <w:rsid w:val="009739DB"/>
    <w:rsid w:val="00973BB4"/>
    <w:rsid w:val="00973D73"/>
    <w:rsid w:val="00973EFF"/>
    <w:rsid w:val="0097408A"/>
    <w:rsid w:val="009740A7"/>
    <w:rsid w:val="009740C2"/>
    <w:rsid w:val="0097421E"/>
    <w:rsid w:val="00974395"/>
    <w:rsid w:val="0097472E"/>
    <w:rsid w:val="009747CA"/>
    <w:rsid w:val="0097482F"/>
    <w:rsid w:val="0097499D"/>
    <w:rsid w:val="00974B65"/>
    <w:rsid w:val="00974BD0"/>
    <w:rsid w:val="00974CB3"/>
    <w:rsid w:val="00974EDD"/>
    <w:rsid w:val="00974FB3"/>
    <w:rsid w:val="0097533D"/>
    <w:rsid w:val="009756BE"/>
    <w:rsid w:val="0097609B"/>
    <w:rsid w:val="009760E5"/>
    <w:rsid w:val="00976291"/>
    <w:rsid w:val="00976451"/>
    <w:rsid w:val="00976568"/>
    <w:rsid w:val="00976825"/>
    <w:rsid w:val="009768D3"/>
    <w:rsid w:val="00976C41"/>
    <w:rsid w:val="00976D13"/>
    <w:rsid w:val="009770A6"/>
    <w:rsid w:val="009773A6"/>
    <w:rsid w:val="0097744F"/>
    <w:rsid w:val="00977579"/>
    <w:rsid w:val="009775DC"/>
    <w:rsid w:val="009777BD"/>
    <w:rsid w:val="009777DA"/>
    <w:rsid w:val="0097780D"/>
    <w:rsid w:val="00977872"/>
    <w:rsid w:val="00977BCB"/>
    <w:rsid w:val="00980083"/>
    <w:rsid w:val="00980232"/>
    <w:rsid w:val="00980650"/>
    <w:rsid w:val="00980C36"/>
    <w:rsid w:val="0098113C"/>
    <w:rsid w:val="009812E7"/>
    <w:rsid w:val="0098195E"/>
    <w:rsid w:val="00981D2E"/>
    <w:rsid w:val="00981E9E"/>
    <w:rsid w:val="00981F1E"/>
    <w:rsid w:val="00982256"/>
    <w:rsid w:val="00982C17"/>
    <w:rsid w:val="0098302E"/>
    <w:rsid w:val="009830CD"/>
    <w:rsid w:val="0098310B"/>
    <w:rsid w:val="00983324"/>
    <w:rsid w:val="009835CB"/>
    <w:rsid w:val="00983626"/>
    <w:rsid w:val="00983935"/>
    <w:rsid w:val="00983CBF"/>
    <w:rsid w:val="00983D88"/>
    <w:rsid w:val="00983E8E"/>
    <w:rsid w:val="00983EAA"/>
    <w:rsid w:val="00983F0A"/>
    <w:rsid w:val="00984068"/>
    <w:rsid w:val="00984243"/>
    <w:rsid w:val="00984442"/>
    <w:rsid w:val="009844BA"/>
    <w:rsid w:val="009845D8"/>
    <w:rsid w:val="00984850"/>
    <w:rsid w:val="00984DE8"/>
    <w:rsid w:val="00985057"/>
    <w:rsid w:val="0098510A"/>
    <w:rsid w:val="0098514A"/>
    <w:rsid w:val="009853FD"/>
    <w:rsid w:val="00985816"/>
    <w:rsid w:val="00985B3B"/>
    <w:rsid w:val="00985E1B"/>
    <w:rsid w:val="00986481"/>
    <w:rsid w:val="00986714"/>
    <w:rsid w:val="00986B72"/>
    <w:rsid w:val="00986C7C"/>
    <w:rsid w:val="009871CA"/>
    <w:rsid w:val="0098761A"/>
    <w:rsid w:val="00987771"/>
    <w:rsid w:val="0098783B"/>
    <w:rsid w:val="00987B9F"/>
    <w:rsid w:val="00987D02"/>
    <w:rsid w:val="009902ED"/>
    <w:rsid w:val="00990A10"/>
    <w:rsid w:val="00990ED2"/>
    <w:rsid w:val="009910A1"/>
    <w:rsid w:val="00991334"/>
    <w:rsid w:val="00991396"/>
    <w:rsid w:val="009914E1"/>
    <w:rsid w:val="00991B63"/>
    <w:rsid w:val="00992F88"/>
    <w:rsid w:val="00993A33"/>
    <w:rsid w:val="00993A5A"/>
    <w:rsid w:val="00993CD5"/>
    <w:rsid w:val="00994416"/>
    <w:rsid w:val="00994E8F"/>
    <w:rsid w:val="009951A2"/>
    <w:rsid w:val="009953C4"/>
    <w:rsid w:val="0099550C"/>
    <w:rsid w:val="009956F6"/>
    <w:rsid w:val="00995798"/>
    <w:rsid w:val="009957EE"/>
    <w:rsid w:val="00995A24"/>
    <w:rsid w:val="00995AB1"/>
    <w:rsid w:val="00995B0C"/>
    <w:rsid w:val="00995FA4"/>
    <w:rsid w:val="00996009"/>
    <w:rsid w:val="0099621D"/>
    <w:rsid w:val="00996328"/>
    <w:rsid w:val="009964F9"/>
    <w:rsid w:val="0099660D"/>
    <w:rsid w:val="009967E2"/>
    <w:rsid w:val="00996B8D"/>
    <w:rsid w:val="00996CE7"/>
    <w:rsid w:val="00996D72"/>
    <w:rsid w:val="00996E78"/>
    <w:rsid w:val="009971EB"/>
    <w:rsid w:val="00997286"/>
    <w:rsid w:val="00997434"/>
    <w:rsid w:val="009976BF"/>
    <w:rsid w:val="00997B7D"/>
    <w:rsid w:val="00997C5A"/>
    <w:rsid w:val="009A04D9"/>
    <w:rsid w:val="009A0651"/>
    <w:rsid w:val="009A1327"/>
    <w:rsid w:val="009A171D"/>
    <w:rsid w:val="009A1E12"/>
    <w:rsid w:val="009A237B"/>
    <w:rsid w:val="009A2413"/>
    <w:rsid w:val="009A2A09"/>
    <w:rsid w:val="009A2C0A"/>
    <w:rsid w:val="009A2ECC"/>
    <w:rsid w:val="009A2FEA"/>
    <w:rsid w:val="009A30BE"/>
    <w:rsid w:val="009A3262"/>
    <w:rsid w:val="009A35DC"/>
    <w:rsid w:val="009A3871"/>
    <w:rsid w:val="009A3BFE"/>
    <w:rsid w:val="009A3D3F"/>
    <w:rsid w:val="009A485A"/>
    <w:rsid w:val="009A485C"/>
    <w:rsid w:val="009A4983"/>
    <w:rsid w:val="009A4E49"/>
    <w:rsid w:val="009A4E8E"/>
    <w:rsid w:val="009A4EF7"/>
    <w:rsid w:val="009A504D"/>
    <w:rsid w:val="009A50B3"/>
    <w:rsid w:val="009A5111"/>
    <w:rsid w:val="009A5713"/>
    <w:rsid w:val="009A586F"/>
    <w:rsid w:val="009A597B"/>
    <w:rsid w:val="009A59A0"/>
    <w:rsid w:val="009A5A71"/>
    <w:rsid w:val="009A5D1F"/>
    <w:rsid w:val="009A6178"/>
    <w:rsid w:val="009A6942"/>
    <w:rsid w:val="009A6A08"/>
    <w:rsid w:val="009A6FA3"/>
    <w:rsid w:val="009A702E"/>
    <w:rsid w:val="009A720B"/>
    <w:rsid w:val="009A754E"/>
    <w:rsid w:val="009A77DA"/>
    <w:rsid w:val="009A7878"/>
    <w:rsid w:val="009A7A86"/>
    <w:rsid w:val="009A7D39"/>
    <w:rsid w:val="009A7D40"/>
    <w:rsid w:val="009A7EEB"/>
    <w:rsid w:val="009A7F12"/>
    <w:rsid w:val="009A7FEC"/>
    <w:rsid w:val="009B0600"/>
    <w:rsid w:val="009B0705"/>
    <w:rsid w:val="009B0988"/>
    <w:rsid w:val="009B0E1C"/>
    <w:rsid w:val="009B1097"/>
    <w:rsid w:val="009B18DD"/>
    <w:rsid w:val="009B1F3A"/>
    <w:rsid w:val="009B201D"/>
    <w:rsid w:val="009B24DF"/>
    <w:rsid w:val="009B281B"/>
    <w:rsid w:val="009B30F3"/>
    <w:rsid w:val="009B3219"/>
    <w:rsid w:val="009B34D1"/>
    <w:rsid w:val="009B367B"/>
    <w:rsid w:val="009B3958"/>
    <w:rsid w:val="009B3A7D"/>
    <w:rsid w:val="009B3C4A"/>
    <w:rsid w:val="009B403A"/>
    <w:rsid w:val="009B42AC"/>
    <w:rsid w:val="009B47A5"/>
    <w:rsid w:val="009B4BB6"/>
    <w:rsid w:val="009B4DE9"/>
    <w:rsid w:val="009B50F0"/>
    <w:rsid w:val="009B5614"/>
    <w:rsid w:val="009B586E"/>
    <w:rsid w:val="009B594B"/>
    <w:rsid w:val="009B5AD1"/>
    <w:rsid w:val="009B5C52"/>
    <w:rsid w:val="009B5DBA"/>
    <w:rsid w:val="009B6142"/>
    <w:rsid w:val="009B665D"/>
    <w:rsid w:val="009B697A"/>
    <w:rsid w:val="009B6BF0"/>
    <w:rsid w:val="009B724D"/>
    <w:rsid w:val="009B730A"/>
    <w:rsid w:val="009B78B1"/>
    <w:rsid w:val="009B798A"/>
    <w:rsid w:val="009B7C43"/>
    <w:rsid w:val="009B7CEF"/>
    <w:rsid w:val="009B7DE3"/>
    <w:rsid w:val="009C0399"/>
    <w:rsid w:val="009C04AC"/>
    <w:rsid w:val="009C060B"/>
    <w:rsid w:val="009C0CBA"/>
    <w:rsid w:val="009C0D47"/>
    <w:rsid w:val="009C1164"/>
    <w:rsid w:val="009C1176"/>
    <w:rsid w:val="009C126A"/>
    <w:rsid w:val="009C1379"/>
    <w:rsid w:val="009C17F8"/>
    <w:rsid w:val="009C1B40"/>
    <w:rsid w:val="009C1BC1"/>
    <w:rsid w:val="009C1C9E"/>
    <w:rsid w:val="009C1FAA"/>
    <w:rsid w:val="009C1FD3"/>
    <w:rsid w:val="009C22B0"/>
    <w:rsid w:val="009C22C8"/>
    <w:rsid w:val="009C2345"/>
    <w:rsid w:val="009C2371"/>
    <w:rsid w:val="009C24A6"/>
    <w:rsid w:val="009C2A37"/>
    <w:rsid w:val="009C2BB0"/>
    <w:rsid w:val="009C2CC2"/>
    <w:rsid w:val="009C2E07"/>
    <w:rsid w:val="009C3069"/>
    <w:rsid w:val="009C310E"/>
    <w:rsid w:val="009C313D"/>
    <w:rsid w:val="009C31B6"/>
    <w:rsid w:val="009C3444"/>
    <w:rsid w:val="009C3446"/>
    <w:rsid w:val="009C34E1"/>
    <w:rsid w:val="009C372F"/>
    <w:rsid w:val="009C3D2E"/>
    <w:rsid w:val="009C3D67"/>
    <w:rsid w:val="009C4022"/>
    <w:rsid w:val="009C4405"/>
    <w:rsid w:val="009C462D"/>
    <w:rsid w:val="009C4C38"/>
    <w:rsid w:val="009C4D19"/>
    <w:rsid w:val="009C522A"/>
    <w:rsid w:val="009C5308"/>
    <w:rsid w:val="009C5A58"/>
    <w:rsid w:val="009C5AC7"/>
    <w:rsid w:val="009C5CCB"/>
    <w:rsid w:val="009C6033"/>
    <w:rsid w:val="009C690B"/>
    <w:rsid w:val="009C6A82"/>
    <w:rsid w:val="009C6BD7"/>
    <w:rsid w:val="009C6DA4"/>
    <w:rsid w:val="009C6E3D"/>
    <w:rsid w:val="009C6EE6"/>
    <w:rsid w:val="009C6F17"/>
    <w:rsid w:val="009C6FA6"/>
    <w:rsid w:val="009C7056"/>
    <w:rsid w:val="009C71B8"/>
    <w:rsid w:val="009C76AD"/>
    <w:rsid w:val="009C78C6"/>
    <w:rsid w:val="009C7B0A"/>
    <w:rsid w:val="009C7F43"/>
    <w:rsid w:val="009D0105"/>
    <w:rsid w:val="009D015C"/>
    <w:rsid w:val="009D02DF"/>
    <w:rsid w:val="009D04BD"/>
    <w:rsid w:val="009D0565"/>
    <w:rsid w:val="009D070A"/>
    <w:rsid w:val="009D0811"/>
    <w:rsid w:val="009D09AF"/>
    <w:rsid w:val="009D0E42"/>
    <w:rsid w:val="009D11B7"/>
    <w:rsid w:val="009D1452"/>
    <w:rsid w:val="009D14F0"/>
    <w:rsid w:val="009D16B8"/>
    <w:rsid w:val="009D1830"/>
    <w:rsid w:val="009D183C"/>
    <w:rsid w:val="009D1E4F"/>
    <w:rsid w:val="009D1E5B"/>
    <w:rsid w:val="009D2122"/>
    <w:rsid w:val="009D217B"/>
    <w:rsid w:val="009D2593"/>
    <w:rsid w:val="009D25CD"/>
    <w:rsid w:val="009D290A"/>
    <w:rsid w:val="009D29C0"/>
    <w:rsid w:val="009D2D1E"/>
    <w:rsid w:val="009D3F9C"/>
    <w:rsid w:val="009D42D6"/>
    <w:rsid w:val="009D4BF1"/>
    <w:rsid w:val="009D5280"/>
    <w:rsid w:val="009D5B3A"/>
    <w:rsid w:val="009D5EFD"/>
    <w:rsid w:val="009D5F41"/>
    <w:rsid w:val="009D6055"/>
    <w:rsid w:val="009D6268"/>
    <w:rsid w:val="009D6AA6"/>
    <w:rsid w:val="009D6B90"/>
    <w:rsid w:val="009D6E4A"/>
    <w:rsid w:val="009D7A75"/>
    <w:rsid w:val="009D7A82"/>
    <w:rsid w:val="009D7AF1"/>
    <w:rsid w:val="009D7CD7"/>
    <w:rsid w:val="009D7DBF"/>
    <w:rsid w:val="009D7E83"/>
    <w:rsid w:val="009D7F4D"/>
    <w:rsid w:val="009E029B"/>
    <w:rsid w:val="009E0542"/>
    <w:rsid w:val="009E066B"/>
    <w:rsid w:val="009E0A0A"/>
    <w:rsid w:val="009E0A37"/>
    <w:rsid w:val="009E0C22"/>
    <w:rsid w:val="009E0D35"/>
    <w:rsid w:val="009E138A"/>
    <w:rsid w:val="009E157C"/>
    <w:rsid w:val="009E15AC"/>
    <w:rsid w:val="009E1AC9"/>
    <w:rsid w:val="009E1E6B"/>
    <w:rsid w:val="009E1EBB"/>
    <w:rsid w:val="009E22E3"/>
    <w:rsid w:val="009E257F"/>
    <w:rsid w:val="009E2617"/>
    <w:rsid w:val="009E27F6"/>
    <w:rsid w:val="009E2DD0"/>
    <w:rsid w:val="009E2DDC"/>
    <w:rsid w:val="009E2F1E"/>
    <w:rsid w:val="009E2F7B"/>
    <w:rsid w:val="009E31C3"/>
    <w:rsid w:val="009E31D7"/>
    <w:rsid w:val="009E353C"/>
    <w:rsid w:val="009E3649"/>
    <w:rsid w:val="009E3861"/>
    <w:rsid w:val="009E3F22"/>
    <w:rsid w:val="009E400A"/>
    <w:rsid w:val="009E444B"/>
    <w:rsid w:val="009E44F0"/>
    <w:rsid w:val="009E4648"/>
    <w:rsid w:val="009E4B13"/>
    <w:rsid w:val="009E4B78"/>
    <w:rsid w:val="009E4C86"/>
    <w:rsid w:val="009E4CC6"/>
    <w:rsid w:val="009E50E4"/>
    <w:rsid w:val="009E5545"/>
    <w:rsid w:val="009E59D8"/>
    <w:rsid w:val="009E60CF"/>
    <w:rsid w:val="009E6B6A"/>
    <w:rsid w:val="009E7184"/>
    <w:rsid w:val="009E72AE"/>
    <w:rsid w:val="009E767A"/>
    <w:rsid w:val="009E7BBE"/>
    <w:rsid w:val="009E7C6D"/>
    <w:rsid w:val="009F00B9"/>
    <w:rsid w:val="009F02E0"/>
    <w:rsid w:val="009F0462"/>
    <w:rsid w:val="009F04BE"/>
    <w:rsid w:val="009F051A"/>
    <w:rsid w:val="009F077A"/>
    <w:rsid w:val="009F0861"/>
    <w:rsid w:val="009F0999"/>
    <w:rsid w:val="009F0CCA"/>
    <w:rsid w:val="009F0D44"/>
    <w:rsid w:val="009F0FCB"/>
    <w:rsid w:val="009F0FF9"/>
    <w:rsid w:val="009F17B4"/>
    <w:rsid w:val="009F1D1A"/>
    <w:rsid w:val="009F1EB9"/>
    <w:rsid w:val="009F1ED9"/>
    <w:rsid w:val="009F2137"/>
    <w:rsid w:val="009F233E"/>
    <w:rsid w:val="009F25E9"/>
    <w:rsid w:val="009F268A"/>
    <w:rsid w:val="009F281F"/>
    <w:rsid w:val="009F2A14"/>
    <w:rsid w:val="009F2A58"/>
    <w:rsid w:val="009F2B4F"/>
    <w:rsid w:val="009F2BEE"/>
    <w:rsid w:val="009F2E63"/>
    <w:rsid w:val="009F301F"/>
    <w:rsid w:val="009F3986"/>
    <w:rsid w:val="009F3E0A"/>
    <w:rsid w:val="009F4189"/>
    <w:rsid w:val="009F41BD"/>
    <w:rsid w:val="009F41CE"/>
    <w:rsid w:val="009F4644"/>
    <w:rsid w:val="009F4658"/>
    <w:rsid w:val="009F4A0A"/>
    <w:rsid w:val="009F4B55"/>
    <w:rsid w:val="009F4D6D"/>
    <w:rsid w:val="009F4F4E"/>
    <w:rsid w:val="009F53E1"/>
    <w:rsid w:val="009F544D"/>
    <w:rsid w:val="009F5562"/>
    <w:rsid w:val="009F5980"/>
    <w:rsid w:val="009F5CBD"/>
    <w:rsid w:val="009F5E13"/>
    <w:rsid w:val="009F6532"/>
    <w:rsid w:val="009F6A86"/>
    <w:rsid w:val="009F6CAC"/>
    <w:rsid w:val="009F6EA4"/>
    <w:rsid w:val="009F6F31"/>
    <w:rsid w:val="009F78A2"/>
    <w:rsid w:val="009F7A41"/>
    <w:rsid w:val="009F7A82"/>
    <w:rsid w:val="009F7B53"/>
    <w:rsid w:val="00A004F6"/>
    <w:rsid w:val="00A00512"/>
    <w:rsid w:val="00A0069F"/>
    <w:rsid w:val="00A00869"/>
    <w:rsid w:val="00A00875"/>
    <w:rsid w:val="00A008E5"/>
    <w:rsid w:val="00A00AEC"/>
    <w:rsid w:val="00A00B92"/>
    <w:rsid w:val="00A00F56"/>
    <w:rsid w:val="00A01697"/>
    <w:rsid w:val="00A018F6"/>
    <w:rsid w:val="00A01F94"/>
    <w:rsid w:val="00A022CF"/>
    <w:rsid w:val="00A023BC"/>
    <w:rsid w:val="00A0246B"/>
    <w:rsid w:val="00A02478"/>
    <w:rsid w:val="00A03800"/>
    <w:rsid w:val="00A03C7B"/>
    <w:rsid w:val="00A03E1D"/>
    <w:rsid w:val="00A03FBA"/>
    <w:rsid w:val="00A0407F"/>
    <w:rsid w:val="00A0449C"/>
    <w:rsid w:val="00A04637"/>
    <w:rsid w:val="00A04AC3"/>
    <w:rsid w:val="00A0539E"/>
    <w:rsid w:val="00A0564A"/>
    <w:rsid w:val="00A056ED"/>
    <w:rsid w:val="00A05BC8"/>
    <w:rsid w:val="00A05C47"/>
    <w:rsid w:val="00A05F3A"/>
    <w:rsid w:val="00A06126"/>
    <w:rsid w:val="00A06357"/>
    <w:rsid w:val="00A064FA"/>
    <w:rsid w:val="00A07198"/>
    <w:rsid w:val="00A07639"/>
    <w:rsid w:val="00A07A6A"/>
    <w:rsid w:val="00A07BB8"/>
    <w:rsid w:val="00A10058"/>
    <w:rsid w:val="00A10432"/>
    <w:rsid w:val="00A10779"/>
    <w:rsid w:val="00A109AC"/>
    <w:rsid w:val="00A10C3F"/>
    <w:rsid w:val="00A10D32"/>
    <w:rsid w:val="00A10EDC"/>
    <w:rsid w:val="00A11090"/>
    <w:rsid w:val="00A11237"/>
    <w:rsid w:val="00A11335"/>
    <w:rsid w:val="00A11AE7"/>
    <w:rsid w:val="00A11D03"/>
    <w:rsid w:val="00A12096"/>
    <w:rsid w:val="00A1221F"/>
    <w:rsid w:val="00A1276F"/>
    <w:rsid w:val="00A127B7"/>
    <w:rsid w:val="00A12B59"/>
    <w:rsid w:val="00A12DEF"/>
    <w:rsid w:val="00A12E40"/>
    <w:rsid w:val="00A12F10"/>
    <w:rsid w:val="00A12FEB"/>
    <w:rsid w:val="00A1303E"/>
    <w:rsid w:val="00A13083"/>
    <w:rsid w:val="00A13302"/>
    <w:rsid w:val="00A1335B"/>
    <w:rsid w:val="00A13897"/>
    <w:rsid w:val="00A138CF"/>
    <w:rsid w:val="00A139BE"/>
    <w:rsid w:val="00A141E5"/>
    <w:rsid w:val="00A14298"/>
    <w:rsid w:val="00A14472"/>
    <w:rsid w:val="00A14563"/>
    <w:rsid w:val="00A14752"/>
    <w:rsid w:val="00A14B7C"/>
    <w:rsid w:val="00A14BC1"/>
    <w:rsid w:val="00A14CA2"/>
    <w:rsid w:val="00A14DA4"/>
    <w:rsid w:val="00A16199"/>
    <w:rsid w:val="00A16343"/>
    <w:rsid w:val="00A16672"/>
    <w:rsid w:val="00A1683F"/>
    <w:rsid w:val="00A16ACE"/>
    <w:rsid w:val="00A16E52"/>
    <w:rsid w:val="00A16F60"/>
    <w:rsid w:val="00A17115"/>
    <w:rsid w:val="00A17437"/>
    <w:rsid w:val="00A1759A"/>
    <w:rsid w:val="00A179C4"/>
    <w:rsid w:val="00A17B89"/>
    <w:rsid w:val="00A17D8E"/>
    <w:rsid w:val="00A17F09"/>
    <w:rsid w:val="00A20343"/>
    <w:rsid w:val="00A203A5"/>
    <w:rsid w:val="00A20E6D"/>
    <w:rsid w:val="00A21430"/>
    <w:rsid w:val="00A21669"/>
    <w:rsid w:val="00A216E0"/>
    <w:rsid w:val="00A219E8"/>
    <w:rsid w:val="00A21EEB"/>
    <w:rsid w:val="00A22170"/>
    <w:rsid w:val="00A22319"/>
    <w:rsid w:val="00A229BA"/>
    <w:rsid w:val="00A22D9F"/>
    <w:rsid w:val="00A22EC9"/>
    <w:rsid w:val="00A23194"/>
    <w:rsid w:val="00A231FA"/>
    <w:rsid w:val="00A232C2"/>
    <w:rsid w:val="00A233AD"/>
    <w:rsid w:val="00A23A20"/>
    <w:rsid w:val="00A23EC7"/>
    <w:rsid w:val="00A23F0C"/>
    <w:rsid w:val="00A2407B"/>
    <w:rsid w:val="00A24227"/>
    <w:rsid w:val="00A24710"/>
    <w:rsid w:val="00A2474D"/>
    <w:rsid w:val="00A24865"/>
    <w:rsid w:val="00A24B58"/>
    <w:rsid w:val="00A24BB9"/>
    <w:rsid w:val="00A255C9"/>
    <w:rsid w:val="00A25934"/>
    <w:rsid w:val="00A2595D"/>
    <w:rsid w:val="00A25B1E"/>
    <w:rsid w:val="00A25B3F"/>
    <w:rsid w:val="00A25F84"/>
    <w:rsid w:val="00A2618F"/>
    <w:rsid w:val="00A26468"/>
    <w:rsid w:val="00A267E6"/>
    <w:rsid w:val="00A269A6"/>
    <w:rsid w:val="00A26B7B"/>
    <w:rsid w:val="00A26E52"/>
    <w:rsid w:val="00A27235"/>
    <w:rsid w:val="00A27399"/>
    <w:rsid w:val="00A27905"/>
    <w:rsid w:val="00A27A1A"/>
    <w:rsid w:val="00A27A3D"/>
    <w:rsid w:val="00A27F7A"/>
    <w:rsid w:val="00A3042A"/>
    <w:rsid w:val="00A30BDC"/>
    <w:rsid w:val="00A30CA0"/>
    <w:rsid w:val="00A310A3"/>
    <w:rsid w:val="00A314A7"/>
    <w:rsid w:val="00A31909"/>
    <w:rsid w:val="00A31CD5"/>
    <w:rsid w:val="00A31CEF"/>
    <w:rsid w:val="00A321A7"/>
    <w:rsid w:val="00A325F1"/>
    <w:rsid w:val="00A3279A"/>
    <w:rsid w:val="00A329D2"/>
    <w:rsid w:val="00A32C5A"/>
    <w:rsid w:val="00A32CDA"/>
    <w:rsid w:val="00A33173"/>
    <w:rsid w:val="00A33176"/>
    <w:rsid w:val="00A33375"/>
    <w:rsid w:val="00A333A4"/>
    <w:rsid w:val="00A33452"/>
    <w:rsid w:val="00A3397A"/>
    <w:rsid w:val="00A33BA8"/>
    <w:rsid w:val="00A33D24"/>
    <w:rsid w:val="00A33FF8"/>
    <w:rsid w:val="00A34056"/>
    <w:rsid w:val="00A34128"/>
    <w:rsid w:val="00A345B7"/>
    <w:rsid w:val="00A345D9"/>
    <w:rsid w:val="00A34B6A"/>
    <w:rsid w:val="00A35362"/>
    <w:rsid w:val="00A354CD"/>
    <w:rsid w:val="00A35925"/>
    <w:rsid w:val="00A35DD3"/>
    <w:rsid w:val="00A3603F"/>
    <w:rsid w:val="00A361DD"/>
    <w:rsid w:val="00A36A3D"/>
    <w:rsid w:val="00A36A80"/>
    <w:rsid w:val="00A36D7A"/>
    <w:rsid w:val="00A36D8A"/>
    <w:rsid w:val="00A374C4"/>
    <w:rsid w:val="00A375E1"/>
    <w:rsid w:val="00A37A71"/>
    <w:rsid w:val="00A37BA0"/>
    <w:rsid w:val="00A37E34"/>
    <w:rsid w:val="00A37FD8"/>
    <w:rsid w:val="00A404E4"/>
    <w:rsid w:val="00A40FC2"/>
    <w:rsid w:val="00A4109E"/>
    <w:rsid w:val="00A41256"/>
    <w:rsid w:val="00A412B0"/>
    <w:rsid w:val="00A412E5"/>
    <w:rsid w:val="00A41424"/>
    <w:rsid w:val="00A418B1"/>
    <w:rsid w:val="00A41990"/>
    <w:rsid w:val="00A419C5"/>
    <w:rsid w:val="00A41ADC"/>
    <w:rsid w:val="00A41C12"/>
    <w:rsid w:val="00A41C98"/>
    <w:rsid w:val="00A42035"/>
    <w:rsid w:val="00A4213A"/>
    <w:rsid w:val="00A42798"/>
    <w:rsid w:val="00A42A24"/>
    <w:rsid w:val="00A42E16"/>
    <w:rsid w:val="00A42FE4"/>
    <w:rsid w:val="00A43208"/>
    <w:rsid w:val="00A432EA"/>
    <w:rsid w:val="00A4383D"/>
    <w:rsid w:val="00A44319"/>
    <w:rsid w:val="00A44852"/>
    <w:rsid w:val="00A44B5A"/>
    <w:rsid w:val="00A44C05"/>
    <w:rsid w:val="00A44C5A"/>
    <w:rsid w:val="00A44D87"/>
    <w:rsid w:val="00A44EB2"/>
    <w:rsid w:val="00A45273"/>
    <w:rsid w:val="00A455A5"/>
    <w:rsid w:val="00A45705"/>
    <w:rsid w:val="00A45983"/>
    <w:rsid w:val="00A45A15"/>
    <w:rsid w:val="00A45D08"/>
    <w:rsid w:val="00A45EF1"/>
    <w:rsid w:val="00A461B2"/>
    <w:rsid w:val="00A468E5"/>
    <w:rsid w:val="00A4698D"/>
    <w:rsid w:val="00A469B9"/>
    <w:rsid w:val="00A46AB6"/>
    <w:rsid w:val="00A46C7D"/>
    <w:rsid w:val="00A46DA3"/>
    <w:rsid w:val="00A46FB5"/>
    <w:rsid w:val="00A47089"/>
    <w:rsid w:val="00A47503"/>
    <w:rsid w:val="00A47A95"/>
    <w:rsid w:val="00A50363"/>
    <w:rsid w:val="00A512AD"/>
    <w:rsid w:val="00A51568"/>
    <w:rsid w:val="00A51723"/>
    <w:rsid w:val="00A51A13"/>
    <w:rsid w:val="00A51AA2"/>
    <w:rsid w:val="00A51B5B"/>
    <w:rsid w:val="00A51C22"/>
    <w:rsid w:val="00A51CE1"/>
    <w:rsid w:val="00A51EF4"/>
    <w:rsid w:val="00A51F01"/>
    <w:rsid w:val="00A51FF4"/>
    <w:rsid w:val="00A52472"/>
    <w:rsid w:val="00A5296E"/>
    <w:rsid w:val="00A530F2"/>
    <w:rsid w:val="00A5339E"/>
    <w:rsid w:val="00A53599"/>
    <w:rsid w:val="00A53A40"/>
    <w:rsid w:val="00A54031"/>
    <w:rsid w:val="00A5408B"/>
    <w:rsid w:val="00A5433D"/>
    <w:rsid w:val="00A54DD0"/>
    <w:rsid w:val="00A54F89"/>
    <w:rsid w:val="00A55053"/>
    <w:rsid w:val="00A552C4"/>
    <w:rsid w:val="00A55339"/>
    <w:rsid w:val="00A55416"/>
    <w:rsid w:val="00A5572A"/>
    <w:rsid w:val="00A55A76"/>
    <w:rsid w:val="00A55EC5"/>
    <w:rsid w:val="00A56113"/>
    <w:rsid w:val="00A566FA"/>
    <w:rsid w:val="00A567E4"/>
    <w:rsid w:val="00A56B78"/>
    <w:rsid w:val="00A56CB1"/>
    <w:rsid w:val="00A56D31"/>
    <w:rsid w:val="00A56F3B"/>
    <w:rsid w:val="00A56FE2"/>
    <w:rsid w:val="00A5704B"/>
    <w:rsid w:val="00A5704D"/>
    <w:rsid w:val="00A571EF"/>
    <w:rsid w:val="00A57A0E"/>
    <w:rsid w:val="00A57E16"/>
    <w:rsid w:val="00A57E58"/>
    <w:rsid w:val="00A57EEA"/>
    <w:rsid w:val="00A600B1"/>
    <w:rsid w:val="00A60122"/>
    <w:rsid w:val="00A6031E"/>
    <w:rsid w:val="00A604C1"/>
    <w:rsid w:val="00A60580"/>
    <w:rsid w:val="00A60F38"/>
    <w:rsid w:val="00A60FA7"/>
    <w:rsid w:val="00A60FFA"/>
    <w:rsid w:val="00A610DF"/>
    <w:rsid w:val="00A61179"/>
    <w:rsid w:val="00A61205"/>
    <w:rsid w:val="00A61285"/>
    <w:rsid w:val="00A619BC"/>
    <w:rsid w:val="00A61B17"/>
    <w:rsid w:val="00A61DAE"/>
    <w:rsid w:val="00A61DE8"/>
    <w:rsid w:val="00A61FE1"/>
    <w:rsid w:val="00A6202D"/>
    <w:rsid w:val="00A62353"/>
    <w:rsid w:val="00A625EA"/>
    <w:rsid w:val="00A62722"/>
    <w:rsid w:val="00A62766"/>
    <w:rsid w:val="00A62AC2"/>
    <w:rsid w:val="00A62E15"/>
    <w:rsid w:val="00A63407"/>
    <w:rsid w:val="00A635C7"/>
    <w:rsid w:val="00A63C6A"/>
    <w:rsid w:val="00A63CD2"/>
    <w:rsid w:val="00A63D35"/>
    <w:rsid w:val="00A640D7"/>
    <w:rsid w:val="00A644FC"/>
    <w:rsid w:val="00A6450D"/>
    <w:rsid w:val="00A64CF4"/>
    <w:rsid w:val="00A6507D"/>
    <w:rsid w:val="00A6518C"/>
    <w:rsid w:val="00A653A2"/>
    <w:rsid w:val="00A655A0"/>
    <w:rsid w:val="00A66330"/>
    <w:rsid w:val="00A666F3"/>
    <w:rsid w:val="00A66C3C"/>
    <w:rsid w:val="00A678BE"/>
    <w:rsid w:val="00A679D0"/>
    <w:rsid w:val="00A67CF4"/>
    <w:rsid w:val="00A67F38"/>
    <w:rsid w:val="00A67F95"/>
    <w:rsid w:val="00A67F9B"/>
    <w:rsid w:val="00A67FA7"/>
    <w:rsid w:val="00A702F3"/>
    <w:rsid w:val="00A70337"/>
    <w:rsid w:val="00A70405"/>
    <w:rsid w:val="00A70504"/>
    <w:rsid w:val="00A7083D"/>
    <w:rsid w:val="00A7091C"/>
    <w:rsid w:val="00A709BC"/>
    <w:rsid w:val="00A709E3"/>
    <w:rsid w:val="00A70C89"/>
    <w:rsid w:val="00A70D79"/>
    <w:rsid w:val="00A7117A"/>
    <w:rsid w:val="00A71276"/>
    <w:rsid w:val="00A715E0"/>
    <w:rsid w:val="00A71654"/>
    <w:rsid w:val="00A716C4"/>
    <w:rsid w:val="00A716EF"/>
    <w:rsid w:val="00A718A8"/>
    <w:rsid w:val="00A71929"/>
    <w:rsid w:val="00A72010"/>
    <w:rsid w:val="00A72089"/>
    <w:rsid w:val="00A72454"/>
    <w:rsid w:val="00A7248D"/>
    <w:rsid w:val="00A72D03"/>
    <w:rsid w:val="00A72D8B"/>
    <w:rsid w:val="00A72DC7"/>
    <w:rsid w:val="00A72E3E"/>
    <w:rsid w:val="00A72ED1"/>
    <w:rsid w:val="00A733D2"/>
    <w:rsid w:val="00A73593"/>
    <w:rsid w:val="00A735D5"/>
    <w:rsid w:val="00A73D0D"/>
    <w:rsid w:val="00A73E38"/>
    <w:rsid w:val="00A73F88"/>
    <w:rsid w:val="00A7401C"/>
    <w:rsid w:val="00A7410A"/>
    <w:rsid w:val="00A742AB"/>
    <w:rsid w:val="00A74304"/>
    <w:rsid w:val="00A7439D"/>
    <w:rsid w:val="00A7461F"/>
    <w:rsid w:val="00A74A99"/>
    <w:rsid w:val="00A74B92"/>
    <w:rsid w:val="00A74BEC"/>
    <w:rsid w:val="00A74D74"/>
    <w:rsid w:val="00A74EDE"/>
    <w:rsid w:val="00A75041"/>
    <w:rsid w:val="00A753C3"/>
    <w:rsid w:val="00A755A8"/>
    <w:rsid w:val="00A757A9"/>
    <w:rsid w:val="00A7586E"/>
    <w:rsid w:val="00A75904"/>
    <w:rsid w:val="00A759D4"/>
    <w:rsid w:val="00A75A1C"/>
    <w:rsid w:val="00A75ABD"/>
    <w:rsid w:val="00A75AC7"/>
    <w:rsid w:val="00A76218"/>
    <w:rsid w:val="00A76287"/>
    <w:rsid w:val="00A7650D"/>
    <w:rsid w:val="00A76597"/>
    <w:rsid w:val="00A76BFB"/>
    <w:rsid w:val="00A76F60"/>
    <w:rsid w:val="00A77222"/>
    <w:rsid w:val="00A77288"/>
    <w:rsid w:val="00A772D9"/>
    <w:rsid w:val="00A779FF"/>
    <w:rsid w:val="00A77D44"/>
    <w:rsid w:val="00A77DB1"/>
    <w:rsid w:val="00A800B9"/>
    <w:rsid w:val="00A80330"/>
    <w:rsid w:val="00A8062E"/>
    <w:rsid w:val="00A8066E"/>
    <w:rsid w:val="00A80683"/>
    <w:rsid w:val="00A80842"/>
    <w:rsid w:val="00A80E1C"/>
    <w:rsid w:val="00A80FB5"/>
    <w:rsid w:val="00A81149"/>
    <w:rsid w:val="00A81578"/>
    <w:rsid w:val="00A815C3"/>
    <w:rsid w:val="00A815D9"/>
    <w:rsid w:val="00A81670"/>
    <w:rsid w:val="00A81674"/>
    <w:rsid w:val="00A8172F"/>
    <w:rsid w:val="00A81823"/>
    <w:rsid w:val="00A81884"/>
    <w:rsid w:val="00A81CCC"/>
    <w:rsid w:val="00A81DA7"/>
    <w:rsid w:val="00A8206F"/>
    <w:rsid w:val="00A82125"/>
    <w:rsid w:val="00A8213B"/>
    <w:rsid w:val="00A825C6"/>
    <w:rsid w:val="00A825FB"/>
    <w:rsid w:val="00A82697"/>
    <w:rsid w:val="00A82710"/>
    <w:rsid w:val="00A827E8"/>
    <w:rsid w:val="00A828C2"/>
    <w:rsid w:val="00A82ABA"/>
    <w:rsid w:val="00A82D28"/>
    <w:rsid w:val="00A83149"/>
    <w:rsid w:val="00A831EE"/>
    <w:rsid w:val="00A83340"/>
    <w:rsid w:val="00A83352"/>
    <w:rsid w:val="00A8342A"/>
    <w:rsid w:val="00A83543"/>
    <w:rsid w:val="00A835EB"/>
    <w:rsid w:val="00A83BC3"/>
    <w:rsid w:val="00A83FF4"/>
    <w:rsid w:val="00A8475F"/>
    <w:rsid w:val="00A84C35"/>
    <w:rsid w:val="00A84DA9"/>
    <w:rsid w:val="00A84DCA"/>
    <w:rsid w:val="00A84F39"/>
    <w:rsid w:val="00A8513A"/>
    <w:rsid w:val="00A8519A"/>
    <w:rsid w:val="00A85248"/>
    <w:rsid w:val="00A8599E"/>
    <w:rsid w:val="00A85B03"/>
    <w:rsid w:val="00A85DA9"/>
    <w:rsid w:val="00A85E2B"/>
    <w:rsid w:val="00A85E9A"/>
    <w:rsid w:val="00A8612A"/>
    <w:rsid w:val="00A862CE"/>
    <w:rsid w:val="00A86544"/>
    <w:rsid w:val="00A86694"/>
    <w:rsid w:val="00A866EC"/>
    <w:rsid w:val="00A86898"/>
    <w:rsid w:val="00A86C37"/>
    <w:rsid w:val="00A86C4F"/>
    <w:rsid w:val="00A86F2F"/>
    <w:rsid w:val="00A871C2"/>
    <w:rsid w:val="00A87321"/>
    <w:rsid w:val="00A873DD"/>
    <w:rsid w:val="00A87D64"/>
    <w:rsid w:val="00A87E94"/>
    <w:rsid w:val="00A9016D"/>
    <w:rsid w:val="00A903E0"/>
    <w:rsid w:val="00A90C6E"/>
    <w:rsid w:val="00A91206"/>
    <w:rsid w:val="00A9127F"/>
    <w:rsid w:val="00A9138C"/>
    <w:rsid w:val="00A913FE"/>
    <w:rsid w:val="00A91577"/>
    <w:rsid w:val="00A91869"/>
    <w:rsid w:val="00A91EAE"/>
    <w:rsid w:val="00A91EE6"/>
    <w:rsid w:val="00A92627"/>
    <w:rsid w:val="00A92830"/>
    <w:rsid w:val="00A92BA2"/>
    <w:rsid w:val="00A92C36"/>
    <w:rsid w:val="00A9315B"/>
    <w:rsid w:val="00A939FB"/>
    <w:rsid w:val="00A94A2D"/>
    <w:rsid w:val="00A94CE8"/>
    <w:rsid w:val="00A951C4"/>
    <w:rsid w:val="00A9521F"/>
    <w:rsid w:val="00A95271"/>
    <w:rsid w:val="00A952FA"/>
    <w:rsid w:val="00A9545A"/>
    <w:rsid w:val="00A958DB"/>
    <w:rsid w:val="00A9596E"/>
    <w:rsid w:val="00A95A48"/>
    <w:rsid w:val="00A964BA"/>
    <w:rsid w:val="00A9650C"/>
    <w:rsid w:val="00A968AB"/>
    <w:rsid w:val="00A969CB"/>
    <w:rsid w:val="00A96CF8"/>
    <w:rsid w:val="00A970D1"/>
    <w:rsid w:val="00A9715C"/>
    <w:rsid w:val="00A976BA"/>
    <w:rsid w:val="00A97915"/>
    <w:rsid w:val="00A97CFF"/>
    <w:rsid w:val="00A97D06"/>
    <w:rsid w:val="00A97E4B"/>
    <w:rsid w:val="00A97F37"/>
    <w:rsid w:val="00AA0117"/>
    <w:rsid w:val="00AA0588"/>
    <w:rsid w:val="00AA05FA"/>
    <w:rsid w:val="00AA0C50"/>
    <w:rsid w:val="00AA13E8"/>
    <w:rsid w:val="00AA1763"/>
    <w:rsid w:val="00AA1ACA"/>
    <w:rsid w:val="00AA1BC5"/>
    <w:rsid w:val="00AA1E4C"/>
    <w:rsid w:val="00AA1EAC"/>
    <w:rsid w:val="00AA2063"/>
    <w:rsid w:val="00AA23E6"/>
    <w:rsid w:val="00AA28CA"/>
    <w:rsid w:val="00AA2A43"/>
    <w:rsid w:val="00AA2DEF"/>
    <w:rsid w:val="00AA2E5B"/>
    <w:rsid w:val="00AA3198"/>
    <w:rsid w:val="00AA386B"/>
    <w:rsid w:val="00AA39CF"/>
    <w:rsid w:val="00AA3D2F"/>
    <w:rsid w:val="00AA3DB1"/>
    <w:rsid w:val="00AA3EED"/>
    <w:rsid w:val="00AA3FCD"/>
    <w:rsid w:val="00AA4245"/>
    <w:rsid w:val="00AA46A7"/>
    <w:rsid w:val="00AA4713"/>
    <w:rsid w:val="00AA4B68"/>
    <w:rsid w:val="00AA4C5F"/>
    <w:rsid w:val="00AA5115"/>
    <w:rsid w:val="00AA516C"/>
    <w:rsid w:val="00AA5444"/>
    <w:rsid w:val="00AA558D"/>
    <w:rsid w:val="00AA5B26"/>
    <w:rsid w:val="00AA5B63"/>
    <w:rsid w:val="00AA6184"/>
    <w:rsid w:val="00AA644F"/>
    <w:rsid w:val="00AA6470"/>
    <w:rsid w:val="00AA670A"/>
    <w:rsid w:val="00AA69F1"/>
    <w:rsid w:val="00AA70FE"/>
    <w:rsid w:val="00AA721C"/>
    <w:rsid w:val="00AA737A"/>
    <w:rsid w:val="00AA7391"/>
    <w:rsid w:val="00AA73F7"/>
    <w:rsid w:val="00AA7647"/>
    <w:rsid w:val="00AA7B3A"/>
    <w:rsid w:val="00AA7CC0"/>
    <w:rsid w:val="00AB00A2"/>
    <w:rsid w:val="00AB01AF"/>
    <w:rsid w:val="00AB06D6"/>
    <w:rsid w:val="00AB07C1"/>
    <w:rsid w:val="00AB09B4"/>
    <w:rsid w:val="00AB0B6C"/>
    <w:rsid w:val="00AB0D78"/>
    <w:rsid w:val="00AB0FF9"/>
    <w:rsid w:val="00AB108E"/>
    <w:rsid w:val="00AB12F9"/>
    <w:rsid w:val="00AB1464"/>
    <w:rsid w:val="00AB17A5"/>
    <w:rsid w:val="00AB1908"/>
    <w:rsid w:val="00AB1A0A"/>
    <w:rsid w:val="00AB1C53"/>
    <w:rsid w:val="00AB1C65"/>
    <w:rsid w:val="00AB219A"/>
    <w:rsid w:val="00AB2444"/>
    <w:rsid w:val="00AB2646"/>
    <w:rsid w:val="00AB274D"/>
    <w:rsid w:val="00AB2945"/>
    <w:rsid w:val="00AB2EF1"/>
    <w:rsid w:val="00AB2F90"/>
    <w:rsid w:val="00AB304D"/>
    <w:rsid w:val="00AB32AC"/>
    <w:rsid w:val="00AB32C8"/>
    <w:rsid w:val="00AB33A0"/>
    <w:rsid w:val="00AB39F2"/>
    <w:rsid w:val="00AB3A73"/>
    <w:rsid w:val="00AB3AFC"/>
    <w:rsid w:val="00AB3CD5"/>
    <w:rsid w:val="00AB40E1"/>
    <w:rsid w:val="00AB41BA"/>
    <w:rsid w:val="00AB426E"/>
    <w:rsid w:val="00AB42A8"/>
    <w:rsid w:val="00AB44CE"/>
    <w:rsid w:val="00AB45AE"/>
    <w:rsid w:val="00AB4828"/>
    <w:rsid w:val="00AB495E"/>
    <w:rsid w:val="00AB49F8"/>
    <w:rsid w:val="00AB4A24"/>
    <w:rsid w:val="00AB4D57"/>
    <w:rsid w:val="00AB4DEF"/>
    <w:rsid w:val="00AB4E2E"/>
    <w:rsid w:val="00AB4FB0"/>
    <w:rsid w:val="00AB51CB"/>
    <w:rsid w:val="00AB54BB"/>
    <w:rsid w:val="00AB55CB"/>
    <w:rsid w:val="00AB5606"/>
    <w:rsid w:val="00AB583E"/>
    <w:rsid w:val="00AB5976"/>
    <w:rsid w:val="00AB5A37"/>
    <w:rsid w:val="00AB5B3D"/>
    <w:rsid w:val="00AB5C8A"/>
    <w:rsid w:val="00AB5D12"/>
    <w:rsid w:val="00AB601E"/>
    <w:rsid w:val="00AB61A6"/>
    <w:rsid w:val="00AB6283"/>
    <w:rsid w:val="00AB6481"/>
    <w:rsid w:val="00AB669E"/>
    <w:rsid w:val="00AB722B"/>
    <w:rsid w:val="00AB7309"/>
    <w:rsid w:val="00AB733B"/>
    <w:rsid w:val="00AB78A2"/>
    <w:rsid w:val="00AB792F"/>
    <w:rsid w:val="00AB7FE4"/>
    <w:rsid w:val="00AC006C"/>
    <w:rsid w:val="00AC0151"/>
    <w:rsid w:val="00AC0C41"/>
    <w:rsid w:val="00AC0F4E"/>
    <w:rsid w:val="00AC1394"/>
    <w:rsid w:val="00AC196E"/>
    <w:rsid w:val="00AC1D92"/>
    <w:rsid w:val="00AC2157"/>
    <w:rsid w:val="00AC2182"/>
    <w:rsid w:val="00AC26B7"/>
    <w:rsid w:val="00AC26D3"/>
    <w:rsid w:val="00AC297F"/>
    <w:rsid w:val="00AC298E"/>
    <w:rsid w:val="00AC2A76"/>
    <w:rsid w:val="00AC2F43"/>
    <w:rsid w:val="00AC2F6B"/>
    <w:rsid w:val="00AC3309"/>
    <w:rsid w:val="00AC348C"/>
    <w:rsid w:val="00AC3693"/>
    <w:rsid w:val="00AC376D"/>
    <w:rsid w:val="00AC3BE0"/>
    <w:rsid w:val="00AC3CB1"/>
    <w:rsid w:val="00AC4045"/>
    <w:rsid w:val="00AC43DD"/>
    <w:rsid w:val="00AC48BE"/>
    <w:rsid w:val="00AC4A36"/>
    <w:rsid w:val="00AC4BC8"/>
    <w:rsid w:val="00AC4CDF"/>
    <w:rsid w:val="00AC4DEF"/>
    <w:rsid w:val="00AC4E12"/>
    <w:rsid w:val="00AC4E5A"/>
    <w:rsid w:val="00AC512C"/>
    <w:rsid w:val="00AC54D6"/>
    <w:rsid w:val="00AC554C"/>
    <w:rsid w:val="00AC5571"/>
    <w:rsid w:val="00AC5635"/>
    <w:rsid w:val="00AC5766"/>
    <w:rsid w:val="00AC5835"/>
    <w:rsid w:val="00AC591B"/>
    <w:rsid w:val="00AC5A62"/>
    <w:rsid w:val="00AC5A89"/>
    <w:rsid w:val="00AC5C18"/>
    <w:rsid w:val="00AC6240"/>
    <w:rsid w:val="00AC6402"/>
    <w:rsid w:val="00AC653C"/>
    <w:rsid w:val="00AC664C"/>
    <w:rsid w:val="00AC6927"/>
    <w:rsid w:val="00AC6FC8"/>
    <w:rsid w:val="00AC7161"/>
    <w:rsid w:val="00AC7269"/>
    <w:rsid w:val="00AC7442"/>
    <w:rsid w:val="00AC75C8"/>
    <w:rsid w:val="00AC7788"/>
    <w:rsid w:val="00AC79C4"/>
    <w:rsid w:val="00AC7FC2"/>
    <w:rsid w:val="00AD0455"/>
    <w:rsid w:val="00AD0465"/>
    <w:rsid w:val="00AD0540"/>
    <w:rsid w:val="00AD05E2"/>
    <w:rsid w:val="00AD093B"/>
    <w:rsid w:val="00AD0A32"/>
    <w:rsid w:val="00AD0B92"/>
    <w:rsid w:val="00AD1267"/>
    <w:rsid w:val="00AD16AB"/>
    <w:rsid w:val="00AD1847"/>
    <w:rsid w:val="00AD1BB4"/>
    <w:rsid w:val="00AD1BBE"/>
    <w:rsid w:val="00AD1F6D"/>
    <w:rsid w:val="00AD2098"/>
    <w:rsid w:val="00AD20E1"/>
    <w:rsid w:val="00AD243B"/>
    <w:rsid w:val="00AD28D3"/>
    <w:rsid w:val="00AD2DD0"/>
    <w:rsid w:val="00AD2E1F"/>
    <w:rsid w:val="00AD2EC4"/>
    <w:rsid w:val="00AD2F28"/>
    <w:rsid w:val="00AD30A1"/>
    <w:rsid w:val="00AD3640"/>
    <w:rsid w:val="00AD3722"/>
    <w:rsid w:val="00AD390F"/>
    <w:rsid w:val="00AD41CC"/>
    <w:rsid w:val="00AD443E"/>
    <w:rsid w:val="00AD4974"/>
    <w:rsid w:val="00AD4A95"/>
    <w:rsid w:val="00AD5318"/>
    <w:rsid w:val="00AD53A7"/>
    <w:rsid w:val="00AD53F3"/>
    <w:rsid w:val="00AD5594"/>
    <w:rsid w:val="00AD5660"/>
    <w:rsid w:val="00AD568E"/>
    <w:rsid w:val="00AD5769"/>
    <w:rsid w:val="00AD580D"/>
    <w:rsid w:val="00AD5D2E"/>
    <w:rsid w:val="00AD5D66"/>
    <w:rsid w:val="00AD6363"/>
    <w:rsid w:val="00AD6477"/>
    <w:rsid w:val="00AD6873"/>
    <w:rsid w:val="00AD7085"/>
    <w:rsid w:val="00AD7155"/>
    <w:rsid w:val="00AD7569"/>
    <w:rsid w:val="00AD7743"/>
    <w:rsid w:val="00AD79C2"/>
    <w:rsid w:val="00AD7B9B"/>
    <w:rsid w:val="00AD7C12"/>
    <w:rsid w:val="00AD7D61"/>
    <w:rsid w:val="00AD7DA9"/>
    <w:rsid w:val="00AD7EC1"/>
    <w:rsid w:val="00AE01DF"/>
    <w:rsid w:val="00AE04B3"/>
    <w:rsid w:val="00AE063D"/>
    <w:rsid w:val="00AE0805"/>
    <w:rsid w:val="00AE090B"/>
    <w:rsid w:val="00AE0E14"/>
    <w:rsid w:val="00AE0EFC"/>
    <w:rsid w:val="00AE1004"/>
    <w:rsid w:val="00AE1425"/>
    <w:rsid w:val="00AE1690"/>
    <w:rsid w:val="00AE1698"/>
    <w:rsid w:val="00AE1D84"/>
    <w:rsid w:val="00AE1E4F"/>
    <w:rsid w:val="00AE22C9"/>
    <w:rsid w:val="00AE2438"/>
    <w:rsid w:val="00AE246E"/>
    <w:rsid w:val="00AE2AA1"/>
    <w:rsid w:val="00AE2D25"/>
    <w:rsid w:val="00AE2FF7"/>
    <w:rsid w:val="00AE31AC"/>
    <w:rsid w:val="00AE34A4"/>
    <w:rsid w:val="00AE379B"/>
    <w:rsid w:val="00AE3C49"/>
    <w:rsid w:val="00AE3D2B"/>
    <w:rsid w:val="00AE403F"/>
    <w:rsid w:val="00AE4970"/>
    <w:rsid w:val="00AE4C1A"/>
    <w:rsid w:val="00AE4E5B"/>
    <w:rsid w:val="00AE5111"/>
    <w:rsid w:val="00AE522A"/>
    <w:rsid w:val="00AE5298"/>
    <w:rsid w:val="00AE54D1"/>
    <w:rsid w:val="00AE555D"/>
    <w:rsid w:val="00AE55F1"/>
    <w:rsid w:val="00AE571B"/>
    <w:rsid w:val="00AE5972"/>
    <w:rsid w:val="00AE5A96"/>
    <w:rsid w:val="00AE618F"/>
    <w:rsid w:val="00AE6311"/>
    <w:rsid w:val="00AE639B"/>
    <w:rsid w:val="00AE6477"/>
    <w:rsid w:val="00AE64C6"/>
    <w:rsid w:val="00AE6762"/>
    <w:rsid w:val="00AE680D"/>
    <w:rsid w:val="00AE68F6"/>
    <w:rsid w:val="00AE6CA4"/>
    <w:rsid w:val="00AE6F59"/>
    <w:rsid w:val="00AE7147"/>
    <w:rsid w:val="00AE71C7"/>
    <w:rsid w:val="00AE76CE"/>
    <w:rsid w:val="00AE7795"/>
    <w:rsid w:val="00AE7843"/>
    <w:rsid w:val="00AE7FE3"/>
    <w:rsid w:val="00AF021F"/>
    <w:rsid w:val="00AF0706"/>
    <w:rsid w:val="00AF0870"/>
    <w:rsid w:val="00AF0DF3"/>
    <w:rsid w:val="00AF0EC3"/>
    <w:rsid w:val="00AF1106"/>
    <w:rsid w:val="00AF12A0"/>
    <w:rsid w:val="00AF17CD"/>
    <w:rsid w:val="00AF1926"/>
    <w:rsid w:val="00AF1D64"/>
    <w:rsid w:val="00AF1F23"/>
    <w:rsid w:val="00AF1F97"/>
    <w:rsid w:val="00AF1FB0"/>
    <w:rsid w:val="00AF1FBF"/>
    <w:rsid w:val="00AF2057"/>
    <w:rsid w:val="00AF21E4"/>
    <w:rsid w:val="00AF22D8"/>
    <w:rsid w:val="00AF2368"/>
    <w:rsid w:val="00AF249E"/>
    <w:rsid w:val="00AF2674"/>
    <w:rsid w:val="00AF2781"/>
    <w:rsid w:val="00AF35CA"/>
    <w:rsid w:val="00AF3742"/>
    <w:rsid w:val="00AF3CCF"/>
    <w:rsid w:val="00AF3D23"/>
    <w:rsid w:val="00AF404A"/>
    <w:rsid w:val="00AF4472"/>
    <w:rsid w:val="00AF44B5"/>
    <w:rsid w:val="00AF4768"/>
    <w:rsid w:val="00AF4A51"/>
    <w:rsid w:val="00AF4BD1"/>
    <w:rsid w:val="00AF4C70"/>
    <w:rsid w:val="00AF4CD9"/>
    <w:rsid w:val="00AF4CE9"/>
    <w:rsid w:val="00AF4FBE"/>
    <w:rsid w:val="00AF50D3"/>
    <w:rsid w:val="00AF573E"/>
    <w:rsid w:val="00AF5CF6"/>
    <w:rsid w:val="00AF5D13"/>
    <w:rsid w:val="00AF5DF2"/>
    <w:rsid w:val="00AF5E02"/>
    <w:rsid w:val="00AF62EB"/>
    <w:rsid w:val="00AF64F0"/>
    <w:rsid w:val="00AF65FB"/>
    <w:rsid w:val="00AF6980"/>
    <w:rsid w:val="00AF6AFA"/>
    <w:rsid w:val="00AF6DA7"/>
    <w:rsid w:val="00AF7B8B"/>
    <w:rsid w:val="00AF7D9F"/>
    <w:rsid w:val="00B002F1"/>
    <w:rsid w:val="00B00A03"/>
    <w:rsid w:val="00B00E20"/>
    <w:rsid w:val="00B0140E"/>
    <w:rsid w:val="00B01430"/>
    <w:rsid w:val="00B01727"/>
    <w:rsid w:val="00B01729"/>
    <w:rsid w:val="00B017FA"/>
    <w:rsid w:val="00B01844"/>
    <w:rsid w:val="00B020F3"/>
    <w:rsid w:val="00B02107"/>
    <w:rsid w:val="00B021AA"/>
    <w:rsid w:val="00B02360"/>
    <w:rsid w:val="00B02616"/>
    <w:rsid w:val="00B027A4"/>
    <w:rsid w:val="00B02D14"/>
    <w:rsid w:val="00B02D2D"/>
    <w:rsid w:val="00B02E7C"/>
    <w:rsid w:val="00B02FFF"/>
    <w:rsid w:val="00B0311B"/>
    <w:rsid w:val="00B032C1"/>
    <w:rsid w:val="00B034AA"/>
    <w:rsid w:val="00B03B3E"/>
    <w:rsid w:val="00B03BA0"/>
    <w:rsid w:val="00B04544"/>
    <w:rsid w:val="00B0471F"/>
    <w:rsid w:val="00B04CE0"/>
    <w:rsid w:val="00B04E48"/>
    <w:rsid w:val="00B04EF1"/>
    <w:rsid w:val="00B04F9E"/>
    <w:rsid w:val="00B053F6"/>
    <w:rsid w:val="00B0593F"/>
    <w:rsid w:val="00B059B2"/>
    <w:rsid w:val="00B05B32"/>
    <w:rsid w:val="00B05B54"/>
    <w:rsid w:val="00B05E41"/>
    <w:rsid w:val="00B05E74"/>
    <w:rsid w:val="00B062C7"/>
    <w:rsid w:val="00B0639E"/>
    <w:rsid w:val="00B066A0"/>
    <w:rsid w:val="00B068DF"/>
    <w:rsid w:val="00B06D85"/>
    <w:rsid w:val="00B06EB5"/>
    <w:rsid w:val="00B07012"/>
    <w:rsid w:val="00B0731E"/>
    <w:rsid w:val="00B0745A"/>
    <w:rsid w:val="00B074EE"/>
    <w:rsid w:val="00B07A5C"/>
    <w:rsid w:val="00B10060"/>
    <w:rsid w:val="00B10177"/>
    <w:rsid w:val="00B10341"/>
    <w:rsid w:val="00B103BB"/>
    <w:rsid w:val="00B104DE"/>
    <w:rsid w:val="00B106DE"/>
    <w:rsid w:val="00B1088B"/>
    <w:rsid w:val="00B10BD9"/>
    <w:rsid w:val="00B10C1E"/>
    <w:rsid w:val="00B10C4B"/>
    <w:rsid w:val="00B1102B"/>
    <w:rsid w:val="00B11195"/>
    <w:rsid w:val="00B114E6"/>
    <w:rsid w:val="00B118F3"/>
    <w:rsid w:val="00B12099"/>
    <w:rsid w:val="00B1217D"/>
    <w:rsid w:val="00B12313"/>
    <w:rsid w:val="00B12342"/>
    <w:rsid w:val="00B12351"/>
    <w:rsid w:val="00B1250E"/>
    <w:rsid w:val="00B127DF"/>
    <w:rsid w:val="00B12800"/>
    <w:rsid w:val="00B12BD3"/>
    <w:rsid w:val="00B12F70"/>
    <w:rsid w:val="00B13115"/>
    <w:rsid w:val="00B134B2"/>
    <w:rsid w:val="00B138FE"/>
    <w:rsid w:val="00B139C9"/>
    <w:rsid w:val="00B13A66"/>
    <w:rsid w:val="00B13A7F"/>
    <w:rsid w:val="00B14023"/>
    <w:rsid w:val="00B14279"/>
    <w:rsid w:val="00B143CB"/>
    <w:rsid w:val="00B14424"/>
    <w:rsid w:val="00B1448A"/>
    <w:rsid w:val="00B14870"/>
    <w:rsid w:val="00B149F1"/>
    <w:rsid w:val="00B15378"/>
    <w:rsid w:val="00B154D8"/>
    <w:rsid w:val="00B154E5"/>
    <w:rsid w:val="00B15BF0"/>
    <w:rsid w:val="00B15E17"/>
    <w:rsid w:val="00B16009"/>
    <w:rsid w:val="00B160E8"/>
    <w:rsid w:val="00B16224"/>
    <w:rsid w:val="00B164F1"/>
    <w:rsid w:val="00B1657E"/>
    <w:rsid w:val="00B16793"/>
    <w:rsid w:val="00B1697A"/>
    <w:rsid w:val="00B17295"/>
    <w:rsid w:val="00B172F1"/>
    <w:rsid w:val="00B174F8"/>
    <w:rsid w:val="00B177D7"/>
    <w:rsid w:val="00B179E4"/>
    <w:rsid w:val="00B17EA0"/>
    <w:rsid w:val="00B17F9C"/>
    <w:rsid w:val="00B17FA7"/>
    <w:rsid w:val="00B20373"/>
    <w:rsid w:val="00B2063B"/>
    <w:rsid w:val="00B206D7"/>
    <w:rsid w:val="00B207CF"/>
    <w:rsid w:val="00B207DF"/>
    <w:rsid w:val="00B2097F"/>
    <w:rsid w:val="00B20BD5"/>
    <w:rsid w:val="00B20CA2"/>
    <w:rsid w:val="00B212B6"/>
    <w:rsid w:val="00B21C93"/>
    <w:rsid w:val="00B2235E"/>
    <w:rsid w:val="00B228EF"/>
    <w:rsid w:val="00B22938"/>
    <w:rsid w:val="00B229CE"/>
    <w:rsid w:val="00B22DD1"/>
    <w:rsid w:val="00B22F3F"/>
    <w:rsid w:val="00B22F7E"/>
    <w:rsid w:val="00B22F98"/>
    <w:rsid w:val="00B2326F"/>
    <w:rsid w:val="00B23647"/>
    <w:rsid w:val="00B23686"/>
    <w:rsid w:val="00B239DA"/>
    <w:rsid w:val="00B23C7F"/>
    <w:rsid w:val="00B2450C"/>
    <w:rsid w:val="00B24B0B"/>
    <w:rsid w:val="00B24FD4"/>
    <w:rsid w:val="00B253B3"/>
    <w:rsid w:val="00B2565D"/>
    <w:rsid w:val="00B25758"/>
    <w:rsid w:val="00B25C4C"/>
    <w:rsid w:val="00B25CA7"/>
    <w:rsid w:val="00B25D81"/>
    <w:rsid w:val="00B26351"/>
    <w:rsid w:val="00B26807"/>
    <w:rsid w:val="00B268F1"/>
    <w:rsid w:val="00B26AB5"/>
    <w:rsid w:val="00B273BE"/>
    <w:rsid w:val="00B27519"/>
    <w:rsid w:val="00B276F2"/>
    <w:rsid w:val="00B27A2A"/>
    <w:rsid w:val="00B27B5E"/>
    <w:rsid w:val="00B27BF8"/>
    <w:rsid w:val="00B27DAB"/>
    <w:rsid w:val="00B3032B"/>
    <w:rsid w:val="00B30B29"/>
    <w:rsid w:val="00B30FB3"/>
    <w:rsid w:val="00B310D5"/>
    <w:rsid w:val="00B31668"/>
    <w:rsid w:val="00B31837"/>
    <w:rsid w:val="00B32068"/>
    <w:rsid w:val="00B32184"/>
    <w:rsid w:val="00B321F8"/>
    <w:rsid w:val="00B3264F"/>
    <w:rsid w:val="00B32F8D"/>
    <w:rsid w:val="00B33493"/>
    <w:rsid w:val="00B33AEF"/>
    <w:rsid w:val="00B33B0D"/>
    <w:rsid w:val="00B33D5F"/>
    <w:rsid w:val="00B33D7E"/>
    <w:rsid w:val="00B341D6"/>
    <w:rsid w:val="00B34317"/>
    <w:rsid w:val="00B345B4"/>
    <w:rsid w:val="00B348A5"/>
    <w:rsid w:val="00B348CC"/>
    <w:rsid w:val="00B34A2F"/>
    <w:rsid w:val="00B34B36"/>
    <w:rsid w:val="00B34B9E"/>
    <w:rsid w:val="00B34ED4"/>
    <w:rsid w:val="00B35078"/>
    <w:rsid w:val="00B35252"/>
    <w:rsid w:val="00B354F7"/>
    <w:rsid w:val="00B357AC"/>
    <w:rsid w:val="00B3589F"/>
    <w:rsid w:val="00B358B9"/>
    <w:rsid w:val="00B35BB4"/>
    <w:rsid w:val="00B35C1C"/>
    <w:rsid w:val="00B35CAC"/>
    <w:rsid w:val="00B35D1F"/>
    <w:rsid w:val="00B36421"/>
    <w:rsid w:val="00B36498"/>
    <w:rsid w:val="00B36ACB"/>
    <w:rsid w:val="00B37058"/>
    <w:rsid w:val="00B370EC"/>
    <w:rsid w:val="00B371AD"/>
    <w:rsid w:val="00B37352"/>
    <w:rsid w:val="00B37454"/>
    <w:rsid w:val="00B37C03"/>
    <w:rsid w:val="00B37F8C"/>
    <w:rsid w:val="00B37F8E"/>
    <w:rsid w:val="00B40165"/>
    <w:rsid w:val="00B403F0"/>
    <w:rsid w:val="00B40560"/>
    <w:rsid w:val="00B407DB"/>
    <w:rsid w:val="00B40AC1"/>
    <w:rsid w:val="00B410FE"/>
    <w:rsid w:val="00B4137D"/>
    <w:rsid w:val="00B41ACA"/>
    <w:rsid w:val="00B41C45"/>
    <w:rsid w:val="00B41DCD"/>
    <w:rsid w:val="00B41DD8"/>
    <w:rsid w:val="00B42045"/>
    <w:rsid w:val="00B42446"/>
    <w:rsid w:val="00B424EC"/>
    <w:rsid w:val="00B427CB"/>
    <w:rsid w:val="00B42E04"/>
    <w:rsid w:val="00B42FAD"/>
    <w:rsid w:val="00B432D9"/>
    <w:rsid w:val="00B433E5"/>
    <w:rsid w:val="00B4353C"/>
    <w:rsid w:val="00B43CB4"/>
    <w:rsid w:val="00B43F2F"/>
    <w:rsid w:val="00B4421D"/>
    <w:rsid w:val="00B442C2"/>
    <w:rsid w:val="00B442D2"/>
    <w:rsid w:val="00B44409"/>
    <w:rsid w:val="00B44431"/>
    <w:rsid w:val="00B444D6"/>
    <w:rsid w:val="00B44705"/>
    <w:rsid w:val="00B44E32"/>
    <w:rsid w:val="00B44F84"/>
    <w:rsid w:val="00B44FA3"/>
    <w:rsid w:val="00B45269"/>
    <w:rsid w:val="00B45284"/>
    <w:rsid w:val="00B45296"/>
    <w:rsid w:val="00B452EC"/>
    <w:rsid w:val="00B454E9"/>
    <w:rsid w:val="00B45A40"/>
    <w:rsid w:val="00B45AB7"/>
    <w:rsid w:val="00B45FA8"/>
    <w:rsid w:val="00B45FD9"/>
    <w:rsid w:val="00B46368"/>
    <w:rsid w:val="00B46456"/>
    <w:rsid w:val="00B46730"/>
    <w:rsid w:val="00B4676F"/>
    <w:rsid w:val="00B4687A"/>
    <w:rsid w:val="00B46902"/>
    <w:rsid w:val="00B4699B"/>
    <w:rsid w:val="00B4699C"/>
    <w:rsid w:val="00B46B74"/>
    <w:rsid w:val="00B47A3D"/>
    <w:rsid w:val="00B47BC9"/>
    <w:rsid w:val="00B5025F"/>
    <w:rsid w:val="00B502F5"/>
    <w:rsid w:val="00B50681"/>
    <w:rsid w:val="00B50CBA"/>
    <w:rsid w:val="00B50D73"/>
    <w:rsid w:val="00B516BA"/>
    <w:rsid w:val="00B518E8"/>
    <w:rsid w:val="00B51A4D"/>
    <w:rsid w:val="00B51AF3"/>
    <w:rsid w:val="00B51B9C"/>
    <w:rsid w:val="00B51E07"/>
    <w:rsid w:val="00B51E9A"/>
    <w:rsid w:val="00B51F0B"/>
    <w:rsid w:val="00B52199"/>
    <w:rsid w:val="00B52373"/>
    <w:rsid w:val="00B5237A"/>
    <w:rsid w:val="00B525EC"/>
    <w:rsid w:val="00B5283D"/>
    <w:rsid w:val="00B5292E"/>
    <w:rsid w:val="00B52C6A"/>
    <w:rsid w:val="00B5300F"/>
    <w:rsid w:val="00B530F7"/>
    <w:rsid w:val="00B53512"/>
    <w:rsid w:val="00B536A1"/>
    <w:rsid w:val="00B54000"/>
    <w:rsid w:val="00B54202"/>
    <w:rsid w:val="00B54304"/>
    <w:rsid w:val="00B543FB"/>
    <w:rsid w:val="00B54496"/>
    <w:rsid w:val="00B54ED4"/>
    <w:rsid w:val="00B55252"/>
    <w:rsid w:val="00B553FD"/>
    <w:rsid w:val="00B55541"/>
    <w:rsid w:val="00B55E75"/>
    <w:rsid w:val="00B55F26"/>
    <w:rsid w:val="00B55F8E"/>
    <w:rsid w:val="00B56395"/>
    <w:rsid w:val="00B56C73"/>
    <w:rsid w:val="00B56C7F"/>
    <w:rsid w:val="00B57049"/>
    <w:rsid w:val="00B570E2"/>
    <w:rsid w:val="00B5718B"/>
    <w:rsid w:val="00B5720C"/>
    <w:rsid w:val="00B57284"/>
    <w:rsid w:val="00B573B5"/>
    <w:rsid w:val="00B57404"/>
    <w:rsid w:val="00B5745C"/>
    <w:rsid w:val="00B57677"/>
    <w:rsid w:val="00B576D2"/>
    <w:rsid w:val="00B57823"/>
    <w:rsid w:val="00B57D85"/>
    <w:rsid w:val="00B60141"/>
    <w:rsid w:val="00B60393"/>
    <w:rsid w:val="00B60828"/>
    <w:rsid w:val="00B60951"/>
    <w:rsid w:val="00B60A44"/>
    <w:rsid w:val="00B60BF3"/>
    <w:rsid w:val="00B60C24"/>
    <w:rsid w:val="00B61071"/>
    <w:rsid w:val="00B61077"/>
    <w:rsid w:val="00B61343"/>
    <w:rsid w:val="00B6141B"/>
    <w:rsid w:val="00B6143E"/>
    <w:rsid w:val="00B61487"/>
    <w:rsid w:val="00B614A8"/>
    <w:rsid w:val="00B616D0"/>
    <w:rsid w:val="00B61996"/>
    <w:rsid w:val="00B61C37"/>
    <w:rsid w:val="00B61C41"/>
    <w:rsid w:val="00B61C9D"/>
    <w:rsid w:val="00B6214D"/>
    <w:rsid w:val="00B623AB"/>
    <w:rsid w:val="00B623B9"/>
    <w:rsid w:val="00B623DB"/>
    <w:rsid w:val="00B62454"/>
    <w:rsid w:val="00B625A5"/>
    <w:rsid w:val="00B62669"/>
    <w:rsid w:val="00B62FAE"/>
    <w:rsid w:val="00B6302D"/>
    <w:rsid w:val="00B63338"/>
    <w:rsid w:val="00B634D3"/>
    <w:rsid w:val="00B6354A"/>
    <w:rsid w:val="00B63709"/>
    <w:rsid w:val="00B63AA2"/>
    <w:rsid w:val="00B64045"/>
    <w:rsid w:val="00B644E9"/>
    <w:rsid w:val="00B64595"/>
    <w:rsid w:val="00B645EF"/>
    <w:rsid w:val="00B64CC7"/>
    <w:rsid w:val="00B65003"/>
    <w:rsid w:val="00B6556B"/>
    <w:rsid w:val="00B65B3F"/>
    <w:rsid w:val="00B65C45"/>
    <w:rsid w:val="00B65E26"/>
    <w:rsid w:val="00B660D6"/>
    <w:rsid w:val="00B66267"/>
    <w:rsid w:val="00B66537"/>
    <w:rsid w:val="00B66539"/>
    <w:rsid w:val="00B665BE"/>
    <w:rsid w:val="00B66D0C"/>
    <w:rsid w:val="00B66EAD"/>
    <w:rsid w:val="00B673D4"/>
    <w:rsid w:val="00B67C3F"/>
    <w:rsid w:val="00B706AD"/>
    <w:rsid w:val="00B70E45"/>
    <w:rsid w:val="00B713DB"/>
    <w:rsid w:val="00B7158C"/>
    <w:rsid w:val="00B715B9"/>
    <w:rsid w:val="00B7176A"/>
    <w:rsid w:val="00B71ABF"/>
    <w:rsid w:val="00B7281E"/>
    <w:rsid w:val="00B728D3"/>
    <w:rsid w:val="00B72904"/>
    <w:rsid w:val="00B72C51"/>
    <w:rsid w:val="00B72D57"/>
    <w:rsid w:val="00B737DB"/>
    <w:rsid w:val="00B73A0D"/>
    <w:rsid w:val="00B73CD2"/>
    <w:rsid w:val="00B73DC3"/>
    <w:rsid w:val="00B742A5"/>
    <w:rsid w:val="00B742CE"/>
    <w:rsid w:val="00B74AEA"/>
    <w:rsid w:val="00B74D5D"/>
    <w:rsid w:val="00B74DD3"/>
    <w:rsid w:val="00B74F37"/>
    <w:rsid w:val="00B75681"/>
    <w:rsid w:val="00B75735"/>
    <w:rsid w:val="00B75762"/>
    <w:rsid w:val="00B757B5"/>
    <w:rsid w:val="00B75846"/>
    <w:rsid w:val="00B75B96"/>
    <w:rsid w:val="00B75D19"/>
    <w:rsid w:val="00B75F52"/>
    <w:rsid w:val="00B75FA2"/>
    <w:rsid w:val="00B75FB4"/>
    <w:rsid w:val="00B75FD1"/>
    <w:rsid w:val="00B76335"/>
    <w:rsid w:val="00B76590"/>
    <w:rsid w:val="00B76597"/>
    <w:rsid w:val="00B766A5"/>
    <w:rsid w:val="00B767DC"/>
    <w:rsid w:val="00B769A8"/>
    <w:rsid w:val="00B772D0"/>
    <w:rsid w:val="00B77384"/>
    <w:rsid w:val="00B77474"/>
    <w:rsid w:val="00B7792F"/>
    <w:rsid w:val="00B77BEC"/>
    <w:rsid w:val="00B80152"/>
    <w:rsid w:val="00B8069C"/>
    <w:rsid w:val="00B8093A"/>
    <w:rsid w:val="00B80AB0"/>
    <w:rsid w:val="00B80B7C"/>
    <w:rsid w:val="00B80DB2"/>
    <w:rsid w:val="00B81125"/>
    <w:rsid w:val="00B81504"/>
    <w:rsid w:val="00B81FB8"/>
    <w:rsid w:val="00B82594"/>
    <w:rsid w:val="00B826E5"/>
    <w:rsid w:val="00B82C11"/>
    <w:rsid w:val="00B82FC8"/>
    <w:rsid w:val="00B83079"/>
    <w:rsid w:val="00B83416"/>
    <w:rsid w:val="00B836BB"/>
    <w:rsid w:val="00B83DC2"/>
    <w:rsid w:val="00B83E81"/>
    <w:rsid w:val="00B83EA3"/>
    <w:rsid w:val="00B8405A"/>
    <w:rsid w:val="00B84334"/>
    <w:rsid w:val="00B84683"/>
    <w:rsid w:val="00B84C25"/>
    <w:rsid w:val="00B85010"/>
    <w:rsid w:val="00B853F0"/>
    <w:rsid w:val="00B85803"/>
    <w:rsid w:val="00B85A07"/>
    <w:rsid w:val="00B85C78"/>
    <w:rsid w:val="00B85DE1"/>
    <w:rsid w:val="00B86016"/>
    <w:rsid w:val="00B864F9"/>
    <w:rsid w:val="00B86A1D"/>
    <w:rsid w:val="00B86C80"/>
    <w:rsid w:val="00B86D52"/>
    <w:rsid w:val="00B86F65"/>
    <w:rsid w:val="00B870E4"/>
    <w:rsid w:val="00B872CA"/>
    <w:rsid w:val="00B872FB"/>
    <w:rsid w:val="00B8745A"/>
    <w:rsid w:val="00B87497"/>
    <w:rsid w:val="00B878E7"/>
    <w:rsid w:val="00B87AEA"/>
    <w:rsid w:val="00B87F66"/>
    <w:rsid w:val="00B90126"/>
    <w:rsid w:val="00B906D7"/>
    <w:rsid w:val="00B907E9"/>
    <w:rsid w:val="00B90E57"/>
    <w:rsid w:val="00B910CF"/>
    <w:rsid w:val="00B9149D"/>
    <w:rsid w:val="00B9154C"/>
    <w:rsid w:val="00B915B1"/>
    <w:rsid w:val="00B91628"/>
    <w:rsid w:val="00B91A46"/>
    <w:rsid w:val="00B91AD4"/>
    <w:rsid w:val="00B9207C"/>
    <w:rsid w:val="00B920EA"/>
    <w:rsid w:val="00B92199"/>
    <w:rsid w:val="00B921CA"/>
    <w:rsid w:val="00B92594"/>
    <w:rsid w:val="00B925AC"/>
    <w:rsid w:val="00B92779"/>
    <w:rsid w:val="00B9277C"/>
    <w:rsid w:val="00B92B11"/>
    <w:rsid w:val="00B92D37"/>
    <w:rsid w:val="00B9317E"/>
    <w:rsid w:val="00B93247"/>
    <w:rsid w:val="00B93564"/>
    <w:rsid w:val="00B93A2C"/>
    <w:rsid w:val="00B93BF1"/>
    <w:rsid w:val="00B93C41"/>
    <w:rsid w:val="00B93D73"/>
    <w:rsid w:val="00B93EDB"/>
    <w:rsid w:val="00B93F95"/>
    <w:rsid w:val="00B93FCF"/>
    <w:rsid w:val="00B94222"/>
    <w:rsid w:val="00B943FA"/>
    <w:rsid w:val="00B9443E"/>
    <w:rsid w:val="00B947E0"/>
    <w:rsid w:val="00B94BA4"/>
    <w:rsid w:val="00B94D3E"/>
    <w:rsid w:val="00B94F37"/>
    <w:rsid w:val="00B951C6"/>
    <w:rsid w:val="00B95B2F"/>
    <w:rsid w:val="00B95D9D"/>
    <w:rsid w:val="00B95DFA"/>
    <w:rsid w:val="00B96963"/>
    <w:rsid w:val="00B969F8"/>
    <w:rsid w:val="00B96B69"/>
    <w:rsid w:val="00B978B9"/>
    <w:rsid w:val="00B97E53"/>
    <w:rsid w:val="00B97F31"/>
    <w:rsid w:val="00B97F63"/>
    <w:rsid w:val="00BA015C"/>
    <w:rsid w:val="00BA01CC"/>
    <w:rsid w:val="00BA0536"/>
    <w:rsid w:val="00BA0996"/>
    <w:rsid w:val="00BA0A5A"/>
    <w:rsid w:val="00BA0B2E"/>
    <w:rsid w:val="00BA0BCD"/>
    <w:rsid w:val="00BA0BDB"/>
    <w:rsid w:val="00BA0C6A"/>
    <w:rsid w:val="00BA0CF9"/>
    <w:rsid w:val="00BA0D15"/>
    <w:rsid w:val="00BA1222"/>
    <w:rsid w:val="00BA13A5"/>
    <w:rsid w:val="00BA1608"/>
    <w:rsid w:val="00BA1682"/>
    <w:rsid w:val="00BA197F"/>
    <w:rsid w:val="00BA19AD"/>
    <w:rsid w:val="00BA1B9B"/>
    <w:rsid w:val="00BA1C24"/>
    <w:rsid w:val="00BA20C4"/>
    <w:rsid w:val="00BA2162"/>
    <w:rsid w:val="00BA2188"/>
    <w:rsid w:val="00BA2318"/>
    <w:rsid w:val="00BA235B"/>
    <w:rsid w:val="00BA2E4A"/>
    <w:rsid w:val="00BA2F62"/>
    <w:rsid w:val="00BA2F92"/>
    <w:rsid w:val="00BA3093"/>
    <w:rsid w:val="00BA37EA"/>
    <w:rsid w:val="00BA384E"/>
    <w:rsid w:val="00BA3881"/>
    <w:rsid w:val="00BA39E4"/>
    <w:rsid w:val="00BA39E8"/>
    <w:rsid w:val="00BA3EA7"/>
    <w:rsid w:val="00BA3F1C"/>
    <w:rsid w:val="00BA42A1"/>
    <w:rsid w:val="00BA459C"/>
    <w:rsid w:val="00BA4B0F"/>
    <w:rsid w:val="00BA4C6F"/>
    <w:rsid w:val="00BA4DC6"/>
    <w:rsid w:val="00BA4E16"/>
    <w:rsid w:val="00BA4ED6"/>
    <w:rsid w:val="00BA59A9"/>
    <w:rsid w:val="00BA5DAD"/>
    <w:rsid w:val="00BA5E66"/>
    <w:rsid w:val="00BA62AE"/>
    <w:rsid w:val="00BA65D9"/>
    <w:rsid w:val="00BA68D7"/>
    <w:rsid w:val="00BA7014"/>
    <w:rsid w:val="00BA739F"/>
    <w:rsid w:val="00BA7404"/>
    <w:rsid w:val="00BA772C"/>
    <w:rsid w:val="00BA7D59"/>
    <w:rsid w:val="00BB00E3"/>
    <w:rsid w:val="00BB06B1"/>
    <w:rsid w:val="00BB0BAB"/>
    <w:rsid w:val="00BB0CB5"/>
    <w:rsid w:val="00BB0D12"/>
    <w:rsid w:val="00BB10FF"/>
    <w:rsid w:val="00BB16A5"/>
    <w:rsid w:val="00BB1879"/>
    <w:rsid w:val="00BB1AE5"/>
    <w:rsid w:val="00BB1CA8"/>
    <w:rsid w:val="00BB1EC8"/>
    <w:rsid w:val="00BB1F20"/>
    <w:rsid w:val="00BB1FDB"/>
    <w:rsid w:val="00BB2588"/>
    <w:rsid w:val="00BB2600"/>
    <w:rsid w:val="00BB2D0E"/>
    <w:rsid w:val="00BB2D31"/>
    <w:rsid w:val="00BB3061"/>
    <w:rsid w:val="00BB309A"/>
    <w:rsid w:val="00BB30B2"/>
    <w:rsid w:val="00BB3454"/>
    <w:rsid w:val="00BB352A"/>
    <w:rsid w:val="00BB3CCA"/>
    <w:rsid w:val="00BB3D1D"/>
    <w:rsid w:val="00BB3E72"/>
    <w:rsid w:val="00BB4137"/>
    <w:rsid w:val="00BB4427"/>
    <w:rsid w:val="00BB4607"/>
    <w:rsid w:val="00BB4764"/>
    <w:rsid w:val="00BB4ABB"/>
    <w:rsid w:val="00BB51B2"/>
    <w:rsid w:val="00BB566B"/>
    <w:rsid w:val="00BB5768"/>
    <w:rsid w:val="00BB5935"/>
    <w:rsid w:val="00BB5B3C"/>
    <w:rsid w:val="00BB5D8B"/>
    <w:rsid w:val="00BB5F6B"/>
    <w:rsid w:val="00BB61CF"/>
    <w:rsid w:val="00BB6344"/>
    <w:rsid w:val="00BB6583"/>
    <w:rsid w:val="00BB65C1"/>
    <w:rsid w:val="00BB6ADC"/>
    <w:rsid w:val="00BB6B73"/>
    <w:rsid w:val="00BB6DB3"/>
    <w:rsid w:val="00BB7003"/>
    <w:rsid w:val="00BB71DB"/>
    <w:rsid w:val="00BB730F"/>
    <w:rsid w:val="00BB7624"/>
    <w:rsid w:val="00BB7759"/>
    <w:rsid w:val="00BB77AC"/>
    <w:rsid w:val="00BB7918"/>
    <w:rsid w:val="00BB792A"/>
    <w:rsid w:val="00BB7BAE"/>
    <w:rsid w:val="00BB7C2D"/>
    <w:rsid w:val="00BB7CBF"/>
    <w:rsid w:val="00BB7D28"/>
    <w:rsid w:val="00BB7D9B"/>
    <w:rsid w:val="00BB7EE8"/>
    <w:rsid w:val="00BC0040"/>
    <w:rsid w:val="00BC0139"/>
    <w:rsid w:val="00BC045A"/>
    <w:rsid w:val="00BC065A"/>
    <w:rsid w:val="00BC07F5"/>
    <w:rsid w:val="00BC0D1E"/>
    <w:rsid w:val="00BC10D6"/>
    <w:rsid w:val="00BC1376"/>
    <w:rsid w:val="00BC148A"/>
    <w:rsid w:val="00BC14D7"/>
    <w:rsid w:val="00BC1837"/>
    <w:rsid w:val="00BC1998"/>
    <w:rsid w:val="00BC1B1F"/>
    <w:rsid w:val="00BC1E8C"/>
    <w:rsid w:val="00BC2188"/>
    <w:rsid w:val="00BC21D5"/>
    <w:rsid w:val="00BC23F0"/>
    <w:rsid w:val="00BC26FC"/>
    <w:rsid w:val="00BC2A2A"/>
    <w:rsid w:val="00BC2CD4"/>
    <w:rsid w:val="00BC2DE5"/>
    <w:rsid w:val="00BC2FAA"/>
    <w:rsid w:val="00BC2FBA"/>
    <w:rsid w:val="00BC30B8"/>
    <w:rsid w:val="00BC3237"/>
    <w:rsid w:val="00BC33E8"/>
    <w:rsid w:val="00BC35C4"/>
    <w:rsid w:val="00BC3673"/>
    <w:rsid w:val="00BC371C"/>
    <w:rsid w:val="00BC393F"/>
    <w:rsid w:val="00BC3B4A"/>
    <w:rsid w:val="00BC3BAB"/>
    <w:rsid w:val="00BC4446"/>
    <w:rsid w:val="00BC4554"/>
    <w:rsid w:val="00BC4824"/>
    <w:rsid w:val="00BC4BAE"/>
    <w:rsid w:val="00BC4C9F"/>
    <w:rsid w:val="00BC4D45"/>
    <w:rsid w:val="00BC5039"/>
    <w:rsid w:val="00BC5144"/>
    <w:rsid w:val="00BC54BD"/>
    <w:rsid w:val="00BC5735"/>
    <w:rsid w:val="00BC5D86"/>
    <w:rsid w:val="00BC5DD3"/>
    <w:rsid w:val="00BC5E3A"/>
    <w:rsid w:val="00BC5EFB"/>
    <w:rsid w:val="00BC6154"/>
    <w:rsid w:val="00BC63E9"/>
    <w:rsid w:val="00BC68B9"/>
    <w:rsid w:val="00BC6DE6"/>
    <w:rsid w:val="00BC73FB"/>
    <w:rsid w:val="00BC7502"/>
    <w:rsid w:val="00BC75EB"/>
    <w:rsid w:val="00BC7730"/>
    <w:rsid w:val="00BC7BA4"/>
    <w:rsid w:val="00BD0105"/>
    <w:rsid w:val="00BD030C"/>
    <w:rsid w:val="00BD07DA"/>
    <w:rsid w:val="00BD08EF"/>
    <w:rsid w:val="00BD099D"/>
    <w:rsid w:val="00BD0B94"/>
    <w:rsid w:val="00BD0CA1"/>
    <w:rsid w:val="00BD0D4C"/>
    <w:rsid w:val="00BD0DBA"/>
    <w:rsid w:val="00BD110B"/>
    <w:rsid w:val="00BD12C3"/>
    <w:rsid w:val="00BD194E"/>
    <w:rsid w:val="00BD1B1B"/>
    <w:rsid w:val="00BD1CAA"/>
    <w:rsid w:val="00BD203A"/>
    <w:rsid w:val="00BD22FA"/>
    <w:rsid w:val="00BD2708"/>
    <w:rsid w:val="00BD2742"/>
    <w:rsid w:val="00BD28D8"/>
    <w:rsid w:val="00BD2A3F"/>
    <w:rsid w:val="00BD2D3E"/>
    <w:rsid w:val="00BD3030"/>
    <w:rsid w:val="00BD34BE"/>
    <w:rsid w:val="00BD3530"/>
    <w:rsid w:val="00BD3747"/>
    <w:rsid w:val="00BD3B41"/>
    <w:rsid w:val="00BD3CF8"/>
    <w:rsid w:val="00BD3DCA"/>
    <w:rsid w:val="00BD3DDD"/>
    <w:rsid w:val="00BD41BC"/>
    <w:rsid w:val="00BD4A00"/>
    <w:rsid w:val="00BD4D32"/>
    <w:rsid w:val="00BD5305"/>
    <w:rsid w:val="00BD5312"/>
    <w:rsid w:val="00BD5609"/>
    <w:rsid w:val="00BD5C4E"/>
    <w:rsid w:val="00BD68D9"/>
    <w:rsid w:val="00BD6940"/>
    <w:rsid w:val="00BD6BDB"/>
    <w:rsid w:val="00BD6E4E"/>
    <w:rsid w:val="00BD6E82"/>
    <w:rsid w:val="00BD7257"/>
    <w:rsid w:val="00BD7417"/>
    <w:rsid w:val="00BD7647"/>
    <w:rsid w:val="00BD77F8"/>
    <w:rsid w:val="00BD7822"/>
    <w:rsid w:val="00BD793B"/>
    <w:rsid w:val="00BD7A0E"/>
    <w:rsid w:val="00BD7ABE"/>
    <w:rsid w:val="00BD7B0A"/>
    <w:rsid w:val="00BD7BB2"/>
    <w:rsid w:val="00BD7DE4"/>
    <w:rsid w:val="00BE00FE"/>
    <w:rsid w:val="00BE04C1"/>
    <w:rsid w:val="00BE062E"/>
    <w:rsid w:val="00BE077A"/>
    <w:rsid w:val="00BE0A47"/>
    <w:rsid w:val="00BE0BFF"/>
    <w:rsid w:val="00BE0CCA"/>
    <w:rsid w:val="00BE0E91"/>
    <w:rsid w:val="00BE13B6"/>
    <w:rsid w:val="00BE176D"/>
    <w:rsid w:val="00BE1E89"/>
    <w:rsid w:val="00BE1F34"/>
    <w:rsid w:val="00BE20A4"/>
    <w:rsid w:val="00BE2188"/>
    <w:rsid w:val="00BE21CF"/>
    <w:rsid w:val="00BE2291"/>
    <w:rsid w:val="00BE24A9"/>
    <w:rsid w:val="00BE2688"/>
    <w:rsid w:val="00BE2B39"/>
    <w:rsid w:val="00BE2D7F"/>
    <w:rsid w:val="00BE2DC3"/>
    <w:rsid w:val="00BE35F9"/>
    <w:rsid w:val="00BE3982"/>
    <w:rsid w:val="00BE39AD"/>
    <w:rsid w:val="00BE3E95"/>
    <w:rsid w:val="00BE3F55"/>
    <w:rsid w:val="00BE4084"/>
    <w:rsid w:val="00BE41CF"/>
    <w:rsid w:val="00BE451B"/>
    <w:rsid w:val="00BE4ACA"/>
    <w:rsid w:val="00BE4C01"/>
    <w:rsid w:val="00BE4C49"/>
    <w:rsid w:val="00BE4EE4"/>
    <w:rsid w:val="00BE548E"/>
    <w:rsid w:val="00BE55DB"/>
    <w:rsid w:val="00BE564F"/>
    <w:rsid w:val="00BE589E"/>
    <w:rsid w:val="00BE590A"/>
    <w:rsid w:val="00BE5C93"/>
    <w:rsid w:val="00BE633A"/>
    <w:rsid w:val="00BE66B4"/>
    <w:rsid w:val="00BE68B8"/>
    <w:rsid w:val="00BE694B"/>
    <w:rsid w:val="00BE69FB"/>
    <w:rsid w:val="00BE6A7C"/>
    <w:rsid w:val="00BE6A85"/>
    <w:rsid w:val="00BE6C85"/>
    <w:rsid w:val="00BE7095"/>
    <w:rsid w:val="00BE71CE"/>
    <w:rsid w:val="00BE74A8"/>
    <w:rsid w:val="00BE77B2"/>
    <w:rsid w:val="00BE79E3"/>
    <w:rsid w:val="00BE7AA0"/>
    <w:rsid w:val="00BE7FAB"/>
    <w:rsid w:val="00BF0018"/>
    <w:rsid w:val="00BF0242"/>
    <w:rsid w:val="00BF0493"/>
    <w:rsid w:val="00BF04AE"/>
    <w:rsid w:val="00BF04CD"/>
    <w:rsid w:val="00BF0AAF"/>
    <w:rsid w:val="00BF0E60"/>
    <w:rsid w:val="00BF0EDD"/>
    <w:rsid w:val="00BF12D8"/>
    <w:rsid w:val="00BF13C9"/>
    <w:rsid w:val="00BF16E4"/>
    <w:rsid w:val="00BF1D5B"/>
    <w:rsid w:val="00BF224D"/>
    <w:rsid w:val="00BF25A2"/>
    <w:rsid w:val="00BF2814"/>
    <w:rsid w:val="00BF28A5"/>
    <w:rsid w:val="00BF28BB"/>
    <w:rsid w:val="00BF2918"/>
    <w:rsid w:val="00BF2FE2"/>
    <w:rsid w:val="00BF33CA"/>
    <w:rsid w:val="00BF3590"/>
    <w:rsid w:val="00BF39E8"/>
    <w:rsid w:val="00BF3C22"/>
    <w:rsid w:val="00BF3D6E"/>
    <w:rsid w:val="00BF3E5A"/>
    <w:rsid w:val="00BF43D5"/>
    <w:rsid w:val="00BF44D8"/>
    <w:rsid w:val="00BF4AB4"/>
    <w:rsid w:val="00BF4C22"/>
    <w:rsid w:val="00BF4C58"/>
    <w:rsid w:val="00BF4EDD"/>
    <w:rsid w:val="00BF4EE3"/>
    <w:rsid w:val="00BF507C"/>
    <w:rsid w:val="00BF5536"/>
    <w:rsid w:val="00BF5A88"/>
    <w:rsid w:val="00BF5B73"/>
    <w:rsid w:val="00BF61F2"/>
    <w:rsid w:val="00BF6611"/>
    <w:rsid w:val="00BF677F"/>
    <w:rsid w:val="00BF695E"/>
    <w:rsid w:val="00BF699F"/>
    <w:rsid w:val="00BF6B0F"/>
    <w:rsid w:val="00BF6F3B"/>
    <w:rsid w:val="00BF70AE"/>
    <w:rsid w:val="00BF71C7"/>
    <w:rsid w:val="00BF722F"/>
    <w:rsid w:val="00BF7429"/>
    <w:rsid w:val="00BF7577"/>
    <w:rsid w:val="00BF7701"/>
    <w:rsid w:val="00BF7CE9"/>
    <w:rsid w:val="00C00063"/>
    <w:rsid w:val="00C00200"/>
    <w:rsid w:val="00C00E53"/>
    <w:rsid w:val="00C00F46"/>
    <w:rsid w:val="00C0113E"/>
    <w:rsid w:val="00C0142F"/>
    <w:rsid w:val="00C018EB"/>
    <w:rsid w:val="00C01D61"/>
    <w:rsid w:val="00C01E2F"/>
    <w:rsid w:val="00C0208D"/>
    <w:rsid w:val="00C0216E"/>
    <w:rsid w:val="00C023FA"/>
    <w:rsid w:val="00C02536"/>
    <w:rsid w:val="00C02598"/>
    <w:rsid w:val="00C0286B"/>
    <w:rsid w:val="00C02B5E"/>
    <w:rsid w:val="00C02D2E"/>
    <w:rsid w:val="00C02E25"/>
    <w:rsid w:val="00C02FDE"/>
    <w:rsid w:val="00C03549"/>
    <w:rsid w:val="00C03F96"/>
    <w:rsid w:val="00C04416"/>
    <w:rsid w:val="00C04763"/>
    <w:rsid w:val="00C04828"/>
    <w:rsid w:val="00C04A2C"/>
    <w:rsid w:val="00C04D15"/>
    <w:rsid w:val="00C04E82"/>
    <w:rsid w:val="00C058B0"/>
    <w:rsid w:val="00C0590E"/>
    <w:rsid w:val="00C05ACE"/>
    <w:rsid w:val="00C05AF4"/>
    <w:rsid w:val="00C05E26"/>
    <w:rsid w:val="00C0636F"/>
    <w:rsid w:val="00C063ED"/>
    <w:rsid w:val="00C0677D"/>
    <w:rsid w:val="00C06A1F"/>
    <w:rsid w:val="00C06D35"/>
    <w:rsid w:val="00C06DB0"/>
    <w:rsid w:val="00C0760D"/>
    <w:rsid w:val="00C078C2"/>
    <w:rsid w:val="00C07F43"/>
    <w:rsid w:val="00C10520"/>
    <w:rsid w:val="00C10FB2"/>
    <w:rsid w:val="00C11005"/>
    <w:rsid w:val="00C1157D"/>
    <w:rsid w:val="00C11634"/>
    <w:rsid w:val="00C11ECA"/>
    <w:rsid w:val="00C12328"/>
    <w:rsid w:val="00C1243B"/>
    <w:rsid w:val="00C12565"/>
    <w:rsid w:val="00C1263C"/>
    <w:rsid w:val="00C126D5"/>
    <w:rsid w:val="00C131D4"/>
    <w:rsid w:val="00C1333A"/>
    <w:rsid w:val="00C13E6B"/>
    <w:rsid w:val="00C13EFE"/>
    <w:rsid w:val="00C143CF"/>
    <w:rsid w:val="00C1457D"/>
    <w:rsid w:val="00C14805"/>
    <w:rsid w:val="00C14975"/>
    <w:rsid w:val="00C14B43"/>
    <w:rsid w:val="00C14C22"/>
    <w:rsid w:val="00C14F73"/>
    <w:rsid w:val="00C1526C"/>
    <w:rsid w:val="00C15B8C"/>
    <w:rsid w:val="00C15E28"/>
    <w:rsid w:val="00C162DE"/>
    <w:rsid w:val="00C164D4"/>
    <w:rsid w:val="00C16E5A"/>
    <w:rsid w:val="00C17271"/>
    <w:rsid w:val="00C173FC"/>
    <w:rsid w:val="00C17593"/>
    <w:rsid w:val="00C176CE"/>
    <w:rsid w:val="00C17C12"/>
    <w:rsid w:val="00C17C81"/>
    <w:rsid w:val="00C17F9B"/>
    <w:rsid w:val="00C2027A"/>
    <w:rsid w:val="00C202F0"/>
    <w:rsid w:val="00C204EB"/>
    <w:rsid w:val="00C205EF"/>
    <w:rsid w:val="00C2082A"/>
    <w:rsid w:val="00C20889"/>
    <w:rsid w:val="00C20AA2"/>
    <w:rsid w:val="00C20D45"/>
    <w:rsid w:val="00C20E2D"/>
    <w:rsid w:val="00C20E63"/>
    <w:rsid w:val="00C20ECB"/>
    <w:rsid w:val="00C21077"/>
    <w:rsid w:val="00C21290"/>
    <w:rsid w:val="00C2130A"/>
    <w:rsid w:val="00C2159A"/>
    <w:rsid w:val="00C216DB"/>
    <w:rsid w:val="00C21819"/>
    <w:rsid w:val="00C21B5B"/>
    <w:rsid w:val="00C2207A"/>
    <w:rsid w:val="00C225F0"/>
    <w:rsid w:val="00C229D8"/>
    <w:rsid w:val="00C22B60"/>
    <w:rsid w:val="00C22C24"/>
    <w:rsid w:val="00C22D88"/>
    <w:rsid w:val="00C230D5"/>
    <w:rsid w:val="00C232F6"/>
    <w:rsid w:val="00C238B9"/>
    <w:rsid w:val="00C23AD7"/>
    <w:rsid w:val="00C23BB0"/>
    <w:rsid w:val="00C23F27"/>
    <w:rsid w:val="00C23FC5"/>
    <w:rsid w:val="00C24141"/>
    <w:rsid w:val="00C24F49"/>
    <w:rsid w:val="00C2555D"/>
    <w:rsid w:val="00C25876"/>
    <w:rsid w:val="00C2593B"/>
    <w:rsid w:val="00C25D23"/>
    <w:rsid w:val="00C25DD5"/>
    <w:rsid w:val="00C2613D"/>
    <w:rsid w:val="00C261D0"/>
    <w:rsid w:val="00C26BC8"/>
    <w:rsid w:val="00C26C8A"/>
    <w:rsid w:val="00C26E0D"/>
    <w:rsid w:val="00C272AA"/>
    <w:rsid w:val="00C2735E"/>
    <w:rsid w:val="00C27861"/>
    <w:rsid w:val="00C27ADA"/>
    <w:rsid w:val="00C27B12"/>
    <w:rsid w:val="00C27BD9"/>
    <w:rsid w:val="00C27C85"/>
    <w:rsid w:val="00C3016B"/>
    <w:rsid w:val="00C303B0"/>
    <w:rsid w:val="00C3041C"/>
    <w:rsid w:val="00C30444"/>
    <w:rsid w:val="00C30501"/>
    <w:rsid w:val="00C305FE"/>
    <w:rsid w:val="00C30B1C"/>
    <w:rsid w:val="00C30CBA"/>
    <w:rsid w:val="00C30D38"/>
    <w:rsid w:val="00C30F93"/>
    <w:rsid w:val="00C30FE9"/>
    <w:rsid w:val="00C311C8"/>
    <w:rsid w:val="00C3131D"/>
    <w:rsid w:val="00C3140B"/>
    <w:rsid w:val="00C3162E"/>
    <w:rsid w:val="00C316DF"/>
    <w:rsid w:val="00C317D4"/>
    <w:rsid w:val="00C317E0"/>
    <w:rsid w:val="00C3194A"/>
    <w:rsid w:val="00C31ABE"/>
    <w:rsid w:val="00C31C92"/>
    <w:rsid w:val="00C320A8"/>
    <w:rsid w:val="00C320CF"/>
    <w:rsid w:val="00C32829"/>
    <w:rsid w:val="00C32BF9"/>
    <w:rsid w:val="00C32CDF"/>
    <w:rsid w:val="00C32E6B"/>
    <w:rsid w:val="00C3303F"/>
    <w:rsid w:val="00C33158"/>
    <w:rsid w:val="00C33709"/>
    <w:rsid w:val="00C337E3"/>
    <w:rsid w:val="00C33983"/>
    <w:rsid w:val="00C33EAB"/>
    <w:rsid w:val="00C343CE"/>
    <w:rsid w:val="00C344ED"/>
    <w:rsid w:val="00C3462B"/>
    <w:rsid w:val="00C348E7"/>
    <w:rsid w:val="00C3494F"/>
    <w:rsid w:val="00C34A0B"/>
    <w:rsid w:val="00C34B4D"/>
    <w:rsid w:val="00C34F8A"/>
    <w:rsid w:val="00C352F3"/>
    <w:rsid w:val="00C357A7"/>
    <w:rsid w:val="00C3651C"/>
    <w:rsid w:val="00C3672F"/>
    <w:rsid w:val="00C36735"/>
    <w:rsid w:val="00C367DF"/>
    <w:rsid w:val="00C369B0"/>
    <w:rsid w:val="00C370E9"/>
    <w:rsid w:val="00C37213"/>
    <w:rsid w:val="00C37D71"/>
    <w:rsid w:val="00C37EF2"/>
    <w:rsid w:val="00C40350"/>
    <w:rsid w:val="00C40474"/>
    <w:rsid w:val="00C404B8"/>
    <w:rsid w:val="00C409DB"/>
    <w:rsid w:val="00C40F7E"/>
    <w:rsid w:val="00C41006"/>
    <w:rsid w:val="00C4100A"/>
    <w:rsid w:val="00C41171"/>
    <w:rsid w:val="00C412A9"/>
    <w:rsid w:val="00C41448"/>
    <w:rsid w:val="00C414FB"/>
    <w:rsid w:val="00C4150C"/>
    <w:rsid w:val="00C41609"/>
    <w:rsid w:val="00C422CF"/>
    <w:rsid w:val="00C4230B"/>
    <w:rsid w:val="00C42519"/>
    <w:rsid w:val="00C429CB"/>
    <w:rsid w:val="00C42F66"/>
    <w:rsid w:val="00C4305B"/>
    <w:rsid w:val="00C43270"/>
    <w:rsid w:val="00C43C7F"/>
    <w:rsid w:val="00C449DA"/>
    <w:rsid w:val="00C44F56"/>
    <w:rsid w:val="00C45519"/>
    <w:rsid w:val="00C45523"/>
    <w:rsid w:val="00C45876"/>
    <w:rsid w:val="00C46045"/>
    <w:rsid w:val="00C4630B"/>
    <w:rsid w:val="00C470D6"/>
    <w:rsid w:val="00C471B3"/>
    <w:rsid w:val="00C47711"/>
    <w:rsid w:val="00C478D9"/>
    <w:rsid w:val="00C47913"/>
    <w:rsid w:val="00C47A2D"/>
    <w:rsid w:val="00C47A7D"/>
    <w:rsid w:val="00C47ADC"/>
    <w:rsid w:val="00C47B15"/>
    <w:rsid w:val="00C47D66"/>
    <w:rsid w:val="00C5004C"/>
    <w:rsid w:val="00C500C2"/>
    <w:rsid w:val="00C5011A"/>
    <w:rsid w:val="00C50A23"/>
    <w:rsid w:val="00C50ADD"/>
    <w:rsid w:val="00C50EDE"/>
    <w:rsid w:val="00C50EE0"/>
    <w:rsid w:val="00C50F28"/>
    <w:rsid w:val="00C5103C"/>
    <w:rsid w:val="00C510B6"/>
    <w:rsid w:val="00C511CC"/>
    <w:rsid w:val="00C5148A"/>
    <w:rsid w:val="00C51ABE"/>
    <w:rsid w:val="00C51D42"/>
    <w:rsid w:val="00C51FE3"/>
    <w:rsid w:val="00C521C3"/>
    <w:rsid w:val="00C52453"/>
    <w:rsid w:val="00C52782"/>
    <w:rsid w:val="00C5285B"/>
    <w:rsid w:val="00C52957"/>
    <w:rsid w:val="00C52AFF"/>
    <w:rsid w:val="00C52B69"/>
    <w:rsid w:val="00C52C8E"/>
    <w:rsid w:val="00C52CDC"/>
    <w:rsid w:val="00C52D00"/>
    <w:rsid w:val="00C52D67"/>
    <w:rsid w:val="00C5315A"/>
    <w:rsid w:val="00C53530"/>
    <w:rsid w:val="00C53588"/>
    <w:rsid w:val="00C53700"/>
    <w:rsid w:val="00C53BC3"/>
    <w:rsid w:val="00C53E29"/>
    <w:rsid w:val="00C5403E"/>
    <w:rsid w:val="00C54687"/>
    <w:rsid w:val="00C546A6"/>
    <w:rsid w:val="00C54A2F"/>
    <w:rsid w:val="00C54AD6"/>
    <w:rsid w:val="00C54F7B"/>
    <w:rsid w:val="00C550BE"/>
    <w:rsid w:val="00C550E3"/>
    <w:rsid w:val="00C55120"/>
    <w:rsid w:val="00C55211"/>
    <w:rsid w:val="00C552D1"/>
    <w:rsid w:val="00C5536A"/>
    <w:rsid w:val="00C5538B"/>
    <w:rsid w:val="00C553FC"/>
    <w:rsid w:val="00C55439"/>
    <w:rsid w:val="00C555B3"/>
    <w:rsid w:val="00C559A3"/>
    <w:rsid w:val="00C55A72"/>
    <w:rsid w:val="00C55AAB"/>
    <w:rsid w:val="00C55EC0"/>
    <w:rsid w:val="00C5612D"/>
    <w:rsid w:val="00C5633F"/>
    <w:rsid w:val="00C5641A"/>
    <w:rsid w:val="00C5645E"/>
    <w:rsid w:val="00C56523"/>
    <w:rsid w:val="00C5689F"/>
    <w:rsid w:val="00C56948"/>
    <w:rsid w:val="00C56AAA"/>
    <w:rsid w:val="00C56AF4"/>
    <w:rsid w:val="00C56CBE"/>
    <w:rsid w:val="00C56D87"/>
    <w:rsid w:val="00C56EE4"/>
    <w:rsid w:val="00C56EF0"/>
    <w:rsid w:val="00C570CA"/>
    <w:rsid w:val="00C57330"/>
    <w:rsid w:val="00C573EF"/>
    <w:rsid w:val="00C57F6C"/>
    <w:rsid w:val="00C60060"/>
    <w:rsid w:val="00C6009A"/>
    <w:rsid w:val="00C600DF"/>
    <w:rsid w:val="00C6012F"/>
    <w:rsid w:val="00C60320"/>
    <w:rsid w:val="00C604D8"/>
    <w:rsid w:val="00C6057C"/>
    <w:rsid w:val="00C60651"/>
    <w:rsid w:val="00C607F9"/>
    <w:rsid w:val="00C608A6"/>
    <w:rsid w:val="00C60974"/>
    <w:rsid w:val="00C60BDA"/>
    <w:rsid w:val="00C60CDE"/>
    <w:rsid w:val="00C60CFA"/>
    <w:rsid w:val="00C60D4F"/>
    <w:rsid w:val="00C60D6A"/>
    <w:rsid w:val="00C60D81"/>
    <w:rsid w:val="00C60E2A"/>
    <w:rsid w:val="00C60F74"/>
    <w:rsid w:val="00C612FF"/>
    <w:rsid w:val="00C616F9"/>
    <w:rsid w:val="00C61B68"/>
    <w:rsid w:val="00C61B9A"/>
    <w:rsid w:val="00C61CA3"/>
    <w:rsid w:val="00C61FC3"/>
    <w:rsid w:val="00C61FDB"/>
    <w:rsid w:val="00C6207B"/>
    <w:rsid w:val="00C624BE"/>
    <w:rsid w:val="00C6281C"/>
    <w:rsid w:val="00C62984"/>
    <w:rsid w:val="00C62CE1"/>
    <w:rsid w:val="00C6343C"/>
    <w:rsid w:val="00C635C8"/>
    <w:rsid w:val="00C6377A"/>
    <w:rsid w:val="00C63C51"/>
    <w:rsid w:val="00C63CAD"/>
    <w:rsid w:val="00C63CF0"/>
    <w:rsid w:val="00C63F72"/>
    <w:rsid w:val="00C63FDD"/>
    <w:rsid w:val="00C64084"/>
    <w:rsid w:val="00C646CF"/>
    <w:rsid w:val="00C64933"/>
    <w:rsid w:val="00C64BC9"/>
    <w:rsid w:val="00C64C20"/>
    <w:rsid w:val="00C65043"/>
    <w:rsid w:val="00C6512D"/>
    <w:rsid w:val="00C65324"/>
    <w:rsid w:val="00C6552F"/>
    <w:rsid w:val="00C657C1"/>
    <w:rsid w:val="00C65832"/>
    <w:rsid w:val="00C6599C"/>
    <w:rsid w:val="00C65CE0"/>
    <w:rsid w:val="00C6637E"/>
    <w:rsid w:val="00C66440"/>
    <w:rsid w:val="00C66639"/>
    <w:rsid w:val="00C66A29"/>
    <w:rsid w:val="00C66A8A"/>
    <w:rsid w:val="00C66C8B"/>
    <w:rsid w:val="00C66DEF"/>
    <w:rsid w:val="00C6702B"/>
    <w:rsid w:val="00C670F5"/>
    <w:rsid w:val="00C67112"/>
    <w:rsid w:val="00C671AD"/>
    <w:rsid w:val="00C67434"/>
    <w:rsid w:val="00C6799A"/>
    <w:rsid w:val="00C67B87"/>
    <w:rsid w:val="00C67D93"/>
    <w:rsid w:val="00C67FD7"/>
    <w:rsid w:val="00C703C0"/>
    <w:rsid w:val="00C705C5"/>
    <w:rsid w:val="00C7080E"/>
    <w:rsid w:val="00C708C2"/>
    <w:rsid w:val="00C709F5"/>
    <w:rsid w:val="00C70E3E"/>
    <w:rsid w:val="00C710C5"/>
    <w:rsid w:val="00C7116B"/>
    <w:rsid w:val="00C711A4"/>
    <w:rsid w:val="00C719D2"/>
    <w:rsid w:val="00C71AFB"/>
    <w:rsid w:val="00C71BF8"/>
    <w:rsid w:val="00C71CC9"/>
    <w:rsid w:val="00C71D29"/>
    <w:rsid w:val="00C7230B"/>
    <w:rsid w:val="00C725A3"/>
    <w:rsid w:val="00C7276B"/>
    <w:rsid w:val="00C72BD3"/>
    <w:rsid w:val="00C73705"/>
    <w:rsid w:val="00C739C3"/>
    <w:rsid w:val="00C73CFF"/>
    <w:rsid w:val="00C73D65"/>
    <w:rsid w:val="00C73E32"/>
    <w:rsid w:val="00C73F19"/>
    <w:rsid w:val="00C73F57"/>
    <w:rsid w:val="00C745A3"/>
    <w:rsid w:val="00C746C6"/>
    <w:rsid w:val="00C74CB4"/>
    <w:rsid w:val="00C74F83"/>
    <w:rsid w:val="00C7523C"/>
    <w:rsid w:val="00C7529B"/>
    <w:rsid w:val="00C7553B"/>
    <w:rsid w:val="00C7590D"/>
    <w:rsid w:val="00C7613E"/>
    <w:rsid w:val="00C76271"/>
    <w:rsid w:val="00C76355"/>
    <w:rsid w:val="00C7665D"/>
    <w:rsid w:val="00C769BF"/>
    <w:rsid w:val="00C76FC4"/>
    <w:rsid w:val="00C77950"/>
    <w:rsid w:val="00C77CE9"/>
    <w:rsid w:val="00C80231"/>
    <w:rsid w:val="00C805FE"/>
    <w:rsid w:val="00C80B05"/>
    <w:rsid w:val="00C810F6"/>
    <w:rsid w:val="00C81296"/>
    <w:rsid w:val="00C8196F"/>
    <w:rsid w:val="00C819A6"/>
    <w:rsid w:val="00C81F56"/>
    <w:rsid w:val="00C82018"/>
    <w:rsid w:val="00C825EC"/>
    <w:rsid w:val="00C827E5"/>
    <w:rsid w:val="00C82EA9"/>
    <w:rsid w:val="00C82FCC"/>
    <w:rsid w:val="00C831D5"/>
    <w:rsid w:val="00C83282"/>
    <w:rsid w:val="00C833C5"/>
    <w:rsid w:val="00C8345B"/>
    <w:rsid w:val="00C835DB"/>
    <w:rsid w:val="00C836FE"/>
    <w:rsid w:val="00C844B2"/>
    <w:rsid w:val="00C8458C"/>
    <w:rsid w:val="00C846B8"/>
    <w:rsid w:val="00C84AB3"/>
    <w:rsid w:val="00C84D76"/>
    <w:rsid w:val="00C84FD6"/>
    <w:rsid w:val="00C85003"/>
    <w:rsid w:val="00C85112"/>
    <w:rsid w:val="00C85119"/>
    <w:rsid w:val="00C85161"/>
    <w:rsid w:val="00C85402"/>
    <w:rsid w:val="00C855B2"/>
    <w:rsid w:val="00C857C1"/>
    <w:rsid w:val="00C85F40"/>
    <w:rsid w:val="00C86339"/>
    <w:rsid w:val="00C86443"/>
    <w:rsid w:val="00C86846"/>
    <w:rsid w:val="00C86A57"/>
    <w:rsid w:val="00C86CE1"/>
    <w:rsid w:val="00C86DB4"/>
    <w:rsid w:val="00C86FFD"/>
    <w:rsid w:val="00C871CD"/>
    <w:rsid w:val="00C871E0"/>
    <w:rsid w:val="00C87693"/>
    <w:rsid w:val="00C8784A"/>
    <w:rsid w:val="00C87B84"/>
    <w:rsid w:val="00C87C7B"/>
    <w:rsid w:val="00C87D75"/>
    <w:rsid w:val="00C87DA2"/>
    <w:rsid w:val="00C87F23"/>
    <w:rsid w:val="00C90091"/>
    <w:rsid w:val="00C90206"/>
    <w:rsid w:val="00C9042E"/>
    <w:rsid w:val="00C90873"/>
    <w:rsid w:val="00C90AC5"/>
    <w:rsid w:val="00C90AFB"/>
    <w:rsid w:val="00C90B1C"/>
    <w:rsid w:val="00C90B21"/>
    <w:rsid w:val="00C90E03"/>
    <w:rsid w:val="00C90E84"/>
    <w:rsid w:val="00C90F1C"/>
    <w:rsid w:val="00C9107D"/>
    <w:rsid w:val="00C91260"/>
    <w:rsid w:val="00C9131C"/>
    <w:rsid w:val="00C9208E"/>
    <w:rsid w:val="00C92132"/>
    <w:rsid w:val="00C92431"/>
    <w:rsid w:val="00C92571"/>
    <w:rsid w:val="00C92CE2"/>
    <w:rsid w:val="00C9302D"/>
    <w:rsid w:val="00C93189"/>
    <w:rsid w:val="00C93237"/>
    <w:rsid w:val="00C9335A"/>
    <w:rsid w:val="00C937E3"/>
    <w:rsid w:val="00C93A27"/>
    <w:rsid w:val="00C93C75"/>
    <w:rsid w:val="00C93DD0"/>
    <w:rsid w:val="00C93E2A"/>
    <w:rsid w:val="00C93FAE"/>
    <w:rsid w:val="00C943C2"/>
    <w:rsid w:val="00C94429"/>
    <w:rsid w:val="00C94545"/>
    <w:rsid w:val="00C94673"/>
    <w:rsid w:val="00C94737"/>
    <w:rsid w:val="00C94B1A"/>
    <w:rsid w:val="00C94FC1"/>
    <w:rsid w:val="00C95726"/>
    <w:rsid w:val="00C95A08"/>
    <w:rsid w:val="00C95F9B"/>
    <w:rsid w:val="00C95FF0"/>
    <w:rsid w:val="00C96024"/>
    <w:rsid w:val="00C96250"/>
    <w:rsid w:val="00C964D2"/>
    <w:rsid w:val="00C96504"/>
    <w:rsid w:val="00C965DE"/>
    <w:rsid w:val="00C9717D"/>
    <w:rsid w:val="00C97612"/>
    <w:rsid w:val="00C9764C"/>
    <w:rsid w:val="00C9775C"/>
    <w:rsid w:val="00C977F7"/>
    <w:rsid w:val="00C97A55"/>
    <w:rsid w:val="00C97D2C"/>
    <w:rsid w:val="00CA00AB"/>
    <w:rsid w:val="00CA02DB"/>
    <w:rsid w:val="00CA032A"/>
    <w:rsid w:val="00CA040E"/>
    <w:rsid w:val="00CA069D"/>
    <w:rsid w:val="00CA0819"/>
    <w:rsid w:val="00CA08AF"/>
    <w:rsid w:val="00CA0920"/>
    <w:rsid w:val="00CA0B4C"/>
    <w:rsid w:val="00CA0C6E"/>
    <w:rsid w:val="00CA11AF"/>
    <w:rsid w:val="00CA128E"/>
    <w:rsid w:val="00CA12A3"/>
    <w:rsid w:val="00CA1632"/>
    <w:rsid w:val="00CA174A"/>
    <w:rsid w:val="00CA177A"/>
    <w:rsid w:val="00CA1BB1"/>
    <w:rsid w:val="00CA1BF0"/>
    <w:rsid w:val="00CA2119"/>
    <w:rsid w:val="00CA25DD"/>
    <w:rsid w:val="00CA27E4"/>
    <w:rsid w:val="00CA3899"/>
    <w:rsid w:val="00CA390E"/>
    <w:rsid w:val="00CA3F3C"/>
    <w:rsid w:val="00CA3F65"/>
    <w:rsid w:val="00CA40D4"/>
    <w:rsid w:val="00CA4216"/>
    <w:rsid w:val="00CA46A3"/>
    <w:rsid w:val="00CA46BD"/>
    <w:rsid w:val="00CA4DFD"/>
    <w:rsid w:val="00CA5001"/>
    <w:rsid w:val="00CA53E7"/>
    <w:rsid w:val="00CA5475"/>
    <w:rsid w:val="00CA5C47"/>
    <w:rsid w:val="00CA5E26"/>
    <w:rsid w:val="00CA605F"/>
    <w:rsid w:val="00CA64CE"/>
    <w:rsid w:val="00CA6511"/>
    <w:rsid w:val="00CA65B8"/>
    <w:rsid w:val="00CA68F7"/>
    <w:rsid w:val="00CA6B97"/>
    <w:rsid w:val="00CA6D4A"/>
    <w:rsid w:val="00CA703B"/>
    <w:rsid w:val="00CA70B7"/>
    <w:rsid w:val="00CA7319"/>
    <w:rsid w:val="00CA7589"/>
    <w:rsid w:val="00CA78AC"/>
    <w:rsid w:val="00CA7C76"/>
    <w:rsid w:val="00CA7D45"/>
    <w:rsid w:val="00CA7DB0"/>
    <w:rsid w:val="00CB0392"/>
    <w:rsid w:val="00CB0806"/>
    <w:rsid w:val="00CB0E80"/>
    <w:rsid w:val="00CB129E"/>
    <w:rsid w:val="00CB133E"/>
    <w:rsid w:val="00CB16B2"/>
    <w:rsid w:val="00CB1B85"/>
    <w:rsid w:val="00CB1D27"/>
    <w:rsid w:val="00CB2146"/>
    <w:rsid w:val="00CB227D"/>
    <w:rsid w:val="00CB2363"/>
    <w:rsid w:val="00CB2480"/>
    <w:rsid w:val="00CB26EB"/>
    <w:rsid w:val="00CB2BDB"/>
    <w:rsid w:val="00CB2E0A"/>
    <w:rsid w:val="00CB2F43"/>
    <w:rsid w:val="00CB3154"/>
    <w:rsid w:val="00CB32C8"/>
    <w:rsid w:val="00CB32F0"/>
    <w:rsid w:val="00CB3A01"/>
    <w:rsid w:val="00CB3E0A"/>
    <w:rsid w:val="00CB3E8F"/>
    <w:rsid w:val="00CB4009"/>
    <w:rsid w:val="00CB4026"/>
    <w:rsid w:val="00CB42B3"/>
    <w:rsid w:val="00CB4A8A"/>
    <w:rsid w:val="00CB4D3D"/>
    <w:rsid w:val="00CB4D62"/>
    <w:rsid w:val="00CB4DDB"/>
    <w:rsid w:val="00CB5164"/>
    <w:rsid w:val="00CB51EE"/>
    <w:rsid w:val="00CB52E2"/>
    <w:rsid w:val="00CB5472"/>
    <w:rsid w:val="00CB59E8"/>
    <w:rsid w:val="00CB5C2E"/>
    <w:rsid w:val="00CB5E3B"/>
    <w:rsid w:val="00CB5EDF"/>
    <w:rsid w:val="00CB628E"/>
    <w:rsid w:val="00CB6BAD"/>
    <w:rsid w:val="00CB70C4"/>
    <w:rsid w:val="00CB7773"/>
    <w:rsid w:val="00CB7863"/>
    <w:rsid w:val="00CB797F"/>
    <w:rsid w:val="00CC000E"/>
    <w:rsid w:val="00CC0177"/>
    <w:rsid w:val="00CC0E3A"/>
    <w:rsid w:val="00CC0E5B"/>
    <w:rsid w:val="00CC10F2"/>
    <w:rsid w:val="00CC125E"/>
    <w:rsid w:val="00CC169A"/>
    <w:rsid w:val="00CC1DA0"/>
    <w:rsid w:val="00CC1F81"/>
    <w:rsid w:val="00CC239D"/>
    <w:rsid w:val="00CC2423"/>
    <w:rsid w:val="00CC247B"/>
    <w:rsid w:val="00CC24BB"/>
    <w:rsid w:val="00CC289C"/>
    <w:rsid w:val="00CC2B77"/>
    <w:rsid w:val="00CC2C49"/>
    <w:rsid w:val="00CC39DC"/>
    <w:rsid w:val="00CC3C25"/>
    <w:rsid w:val="00CC3DFC"/>
    <w:rsid w:val="00CC3F55"/>
    <w:rsid w:val="00CC409B"/>
    <w:rsid w:val="00CC4445"/>
    <w:rsid w:val="00CC4719"/>
    <w:rsid w:val="00CC4A4B"/>
    <w:rsid w:val="00CC4FDF"/>
    <w:rsid w:val="00CC5041"/>
    <w:rsid w:val="00CC5210"/>
    <w:rsid w:val="00CC5272"/>
    <w:rsid w:val="00CC55C3"/>
    <w:rsid w:val="00CC5610"/>
    <w:rsid w:val="00CC5ABB"/>
    <w:rsid w:val="00CC5E4F"/>
    <w:rsid w:val="00CC6448"/>
    <w:rsid w:val="00CC654D"/>
    <w:rsid w:val="00CC660D"/>
    <w:rsid w:val="00CC669F"/>
    <w:rsid w:val="00CC67F2"/>
    <w:rsid w:val="00CC6932"/>
    <w:rsid w:val="00CC69F2"/>
    <w:rsid w:val="00CC6C70"/>
    <w:rsid w:val="00CC707A"/>
    <w:rsid w:val="00CC7082"/>
    <w:rsid w:val="00CC752B"/>
    <w:rsid w:val="00CC787A"/>
    <w:rsid w:val="00CC7B40"/>
    <w:rsid w:val="00CD0146"/>
    <w:rsid w:val="00CD01DD"/>
    <w:rsid w:val="00CD0400"/>
    <w:rsid w:val="00CD04F2"/>
    <w:rsid w:val="00CD0526"/>
    <w:rsid w:val="00CD056C"/>
    <w:rsid w:val="00CD0638"/>
    <w:rsid w:val="00CD06FA"/>
    <w:rsid w:val="00CD0741"/>
    <w:rsid w:val="00CD07DE"/>
    <w:rsid w:val="00CD0F2D"/>
    <w:rsid w:val="00CD1205"/>
    <w:rsid w:val="00CD1306"/>
    <w:rsid w:val="00CD14F3"/>
    <w:rsid w:val="00CD1865"/>
    <w:rsid w:val="00CD19A4"/>
    <w:rsid w:val="00CD1B1C"/>
    <w:rsid w:val="00CD1B1E"/>
    <w:rsid w:val="00CD1F0A"/>
    <w:rsid w:val="00CD204A"/>
    <w:rsid w:val="00CD20F3"/>
    <w:rsid w:val="00CD21DF"/>
    <w:rsid w:val="00CD232E"/>
    <w:rsid w:val="00CD2759"/>
    <w:rsid w:val="00CD289D"/>
    <w:rsid w:val="00CD2C49"/>
    <w:rsid w:val="00CD2E5B"/>
    <w:rsid w:val="00CD30D4"/>
    <w:rsid w:val="00CD35D2"/>
    <w:rsid w:val="00CD367D"/>
    <w:rsid w:val="00CD39EF"/>
    <w:rsid w:val="00CD3AC0"/>
    <w:rsid w:val="00CD3E61"/>
    <w:rsid w:val="00CD3FB5"/>
    <w:rsid w:val="00CD41C2"/>
    <w:rsid w:val="00CD4216"/>
    <w:rsid w:val="00CD4443"/>
    <w:rsid w:val="00CD4799"/>
    <w:rsid w:val="00CD47A5"/>
    <w:rsid w:val="00CD4D83"/>
    <w:rsid w:val="00CD5033"/>
    <w:rsid w:val="00CD50E1"/>
    <w:rsid w:val="00CD510B"/>
    <w:rsid w:val="00CD587B"/>
    <w:rsid w:val="00CD5A57"/>
    <w:rsid w:val="00CD5B28"/>
    <w:rsid w:val="00CD5D96"/>
    <w:rsid w:val="00CD5DEA"/>
    <w:rsid w:val="00CD5EBB"/>
    <w:rsid w:val="00CD5F62"/>
    <w:rsid w:val="00CD5F87"/>
    <w:rsid w:val="00CD60AE"/>
    <w:rsid w:val="00CD60F2"/>
    <w:rsid w:val="00CD61D1"/>
    <w:rsid w:val="00CD66C6"/>
    <w:rsid w:val="00CD680E"/>
    <w:rsid w:val="00CD68BD"/>
    <w:rsid w:val="00CD696A"/>
    <w:rsid w:val="00CD6A5C"/>
    <w:rsid w:val="00CD6AD6"/>
    <w:rsid w:val="00CD6CAE"/>
    <w:rsid w:val="00CD6D81"/>
    <w:rsid w:val="00CD7CEA"/>
    <w:rsid w:val="00CE007F"/>
    <w:rsid w:val="00CE03EE"/>
    <w:rsid w:val="00CE04F9"/>
    <w:rsid w:val="00CE0532"/>
    <w:rsid w:val="00CE1055"/>
    <w:rsid w:val="00CE1326"/>
    <w:rsid w:val="00CE13A8"/>
    <w:rsid w:val="00CE185B"/>
    <w:rsid w:val="00CE1B3F"/>
    <w:rsid w:val="00CE1D7E"/>
    <w:rsid w:val="00CE20AB"/>
    <w:rsid w:val="00CE2ADC"/>
    <w:rsid w:val="00CE2BB3"/>
    <w:rsid w:val="00CE2C16"/>
    <w:rsid w:val="00CE2EAE"/>
    <w:rsid w:val="00CE34DF"/>
    <w:rsid w:val="00CE3AB9"/>
    <w:rsid w:val="00CE3B31"/>
    <w:rsid w:val="00CE3C93"/>
    <w:rsid w:val="00CE3D11"/>
    <w:rsid w:val="00CE3DF6"/>
    <w:rsid w:val="00CE3E92"/>
    <w:rsid w:val="00CE4498"/>
    <w:rsid w:val="00CE47FD"/>
    <w:rsid w:val="00CE4A75"/>
    <w:rsid w:val="00CE4C03"/>
    <w:rsid w:val="00CE4CFF"/>
    <w:rsid w:val="00CE4DA2"/>
    <w:rsid w:val="00CE51CB"/>
    <w:rsid w:val="00CE53AF"/>
    <w:rsid w:val="00CE56BC"/>
    <w:rsid w:val="00CE57F6"/>
    <w:rsid w:val="00CE5ADA"/>
    <w:rsid w:val="00CE5B35"/>
    <w:rsid w:val="00CE61A6"/>
    <w:rsid w:val="00CE6244"/>
    <w:rsid w:val="00CE65FA"/>
    <w:rsid w:val="00CE685C"/>
    <w:rsid w:val="00CE69D3"/>
    <w:rsid w:val="00CE6A19"/>
    <w:rsid w:val="00CE6FCB"/>
    <w:rsid w:val="00CE7046"/>
    <w:rsid w:val="00CE72FE"/>
    <w:rsid w:val="00CE741E"/>
    <w:rsid w:val="00CE7A6A"/>
    <w:rsid w:val="00CE7B14"/>
    <w:rsid w:val="00CE7E3E"/>
    <w:rsid w:val="00CF0204"/>
    <w:rsid w:val="00CF05E3"/>
    <w:rsid w:val="00CF0CE9"/>
    <w:rsid w:val="00CF1114"/>
    <w:rsid w:val="00CF11EE"/>
    <w:rsid w:val="00CF13E0"/>
    <w:rsid w:val="00CF171F"/>
    <w:rsid w:val="00CF2322"/>
    <w:rsid w:val="00CF23F9"/>
    <w:rsid w:val="00CF2449"/>
    <w:rsid w:val="00CF27EB"/>
    <w:rsid w:val="00CF2DAA"/>
    <w:rsid w:val="00CF3928"/>
    <w:rsid w:val="00CF3B94"/>
    <w:rsid w:val="00CF3BB2"/>
    <w:rsid w:val="00CF41AB"/>
    <w:rsid w:val="00CF41EE"/>
    <w:rsid w:val="00CF4682"/>
    <w:rsid w:val="00CF4750"/>
    <w:rsid w:val="00CF4877"/>
    <w:rsid w:val="00CF48CE"/>
    <w:rsid w:val="00CF48EA"/>
    <w:rsid w:val="00CF5212"/>
    <w:rsid w:val="00CF5514"/>
    <w:rsid w:val="00CF576C"/>
    <w:rsid w:val="00CF5889"/>
    <w:rsid w:val="00CF5E9E"/>
    <w:rsid w:val="00CF5EEB"/>
    <w:rsid w:val="00CF5EF9"/>
    <w:rsid w:val="00CF629C"/>
    <w:rsid w:val="00CF62AA"/>
    <w:rsid w:val="00CF62FD"/>
    <w:rsid w:val="00CF6DF5"/>
    <w:rsid w:val="00CF7044"/>
    <w:rsid w:val="00CF7058"/>
    <w:rsid w:val="00CF7CB0"/>
    <w:rsid w:val="00CF7DC4"/>
    <w:rsid w:val="00CF7E38"/>
    <w:rsid w:val="00D001B1"/>
    <w:rsid w:val="00D001EB"/>
    <w:rsid w:val="00D002C9"/>
    <w:rsid w:val="00D008BA"/>
    <w:rsid w:val="00D0094E"/>
    <w:rsid w:val="00D009A2"/>
    <w:rsid w:val="00D00CCE"/>
    <w:rsid w:val="00D01762"/>
    <w:rsid w:val="00D0180A"/>
    <w:rsid w:val="00D019F3"/>
    <w:rsid w:val="00D02675"/>
    <w:rsid w:val="00D02760"/>
    <w:rsid w:val="00D028E3"/>
    <w:rsid w:val="00D0297A"/>
    <w:rsid w:val="00D0299A"/>
    <w:rsid w:val="00D02F8D"/>
    <w:rsid w:val="00D03208"/>
    <w:rsid w:val="00D03B4B"/>
    <w:rsid w:val="00D03FDE"/>
    <w:rsid w:val="00D03FFE"/>
    <w:rsid w:val="00D04181"/>
    <w:rsid w:val="00D04298"/>
    <w:rsid w:val="00D04845"/>
    <w:rsid w:val="00D04ABD"/>
    <w:rsid w:val="00D050E1"/>
    <w:rsid w:val="00D0520C"/>
    <w:rsid w:val="00D05236"/>
    <w:rsid w:val="00D052AD"/>
    <w:rsid w:val="00D05521"/>
    <w:rsid w:val="00D057EA"/>
    <w:rsid w:val="00D05827"/>
    <w:rsid w:val="00D05B06"/>
    <w:rsid w:val="00D05C4D"/>
    <w:rsid w:val="00D06110"/>
    <w:rsid w:val="00D061A9"/>
    <w:rsid w:val="00D06214"/>
    <w:rsid w:val="00D0627D"/>
    <w:rsid w:val="00D0674C"/>
    <w:rsid w:val="00D06789"/>
    <w:rsid w:val="00D067C9"/>
    <w:rsid w:val="00D06A61"/>
    <w:rsid w:val="00D070AF"/>
    <w:rsid w:val="00D077CA"/>
    <w:rsid w:val="00D07C2D"/>
    <w:rsid w:val="00D07D04"/>
    <w:rsid w:val="00D100EE"/>
    <w:rsid w:val="00D1015D"/>
    <w:rsid w:val="00D1033C"/>
    <w:rsid w:val="00D103F8"/>
    <w:rsid w:val="00D107E3"/>
    <w:rsid w:val="00D1096E"/>
    <w:rsid w:val="00D10AA9"/>
    <w:rsid w:val="00D10B3E"/>
    <w:rsid w:val="00D10CBF"/>
    <w:rsid w:val="00D10D74"/>
    <w:rsid w:val="00D1106D"/>
    <w:rsid w:val="00D110A0"/>
    <w:rsid w:val="00D11137"/>
    <w:rsid w:val="00D113C6"/>
    <w:rsid w:val="00D114F4"/>
    <w:rsid w:val="00D117BC"/>
    <w:rsid w:val="00D11B17"/>
    <w:rsid w:val="00D11E5C"/>
    <w:rsid w:val="00D11EB7"/>
    <w:rsid w:val="00D12B27"/>
    <w:rsid w:val="00D12B8D"/>
    <w:rsid w:val="00D12C17"/>
    <w:rsid w:val="00D12C2C"/>
    <w:rsid w:val="00D12D62"/>
    <w:rsid w:val="00D12DBD"/>
    <w:rsid w:val="00D13638"/>
    <w:rsid w:val="00D139D1"/>
    <w:rsid w:val="00D13E8E"/>
    <w:rsid w:val="00D140F9"/>
    <w:rsid w:val="00D14131"/>
    <w:rsid w:val="00D144DC"/>
    <w:rsid w:val="00D147B4"/>
    <w:rsid w:val="00D14DDC"/>
    <w:rsid w:val="00D14EA7"/>
    <w:rsid w:val="00D1549F"/>
    <w:rsid w:val="00D15508"/>
    <w:rsid w:val="00D15D86"/>
    <w:rsid w:val="00D16322"/>
    <w:rsid w:val="00D165C8"/>
    <w:rsid w:val="00D16603"/>
    <w:rsid w:val="00D166B1"/>
    <w:rsid w:val="00D1677F"/>
    <w:rsid w:val="00D167D7"/>
    <w:rsid w:val="00D167F9"/>
    <w:rsid w:val="00D16D6E"/>
    <w:rsid w:val="00D16F77"/>
    <w:rsid w:val="00D17310"/>
    <w:rsid w:val="00D178CA"/>
    <w:rsid w:val="00D17A7E"/>
    <w:rsid w:val="00D20189"/>
    <w:rsid w:val="00D20687"/>
    <w:rsid w:val="00D20809"/>
    <w:rsid w:val="00D20D99"/>
    <w:rsid w:val="00D210E2"/>
    <w:rsid w:val="00D21BFA"/>
    <w:rsid w:val="00D21EBC"/>
    <w:rsid w:val="00D21F6D"/>
    <w:rsid w:val="00D22412"/>
    <w:rsid w:val="00D22427"/>
    <w:rsid w:val="00D224B0"/>
    <w:rsid w:val="00D2255F"/>
    <w:rsid w:val="00D22616"/>
    <w:rsid w:val="00D22781"/>
    <w:rsid w:val="00D22848"/>
    <w:rsid w:val="00D22D6F"/>
    <w:rsid w:val="00D22D8C"/>
    <w:rsid w:val="00D230D9"/>
    <w:rsid w:val="00D2330B"/>
    <w:rsid w:val="00D2333B"/>
    <w:rsid w:val="00D235BF"/>
    <w:rsid w:val="00D239FA"/>
    <w:rsid w:val="00D23E84"/>
    <w:rsid w:val="00D2450F"/>
    <w:rsid w:val="00D24AC7"/>
    <w:rsid w:val="00D24B04"/>
    <w:rsid w:val="00D252D1"/>
    <w:rsid w:val="00D2546D"/>
    <w:rsid w:val="00D258D7"/>
    <w:rsid w:val="00D25914"/>
    <w:rsid w:val="00D25B1D"/>
    <w:rsid w:val="00D25B20"/>
    <w:rsid w:val="00D25C50"/>
    <w:rsid w:val="00D25D59"/>
    <w:rsid w:val="00D25D93"/>
    <w:rsid w:val="00D25EE7"/>
    <w:rsid w:val="00D26089"/>
    <w:rsid w:val="00D261D3"/>
    <w:rsid w:val="00D26223"/>
    <w:rsid w:val="00D2655C"/>
    <w:rsid w:val="00D266F6"/>
    <w:rsid w:val="00D26859"/>
    <w:rsid w:val="00D2689D"/>
    <w:rsid w:val="00D2698D"/>
    <w:rsid w:val="00D26CFE"/>
    <w:rsid w:val="00D27053"/>
    <w:rsid w:val="00D273E5"/>
    <w:rsid w:val="00D27640"/>
    <w:rsid w:val="00D27E0E"/>
    <w:rsid w:val="00D27FD6"/>
    <w:rsid w:val="00D3000F"/>
    <w:rsid w:val="00D302AB"/>
    <w:rsid w:val="00D30441"/>
    <w:rsid w:val="00D308AD"/>
    <w:rsid w:val="00D30CA1"/>
    <w:rsid w:val="00D30CCE"/>
    <w:rsid w:val="00D31176"/>
    <w:rsid w:val="00D31214"/>
    <w:rsid w:val="00D3125B"/>
    <w:rsid w:val="00D31281"/>
    <w:rsid w:val="00D3145B"/>
    <w:rsid w:val="00D31636"/>
    <w:rsid w:val="00D31734"/>
    <w:rsid w:val="00D31A82"/>
    <w:rsid w:val="00D31C3C"/>
    <w:rsid w:val="00D321CA"/>
    <w:rsid w:val="00D3253A"/>
    <w:rsid w:val="00D32808"/>
    <w:rsid w:val="00D32962"/>
    <w:rsid w:val="00D32988"/>
    <w:rsid w:val="00D33280"/>
    <w:rsid w:val="00D337C6"/>
    <w:rsid w:val="00D33F07"/>
    <w:rsid w:val="00D33FF0"/>
    <w:rsid w:val="00D3421F"/>
    <w:rsid w:val="00D344DC"/>
    <w:rsid w:val="00D34974"/>
    <w:rsid w:val="00D34E31"/>
    <w:rsid w:val="00D34F43"/>
    <w:rsid w:val="00D34FF2"/>
    <w:rsid w:val="00D35109"/>
    <w:rsid w:val="00D354A0"/>
    <w:rsid w:val="00D358E9"/>
    <w:rsid w:val="00D35C16"/>
    <w:rsid w:val="00D35FFA"/>
    <w:rsid w:val="00D3627A"/>
    <w:rsid w:val="00D362D8"/>
    <w:rsid w:val="00D36A51"/>
    <w:rsid w:val="00D36ED4"/>
    <w:rsid w:val="00D36EFA"/>
    <w:rsid w:val="00D370D6"/>
    <w:rsid w:val="00D37110"/>
    <w:rsid w:val="00D371A0"/>
    <w:rsid w:val="00D37507"/>
    <w:rsid w:val="00D3768B"/>
    <w:rsid w:val="00D37A84"/>
    <w:rsid w:val="00D37C1F"/>
    <w:rsid w:val="00D37C59"/>
    <w:rsid w:val="00D37F58"/>
    <w:rsid w:val="00D37FDA"/>
    <w:rsid w:val="00D4009E"/>
    <w:rsid w:val="00D40829"/>
    <w:rsid w:val="00D40AE3"/>
    <w:rsid w:val="00D40F51"/>
    <w:rsid w:val="00D412D3"/>
    <w:rsid w:val="00D412ED"/>
    <w:rsid w:val="00D41520"/>
    <w:rsid w:val="00D41689"/>
    <w:rsid w:val="00D41A0F"/>
    <w:rsid w:val="00D41C3A"/>
    <w:rsid w:val="00D41C85"/>
    <w:rsid w:val="00D41C9B"/>
    <w:rsid w:val="00D41D4A"/>
    <w:rsid w:val="00D4213B"/>
    <w:rsid w:val="00D42403"/>
    <w:rsid w:val="00D42438"/>
    <w:rsid w:val="00D42814"/>
    <w:rsid w:val="00D4295E"/>
    <w:rsid w:val="00D42D86"/>
    <w:rsid w:val="00D43640"/>
    <w:rsid w:val="00D43815"/>
    <w:rsid w:val="00D43FF8"/>
    <w:rsid w:val="00D441A8"/>
    <w:rsid w:val="00D4430D"/>
    <w:rsid w:val="00D44347"/>
    <w:rsid w:val="00D443ED"/>
    <w:rsid w:val="00D444F2"/>
    <w:rsid w:val="00D455E1"/>
    <w:rsid w:val="00D45636"/>
    <w:rsid w:val="00D45B38"/>
    <w:rsid w:val="00D45E50"/>
    <w:rsid w:val="00D45ED6"/>
    <w:rsid w:val="00D462E5"/>
    <w:rsid w:val="00D463F9"/>
    <w:rsid w:val="00D46451"/>
    <w:rsid w:val="00D46674"/>
    <w:rsid w:val="00D467B0"/>
    <w:rsid w:val="00D46CCD"/>
    <w:rsid w:val="00D46E70"/>
    <w:rsid w:val="00D46F81"/>
    <w:rsid w:val="00D4763F"/>
    <w:rsid w:val="00D4780E"/>
    <w:rsid w:val="00D47C71"/>
    <w:rsid w:val="00D47ED2"/>
    <w:rsid w:val="00D5012F"/>
    <w:rsid w:val="00D50361"/>
    <w:rsid w:val="00D50614"/>
    <w:rsid w:val="00D50656"/>
    <w:rsid w:val="00D509B9"/>
    <w:rsid w:val="00D50B0D"/>
    <w:rsid w:val="00D50B73"/>
    <w:rsid w:val="00D50E65"/>
    <w:rsid w:val="00D50F2E"/>
    <w:rsid w:val="00D51066"/>
    <w:rsid w:val="00D5145B"/>
    <w:rsid w:val="00D515F8"/>
    <w:rsid w:val="00D51CE7"/>
    <w:rsid w:val="00D51D68"/>
    <w:rsid w:val="00D52095"/>
    <w:rsid w:val="00D52261"/>
    <w:rsid w:val="00D5267C"/>
    <w:rsid w:val="00D52A9C"/>
    <w:rsid w:val="00D52ADD"/>
    <w:rsid w:val="00D52CE6"/>
    <w:rsid w:val="00D530BE"/>
    <w:rsid w:val="00D530E1"/>
    <w:rsid w:val="00D53268"/>
    <w:rsid w:val="00D5342C"/>
    <w:rsid w:val="00D534E1"/>
    <w:rsid w:val="00D5396F"/>
    <w:rsid w:val="00D53A79"/>
    <w:rsid w:val="00D54072"/>
    <w:rsid w:val="00D541AF"/>
    <w:rsid w:val="00D543E3"/>
    <w:rsid w:val="00D5462D"/>
    <w:rsid w:val="00D54AB4"/>
    <w:rsid w:val="00D54C31"/>
    <w:rsid w:val="00D54CB9"/>
    <w:rsid w:val="00D54D69"/>
    <w:rsid w:val="00D54E28"/>
    <w:rsid w:val="00D54F6B"/>
    <w:rsid w:val="00D5524A"/>
    <w:rsid w:val="00D55858"/>
    <w:rsid w:val="00D558CD"/>
    <w:rsid w:val="00D55D16"/>
    <w:rsid w:val="00D55E1C"/>
    <w:rsid w:val="00D569EF"/>
    <w:rsid w:val="00D56A76"/>
    <w:rsid w:val="00D56B59"/>
    <w:rsid w:val="00D56FA4"/>
    <w:rsid w:val="00D5700C"/>
    <w:rsid w:val="00D57050"/>
    <w:rsid w:val="00D57059"/>
    <w:rsid w:val="00D57146"/>
    <w:rsid w:val="00D5715F"/>
    <w:rsid w:val="00D5741C"/>
    <w:rsid w:val="00D600A0"/>
    <w:rsid w:val="00D602E2"/>
    <w:rsid w:val="00D60404"/>
    <w:rsid w:val="00D60598"/>
    <w:rsid w:val="00D60857"/>
    <w:rsid w:val="00D609CC"/>
    <w:rsid w:val="00D60A00"/>
    <w:rsid w:val="00D60A9E"/>
    <w:rsid w:val="00D60E42"/>
    <w:rsid w:val="00D61279"/>
    <w:rsid w:val="00D614CB"/>
    <w:rsid w:val="00D61791"/>
    <w:rsid w:val="00D618C2"/>
    <w:rsid w:val="00D61927"/>
    <w:rsid w:val="00D619F2"/>
    <w:rsid w:val="00D61A64"/>
    <w:rsid w:val="00D61B37"/>
    <w:rsid w:val="00D61E9F"/>
    <w:rsid w:val="00D6212B"/>
    <w:rsid w:val="00D621BF"/>
    <w:rsid w:val="00D62316"/>
    <w:rsid w:val="00D6255F"/>
    <w:rsid w:val="00D628C1"/>
    <w:rsid w:val="00D62A96"/>
    <w:rsid w:val="00D62E9D"/>
    <w:rsid w:val="00D6309A"/>
    <w:rsid w:val="00D631AF"/>
    <w:rsid w:val="00D63657"/>
    <w:rsid w:val="00D638DF"/>
    <w:rsid w:val="00D63A43"/>
    <w:rsid w:val="00D63AE5"/>
    <w:rsid w:val="00D63DB0"/>
    <w:rsid w:val="00D64348"/>
    <w:rsid w:val="00D643ED"/>
    <w:rsid w:val="00D6450E"/>
    <w:rsid w:val="00D64594"/>
    <w:rsid w:val="00D645B8"/>
    <w:rsid w:val="00D64A9C"/>
    <w:rsid w:val="00D64BB5"/>
    <w:rsid w:val="00D651B2"/>
    <w:rsid w:val="00D65297"/>
    <w:rsid w:val="00D655BB"/>
    <w:rsid w:val="00D65814"/>
    <w:rsid w:val="00D65B75"/>
    <w:rsid w:val="00D65F93"/>
    <w:rsid w:val="00D65FDC"/>
    <w:rsid w:val="00D66263"/>
    <w:rsid w:val="00D66353"/>
    <w:rsid w:val="00D668A1"/>
    <w:rsid w:val="00D668B8"/>
    <w:rsid w:val="00D6692C"/>
    <w:rsid w:val="00D66CEC"/>
    <w:rsid w:val="00D67AF1"/>
    <w:rsid w:val="00D67B2B"/>
    <w:rsid w:val="00D67E5A"/>
    <w:rsid w:val="00D702A3"/>
    <w:rsid w:val="00D702DF"/>
    <w:rsid w:val="00D70481"/>
    <w:rsid w:val="00D708D8"/>
    <w:rsid w:val="00D709C0"/>
    <w:rsid w:val="00D70AF1"/>
    <w:rsid w:val="00D70CA2"/>
    <w:rsid w:val="00D70CFB"/>
    <w:rsid w:val="00D71500"/>
    <w:rsid w:val="00D71531"/>
    <w:rsid w:val="00D71811"/>
    <w:rsid w:val="00D71838"/>
    <w:rsid w:val="00D71B5E"/>
    <w:rsid w:val="00D720F5"/>
    <w:rsid w:val="00D72105"/>
    <w:rsid w:val="00D72160"/>
    <w:rsid w:val="00D721E0"/>
    <w:rsid w:val="00D722B5"/>
    <w:rsid w:val="00D728C4"/>
    <w:rsid w:val="00D7298E"/>
    <w:rsid w:val="00D729CC"/>
    <w:rsid w:val="00D72B12"/>
    <w:rsid w:val="00D73714"/>
    <w:rsid w:val="00D738C4"/>
    <w:rsid w:val="00D73ABF"/>
    <w:rsid w:val="00D747B7"/>
    <w:rsid w:val="00D748E7"/>
    <w:rsid w:val="00D7495D"/>
    <w:rsid w:val="00D749B7"/>
    <w:rsid w:val="00D749C5"/>
    <w:rsid w:val="00D74F1E"/>
    <w:rsid w:val="00D752F8"/>
    <w:rsid w:val="00D755F9"/>
    <w:rsid w:val="00D7574B"/>
    <w:rsid w:val="00D75ABE"/>
    <w:rsid w:val="00D75D25"/>
    <w:rsid w:val="00D75E73"/>
    <w:rsid w:val="00D75E8A"/>
    <w:rsid w:val="00D76A45"/>
    <w:rsid w:val="00D76DD8"/>
    <w:rsid w:val="00D76E51"/>
    <w:rsid w:val="00D77874"/>
    <w:rsid w:val="00D779DA"/>
    <w:rsid w:val="00D77DCD"/>
    <w:rsid w:val="00D77E2F"/>
    <w:rsid w:val="00D806A4"/>
    <w:rsid w:val="00D80723"/>
    <w:rsid w:val="00D807EF"/>
    <w:rsid w:val="00D80ECC"/>
    <w:rsid w:val="00D81042"/>
    <w:rsid w:val="00D812D5"/>
    <w:rsid w:val="00D814E4"/>
    <w:rsid w:val="00D8154D"/>
    <w:rsid w:val="00D815ED"/>
    <w:rsid w:val="00D8179D"/>
    <w:rsid w:val="00D8190A"/>
    <w:rsid w:val="00D819F6"/>
    <w:rsid w:val="00D81B67"/>
    <w:rsid w:val="00D8207E"/>
    <w:rsid w:val="00D82D41"/>
    <w:rsid w:val="00D82E58"/>
    <w:rsid w:val="00D832EF"/>
    <w:rsid w:val="00D8346D"/>
    <w:rsid w:val="00D8350C"/>
    <w:rsid w:val="00D83623"/>
    <w:rsid w:val="00D8383D"/>
    <w:rsid w:val="00D83A1E"/>
    <w:rsid w:val="00D83D9F"/>
    <w:rsid w:val="00D8418A"/>
    <w:rsid w:val="00D84193"/>
    <w:rsid w:val="00D843BA"/>
    <w:rsid w:val="00D844F0"/>
    <w:rsid w:val="00D8516A"/>
    <w:rsid w:val="00D85291"/>
    <w:rsid w:val="00D8538C"/>
    <w:rsid w:val="00D859DD"/>
    <w:rsid w:val="00D85AF8"/>
    <w:rsid w:val="00D85B92"/>
    <w:rsid w:val="00D85C55"/>
    <w:rsid w:val="00D85C65"/>
    <w:rsid w:val="00D85E51"/>
    <w:rsid w:val="00D85F3B"/>
    <w:rsid w:val="00D85F4E"/>
    <w:rsid w:val="00D860A1"/>
    <w:rsid w:val="00D868A5"/>
    <w:rsid w:val="00D868E4"/>
    <w:rsid w:val="00D86D9D"/>
    <w:rsid w:val="00D8776E"/>
    <w:rsid w:val="00D877B0"/>
    <w:rsid w:val="00D87956"/>
    <w:rsid w:val="00D87BFC"/>
    <w:rsid w:val="00D87C06"/>
    <w:rsid w:val="00D87DA5"/>
    <w:rsid w:val="00D901CC"/>
    <w:rsid w:val="00D90406"/>
    <w:rsid w:val="00D905AD"/>
    <w:rsid w:val="00D90816"/>
    <w:rsid w:val="00D90861"/>
    <w:rsid w:val="00D90884"/>
    <w:rsid w:val="00D90A79"/>
    <w:rsid w:val="00D90F20"/>
    <w:rsid w:val="00D91100"/>
    <w:rsid w:val="00D916E1"/>
    <w:rsid w:val="00D918F3"/>
    <w:rsid w:val="00D91CE0"/>
    <w:rsid w:val="00D91F4D"/>
    <w:rsid w:val="00D920B6"/>
    <w:rsid w:val="00D922D7"/>
    <w:rsid w:val="00D926EB"/>
    <w:rsid w:val="00D92973"/>
    <w:rsid w:val="00D930EF"/>
    <w:rsid w:val="00D93DCB"/>
    <w:rsid w:val="00D941AB"/>
    <w:rsid w:val="00D94F97"/>
    <w:rsid w:val="00D95496"/>
    <w:rsid w:val="00D9556E"/>
    <w:rsid w:val="00D957F2"/>
    <w:rsid w:val="00D958DD"/>
    <w:rsid w:val="00D95A15"/>
    <w:rsid w:val="00D95C35"/>
    <w:rsid w:val="00D95DAF"/>
    <w:rsid w:val="00D95DE6"/>
    <w:rsid w:val="00D95E9E"/>
    <w:rsid w:val="00D95F11"/>
    <w:rsid w:val="00D9608D"/>
    <w:rsid w:val="00D9618C"/>
    <w:rsid w:val="00D96203"/>
    <w:rsid w:val="00D96978"/>
    <w:rsid w:val="00D96AE6"/>
    <w:rsid w:val="00D96EDB"/>
    <w:rsid w:val="00D97405"/>
    <w:rsid w:val="00D978EA"/>
    <w:rsid w:val="00D97B30"/>
    <w:rsid w:val="00DA0905"/>
    <w:rsid w:val="00DA0CF9"/>
    <w:rsid w:val="00DA14C5"/>
    <w:rsid w:val="00DA1518"/>
    <w:rsid w:val="00DA177A"/>
    <w:rsid w:val="00DA191D"/>
    <w:rsid w:val="00DA1C3E"/>
    <w:rsid w:val="00DA1EEA"/>
    <w:rsid w:val="00DA1F22"/>
    <w:rsid w:val="00DA211D"/>
    <w:rsid w:val="00DA25BD"/>
    <w:rsid w:val="00DA28C9"/>
    <w:rsid w:val="00DA2E81"/>
    <w:rsid w:val="00DA3192"/>
    <w:rsid w:val="00DA32A2"/>
    <w:rsid w:val="00DA3389"/>
    <w:rsid w:val="00DA3720"/>
    <w:rsid w:val="00DA37B6"/>
    <w:rsid w:val="00DA3C87"/>
    <w:rsid w:val="00DA3E16"/>
    <w:rsid w:val="00DA42FC"/>
    <w:rsid w:val="00DA47F2"/>
    <w:rsid w:val="00DA4C5C"/>
    <w:rsid w:val="00DA4C62"/>
    <w:rsid w:val="00DA5138"/>
    <w:rsid w:val="00DA550A"/>
    <w:rsid w:val="00DA56E4"/>
    <w:rsid w:val="00DA58CF"/>
    <w:rsid w:val="00DA5BDD"/>
    <w:rsid w:val="00DA5C64"/>
    <w:rsid w:val="00DA5D1A"/>
    <w:rsid w:val="00DA5FF4"/>
    <w:rsid w:val="00DA6064"/>
    <w:rsid w:val="00DA608D"/>
    <w:rsid w:val="00DA626A"/>
    <w:rsid w:val="00DA6452"/>
    <w:rsid w:val="00DA6886"/>
    <w:rsid w:val="00DA68F9"/>
    <w:rsid w:val="00DA6A7B"/>
    <w:rsid w:val="00DA6AB8"/>
    <w:rsid w:val="00DA73BF"/>
    <w:rsid w:val="00DA75BA"/>
    <w:rsid w:val="00DA75FA"/>
    <w:rsid w:val="00DB058A"/>
    <w:rsid w:val="00DB0AE5"/>
    <w:rsid w:val="00DB0AF5"/>
    <w:rsid w:val="00DB0D04"/>
    <w:rsid w:val="00DB0F17"/>
    <w:rsid w:val="00DB1125"/>
    <w:rsid w:val="00DB1233"/>
    <w:rsid w:val="00DB13E1"/>
    <w:rsid w:val="00DB15D0"/>
    <w:rsid w:val="00DB160F"/>
    <w:rsid w:val="00DB1696"/>
    <w:rsid w:val="00DB1BAC"/>
    <w:rsid w:val="00DB1FE3"/>
    <w:rsid w:val="00DB2028"/>
    <w:rsid w:val="00DB2346"/>
    <w:rsid w:val="00DB2727"/>
    <w:rsid w:val="00DB2AFE"/>
    <w:rsid w:val="00DB2D24"/>
    <w:rsid w:val="00DB2DA1"/>
    <w:rsid w:val="00DB314A"/>
    <w:rsid w:val="00DB36A3"/>
    <w:rsid w:val="00DB3773"/>
    <w:rsid w:val="00DB378B"/>
    <w:rsid w:val="00DB380D"/>
    <w:rsid w:val="00DB39A1"/>
    <w:rsid w:val="00DB3DDF"/>
    <w:rsid w:val="00DB41D7"/>
    <w:rsid w:val="00DB4204"/>
    <w:rsid w:val="00DB475B"/>
    <w:rsid w:val="00DB4779"/>
    <w:rsid w:val="00DB479A"/>
    <w:rsid w:val="00DB4BE3"/>
    <w:rsid w:val="00DB4E47"/>
    <w:rsid w:val="00DB4ED5"/>
    <w:rsid w:val="00DB50D6"/>
    <w:rsid w:val="00DB57D4"/>
    <w:rsid w:val="00DB5D41"/>
    <w:rsid w:val="00DB60B9"/>
    <w:rsid w:val="00DB636E"/>
    <w:rsid w:val="00DB66C8"/>
    <w:rsid w:val="00DB6AAF"/>
    <w:rsid w:val="00DB7380"/>
    <w:rsid w:val="00DB75FF"/>
    <w:rsid w:val="00DB77EB"/>
    <w:rsid w:val="00DB7821"/>
    <w:rsid w:val="00DB78BC"/>
    <w:rsid w:val="00DB7954"/>
    <w:rsid w:val="00DB7A37"/>
    <w:rsid w:val="00DB7CBD"/>
    <w:rsid w:val="00DB7D23"/>
    <w:rsid w:val="00DC0258"/>
    <w:rsid w:val="00DC08A8"/>
    <w:rsid w:val="00DC0C0F"/>
    <w:rsid w:val="00DC0F98"/>
    <w:rsid w:val="00DC1356"/>
    <w:rsid w:val="00DC17BF"/>
    <w:rsid w:val="00DC1D11"/>
    <w:rsid w:val="00DC209E"/>
    <w:rsid w:val="00DC2537"/>
    <w:rsid w:val="00DC264C"/>
    <w:rsid w:val="00DC3382"/>
    <w:rsid w:val="00DC3402"/>
    <w:rsid w:val="00DC359F"/>
    <w:rsid w:val="00DC3E32"/>
    <w:rsid w:val="00DC3ED0"/>
    <w:rsid w:val="00DC4281"/>
    <w:rsid w:val="00DC4465"/>
    <w:rsid w:val="00DC4498"/>
    <w:rsid w:val="00DC4BCD"/>
    <w:rsid w:val="00DC5171"/>
    <w:rsid w:val="00DC59A4"/>
    <w:rsid w:val="00DC5EAF"/>
    <w:rsid w:val="00DC5FD3"/>
    <w:rsid w:val="00DC60BE"/>
    <w:rsid w:val="00DC60C4"/>
    <w:rsid w:val="00DC61B1"/>
    <w:rsid w:val="00DC6268"/>
    <w:rsid w:val="00DC69F7"/>
    <w:rsid w:val="00DC7239"/>
    <w:rsid w:val="00DC72DF"/>
    <w:rsid w:val="00DC73B8"/>
    <w:rsid w:val="00DC7675"/>
    <w:rsid w:val="00DC7690"/>
    <w:rsid w:val="00DC7704"/>
    <w:rsid w:val="00DC77B5"/>
    <w:rsid w:val="00DC7893"/>
    <w:rsid w:val="00DC7917"/>
    <w:rsid w:val="00DC7C6C"/>
    <w:rsid w:val="00DC7F6E"/>
    <w:rsid w:val="00DD0264"/>
    <w:rsid w:val="00DD03C5"/>
    <w:rsid w:val="00DD05A8"/>
    <w:rsid w:val="00DD062B"/>
    <w:rsid w:val="00DD06D6"/>
    <w:rsid w:val="00DD09DC"/>
    <w:rsid w:val="00DD0DA9"/>
    <w:rsid w:val="00DD1004"/>
    <w:rsid w:val="00DD1272"/>
    <w:rsid w:val="00DD138E"/>
    <w:rsid w:val="00DD1505"/>
    <w:rsid w:val="00DD1549"/>
    <w:rsid w:val="00DD160C"/>
    <w:rsid w:val="00DD1806"/>
    <w:rsid w:val="00DD1D02"/>
    <w:rsid w:val="00DD2002"/>
    <w:rsid w:val="00DD23D6"/>
    <w:rsid w:val="00DD25EB"/>
    <w:rsid w:val="00DD344F"/>
    <w:rsid w:val="00DD40B5"/>
    <w:rsid w:val="00DD41AD"/>
    <w:rsid w:val="00DD48E5"/>
    <w:rsid w:val="00DD4CE4"/>
    <w:rsid w:val="00DD4D24"/>
    <w:rsid w:val="00DD4DC1"/>
    <w:rsid w:val="00DD4E68"/>
    <w:rsid w:val="00DD4E8B"/>
    <w:rsid w:val="00DD5041"/>
    <w:rsid w:val="00DD5358"/>
    <w:rsid w:val="00DD5B11"/>
    <w:rsid w:val="00DD5B5D"/>
    <w:rsid w:val="00DD5F7E"/>
    <w:rsid w:val="00DD5F87"/>
    <w:rsid w:val="00DD63D7"/>
    <w:rsid w:val="00DD651B"/>
    <w:rsid w:val="00DD6901"/>
    <w:rsid w:val="00DD6F20"/>
    <w:rsid w:val="00DD711B"/>
    <w:rsid w:val="00DD7154"/>
    <w:rsid w:val="00DD74FF"/>
    <w:rsid w:val="00DD766B"/>
    <w:rsid w:val="00DD77E5"/>
    <w:rsid w:val="00DD7951"/>
    <w:rsid w:val="00DE0443"/>
    <w:rsid w:val="00DE07FF"/>
    <w:rsid w:val="00DE0AB6"/>
    <w:rsid w:val="00DE0C67"/>
    <w:rsid w:val="00DE1190"/>
    <w:rsid w:val="00DE162B"/>
    <w:rsid w:val="00DE18D8"/>
    <w:rsid w:val="00DE1975"/>
    <w:rsid w:val="00DE1C1D"/>
    <w:rsid w:val="00DE1C55"/>
    <w:rsid w:val="00DE1EEB"/>
    <w:rsid w:val="00DE1FA4"/>
    <w:rsid w:val="00DE1FF0"/>
    <w:rsid w:val="00DE246F"/>
    <w:rsid w:val="00DE2648"/>
    <w:rsid w:val="00DE2B9A"/>
    <w:rsid w:val="00DE2FA1"/>
    <w:rsid w:val="00DE2FB9"/>
    <w:rsid w:val="00DE2FCC"/>
    <w:rsid w:val="00DE3301"/>
    <w:rsid w:val="00DE3316"/>
    <w:rsid w:val="00DE335F"/>
    <w:rsid w:val="00DE35E6"/>
    <w:rsid w:val="00DE3610"/>
    <w:rsid w:val="00DE371B"/>
    <w:rsid w:val="00DE379A"/>
    <w:rsid w:val="00DE3B1E"/>
    <w:rsid w:val="00DE3BEB"/>
    <w:rsid w:val="00DE4025"/>
    <w:rsid w:val="00DE43BE"/>
    <w:rsid w:val="00DE4576"/>
    <w:rsid w:val="00DE45D0"/>
    <w:rsid w:val="00DE46B5"/>
    <w:rsid w:val="00DE4777"/>
    <w:rsid w:val="00DE4AE1"/>
    <w:rsid w:val="00DE4BFC"/>
    <w:rsid w:val="00DE4DC7"/>
    <w:rsid w:val="00DE4EA4"/>
    <w:rsid w:val="00DE50A1"/>
    <w:rsid w:val="00DE5433"/>
    <w:rsid w:val="00DE54DC"/>
    <w:rsid w:val="00DE58F0"/>
    <w:rsid w:val="00DE595B"/>
    <w:rsid w:val="00DE5AA4"/>
    <w:rsid w:val="00DE5B4B"/>
    <w:rsid w:val="00DE5D12"/>
    <w:rsid w:val="00DE5E62"/>
    <w:rsid w:val="00DE60DF"/>
    <w:rsid w:val="00DE61E9"/>
    <w:rsid w:val="00DE639C"/>
    <w:rsid w:val="00DE669F"/>
    <w:rsid w:val="00DE6728"/>
    <w:rsid w:val="00DE6BA4"/>
    <w:rsid w:val="00DE6BC3"/>
    <w:rsid w:val="00DE7211"/>
    <w:rsid w:val="00DE73C7"/>
    <w:rsid w:val="00DE746C"/>
    <w:rsid w:val="00DE75D6"/>
    <w:rsid w:val="00DE7B88"/>
    <w:rsid w:val="00DE7EB8"/>
    <w:rsid w:val="00DF0118"/>
    <w:rsid w:val="00DF0380"/>
    <w:rsid w:val="00DF03CD"/>
    <w:rsid w:val="00DF0589"/>
    <w:rsid w:val="00DF0596"/>
    <w:rsid w:val="00DF0BC3"/>
    <w:rsid w:val="00DF0FAD"/>
    <w:rsid w:val="00DF1039"/>
    <w:rsid w:val="00DF1054"/>
    <w:rsid w:val="00DF1254"/>
    <w:rsid w:val="00DF144A"/>
    <w:rsid w:val="00DF16DF"/>
    <w:rsid w:val="00DF17AC"/>
    <w:rsid w:val="00DF184D"/>
    <w:rsid w:val="00DF1AE4"/>
    <w:rsid w:val="00DF24DF"/>
    <w:rsid w:val="00DF24E5"/>
    <w:rsid w:val="00DF27C0"/>
    <w:rsid w:val="00DF28C8"/>
    <w:rsid w:val="00DF2B2A"/>
    <w:rsid w:val="00DF2C2B"/>
    <w:rsid w:val="00DF3581"/>
    <w:rsid w:val="00DF36F3"/>
    <w:rsid w:val="00DF393E"/>
    <w:rsid w:val="00DF3A86"/>
    <w:rsid w:val="00DF3AC6"/>
    <w:rsid w:val="00DF3DE4"/>
    <w:rsid w:val="00DF3EB0"/>
    <w:rsid w:val="00DF3EF2"/>
    <w:rsid w:val="00DF47F7"/>
    <w:rsid w:val="00DF4AAB"/>
    <w:rsid w:val="00DF4E59"/>
    <w:rsid w:val="00DF4F22"/>
    <w:rsid w:val="00DF4FF3"/>
    <w:rsid w:val="00DF504A"/>
    <w:rsid w:val="00DF5521"/>
    <w:rsid w:val="00DF59A8"/>
    <w:rsid w:val="00DF5C22"/>
    <w:rsid w:val="00DF64F9"/>
    <w:rsid w:val="00DF67A1"/>
    <w:rsid w:val="00DF6B02"/>
    <w:rsid w:val="00DF6D16"/>
    <w:rsid w:val="00DF7246"/>
    <w:rsid w:val="00DF74A1"/>
    <w:rsid w:val="00DF74BA"/>
    <w:rsid w:val="00DF7523"/>
    <w:rsid w:val="00DF7544"/>
    <w:rsid w:val="00DF7587"/>
    <w:rsid w:val="00DF7D7D"/>
    <w:rsid w:val="00E001DB"/>
    <w:rsid w:val="00E0023D"/>
    <w:rsid w:val="00E005D0"/>
    <w:rsid w:val="00E005D3"/>
    <w:rsid w:val="00E00A07"/>
    <w:rsid w:val="00E00DD2"/>
    <w:rsid w:val="00E00F6E"/>
    <w:rsid w:val="00E00FD5"/>
    <w:rsid w:val="00E00FEA"/>
    <w:rsid w:val="00E014A4"/>
    <w:rsid w:val="00E0194B"/>
    <w:rsid w:val="00E01B36"/>
    <w:rsid w:val="00E01FB7"/>
    <w:rsid w:val="00E0245C"/>
    <w:rsid w:val="00E0254C"/>
    <w:rsid w:val="00E0260F"/>
    <w:rsid w:val="00E0261D"/>
    <w:rsid w:val="00E0273D"/>
    <w:rsid w:val="00E02DC3"/>
    <w:rsid w:val="00E02DFE"/>
    <w:rsid w:val="00E03194"/>
    <w:rsid w:val="00E0340F"/>
    <w:rsid w:val="00E03432"/>
    <w:rsid w:val="00E03448"/>
    <w:rsid w:val="00E036F8"/>
    <w:rsid w:val="00E0386F"/>
    <w:rsid w:val="00E03DC0"/>
    <w:rsid w:val="00E04036"/>
    <w:rsid w:val="00E04042"/>
    <w:rsid w:val="00E0427B"/>
    <w:rsid w:val="00E04484"/>
    <w:rsid w:val="00E044C0"/>
    <w:rsid w:val="00E04758"/>
    <w:rsid w:val="00E04FB8"/>
    <w:rsid w:val="00E05DDB"/>
    <w:rsid w:val="00E05F1A"/>
    <w:rsid w:val="00E05FCD"/>
    <w:rsid w:val="00E06792"/>
    <w:rsid w:val="00E068EB"/>
    <w:rsid w:val="00E06AF1"/>
    <w:rsid w:val="00E0706A"/>
    <w:rsid w:val="00E072FD"/>
    <w:rsid w:val="00E079CC"/>
    <w:rsid w:val="00E07C07"/>
    <w:rsid w:val="00E07C8C"/>
    <w:rsid w:val="00E07F7A"/>
    <w:rsid w:val="00E07F83"/>
    <w:rsid w:val="00E07F9D"/>
    <w:rsid w:val="00E100F9"/>
    <w:rsid w:val="00E102A9"/>
    <w:rsid w:val="00E10568"/>
    <w:rsid w:val="00E1083C"/>
    <w:rsid w:val="00E108B7"/>
    <w:rsid w:val="00E109B3"/>
    <w:rsid w:val="00E10D0C"/>
    <w:rsid w:val="00E111D6"/>
    <w:rsid w:val="00E1191B"/>
    <w:rsid w:val="00E11931"/>
    <w:rsid w:val="00E11B20"/>
    <w:rsid w:val="00E11D90"/>
    <w:rsid w:val="00E11FD2"/>
    <w:rsid w:val="00E121BD"/>
    <w:rsid w:val="00E12289"/>
    <w:rsid w:val="00E12330"/>
    <w:rsid w:val="00E1237F"/>
    <w:rsid w:val="00E1238A"/>
    <w:rsid w:val="00E12649"/>
    <w:rsid w:val="00E126E2"/>
    <w:rsid w:val="00E127A3"/>
    <w:rsid w:val="00E12D4E"/>
    <w:rsid w:val="00E12DB4"/>
    <w:rsid w:val="00E13030"/>
    <w:rsid w:val="00E131ED"/>
    <w:rsid w:val="00E13308"/>
    <w:rsid w:val="00E13545"/>
    <w:rsid w:val="00E1375B"/>
    <w:rsid w:val="00E1398F"/>
    <w:rsid w:val="00E13B71"/>
    <w:rsid w:val="00E13BC0"/>
    <w:rsid w:val="00E13C6D"/>
    <w:rsid w:val="00E13E69"/>
    <w:rsid w:val="00E140E6"/>
    <w:rsid w:val="00E145FE"/>
    <w:rsid w:val="00E1487C"/>
    <w:rsid w:val="00E14D9A"/>
    <w:rsid w:val="00E15222"/>
    <w:rsid w:val="00E15240"/>
    <w:rsid w:val="00E1535F"/>
    <w:rsid w:val="00E1556D"/>
    <w:rsid w:val="00E15728"/>
    <w:rsid w:val="00E15BEE"/>
    <w:rsid w:val="00E15E98"/>
    <w:rsid w:val="00E15ED3"/>
    <w:rsid w:val="00E15FE9"/>
    <w:rsid w:val="00E16138"/>
    <w:rsid w:val="00E16789"/>
    <w:rsid w:val="00E16802"/>
    <w:rsid w:val="00E16F84"/>
    <w:rsid w:val="00E170F0"/>
    <w:rsid w:val="00E172AF"/>
    <w:rsid w:val="00E176E9"/>
    <w:rsid w:val="00E17F74"/>
    <w:rsid w:val="00E202D7"/>
    <w:rsid w:val="00E2043B"/>
    <w:rsid w:val="00E207C6"/>
    <w:rsid w:val="00E20B83"/>
    <w:rsid w:val="00E20C50"/>
    <w:rsid w:val="00E2122A"/>
    <w:rsid w:val="00E2139C"/>
    <w:rsid w:val="00E21446"/>
    <w:rsid w:val="00E215FA"/>
    <w:rsid w:val="00E2180F"/>
    <w:rsid w:val="00E21A98"/>
    <w:rsid w:val="00E21F8C"/>
    <w:rsid w:val="00E22209"/>
    <w:rsid w:val="00E22478"/>
    <w:rsid w:val="00E228B8"/>
    <w:rsid w:val="00E228C9"/>
    <w:rsid w:val="00E22AF2"/>
    <w:rsid w:val="00E22B2E"/>
    <w:rsid w:val="00E22B78"/>
    <w:rsid w:val="00E2371A"/>
    <w:rsid w:val="00E2373A"/>
    <w:rsid w:val="00E2373B"/>
    <w:rsid w:val="00E23829"/>
    <w:rsid w:val="00E2384F"/>
    <w:rsid w:val="00E2388D"/>
    <w:rsid w:val="00E2391E"/>
    <w:rsid w:val="00E23C9C"/>
    <w:rsid w:val="00E23D44"/>
    <w:rsid w:val="00E23F47"/>
    <w:rsid w:val="00E242A3"/>
    <w:rsid w:val="00E24715"/>
    <w:rsid w:val="00E24837"/>
    <w:rsid w:val="00E253FA"/>
    <w:rsid w:val="00E2542D"/>
    <w:rsid w:val="00E254AB"/>
    <w:rsid w:val="00E25890"/>
    <w:rsid w:val="00E258C0"/>
    <w:rsid w:val="00E25A66"/>
    <w:rsid w:val="00E25C09"/>
    <w:rsid w:val="00E2612A"/>
    <w:rsid w:val="00E2625B"/>
    <w:rsid w:val="00E26934"/>
    <w:rsid w:val="00E26CB2"/>
    <w:rsid w:val="00E26D7C"/>
    <w:rsid w:val="00E26F98"/>
    <w:rsid w:val="00E2705C"/>
    <w:rsid w:val="00E274A3"/>
    <w:rsid w:val="00E27542"/>
    <w:rsid w:val="00E27BD2"/>
    <w:rsid w:val="00E27BD5"/>
    <w:rsid w:val="00E27C36"/>
    <w:rsid w:val="00E303E6"/>
    <w:rsid w:val="00E3047B"/>
    <w:rsid w:val="00E30AB1"/>
    <w:rsid w:val="00E30D01"/>
    <w:rsid w:val="00E30ED2"/>
    <w:rsid w:val="00E31199"/>
    <w:rsid w:val="00E311A1"/>
    <w:rsid w:val="00E3148E"/>
    <w:rsid w:val="00E317FD"/>
    <w:rsid w:val="00E31985"/>
    <w:rsid w:val="00E31A13"/>
    <w:rsid w:val="00E31B95"/>
    <w:rsid w:val="00E320FE"/>
    <w:rsid w:val="00E3214F"/>
    <w:rsid w:val="00E327B8"/>
    <w:rsid w:val="00E32AAD"/>
    <w:rsid w:val="00E32CE1"/>
    <w:rsid w:val="00E32D28"/>
    <w:rsid w:val="00E330D2"/>
    <w:rsid w:val="00E33217"/>
    <w:rsid w:val="00E337F4"/>
    <w:rsid w:val="00E3387B"/>
    <w:rsid w:val="00E33B44"/>
    <w:rsid w:val="00E33B4A"/>
    <w:rsid w:val="00E33E46"/>
    <w:rsid w:val="00E33F34"/>
    <w:rsid w:val="00E3414A"/>
    <w:rsid w:val="00E341CF"/>
    <w:rsid w:val="00E34322"/>
    <w:rsid w:val="00E34853"/>
    <w:rsid w:val="00E34867"/>
    <w:rsid w:val="00E348D1"/>
    <w:rsid w:val="00E350BF"/>
    <w:rsid w:val="00E350F6"/>
    <w:rsid w:val="00E35102"/>
    <w:rsid w:val="00E351BF"/>
    <w:rsid w:val="00E351F1"/>
    <w:rsid w:val="00E353BA"/>
    <w:rsid w:val="00E353D8"/>
    <w:rsid w:val="00E354B9"/>
    <w:rsid w:val="00E35599"/>
    <w:rsid w:val="00E3586B"/>
    <w:rsid w:val="00E35AC3"/>
    <w:rsid w:val="00E35C36"/>
    <w:rsid w:val="00E35FB0"/>
    <w:rsid w:val="00E362C6"/>
    <w:rsid w:val="00E3630A"/>
    <w:rsid w:val="00E36313"/>
    <w:rsid w:val="00E3668F"/>
    <w:rsid w:val="00E366AF"/>
    <w:rsid w:val="00E368B1"/>
    <w:rsid w:val="00E36ADF"/>
    <w:rsid w:val="00E36E85"/>
    <w:rsid w:val="00E370D8"/>
    <w:rsid w:val="00E3740F"/>
    <w:rsid w:val="00E37D79"/>
    <w:rsid w:val="00E37E14"/>
    <w:rsid w:val="00E37E83"/>
    <w:rsid w:val="00E37F2C"/>
    <w:rsid w:val="00E400BB"/>
    <w:rsid w:val="00E40A22"/>
    <w:rsid w:val="00E40ACC"/>
    <w:rsid w:val="00E40D36"/>
    <w:rsid w:val="00E40DC5"/>
    <w:rsid w:val="00E40EEA"/>
    <w:rsid w:val="00E411BC"/>
    <w:rsid w:val="00E4132E"/>
    <w:rsid w:val="00E413AD"/>
    <w:rsid w:val="00E41452"/>
    <w:rsid w:val="00E41746"/>
    <w:rsid w:val="00E41755"/>
    <w:rsid w:val="00E4206B"/>
    <w:rsid w:val="00E420B3"/>
    <w:rsid w:val="00E4230C"/>
    <w:rsid w:val="00E423E4"/>
    <w:rsid w:val="00E42564"/>
    <w:rsid w:val="00E43449"/>
    <w:rsid w:val="00E43B71"/>
    <w:rsid w:val="00E44398"/>
    <w:rsid w:val="00E446A0"/>
    <w:rsid w:val="00E44AD5"/>
    <w:rsid w:val="00E44EE4"/>
    <w:rsid w:val="00E4517C"/>
    <w:rsid w:val="00E45344"/>
    <w:rsid w:val="00E45436"/>
    <w:rsid w:val="00E455CA"/>
    <w:rsid w:val="00E459DF"/>
    <w:rsid w:val="00E45BEB"/>
    <w:rsid w:val="00E45C62"/>
    <w:rsid w:val="00E45F53"/>
    <w:rsid w:val="00E45FE9"/>
    <w:rsid w:val="00E46123"/>
    <w:rsid w:val="00E46265"/>
    <w:rsid w:val="00E468DA"/>
    <w:rsid w:val="00E46B35"/>
    <w:rsid w:val="00E46D1C"/>
    <w:rsid w:val="00E46E12"/>
    <w:rsid w:val="00E4732C"/>
    <w:rsid w:val="00E477D4"/>
    <w:rsid w:val="00E47AC1"/>
    <w:rsid w:val="00E500F0"/>
    <w:rsid w:val="00E50378"/>
    <w:rsid w:val="00E50387"/>
    <w:rsid w:val="00E506D3"/>
    <w:rsid w:val="00E506FB"/>
    <w:rsid w:val="00E509CE"/>
    <w:rsid w:val="00E51034"/>
    <w:rsid w:val="00E518ED"/>
    <w:rsid w:val="00E51999"/>
    <w:rsid w:val="00E51E05"/>
    <w:rsid w:val="00E51F5E"/>
    <w:rsid w:val="00E52184"/>
    <w:rsid w:val="00E5233C"/>
    <w:rsid w:val="00E5241D"/>
    <w:rsid w:val="00E5249A"/>
    <w:rsid w:val="00E5259F"/>
    <w:rsid w:val="00E527B0"/>
    <w:rsid w:val="00E52F14"/>
    <w:rsid w:val="00E53381"/>
    <w:rsid w:val="00E53BAD"/>
    <w:rsid w:val="00E53C4F"/>
    <w:rsid w:val="00E53E0A"/>
    <w:rsid w:val="00E53E9D"/>
    <w:rsid w:val="00E5426E"/>
    <w:rsid w:val="00E544E6"/>
    <w:rsid w:val="00E54702"/>
    <w:rsid w:val="00E558AC"/>
    <w:rsid w:val="00E5598A"/>
    <w:rsid w:val="00E55F55"/>
    <w:rsid w:val="00E560B0"/>
    <w:rsid w:val="00E56542"/>
    <w:rsid w:val="00E569D0"/>
    <w:rsid w:val="00E56B81"/>
    <w:rsid w:val="00E56C93"/>
    <w:rsid w:val="00E571E9"/>
    <w:rsid w:val="00E575A1"/>
    <w:rsid w:val="00E575B1"/>
    <w:rsid w:val="00E57710"/>
    <w:rsid w:val="00E57BB4"/>
    <w:rsid w:val="00E57E21"/>
    <w:rsid w:val="00E60223"/>
    <w:rsid w:val="00E605E6"/>
    <w:rsid w:val="00E606EC"/>
    <w:rsid w:val="00E60883"/>
    <w:rsid w:val="00E60884"/>
    <w:rsid w:val="00E608C2"/>
    <w:rsid w:val="00E60913"/>
    <w:rsid w:val="00E60ECC"/>
    <w:rsid w:val="00E60EE1"/>
    <w:rsid w:val="00E6150B"/>
    <w:rsid w:val="00E615AB"/>
    <w:rsid w:val="00E61CDB"/>
    <w:rsid w:val="00E61E23"/>
    <w:rsid w:val="00E62157"/>
    <w:rsid w:val="00E623E8"/>
    <w:rsid w:val="00E6248F"/>
    <w:rsid w:val="00E628BA"/>
    <w:rsid w:val="00E62914"/>
    <w:rsid w:val="00E62B1F"/>
    <w:rsid w:val="00E62BC7"/>
    <w:rsid w:val="00E62E4A"/>
    <w:rsid w:val="00E62F7B"/>
    <w:rsid w:val="00E63282"/>
    <w:rsid w:val="00E633D5"/>
    <w:rsid w:val="00E6357B"/>
    <w:rsid w:val="00E63687"/>
    <w:rsid w:val="00E63B43"/>
    <w:rsid w:val="00E64582"/>
    <w:rsid w:val="00E64656"/>
    <w:rsid w:val="00E64B3C"/>
    <w:rsid w:val="00E64B8C"/>
    <w:rsid w:val="00E64D94"/>
    <w:rsid w:val="00E651E0"/>
    <w:rsid w:val="00E65587"/>
    <w:rsid w:val="00E65DFA"/>
    <w:rsid w:val="00E6680C"/>
    <w:rsid w:val="00E668FE"/>
    <w:rsid w:val="00E66B75"/>
    <w:rsid w:val="00E66C48"/>
    <w:rsid w:val="00E66DAB"/>
    <w:rsid w:val="00E66DFC"/>
    <w:rsid w:val="00E66E40"/>
    <w:rsid w:val="00E66EAA"/>
    <w:rsid w:val="00E67113"/>
    <w:rsid w:val="00E672F6"/>
    <w:rsid w:val="00E67625"/>
    <w:rsid w:val="00E67C1B"/>
    <w:rsid w:val="00E67C64"/>
    <w:rsid w:val="00E67D90"/>
    <w:rsid w:val="00E70121"/>
    <w:rsid w:val="00E7015B"/>
    <w:rsid w:val="00E70175"/>
    <w:rsid w:val="00E70557"/>
    <w:rsid w:val="00E708AC"/>
    <w:rsid w:val="00E70ABC"/>
    <w:rsid w:val="00E70BAC"/>
    <w:rsid w:val="00E70F43"/>
    <w:rsid w:val="00E71185"/>
    <w:rsid w:val="00E714A9"/>
    <w:rsid w:val="00E71565"/>
    <w:rsid w:val="00E717C8"/>
    <w:rsid w:val="00E71D17"/>
    <w:rsid w:val="00E71E2D"/>
    <w:rsid w:val="00E72529"/>
    <w:rsid w:val="00E7253F"/>
    <w:rsid w:val="00E725D3"/>
    <w:rsid w:val="00E72AB6"/>
    <w:rsid w:val="00E72B82"/>
    <w:rsid w:val="00E72C8D"/>
    <w:rsid w:val="00E7306D"/>
    <w:rsid w:val="00E73B8D"/>
    <w:rsid w:val="00E73BF6"/>
    <w:rsid w:val="00E743F1"/>
    <w:rsid w:val="00E745F7"/>
    <w:rsid w:val="00E746BA"/>
    <w:rsid w:val="00E74747"/>
    <w:rsid w:val="00E747CB"/>
    <w:rsid w:val="00E74E77"/>
    <w:rsid w:val="00E74F0F"/>
    <w:rsid w:val="00E74F41"/>
    <w:rsid w:val="00E75414"/>
    <w:rsid w:val="00E75825"/>
    <w:rsid w:val="00E75906"/>
    <w:rsid w:val="00E75A85"/>
    <w:rsid w:val="00E75ADC"/>
    <w:rsid w:val="00E75BCC"/>
    <w:rsid w:val="00E75D0A"/>
    <w:rsid w:val="00E76155"/>
    <w:rsid w:val="00E76205"/>
    <w:rsid w:val="00E764A1"/>
    <w:rsid w:val="00E765D9"/>
    <w:rsid w:val="00E766D0"/>
    <w:rsid w:val="00E7671B"/>
    <w:rsid w:val="00E767D1"/>
    <w:rsid w:val="00E767F7"/>
    <w:rsid w:val="00E77073"/>
    <w:rsid w:val="00E7726B"/>
    <w:rsid w:val="00E77727"/>
    <w:rsid w:val="00E77947"/>
    <w:rsid w:val="00E77F63"/>
    <w:rsid w:val="00E80946"/>
    <w:rsid w:val="00E80AE7"/>
    <w:rsid w:val="00E80E01"/>
    <w:rsid w:val="00E80E80"/>
    <w:rsid w:val="00E8128D"/>
    <w:rsid w:val="00E812E2"/>
    <w:rsid w:val="00E8132A"/>
    <w:rsid w:val="00E8148B"/>
    <w:rsid w:val="00E81544"/>
    <w:rsid w:val="00E817C7"/>
    <w:rsid w:val="00E81840"/>
    <w:rsid w:val="00E81962"/>
    <w:rsid w:val="00E81C8C"/>
    <w:rsid w:val="00E81DA7"/>
    <w:rsid w:val="00E81F6D"/>
    <w:rsid w:val="00E82268"/>
    <w:rsid w:val="00E82402"/>
    <w:rsid w:val="00E827FD"/>
    <w:rsid w:val="00E829D1"/>
    <w:rsid w:val="00E82A9D"/>
    <w:rsid w:val="00E82E49"/>
    <w:rsid w:val="00E82F52"/>
    <w:rsid w:val="00E82F58"/>
    <w:rsid w:val="00E82FEE"/>
    <w:rsid w:val="00E8331F"/>
    <w:rsid w:val="00E83CDA"/>
    <w:rsid w:val="00E83D5F"/>
    <w:rsid w:val="00E841AF"/>
    <w:rsid w:val="00E84321"/>
    <w:rsid w:val="00E843C4"/>
    <w:rsid w:val="00E84708"/>
    <w:rsid w:val="00E84773"/>
    <w:rsid w:val="00E847F9"/>
    <w:rsid w:val="00E848ED"/>
    <w:rsid w:val="00E84B1E"/>
    <w:rsid w:val="00E85041"/>
    <w:rsid w:val="00E8519B"/>
    <w:rsid w:val="00E85498"/>
    <w:rsid w:val="00E8591B"/>
    <w:rsid w:val="00E859EE"/>
    <w:rsid w:val="00E85AAE"/>
    <w:rsid w:val="00E85D0F"/>
    <w:rsid w:val="00E85EF3"/>
    <w:rsid w:val="00E85FC7"/>
    <w:rsid w:val="00E86077"/>
    <w:rsid w:val="00E861A7"/>
    <w:rsid w:val="00E861B6"/>
    <w:rsid w:val="00E861C7"/>
    <w:rsid w:val="00E865E5"/>
    <w:rsid w:val="00E86650"/>
    <w:rsid w:val="00E869BA"/>
    <w:rsid w:val="00E86E3D"/>
    <w:rsid w:val="00E879E7"/>
    <w:rsid w:val="00E87A05"/>
    <w:rsid w:val="00E90733"/>
    <w:rsid w:val="00E90928"/>
    <w:rsid w:val="00E90A29"/>
    <w:rsid w:val="00E90DF5"/>
    <w:rsid w:val="00E91465"/>
    <w:rsid w:val="00E9149F"/>
    <w:rsid w:val="00E914BC"/>
    <w:rsid w:val="00E9161B"/>
    <w:rsid w:val="00E9167F"/>
    <w:rsid w:val="00E917B7"/>
    <w:rsid w:val="00E91946"/>
    <w:rsid w:val="00E91A23"/>
    <w:rsid w:val="00E91C39"/>
    <w:rsid w:val="00E91C66"/>
    <w:rsid w:val="00E92141"/>
    <w:rsid w:val="00E925F6"/>
    <w:rsid w:val="00E92703"/>
    <w:rsid w:val="00E9270D"/>
    <w:rsid w:val="00E927C9"/>
    <w:rsid w:val="00E929DC"/>
    <w:rsid w:val="00E9314D"/>
    <w:rsid w:val="00E93392"/>
    <w:rsid w:val="00E9352C"/>
    <w:rsid w:val="00E93608"/>
    <w:rsid w:val="00E936A7"/>
    <w:rsid w:val="00E9375F"/>
    <w:rsid w:val="00E9381D"/>
    <w:rsid w:val="00E93ABF"/>
    <w:rsid w:val="00E93DFC"/>
    <w:rsid w:val="00E93FCB"/>
    <w:rsid w:val="00E94027"/>
    <w:rsid w:val="00E9422D"/>
    <w:rsid w:val="00E94C16"/>
    <w:rsid w:val="00E94E6B"/>
    <w:rsid w:val="00E94EF9"/>
    <w:rsid w:val="00E952E9"/>
    <w:rsid w:val="00E952FE"/>
    <w:rsid w:val="00E9531C"/>
    <w:rsid w:val="00E955C7"/>
    <w:rsid w:val="00E95706"/>
    <w:rsid w:val="00E95C39"/>
    <w:rsid w:val="00E95D30"/>
    <w:rsid w:val="00E95D43"/>
    <w:rsid w:val="00E96495"/>
    <w:rsid w:val="00E96552"/>
    <w:rsid w:val="00E96629"/>
    <w:rsid w:val="00E96845"/>
    <w:rsid w:val="00E96A31"/>
    <w:rsid w:val="00E96A74"/>
    <w:rsid w:val="00E96DDE"/>
    <w:rsid w:val="00E96E64"/>
    <w:rsid w:val="00E96FAD"/>
    <w:rsid w:val="00E972BD"/>
    <w:rsid w:val="00E97819"/>
    <w:rsid w:val="00E97988"/>
    <w:rsid w:val="00E97F42"/>
    <w:rsid w:val="00EA001E"/>
    <w:rsid w:val="00EA08D6"/>
    <w:rsid w:val="00EA0F7C"/>
    <w:rsid w:val="00EA1021"/>
    <w:rsid w:val="00EA105D"/>
    <w:rsid w:val="00EA1619"/>
    <w:rsid w:val="00EA1724"/>
    <w:rsid w:val="00EA1A46"/>
    <w:rsid w:val="00EA1ABF"/>
    <w:rsid w:val="00EA1C09"/>
    <w:rsid w:val="00EA1DFF"/>
    <w:rsid w:val="00EA1E91"/>
    <w:rsid w:val="00EA1EF0"/>
    <w:rsid w:val="00EA203B"/>
    <w:rsid w:val="00EA24E2"/>
    <w:rsid w:val="00EA2A26"/>
    <w:rsid w:val="00EA2C44"/>
    <w:rsid w:val="00EA311C"/>
    <w:rsid w:val="00EA3463"/>
    <w:rsid w:val="00EA3479"/>
    <w:rsid w:val="00EA3533"/>
    <w:rsid w:val="00EA35D2"/>
    <w:rsid w:val="00EA3653"/>
    <w:rsid w:val="00EA38E5"/>
    <w:rsid w:val="00EA39D3"/>
    <w:rsid w:val="00EA3A2B"/>
    <w:rsid w:val="00EA42AC"/>
    <w:rsid w:val="00EA4735"/>
    <w:rsid w:val="00EA49ED"/>
    <w:rsid w:val="00EA4A91"/>
    <w:rsid w:val="00EA4AED"/>
    <w:rsid w:val="00EA4B78"/>
    <w:rsid w:val="00EA51E7"/>
    <w:rsid w:val="00EA536E"/>
    <w:rsid w:val="00EA5555"/>
    <w:rsid w:val="00EA55F2"/>
    <w:rsid w:val="00EA56C2"/>
    <w:rsid w:val="00EA5CCE"/>
    <w:rsid w:val="00EA5D04"/>
    <w:rsid w:val="00EA5D56"/>
    <w:rsid w:val="00EA6102"/>
    <w:rsid w:val="00EA61AA"/>
    <w:rsid w:val="00EA64CE"/>
    <w:rsid w:val="00EA6878"/>
    <w:rsid w:val="00EA68AB"/>
    <w:rsid w:val="00EA6D24"/>
    <w:rsid w:val="00EA6D74"/>
    <w:rsid w:val="00EA6FA6"/>
    <w:rsid w:val="00EA7149"/>
    <w:rsid w:val="00EA767B"/>
    <w:rsid w:val="00EA7CC4"/>
    <w:rsid w:val="00EB011F"/>
    <w:rsid w:val="00EB0870"/>
    <w:rsid w:val="00EB0DD4"/>
    <w:rsid w:val="00EB0EF4"/>
    <w:rsid w:val="00EB0F22"/>
    <w:rsid w:val="00EB1018"/>
    <w:rsid w:val="00EB15C7"/>
    <w:rsid w:val="00EB1B54"/>
    <w:rsid w:val="00EB1D05"/>
    <w:rsid w:val="00EB1FAC"/>
    <w:rsid w:val="00EB2254"/>
    <w:rsid w:val="00EB22BA"/>
    <w:rsid w:val="00EB2546"/>
    <w:rsid w:val="00EB26B2"/>
    <w:rsid w:val="00EB29F4"/>
    <w:rsid w:val="00EB2AE4"/>
    <w:rsid w:val="00EB2C1B"/>
    <w:rsid w:val="00EB2F60"/>
    <w:rsid w:val="00EB3480"/>
    <w:rsid w:val="00EB34A6"/>
    <w:rsid w:val="00EB3524"/>
    <w:rsid w:val="00EB365F"/>
    <w:rsid w:val="00EB39F1"/>
    <w:rsid w:val="00EB431B"/>
    <w:rsid w:val="00EB4400"/>
    <w:rsid w:val="00EB44CB"/>
    <w:rsid w:val="00EB4928"/>
    <w:rsid w:val="00EB4B42"/>
    <w:rsid w:val="00EB4D21"/>
    <w:rsid w:val="00EB4E6E"/>
    <w:rsid w:val="00EB50DB"/>
    <w:rsid w:val="00EB51A7"/>
    <w:rsid w:val="00EB56E5"/>
    <w:rsid w:val="00EB5839"/>
    <w:rsid w:val="00EB587F"/>
    <w:rsid w:val="00EB5EAC"/>
    <w:rsid w:val="00EB655A"/>
    <w:rsid w:val="00EB65A7"/>
    <w:rsid w:val="00EB68A1"/>
    <w:rsid w:val="00EB6AB2"/>
    <w:rsid w:val="00EB6D1B"/>
    <w:rsid w:val="00EB6D24"/>
    <w:rsid w:val="00EB6E6A"/>
    <w:rsid w:val="00EB7A67"/>
    <w:rsid w:val="00EB7B03"/>
    <w:rsid w:val="00EB7F28"/>
    <w:rsid w:val="00EC083E"/>
    <w:rsid w:val="00EC0848"/>
    <w:rsid w:val="00EC0DA1"/>
    <w:rsid w:val="00EC0F0E"/>
    <w:rsid w:val="00EC0F9C"/>
    <w:rsid w:val="00EC101E"/>
    <w:rsid w:val="00EC106D"/>
    <w:rsid w:val="00EC12EB"/>
    <w:rsid w:val="00EC1CBE"/>
    <w:rsid w:val="00EC1D2C"/>
    <w:rsid w:val="00EC2028"/>
    <w:rsid w:val="00EC274C"/>
    <w:rsid w:val="00EC2954"/>
    <w:rsid w:val="00EC2A8F"/>
    <w:rsid w:val="00EC2C62"/>
    <w:rsid w:val="00EC2F56"/>
    <w:rsid w:val="00EC30F9"/>
    <w:rsid w:val="00EC350B"/>
    <w:rsid w:val="00EC3771"/>
    <w:rsid w:val="00EC3EE9"/>
    <w:rsid w:val="00EC4087"/>
    <w:rsid w:val="00EC4378"/>
    <w:rsid w:val="00EC455C"/>
    <w:rsid w:val="00EC459E"/>
    <w:rsid w:val="00EC477C"/>
    <w:rsid w:val="00EC4A77"/>
    <w:rsid w:val="00EC4AEB"/>
    <w:rsid w:val="00EC4BDD"/>
    <w:rsid w:val="00EC4EC7"/>
    <w:rsid w:val="00EC5133"/>
    <w:rsid w:val="00EC51F7"/>
    <w:rsid w:val="00EC5359"/>
    <w:rsid w:val="00EC5398"/>
    <w:rsid w:val="00EC56FD"/>
    <w:rsid w:val="00EC5AD5"/>
    <w:rsid w:val="00EC5B11"/>
    <w:rsid w:val="00EC5E51"/>
    <w:rsid w:val="00EC5E6D"/>
    <w:rsid w:val="00EC5EDD"/>
    <w:rsid w:val="00EC64F3"/>
    <w:rsid w:val="00EC6D99"/>
    <w:rsid w:val="00EC7766"/>
    <w:rsid w:val="00EC781E"/>
    <w:rsid w:val="00EC7851"/>
    <w:rsid w:val="00EC7A77"/>
    <w:rsid w:val="00EC7BAA"/>
    <w:rsid w:val="00ED0096"/>
    <w:rsid w:val="00ED01A2"/>
    <w:rsid w:val="00ED054C"/>
    <w:rsid w:val="00ED079A"/>
    <w:rsid w:val="00ED0B71"/>
    <w:rsid w:val="00ED12A5"/>
    <w:rsid w:val="00ED1466"/>
    <w:rsid w:val="00ED1839"/>
    <w:rsid w:val="00ED1B11"/>
    <w:rsid w:val="00ED1B1C"/>
    <w:rsid w:val="00ED1D47"/>
    <w:rsid w:val="00ED1E2F"/>
    <w:rsid w:val="00ED1EC1"/>
    <w:rsid w:val="00ED1F14"/>
    <w:rsid w:val="00ED1F80"/>
    <w:rsid w:val="00ED2134"/>
    <w:rsid w:val="00ED26C9"/>
    <w:rsid w:val="00ED28E4"/>
    <w:rsid w:val="00ED2A75"/>
    <w:rsid w:val="00ED2E54"/>
    <w:rsid w:val="00ED33C8"/>
    <w:rsid w:val="00ED33DF"/>
    <w:rsid w:val="00ED3467"/>
    <w:rsid w:val="00ED394F"/>
    <w:rsid w:val="00ED39B2"/>
    <w:rsid w:val="00ED3CE2"/>
    <w:rsid w:val="00ED40EA"/>
    <w:rsid w:val="00ED4463"/>
    <w:rsid w:val="00ED44A5"/>
    <w:rsid w:val="00ED450E"/>
    <w:rsid w:val="00ED46D1"/>
    <w:rsid w:val="00ED47E9"/>
    <w:rsid w:val="00ED480E"/>
    <w:rsid w:val="00ED4871"/>
    <w:rsid w:val="00ED4A31"/>
    <w:rsid w:val="00ED4DB1"/>
    <w:rsid w:val="00ED5048"/>
    <w:rsid w:val="00ED53DA"/>
    <w:rsid w:val="00ED541D"/>
    <w:rsid w:val="00ED5ABE"/>
    <w:rsid w:val="00ED5C74"/>
    <w:rsid w:val="00ED6266"/>
    <w:rsid w:val="00ED6658"/>
    <w:rsid w:val="00ED7EC1"/>
    <w:rsid w:val="00ED7FEF"/>
    <w:rsid w:val="00EE0000"/>
    <w:rsid w:val="00EE0382"/>
    <w:rsid w:val="00EE04F3"/>
    <w:rsid w:val="00EE051D"/>
    <w:rsid w:val="00EE0822"/>
    <w:rsid w:val="00EE0935"/>
    <w:rsid w:val="00EE0A75"/>
    <w:rsid w:val="00EE0BA7"/>
    <w:rsid w:val="00EE0BCB"/>
    <w:rsid w:val="00EE0C5F"/>
    <w:rsid w:val="00EE1032"/>
    <w:rsid w:val="00EE104E"/>
    <w:rsid w:val="00EE1079"/>
    <w:rsid w:val="00EE1142"/>
    <w:rsid w:val="00EE136D"/>
    <w:rsid w:val="00EE13CF"/>
    <w:rsid w:val="00EE146B"/>
    <w:rsid w:val="00EE16FC"/>
    <w:rsid w:val="00EE1B66"/>
    <w:rsid w:val="00EE1D25"/>
    <w:rsid w:val="00EE1DA9"/>
    <w:rsid w:val="00EE2173"/>
    <w:rsid w:val="00EE22E0"/>
    <w:rsid w:val="00EE25AD"/>
    <w:rsid w:val="00EE25CF"/>
    <w:rsid w:val="00EE2774"/>
    <w:rsid w:val="00EE278C"/>
    <w:rsid w:val="00EE2B09"/>
    <w:rsid w:val="00EE34B4"/>
    <w:rsid w:val="00EE35C1"/>
    <w:rsid w:val="00EE3BA8"/>
    <w:rsid w:val="00EE3D60"/>
    <w:rsid w:val="00EE42AA"/>
    <w:rsid w:val="00EE4307"/>
    <w:rsid w:val="00EE46D4"/>
    <w:rsid w:val="00EE476E"/>
    <w:rsid w:val="00EE47B3"/>
    <w:rsid w:val="00EE4BFD"/>
    <w:rsid w:val="00EE4C37"/>
    <w:rsid w:val="00EE4F30"/>
    <w:rsid w:val="00EE5040"/>
    <w:rsid w:val="00EE586E"/>
    <w:rsid w:val="00EE5DDA"/>
    <w:rsid w:val="00EE6229"/>
    <w:rsid w:val="00EE66AE"/>
    <w:rsid w:val="00EE6891"/>
    <w:rsid w:val="00EE6C87"/>
    <w:rsid w:val="00EE6F38"/>
    <w:rsid w:val="00EE7222"/>
    <w:rsid w:val="00EE7714"/>
    <w:rsid w:val="00EE7A4C"/>
    <w:rsid w:val="00EE7A9E"/>
    <w:rsid w:val="00EE7F0A"/>
    <w:rsid w:val="00EF0105"/>
    <w:rsid w:val="00EF0161"/>
    <w:rsid w:val="00EF01F8"/>
    <w:rsid w:val="00EF0267"/>
    <w:rsid w:val="00EF04FA"/>
    <w:rsid w:val="00EF0985"/>
    <w:rsid w:val="00EF0AC0"/>
    <w:rsid w:val="00EF0C0A"/>
    <w:rsid w:val="00EF129E"/>
    <w:rsid w:val="00EF177C"/>
    <w:rsid w:val="00EF1817"/>
    <w:rsid w:val="00EF1CD1"/>
    <w:rsid w:val="00EF2105"/>
    <w:rsid w:val="00EF223C"/>
    <w:rsid w:val="00EF2578"/>
    <w:rsid w:val="00EF293B"/>
    <w:rsid w:val="00EF2B40"/>
    <w:rsid w:val="00EF3228"/>
    <w:rsid w:val="00EF34DE"/>
    <w:rsid w:val="00EF35F2"/>
    <w:rsid w:val="00EF3AE4"/>
    <w:rsid w:val="00EF4017"/>
    <w:rsid w:val="00EF41B5"/>
    <w:rsid w:val="00EF4375"/>
    <w:rsid w:val="00EF4EFB"/>
    <w:rsid w:val="00EF5031"/>
    <w:rsid w:val="00EF5165"/>
    <w:rsid w:val="00EF52DB"/>
    <w:rsid w:val="00EF532C"/>
    <w:rsid w:val="00EF5427"/>
    <w:rsid w:val="00EF546B"/>
    <w:rsid w:val="00EF5639"/>
    <w:rsid w:val="00EF59CA"/>
    <w:rsid w:val="00EF5CFC"/>
    <w:rsid w:val="00EF5D89"/>
    <w:rsid w:val="00EF5FE2"/>
    <w:rsid w:val="00EF6019"/>
    <w:rsid w:val="00EF6096"/>
    <w:rsid w:val="00EF62CD"/>
    <w:rsid w:val="00EF643A"/>
    <w:rsid w:val="00EF64AD"/>
    <w:rsid w:val="00EF68C4"/>
    <w:rsid w:val="00EF6B98"/>
    <w:rsid w:val="00EF6BE7"/>
    <w:rsid w:val="00EF7061"/>
    <w:rsid w:val="00EF77EC"/>
    <w:rsid w:val="00EF79FC"/>
    <w:rsid w:val="00EF7B18"/>
    <w:rsid w:val="00EF7DA8"/>
    <w:rsid w:val="00EF7F02"/>
    <w:rsid w:val="00F00086"/>
    <w:rsid w:val="00F00333"/>
    <w:rsid w:val="00F0052F"/>
    <w:rsid w:val="00F0060A"/>
    <w:rsid w:val="00F00823"/>
    <w:rsid w:val="00F00A5B"/>
    <w:rsid w:val="00F00CD5"/>
    <w:rsid w:val="00F01290"/>
    <w:rsid w:val="00F012F4"/>
    <w:rsid w:val="00F016AF"/>
    <w:rsid w:val="00F01C30"/>
    <w:rsid w:val="00F0216D"/>
    <w:rsid w:val="00F02501"/>
    <w:rsid w:val="00F026D3"/>
    <w:rsid w:val="00F02AF1"/>
    <w:rsid w:val="00F02C0A"/>
    <w:rsid w:val="00F02D75"/>
    <w:rsid w:val="00F02E4F"/>
    <w:rsid w:val="00F02F79"/>
    <w:rsid w:val="00F03332"/>
    <w:rsid w:val="00F03B2C"/>
    <w:rsid w:val="00F03D81"/>
    <w:rsid w:val="00F03F9D"/>
    <w:rsid w:val="00F04245"/>
    <w:rsid w:val="00F043FA"/>
    <w:rsid w:val="00F04492"/>
    <w:rsid w:val="00F0495F"/>
    <w:rsid w:val="00F049A1"/>
    <w:rsid w:val="00F04C0D"/>
    <w:rsid w:val="00F05281"/>
    <w:rsid w:val="00F05431"/>
    <w:rsid w:val="00F05635"/>
    <w:rsid w:val="00F056EC"/>
    <w:rsid w:val="00F05864"/>
    <w:rsid w:val="00F05C95"/>
    <w:rsid w:val="00F05CE5"/>
    <w:rsid w:val="00F05F09"/>
    <w:rsid w:val="00F0659D"/>
    <w:rsid w:val="00F066E1"/>
    <w:rsid w:val="00F068F8"/>
    <w:rsid w:val="00F06A57"/>
    <w:rsid w:val="00F06D4D"/>
    <w:rsid w:val="00F073DA"/>
    <w:rsid w:val="00F07797"/>
    <w:rsid w:val="00F0787E"/>
    <w:rsid w:val="00F07AC9"/>
    <w:rsid w:val="00F07E8E"/>
    <w:rsid w:val="00F10050"/>
    <w:rsid w:val="00F10324"/>
    <w:rsid w:val="00F10771"/>
    <w:rsid w:val="00F10B14"/>
    <w:rsid w:val="00F10D41"/>
    <w:rsid w:val="00F11350"/>
    <w:rsid w:val="00F114EC"/>
    <w:rsid w:val="00F11F68"/>
    <w:rsid w:val="00F1218E"/>
    <w:rsid w:val="00F12436"/>
    <w:rsid w:val="00F12528"/>
    <w:rsid w:val="00F126D7"/>
    <w:rsid w:val="00F12E4D"/>
    <w:rsid w:val="00F13131"/>
    <w:rsid w:val="00F132F1"/>
    <w:rsid w:val="00F137D4"/>
    <w:rsid w:val="00F13BFE"/>
    <w:rsid w:val="00F13D6A"/>
    <w:rsid w:val="00F13F85"/>
    <w:rsid w:val="00F13FBF"/>
    <w:rsid w:val="00F140D5"/>
    <w:rsid w:val="00F140E7"/>
    <w:rsid w:val="00F14497"/>
    <w:rsid w:val="00F144AC"/>
    <w:rsid w:val="00F14786"/>
    <w:rsid w:val="00F14A36"/>
    <w:rsid w:val="00F14BAA"/>
    <w:rsid w:val="00F14D42"/>
    <w:rsid w:val="00F15121"/>
    <w:rsid w:val="00F151EF"/>
    <w:rsid w:val="00F152E1"/>
    <w:rsid w:val="00F1549E"/>
    <w:rsid w:val="00F15550"/>
    <w:rsid w:val="00F15842"/>
    <w:rsid w:val="00F15D1B"/>
    <w:rsid w:val="00F15DB7"/>
    <w:rsid w:val="00F1644F"/>
    <w:rsid w:val="00F16AB7"/>
    <w:rsid w:val="00F16CC6"/>
    <w:rsid w:val="00F17881"/>
    <w:rsid w:val="00F179FB"/>
    <w:rsid w:val="00F17A68"/>
    <w:rsid w:val="00F17CDE"/>
    <w:rsid w:val="00F17E1B"/>
    <w:rsid w:val="00F2063E"/>
    <w:rsid w:val="00F20C50"/>
    <w:rsid w:val="00F20E42"/>
    <w:rsid w:val="00F211F5"/>
    <w:rsid w:val="00F2128E"/>
    <w:rsid w:val="00F2145D"/>
    <w:rsid w:val="00F218C6"/>
    <w:rsid w:val="00F218EA"/>
    <w:rsid w:val="00F21BFB"/>
    <w:rsid w:val="00F21D78"/>
    <w:rsid w:val="00F221E5"/>
    <w:rsid w:val="00F2247F"/>
    <w:rsid w:val="00F2258B"/>
    <w:rsid w:val="00F225F0"/>
    <w:rsid w:val="00F22BC4"/>
    <w:rsid w:val="00F2307C"/>
    <w:rsid w:val="00F2396F"/>
    <w:rsid w:val="00F23FAB"/>
    <w:rsid w:val="00F24526"/>
    <w:rsid w:val="00F24667"/>
    <w:rsid w:val="00F24AE3"/>
    <w:rsid w:val="00F24ECE"/>
    <w:rsid w:val="00F251CF"/>
    <w:rsid w:val="00F254B2"/>
    <w:rsid w:val="00F258E0"/>
    <w:rsid w:val="00F25CE9"/>
    <w:rsid w:val="00F261DB"/>
    <w:rsid w:val="00F2665F"/>
    <w:rsid w:val="00F26C65"/>
    <w:rsid w:val="00F26DCE"/>
    <w:rsid w:val="00F26FDD"/>
    <w:rsid w:val="00F276AA"/>
    <w:rsid w:val="00F276B9"/>
    <w:rsid w:val="00F27BCF"/>
    <w:rsid w:val="00F27DE5"/>
    <w:rsid w:val="00F30033"/>
    <w:rsid w:val="00F30252"/>
    <w:rsid w:val="00F303C6"/>
    <w:rsid w:val="00F305AE"/>
    <w:rsid w:val="00F3068B"/>
    <w:rsid w:val="00F306C1"/>
    <w:rsid w:val="00F3074C"/>
    <w:rsid w:val="00F30B05"/>
    <w:rsid w:val="00F30EAB"/>
    <w:rsid w:val="00F30FF5"/>
    <w:rsid w:val="00F31715"/>
    <w:rsid w:val="00F3190A"/>
    <w:rsid w:val="00F31F40"/>
    <w:rsid w:val="00F32034"/>
    <w:rsid w:val="00F32068"/>
    <w:rsid w:val="00F32450"/>
    <w:rsid w:val="00F32556"/>
    <w:rsid w:val="00F32884"/>
    <w:rsid w:val="00F32A32"/>
    <w:rsid w:val="00F3304D"/>
    <w:rsid w:val="00F331D2"/>
    <w:rsid w:val="00F3356A"/>
    <w:rsid w:val="00F33671"/>
    <w:rsid w:val="00F337B5"/>
    <w:rsid w:val="00F33B42"/>
    <w:rsid w:val="00F33C47"/>
    <w:rsid w:val="00F33D4A"/>
    <w:rsid w:val="00F341A8"/>
    <w:rsid w:val="00F34447"/>
    <w:rsid w:val="00F34C7C"/>
    <w:rsid w:val="00F34CF4"/>
    <w:rsid w:val="00F34D00"/>
    <w:rsid w:val="00F3507D"/>
    <w:rsid w:val="00F3537E"/>
    <w:rsid w:val="00F354D1"/>
    <w:rsid w:val="00F35715"/>
    <w:rsid w:val="00F35751"/>
    <w:rsid w:val="00F35753"/>
    <w:rsid w:val="00F35785"/>
    <w:rsid w:val="00F35944"/>
    <w:rsid w:val="00F35976"/>
    <w:rsid w:val="00F359F5"/>
    <w:rsid w:val="00F35F2A"/>
    <w:rsid w:val="00F362DC"/>
    <w:rsid w:val="00F363AC"/>
    <w:rsid w:val="00F365C7"/>
    <w:rsid w:val="00F36A72"/>
    <w:rsid w:val="00F36BEE"/>
    <w:rsid w:val="00F36CA2"/>
    <w:rsid w:val="00F36DC1"/>
    <w:rsid w:val="00F36E9A"/>
    <w:rsid w:val="00F3706A"/>
    <w:rsid w:val="00F373B6"/>
    <w:rsid w:val="00F374F6"/>
    <w:rsid w:val="00F37825"/>
    <w:rsid w:val="00F37D26"/>
    <w:rsid w:val="00F4035D"/>
    <w:rsid w:val="00F40537"/>
    <w:rsid w:val="00F405D3"/>
    <w:rsid w:val="00F40BAC"/>
    <w:rsid w:val="00F40BDF"/>
    <w:rsid w:val="00F40D46"/>
    <w:rsid w:val="00F40F90"/>
    <w:rsid w:val="00F40FD1"/>
    <w:rsid w:val="00F40FFB"/>
    <w:rsid w:val="00F4174D"/>
    <w:rsid w:val="00F4181C"/>
    <w:rsid w:val="00F41973"/>
    <w:rsid w:val="00F41B9C"/>
    <w:rsid w:val="00F41D03"/>
    <w:rsid w:val="00F41F99"/>
    <w:rsid w:val="00F428C0"/>
    <w:rsid w:val="00F42A4D"/>
    <w:rsid w:val="00F42B94"/>
    <w:rsid w:val="00F42BA8"/>
    <w:rsid w:val="00F42D54"/>
    <w:rsid w:val="00F4354C"/>
    <w:rsid w:val="00F43AA0"/>
    <w:rsid w:val="00F43F2F"/>
    <w:rsid w:val="00F440AA"/>
    <w:rsid w:val="00F440B7"/>
    <w:rsid w:val="00F44589"/>
    <w:rsid w:val="00F44845"/>
    <w:rsid w:val="00F44ADC"/>
    <w:rsid w:val="00F44B0B"/>
    <w:rsid w:val="00F44EC4"/>
    <w:rsid w:val="00F44ECB"/>
    <w:rsid w:val="00F44F97"/>
    <w:rsid w:val="00F44FAC"/>
    <w:rsid w:val="00F4551F"/>
    <w:rsid w:val="00F464B8"/>
    <w:rsid w:val="00F464E9"/>
    <w:rsid w:val="00F46567"/>
    <w:rsid w:val="00F469AB"/>
    <w:rsid w:val="00F46B2B"/>
    <w:rsid w:val="00F46F05"/>
    <w:rsid w:val="00F46F56"/>
    <w:rsid w:val="00F471A2"/>
    <w:rsid w:val="00F475A8"/>
    <w:rsid w:val="00F478FE"/>
    <w:rsid w:val="00F50335"/>
    <w:rsid w:val="00F505F0"/>
    <w:rsid w:val="00F5067C"/>
    <w:rsid w:val="00F50DF7"/>
    <w:rsid w:val="00F50E44"/>
    <w:rsid w:val="00F50FD3"/>
    <w:rsid w:val="00F515CD"/>
    <w:rsid w:val="00F516F6"/>
    <w:rsid w:val="00F520A9"/>
    <w:rsid w:val="00F522FA"/>
    <w:rsid w:val="00F52587"/>
    <w:rsid w:val="00F52611"/>
    <w:rsid w:val="00F5298A"/>
    <w:rsid w:val="00F52AAB"/>
    <w:rsid w:val="00F53921"/>
    <w:rsid w:val="00F53B4F"/>
    <w:rsid w:val="00F53C18"/>
    <w:rsid w:val="00F54182"/>
    <w:rsid w:val="00F542C6"/>
    <w:rsid w:val="00F547DC"/>
    <w:rsid w:val="00F547F1"/>
    <w:rsid w:val="00F54BC8"/>
    <w:rsid w:val="00F54E6A"/>
    <w:rsid w:val="00F54F0B"/>
    <w:rsid w:val="00F555F9"/>
    <w:rsid w:val="00F558D0"/>
    <w:rsid w:val="00F559F3"/>
    <w:rsid w:val="00F55A36"/>
    <w:rsid w:val="00F55A67"/>
    <w:rsid w:val="00F55F7B"/>
    <w:rsid w:val="00F56522"/>
    <w:rsid w:val="00F56D6A"/>
    <w:rsid w:val="00F56DC8"/>
    <w:rsid w:val="00F571DA"/>
    <w:rsid w:val="00F579E8"/>
    <w:rsid w:val="00F601AA"/>
    <w:rsid w:val="00F602A0"/>
    <w:rsid w:val="00F6056A"/>
    <w:rsid w:val="00F6071E"/>
    <w:rsid w:val="00F607BD"/>
    <w:rsid w:val="00F6098D"/>
    <w:rsid w:val="00F60CD0"/>
    <w:rsid w:val="00F61132"/>
    <w:rsid w:val="00F614A3"/>
    <w:rsid w:val="00F6182D"/>
    <w:rsid w:val="00F619A9"/>
    <w:rsid w:val="00F61DAC"/>
    <w:rsid w:val="00F61E83"/>
    <w:rsid w:val="00F61EF9"/>
    <w:rsid w:val="00F62084"/>
    <w:rsid w:val="00F621DF"/>
    <w:rsid w:val="00F624B2"/>
    <w:rsid w:val="00F62550"/>
    <w:rsid w:val="00F62629"/>
    <w:rsid w:val="00F626F9"/>
    <w:rsid w:val="00F62959"/>
    <w:rsid w:val="00F62FE0"/>
    <w:rsid w:val="00F635B1"/>
    <w:rsid w:val="00F635E7"/>
    <w:rsid w:val="00F6383F"/>
    <w:rsid w:val="00F639A4"/>
    <w:rsid w:val="00F63FB0"/>
    <w:rsid w:val="00F64272"/>
    <w:rsid w:val="00F64FAD"/>
    <w:rsid w:val="00F64FDA"/>
    <w:rsid w:val="00F6507E"/>
    <w:rsid w:val="00F650C5"/>
    <w:rsid w:val="00F6514D"/>
    <w:rsid w:val="00F653AB"/>
    <w:rsid w:val="00F66099"/>
    <w:rsid w:val="00F661FC"/>
    <w:rsid w:val="00F66440"/>
    <w:rsid w:val="00F6647B"/>
    <w:rsid w:val="00F665C0"/>
    <w:rsid w:val="00F668F5"/>
    <w:rsid w:val="00F669F2"/>
    <w:rsid w:val="00F66E96"/>
    <w:rsid w:val="00F67233"/>
    <w:rsid w:val="00F67774"/>
    <w:rsid w:val="00F67CDF"/>
    <w:rsid w:val="00F67E4F"/>
    <w:rsid w:val="00F67EF3"/>
    <w:rsid w:val="00F70544"/>
    <w:rsid w:val="00F7060D"/>
    <w:rsid w:val="00F70710"/>
    <w:rsid w:val="00F7086D"/>
    <w:rsid w:val="00F7099D"/>
    <w:rsid w:val="00F70B2F"/>
    <w:rsid w:val="00F70E72"/>
    <w:rsid w:val="00F70E95"/>
    <w:rsid w:val="00F71455"/>
    <w:rsid w:val="00F71602"/>
    <w:rsid w:val="00F71726"/>
    <w:rsid w:val="00F71761"/>
    <w:rsid w:val="00F718B5"/>
    <w:rsid w:val="00F71B59"/>
    <w:rsid w:val="00F71C96"/>
    <w:rsid w:val="00F721AB"/>
    <w:rsid w:val="00F721F3"/>
    <w:rsid w:val="00F72355"/>
    <w:rsid w:val="00F723F9"/>
    <w:rsid w:val="00F724DC"/>
    <w:rsid w:val="00F72688"/>
    <w:rsid w:val="00F72854"/>
    <w:rsid w:val="00F72982"/>
    <w:rsid w:val="00F72C88"/>
    <w:rsid w:val="00F72DFB"/>
    <w:rsid w:val="00F733A2"/>
    <w:rsid w:val="00F735B2"/>
    <w:rsid w:val="00F73D45"/>
    <w:rsid w:val="00F73E05"/>
    <w:rsid w:val="00F73E65"/>
    <w:rsid w:val="00F74029"/>
    <w:rsid w:val="00F741B8"/>
    <w:rsid w:val="00F7443E"/>
    <w:rsid w:val="00F7468B"/>
    <w:rsid w:val="00F74A1C"/>
    <w:rsid w:val="00F74D4D"/>
    <w:rsid w:val="00F74E42"/>
    <w:rsid w:val="00F74EBE"/>
    <w:rsid w:val="00F74F95"/>
    <w:rsid w:val="00F7572D"/>
    <w:rsid w:val="00F75AE4"/>
    <w:rsid w:val="00F76467"/>
    <w:rsid w:val="00F764A0"/>
    <w:rsid w:val="00F764CD"/>
    <w:rsid w:val="00F765EE"/>
    <w:rsid w:val="00F7698C"/>
    <w:rsid w:val="00F76E04"/>
    <w:rsid w:val="00F7713B"/>
    <w:rsid w:val="00F77208"/>
    <w:rsid w:val="00F77594"/>
    <w:rsid w:val="00F77797"/>
    <w:rsid w:val="00F77A3F"/>
    <w:rsid w:val="00F801C3"/>
    <w:rsid w:val="00F802A0"/>
    <w:rsid w:val="00F8032E"/>
    <w:rsid w:val="00F806B1"/>
    <w:rsid w:val="00F807A5"/>
    <w:rsid w:val="00F80934"/>
    <w:rsid w:val="00F80C27"/>
    <w:rsid w:val="00F80EE5"/>
    <w:rsid w:val="00F811B4"/>
    <w:rsid w:val="00F813E1"/>
    <w:rsid w:val="00F814C3"/>
    <w:rsid w:val="00F81994"/>
    <w:rsid w:val="00F81A7D"/>
    <w:rsid w:val="00F81B03"/>
    <w:rsid w:val="00F821A1"/>
    <w:rsid w:val="00F82460"/>
    <w:rsid w:val="00F83331"/>
    <w:rsid w:val="00F834C7"/>
    <w:rsid w:val="00F8367D"/>
    <w:rsid w:val="00F84176"/>
    <w:rsid w:val="00F84587"/>
    <w:rsid w:val="00F845C7"/>
    <w:rsid w:val="00F84794"/>
    <w:rsid w:val="00F848FA"/>
    <w:rsid w:val="00F84947"/>
    <w:rsid w:val="00F84981"/>
    <w:rsid w:val="00F84C13"/>
    <w:rsid w:val="00F84D00"/>
    <w:rsid w:val="00F84D23"/>
    <w:rsid w:val="00F853FA"/>
    <w:rsid w:val="00F85624"/>
    <w:rsid w:val="00F86271"/>
    <w:rsid w:val="00F86952"/>
    <w:rsid w:val="00F86C99"/>
    <w:rsid w:val="00F86D50"/>
    <w:rsid w:val="00F86DE7"/>
    <w:rsid w:val="00F86EB5"/>
    <w:rsid w:val="00F86F10"/>
    <w:rsid w:val="00F87956"/>
    <w:rsid w:val="00F87AB7"/>
    <w:rsid w:val="00F87B00"/>
    <w:rsid w:val="00F87CB8"/>
    <w:rsid w:val="00F87D3A"/>
    <w:rsid w:val="00F87DCD"/>
    <w:rsid w:val="00F87E53"/>
    <w:rsid w:val="00F902E7"/>
    <w:rsid w:val="00F90307"/>
    <w:rsid w:val="00F904C3"/>
    <w:rsid w:val="00F9076C"/>
    <w:rsid w:val="00F90ADD"/>
    <w:rsid w:val="00F90AF1"/>
    <w:rsid w:val="00F90B17"/>
    <w:rsid w:val="00F91651"/>
    <w:rsid w:val="00F918AB"/>
    <w:rsid w:val="00F918E3"/>
    <w:rsid w:val="00F9191B"/>
    <w:rsid w:val="00F919D8"/>
    <w:rsid w:val="00F91BC6"/>
    <w:rsid w:val="00F91BCA"/>
    <w:rsid w:val="00F91CF6"/>
    <w:rsid w:val="00F91EE1"/>
    <w:rsid w:val="00F9201C"/>
    <w:rsid w:val="00F92462"/>
    <w:rsid w:val="00F927CD"/>
    <w:rsid w:val="00F92A8C"/>
    <w:rsid w:val="00F92B83"/>
    <w:rsid w:val="00F9315A"/>
    <w:rsid w:val="00F9340F"/>
    <w:rsid w:val="00F93983"/>
    <w:rsid w:val="00F93C1F"/>
    <w:rsid w:val="00F93D21"/>
    <w:rsid w:val="00F93F55"/>
    <w:rsid w:val="00F93F66"/>
    <w:rsid w:val="00F94129"/>
    <w:rsid w:val="00F942F4"/>
    <w:rsid w:val="00F949F5"/>
    <w:rsid w:val="00F95003"/>
    <w:rsid w:val="00F950EE"/>
    <w:rsid w:val="00F95234"/>
    <w:rsid w:val="00F953B0"/>
    <w:rsid w:val="00F95448"/>
    <w:rsid w:val="00F9562F"/>
    <w:rsid w:val="00F95B41"/>
    <w:rsid w:val="00F95C07"/>
    <w:rsid w:val="00F95D10"/>
    <w:rsid w:val="00F95E23"/>
    <w:rsid w:val="00F95EE3"/>
    <w:rsid w:val="00F96227"/>
    <w:rsid w:val="00F96250"/>
    <w:rsid w:val="00F96512"/>
    <w:rsid w:val="00F965D6"/>
    <w:rsid w:val="00F96684"/>
    <w:rsid w:val="00F96A14"/>
    <w:rsid w:val="00F96E6C"/>
    <w:rsid w:val="00F97067"/>
    <w:rsid w:val="00F971BA"/>
    <w:rsid w:val="00F972EF"/>
    <w:rsid w:val="00F97453"/>
    <w:rsid w:val="00F978AA"/>
    <w:rsid w:val="00F97C52"/>
    <w:rsid w:val="00F97F40"/>
    <w:rsid w:val="00F97FAA"/>
    <w:rsid w:val="00FA01B9"/>
    <w:rsid w:val="00FA098F"/>
    <w:rsid w:val="00FA0AB0"/>
    <w:rsid w:val="00FA0F39"/>
    <w:rsid w:val="00FA10FE"/>
    <w:rsid w:val="00FA12A5"/>
    <w:rsid w:val="00FA1414"/>
    <w:rsid w:val="00FA162F"/>
    <w:rsid w:val="00FA1784"/>
    <w:rsid w:val="00FA1971"/>
    <w:rsid w:val="00FA1AC5"/>
    <w:rsid w:val="00FA1B5D"/>
    <w:rsid w:val="00FA1E2D"/>
    <w:rsid w:val="00FA1F7D"/>
    <w:rsid w:val="00FA1FDA"/>
    <w:rsid w:val="00FA2067"/>
    <w:rsid w:val="00FA23A0"/>
    <w:rsid w:val="00FA2559"/>
    <w:rsid w:val="00FA2841"/>
    <w:rsid w:val="00FA2A0A"/>
    <w:rsid w:val="00FA2C2D"/>
    <w:rsid w:val="00FA2F73"/>
    <w:rsid w:val="00FA317E"/>
    <w:rsid w:val="00FA3490"/>
    <w:rsid w:val="00FA351A"/>
    <w:rsid w:val="00FA3789"/>
    <w:rsid w:val="00FA382B"/>
    <w:rsid w:val="00FA38DF"/>
    <w:rsid w:val="00FA3971"/>
    <w:rsid w:val="00FA39B4"/>
    <w:rsid w:val="00FA3B56"/>
    <w:rsid w:val="00FA40A4"/>
    <w:rsid w:val="00FA449F"/>
    <w:rsid w:val="00FA4BCA"/>
    <w:rsid w:val="00FA4C0B"/>
    <w:rsid w:val="00FA4DC9"/>
    <w:rsid w:val="00FA4FB4"/>
    <w:rsid w:val="00FA5162"/>
    <w:rsid w:val="00FA539D"/>
    <w:rsid w:val="00FA5DA2"/>
    <w:rsid w:val="00FA5DF5"/>
    <w:rsid w:val="00FA5FAB"/>
    <w:rsid w:val="00FA60AE"/>
    <w:rsid w:val="00FA6B0C"/>
    <w:rsid w:val="00FA6BF1"/>
    <w:rsid w:val="00FA6F1B"/>
    <w:rsid w:val="00FA761A"/>
    <w:rsid w:val="00FA7A64"/>
    <w:rsid w:val="00FA7B71"/>
    <w:rsid w:val="00FA7E12"/>
    <w:rsid w:val="00FB002C"/>
    <w:rsid w:val="00FB016B"/>
    <w:rsid w:val="00FB0830"/>
    <w:rsid w:val="00FB0982"/>
    <w:rsid w:val="00FB0A35"/>
    <w:rsid w:val="00FB0C04"/>
    <w:rsid w:val="00FB0C4D"/>
    <w:rsid w:val="00FB0F66"/>
    <w:rsid w:val="00FB0F8E"/>
    <w:rsid w:val="00FB12AD"/>
    <w:rsid w:val="00FB12CE"/>
    <w:rsid w:val="00FB133B"/>
    <w:rsid w:val="00FB15F9"/>
    <w:rsid w:val="00FB15FA"/>
    <w:rsid w:val="00FB165D"/>
    <w:rsid w:val="00FB183F"/>
    <w:rsid w:val="00FB1A10"/>
    <w:rsid w:val="00FB243F"/>
    <w:rsid w:val="00FB25EB"/>
    <w:rsid w:val="00FB27A9"/>
    <w:rsid w:val="00FB2982"/>
    <w:rsid w:val="00FB2E4A"/>
    <w:rsid w:val="00FB2FEB"/>
    <w:rsid w:val="00FB33EF"/>
    <w:rsid w:val="00FB3B47"/>
    <w:rsid w:val="00FB3D5B"/>
    <w:rsid w:val="00FB3E83"/>
    <w:rsid w:val="00FB459B"/>
    <w:rsid w:val="00FB45B6"/>
    <w:rsid w:val="00FB4BB2"/>
    <w:rsid w:val="00FB4FF3"/>
    <w:rsid w:val="00FB50CD"/>
    <w:rsid w:val="00FB52A0"/>
    <w:rsid w:val="00FB555A"/>
    <w:rsid w:val="00FB555E"/>
    <w:rsid w:val="00FB5840"/>
    <w:rsid w:val="00FB5C01"/>
    <w:rsid w:val="00FB5CEF"/>
    <w:rsid w:val="00FB6875"/>
    <w:rsid w:val="00FB6925"/>
    <w:rsid w:val="00FB6A98"/>
    <w:rsid w:val="00FB6C93"/>
    <w:rsid w:val="00FB6D95"/>
    <w:rsid w:val="00FB732F"/>
    <w:rsid w:val="00FB7EB2"/>
    <w:rsid w:val="00FC017F"/>
    <w:rsid w:val="00FC020A"/>
    <w:rsid w:val="00FC05DF"/>
    <w:rsid w:val="00FC0D0D"/>
    <w:rsid w:val="00FC0D22"/>
    <w:rsid w:val="00FC0E81"/>
    <w:rsid w:val="00FC1644"/>
    <w:rsid w:val="00FC1859"/>
    <w:rsid w:val="00FC1959"/>
    <w:rsid w:val="00FC1E4C"/>
    <w:rsid w:val="00FC1F94"/>
    <w:rsid w:val="00FC2176"/>
    <w:rsid w:val="00FC2D13"/>
    <w:rsid w:val="00FC3056"/>
    <w:rsid w:val="00FC3646"/>
    <w:rsid w:val="00FC3963"/>
    <w:rsid w:val="00FC3A57"/>
    <w:rsid w:val="00FC3CF9"/>
    <w:rsid w:val="00FC3DC8"/>
    <w:rsid w:val="00FC437B"/>
    <w:rsid w:val="00FC44B7"/>
    <w:rsid w:val="00FC4506"/>
    <w:rsid w:val="00FC4D6B"/>
    <w:rsid w:val="00FC4F44"/>
    <w:rsid w:val="00FC5246"/>
    <w:rsid w:val="00FC5377"/>
    <w:rsid w:val="00FC5562"/>
    <w:rsid w:val="00FC56BF"/>
    <w:rsid w:val="00FC5D0B"/>
    <w:rsid w:val="00FC6060"/>
    <w:rsid w:val="00FC644A"/>
    <w:rsid w:val="00FC6503"/>
    <w:rsid w:val="00FC655C"/>
    <w:rsid w:val="00FC66E0"/>
    <w:rsid w:val="00FC6B69"/>
    <w:rsid w:val="00FC6C06"/>
    <w:rsid w:val="00FC6FCA"/>
    <w:rsid w:val="00FC7023"/>
    <w:rsid w:val="00FC716F"/>
    <w:rsid w:val="00FC77A5"/>
    <w:rsid w:val="00FC7AAB"/>
    <w:rsid w:val="00FC7C23"/>
    <w:rsid w:val="00FC7C44"/>
    <w:rsid w:val="00FC7FB1"/>
    <w:rsid w:val="00FD0041"/>
    <w:rsid w:val="00FD0342"/>
    <w:rsid w:val="00FD051E"/>
    <w:rsid w:val="00FD06F9"/>
    <w:rsid w:val="00FD0BA7"/>
    <w:rsid w:val="00FD0C14"/>
    <w:rsid w:val="00FD1175"/>
    <w:rsid w:val="00FD128E"/>
    <w:rsid w:val="00FD1645"/>
    <w:rsid w:val="00FD1723"/>
    <w:rsid w:val="00FD188D"/>
    <w:rsid w:val="00FD1B27"/>
    <w:rsid w:val="00FD1BEA"/>
    <w:rsid w:val="00FD1DCD"/>
    <w:rsid w:val="00FD1E5A"/>
    <w:rsid w:val="00FD2031"/>
    <w:rsid w:val="00FD205F"/>
    <w:rsid w:val="00FD24E4"/>
    <w:rsid w:val="00FD24F8"/>
    <w:rsid w:val="00FD2579"/>
    <w:rsid w:val="00FD27AE"/>
    <w:rsid w:val="00FD28F0"/>
    <w:rsid w:val="00FD2F6D"/>
    <w:rsid w:val="00FD31CA"/>
    <w:rsid w:val="00FD322B"/>
    <w:rsid w:val="00FD3376"/>
    <w:rsid w:val="00FD3B2A"/>
    <w:rsid w:val="00FD3B48"/>
    <w:rsid w:val="00FD4317"/>
    <w:rsid w:val="00FD4A61"/>
    <w:rsid w:val="00FD4FC1"/>
    <w:rsid w:val="00FD52C6"/>
    <w:rsid w:val="00FD553B"/>
    <w:rsid w:val="00FD560E"/>
    <w:rsid w:val="00FD5765"/>
    <w:rsid w:val="00FD58CD"/>
    <w:rsid w:val="00FD5BBE"/>
    <w:rsid w:val="00FD5D1A"/>
    <w:rsid w:val="00FD5D21"/>
    <w:rsid w:val="00FD5D83"/>
    <w:rsid w:val="00FD5E13"/>
    <w:rsid w:val="00FD5E65"/>
    <w:rsid w:val="00FD5E79"/>
    <w:rsid w:val="00FD61F3"/>
    <w:rsid w:val="00FD6216"/>
    <w:rsid w:val="00FD6274"/>
    <w:rsid w:val="00FD66DE"/>
    <w:rsid w:val="00FD6789"/>
    <w:rsid w:val="00FD690A"/>
    <w:rsid w:val="00FD6A8E"/>
    <w:rsid w:val="00FD6CDE"/>
    <w:rsid w:val="00FD6D2E"/>
    <w:rsid w:val="00FD6DF0"/>
    <w:rsid w:val="00FD6E48"/>
    <w:rsid w:val="00FD6F28"/>
    <w:rsid w:val="00FD73A1"/>
    <w:rsid w:val="00FD758A"/>
    <w:rsid w:val="00FD7702"/>
    <w:rsid w:val="00FD7D4E"/>
    <w:rsid w:val="00FD7D84"/>
    <w:rsid w:val="00FE0190"/>
    <w:rsid w:val="00FE0192"/>
    <w:rsid w:val="00FE02EC"/>
    <w:rsid w:val="00FE043C"/>
    <w:rsid w:val="00FE0EAB"/>
    <w:rsid w:val="00FE159E"/>
    <w:rsid w:val="00FE1770"/>
    <w:rsid w:val="00FE1AA0"/>
    <w:rsid w:val="00FE1B22"/>
    <w:rsid w:val="00FE1F4A"/>
    <w:rsid w:val="00FE22CF"/>
    <w:rsid w:val="00FE2648"/>
    <w:rsid w:val="00FE29FF"/>
    <w:rsid w:val="00FE2C18"/>
    <w:rsid w:val="00FE2CB3"/>
    <w:rsid w:val="00FE2D3C"/>
    <w:rsid w:val="00FE2D5B"/>
    <w:rsid w:val="00FE2D84"/>
    <w:rsid w:val="00FE2E04"/>
    <w:rsid w:val="00FE2F57"/>
    <w:rsid w:val="00FE31EE"/>
    <w:rsid w:val="00FE32B8"/>
    <w:rsid w:val="00FE34E2"/>
    <w:rsid w:val="00FE37F0"/>
    <w:rsid w:val="00FE3B8E"/>
    <w:rsid w:val="00FE3CD9"/>
    <w:rsid w:val="00FE3DDF"/>
    <w:rsid w:val="00FE3E1F"/>
    <w:rsid w:val="00FE45D8"/>
    <w:rsid w:val="00FE4A56"/>
    <w:rsid w:val="00FE4B85"/>
    <w:rsid w:val="00FE5130"/>
    <w:rsid w:val="00FE54E1"/>
    <w:rsid w:val="00FE57C7"/>
    <w:rsid w:val="00FE5D37"/>
    <w:rsid w:val="00FE5ECD"/>
    <w:rsid w:val="00FE5F22"/>
    <w:rsid w:val="00FE634E"/>
    <w:rsid w:val="00FE674C"/>
    <w:rsid w:val="00FE6919"/>
    <w:rsid w:val="00FE7049"/>
    <w:rsid w:val="00FE721E"/>
    <w:rsid w:val="00FE7513"/>
    <w:rsid w:val="00FE76D3"/>
    <w:rsid w:val="00FE7D68"/>
    <w:rsid w:val="00FE7F96"/>
    <w:rsid w:val="00FF0089"/>
    <w:rsid w:val="00FF02BB"/>
    <w:rsid w:val="00FF0527"/>
    <w:rsid w:val="00FF0941"/>
    <w:rsid w:val="00FF0D9B"/>
    <w:rsid w:val="00FF102D"/>
    <w:rsid w:val="00FF150A"/>
    <w:rsid w:val="00FF16F9"/>
    <w:rsid w:val="00FF1796"/>
    <w:rsid w:val="00FF20F7"/>
    <w:rsid w:val="00FF2718"/>
    <w:rsid w:val="00FF2882"/>
    <w:rsid w:val="00FF2B94"/>
    <w:rsid w:val="00FF2CD2"/>
    <w:rsid w:val="00FF2E6B"/>
    <w:rsid w:val="00FF2E90"/>
    <w:rsid w:val="00FF3505"/>
    <w:rsid w:val="00FF37A6"/>
    <w:rsid w:val="00FF3FA5"/>
    <w:rsid w:val="00FF4763"/>
    <w:rsid w:val="00FF4B16"/>
    <w:rsid w:val="00FF4CB2"/>
    <w:rsid w:val="00FF4DFC"/>
    <w:rsid w:val="00FF523B"/>
    <w:rsid w:val="00FF52AD"/>
    <w:rsid w:val="00FF5934"/>
    <w:rsid w:val="00FF5A4E"/>
    <w:rsid w:val="00FF61CC"/>
    <w:rsid w:val="00FF6BA0"/>
    <w:rsid w:val="00FF713E"/>
    <w:rsid w:val="00FF7543"/>
    <w:rsid w:val="00FF7744"/>
    <w:rsid w:val="00FF7C79"/>
    <w:rsid w:val="00FF7C8A"/>
    <w:rsid w:val="00FF7D2E"/>
    <w:rsid w:val="01AE0B9A"/>
    <w:rsid w:val="01F35F90"/>
    <w:rsid w:val="02CCFBA0"/>
    <w:rsid w:val="03157276"/>
    <w:rsid w:val="037A8C29"/>
    <w:rsid w:val="0569A22A"/>
    <w:rsid w:val="094FD31B"/>
    <w:rsid w:val="09A31DDF"/>
    <w:rsid w:val="0A274F9E"/>
    <w:rsid w:val="0A505219"/>
    <w:rsid w:val="0A9CB6D6"/>
    <w:rsid w:val="0AE6A65A"/>
    <w:rsid w:val="0B313C65"/>
    <w:rsid w:val="0C9D3F18"/>
    <w:rsid w:val="0D99FC55"/>
    <w:rsid w:val="0E0B4C70"/>
    <w:rsid w:val="0EC605CB"/>
    <w:rsid w:val="1081BFF2"/>
    <w:rsid w:val="10C7F369"/>
    <w:rsid w:val="114BF93E"/>
    <w:rsid w:val="12E9D9E9"/>
    <w:rsid w:val="134DC2A2"/>
    <w:rsid w:val="139E687E"/>
    <w:rsid w:val="13EDE49A"/>
    <w:rsid w:val="146B9372"/>
    <w:rsid w:val="148DC7D7"/>
    <w:rsid w:val="16A62B7F"/>
    <w:rsid w:val="16F58564"/>
    <w:rsid w:val="176DDE1F"/>
    <w:rsid w:val="1954872E"/>
    <w:rsid w:val="19FCB1F8"/>
    <w:rsid w:val="1AF8FB49"/>
    <w:rsid w:val="1C355676"/>
    <w:rsid w:val="1CC9F5FB"/>
    <w:rsid w:val="1CDB816C"/>
    <w:rsid w:val="1CF6CF25"/>
    <w:rsid w:val="1D59DB44"/>
    <w:rsid w:val="1DDBD182"/>
    <w:rsid w:val="1E070165"/>
    <w:rsid w:val="1FA25665"/>
    <w:rsid w:val="20A4EFD1"/>
    <w:rsid w:val="21064AEB"/>
    <w:rsid w:val="219629C5"/>
    <w:rsid w:val="2205FC74"/>
    <w:rsid w:val="240B4E41"/>
    <w:rsid w:val="24549646"/>
    <w:rsid w:val="24EB78EB"/>
    <w:rsid w:val="255DE8DB"/>
    <w:rsid w:val="25A02163"/>
    <w:rsid w:val="25CD3472"/>
    <w:rsid w:val="262B981C"/>
    <w:rsid w:val="27AD4418"/>
    <w:rsid w:val="27CE59A4"/>
    <w:rsid w:val="2878D64E"/>
    <w:rsid w:val="2B0CED88"/>
    <w:rsid w:val="2BB9A2E7"/>
    <w:rsid w:val="2C46530E"/>
    <w:rsid w:val="2DE87316"/>
    <w:rsid w:val="2E70F445"/>
    <w:rsid w:val="2F54B2F2"/>
    <w:rsid w:val="323C8743"/>
    <w:rsid w:val="32C9A0F7"/>
    <w:rsid w:val="33170754"/>
    <w:rsid w:val="343E59B4"/>
    <w:rsid w:val="368664FC"/>
    <w:rsid w:val="37905483"/>
    <w:rsid w:val="37B9AD3F"/>
    <w:rsid w:val="381B0A4C"/>
    <w:rsid w:val="3891F970"/>
    <w:rsid w:val="38A94F5B"/>
    <w:rsid w:val="395B799D"/>
    <w:rsid w:val="39AF2301"/>
    <w:rsid w:val="3AD443F7"/>
    <w:rsid w:val="3BB16960"/>
    <w:rsid w:val="3E6A6D33"/>
    <w:rsid w:val="3EF2EF89"/>
    <w:rsid w:val="3F2BB359"/>
    <w:rsid w:val="3FAA5600"/>
    <w:rsid w:val="41670F14"/>
    <w:rsid w:val="4259BC33"/>
    <w:rsid w:val="42E93386"/>
    <w:rsid w:val="446ACBC7"/>
    <w:rsid w:val="454E2F41"/>
    <w:rsid w:val="4573F571"/>
    <w:rsid w:val="45936273"/>
    <w:rsid w:val="45D85343"/>
    <w:rsid w:val="47754EFA"/>
    <w:rsid w:val="4776C3FA"/>
    <w:rsid w:val="47E15B4B"/>
    <w:rsid w:val="483BD15D"/>
    <w:rsid w:val="4879EB9A"/>
    <w:rsid w:val="4A32DDA4"/>
    <w:rsid w:val="4AE219A5"/>
    <w:rsid w:val="4AEBDD96"/>
    <w:rsid w:val="4B956FD7"/>
    <w:rsid w:val="4BB7C2CB"/>
    <w:rsid w:val="4E8C090F"/>
    <w:rsid w:val="4FA7CDB4"/>
    <w:rsid w:val="4FBE38E5"/>
    <w:rsid w:val="509213D5"/>
    <w:rsid w:val="50D2812A"/>
    <w:rsid w:val="50E82DB6"/>
    <w:rsid w:val="513C274C"/>
    <w:rsid w:val="529D7791"/>
    <w:rsid w:val="52C166FD"/>
    <w:rsid w:val="52D8EB9F"/>
    <w:rsid w:val="538D0956"/>
    <w:rsid w:val="53F31A43"/>
    <w:rsid w:val="550EFF0C"/>
    <w:rsid w:val="55B6D80D"/>
    <w:rsid w:val="55EAE7D7"/>
    <w:rsid w:val="585C5CCB"/>
    <w:rsid w:val="587EA22A"/>
    <w:rsid w:val="58827151"/>
    <w:rsid w:val="58CBD6F4"/>
    <w:rsid w:val="5916A874"/>
    <w:rsid w:val="59AF9459"/>
    <w:rsid w:val="59C12E2E"/>
    <w:rsid w:val="5A8C4DF8"/>
    <w:rsid w:val="5F3D5FBB"/>
    <w:rsid w:val="60B874EE"/>
    <w:rsid w:val="60C0C867"/>
    <w:rsid w:val="61A6E32B"/>
    <w:rsid w:val="61F6192D"/>
    <w:rsid w:val="6298442C"/>
    <w:rsid w:val="62D2AE76"/>
    <w:rsid w:val="62E12ADB"/>
    <w:rsid w:val="63F4E104"/>
    <w:rsid w:val="64AA4703"/>
    <w:rsid w:val="669EC5AE"/>
    <w:rsid w:val="68052FDD"/>
    <w:rsid w:val="682F5291"/>
    <w:rsid w:val="6A723A89"/>
    <w:rsid w:val="6B4A967D"/>
    <w:rsid w:val="6B6CE507"/>
    <w:rsid w:val="6BA32052"/>
    <w:rsid w:val="6D0E4393"/>
    <w:rsid w:val="6F1CD003"/>
    <w:rsid w:val="6F2A196F"/>
    <w:rsid w:val="7088B45E"/>
    <w:rsid w:val="70B2665F"/>
    <w:rsid w:val="70C0A9D1"/>
    <w:rsid w:val="736AD970"/>
    <w:rsid w:val="74A0B361"/>
    <w:rsid w:val="76C536DB"/>
    <w:rsid w:val="7838AC56"/>
    <w:rsid w:val="791A57FE"/>
    <w:rsid w:val="7AD3423D"/>
    <w:rsid w:val="7C0539AC"/>
    <w:rsid w:val="7CAF005C"/>
    <w:rsid w:val="7DE0EF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9652B"/>
  <w15:docId w15:val="{D572557C-25CB-4278-A902-51C3D381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AD9"/>
    <w:pPr>
      <w:spacing w:line="280" w:lineRule="atLeast"/>
    </w:pPr>
    <w:rPr>
      <w:rFonts w:ascii="Gotham Book" w:hAnsi="Gotham Book"/>
      <w:sz w:val="20"/>
    </w:rPr>
  </w:style>
  <w:style w:type="paragraph" w:styleId="Heading1">
    <w:name w:val="heading 1"/>
    <w:basedOn w:val="Title"/>
    <w:next w:val="Normal"/>
    <w:link w:val="Heading1Char"/>
    <w:uiPriority w:val="9"/>
    <w:qFormat/>
    <w:rsid w:val="009F281F"/>
    <w:pPr>
      <w:numPr>
        <w:numId w:val="61"/>
      </w:numPr>
      <w:pBdr>
        <w:bottom w:val="single" w:sz="4" w:space="12" w:color="D9D9D9" w:themeColor="background1" w:themeShade="D9"/>
      </w:pBdr>
      <w:spacing w:before="360" w:after="360" w:line="240" w:lineRule="atLeast"/>
      <w:contextualSpacing w:val="0"/>
    </w:pPr>
    <w:rPr>
      <w:sz w:val="36"/>
    </w:rPr>
  </w:style>
  <w:style w:type="paragraph" w:styleId="Heading2">
    <w:name w:val="heading 2"/>
    <w:basedOn w:val="Heading1"/>
    <w:next w:val="Normal"/>
    <w:link w:val="Heading2Char"/>
    <w:autoRedefine/>
    <w:uiPriority w:val="9"/>
    <w:qFormat/>
    <w:rsid w:val="00DD344F"/>
    <w:pPr>
      <w:keepNext/>
      <w:numPr>
        <w:ilvl w:val="1"/>
      </w:numPr>
      <w:pBdr>
        <w:bottom w:val="single" w:sz="4" w:space="8" w:color="CCCCCF" w:themeColor="accent5" w:themeTint="66"/>
      </w:pBdr>
      <w:ind w:left="431"/>
      <w:outlineLvl w:val="1"/>
    </w:pPr>
    <w:rPr>
      <w:kern w:val="0"/>
      <w:sz w:val="32"/>
      <w:szCs w:val="32"/>
    </w:rPr>
  </w:style>
  <w:style w:type="paragraph" w:styleId="Heading3">
    <w:name w:val="heading 3"/>
    <w:basedOn w:val="Normal"/>
    <w:next w:val="Normal"/>
    <w:link w:val="Heading3Char"/>
    <w:uiPriority w:val="9"/>
    <w:qFormat/>
    <w:rsid w:val="00E02DC3"/>
    <w:pPr>
      <w:keepNext/>
      <w:keepLines/>
      <w:numPr>
        <w:ilvl w:val="2"/>
        <w:numId w:val="61"/>
      </w:numPr>
      <w:pBdr>
        <w:bottom w:val="single" w:sz="4" w:space="6" w:color="D9D9D9" w:themeColor="background1" w:themeShade="D9"/>
      </w:pBdr>
      <w:spacing w:before="360" w:after="36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7D4380"/>
    <w:pPr>
      <w:keepNext/>
      <w:keepLines/>
      <w:numPr>
        <w:ilvl w:val="3"/>
        <w:numId w:val="61"/>
      </w:numPr>
      <w:spacing w:before="240" w:after="120"/>
      <w:outlineLvl w:val="3"/>
    </w:pPr>
    <w:rPr>
      <w:rFonts w:ascii="Gotham Medium" w:eastAsiaTheme="majorEastAsia" w:hAnsi="Gotham Medium" w:cstheme="majorBidi"/>
      <w:i/>
      <w:color w:val="09002E" w:themeColor="text2"/>
      <w:szCs w:val="24"/>
    </w:rPr>
  </w:style>
  <w:style w:type="paragraph" w:styleId="Heading5">
    <w:name w:val="heading 5"/>
    <w:basedOn w:val="Heading4"/>
    <w:next w:val="Normal"/>
    <w:link w:val="Heading5Char"/>
    <w:uiPriority w:val="9"/>
    <w:unhideWhenUsed/>
    <w:rsid w:val="009452A9"/>
    <w:pPr>
      <w:numPr>
        <w:ilvl w:val="4"/>
      </w:numPr>
      <w:outlineLvl w:val="4"/>
    </w:pPr>
    <w:rPr>
      <w:rFonts w:ascii="Gotham Book" w:hAnsi="Gotham Book"/>
      <w:i w:val="0"/>
      <w:iCs/>
      <w:szCs w:val="20"/>
    </w:rPr>
  </w:style>
  <w:style w:type="paragraph" w:styleId="Heading6">
    <w:name w:val="heading 6"/>
    <w:basedOn w:val="Heading5"/>
    <w:next w:val="Normal"/>
    <w:link w:val="Heading6Char"/>
    <w:uiPriority w:val="9"/>
    <w:unhideWhenUsed/>
    <w:rsid w:val="002010A6"/>
    <w:pPr>
      <w:numPr>
        <w:ilvl w:val="0"/>
        <w:numId w:val="60"/>
      </w:numPr>
      <w:spacing w:after="0"/>
      <w:outlineLvl w:val="5"/>
    </w:pPr>
    <w:rPr>
      <w:rFonts w:ascii="Gotham Medium" w:hAnsi="Gotham Medium"/>
      <w:sz w:val="28"/>
    </w:rPr>
  </w:style>
  <w:style w:type="paragraph" w:styleId="Heading7">
    <w:name w:val="heading 7"/>
    <w:basedOn w:val="Normal"/>
    <w:next w:val="Normal"/>
    <w:link w:val="Heading7Char"/>
    <w:uiPriority w:val="9"/>
    <w:unhideWhenUsed/>
    <w:rsid w:val="00A468E5"/>
    <w:pPr>
      <w:keepNext/>
      <w:keepLines/>
      <w:numPr>
        <w:ilvl w:val="1"/>
        <w:numId w:val="60"/>
      </w:numPr>
      <w:outlineLvl w:val="6"/>
    </w:pPr>
    <w:rPr>
      <w:rFonts w:eastAsiaTheme="majorEastAsia" w:cstheme="majorBidi"/>
      <w:iCs/>
    </w:rPr>
  </w:style>
  <w:style w:type="paragraph" w:styleId="Heading8">
    <w:name w:val="heading 8"/>
    <w:basedOn w:val="Normal"/>
    <w:next w:val="Normal"/>
    <w:link w:val="Heading8Char"/>
    <w:unhideWhenUsed/>
    <w:qFormat/>
    <w:rsid w:val="00FB3E83"/>
    <w:pPr>
      <w:keepNext/>
      <w:keepLines/>
      <w:numPr>
        <w:ilvl w:val="2"/>
        <w:numId w:val="6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61"/>
      </w:numPr>
      <w:spacing w:before="40" w:after="0"/>
      <w:ind w:left="6404"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Bullet point,List Paragraph1,List Paragraph11,Recommendation,Table text,Body Text1,Bullet Point,Bulletr List Paragraph,Bullets,Content descriptions,FooterText,L,List Bullet 1,List Paragraph2,List Paragraph21,Listeafsnit1,列"/>
    <w:basedOn w:val="Normal"/>
    <w:link w:val="ListParagraphChar"/>
    <w:uiPriority w:val="34"/>
    <w:qFormat/>
    <w:rsid w:val="002E2186"/>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DF2C2B"/>
    <w:rPr>
      <w:rFonts w:ascii="Gotham Medium" w:eastAsiaTheme="majorEastAsia" w:hAnsi="Gotham Medium" w:cstheme="majorBidi"/>
      <w:color w:val="09002E" w:themeColor="text2"/>
      <w:kern w:val="28"/>
      <w:sz w:val="36"/>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8062E7"/>
    <w:rPr>
      <w:rFonts w:ascii="Gotham Medium" w:eastAsiaTheme="majorEastAsia" w:hAnsi="Gotham Medium" w:cstheme="majorBidi"/>
      <w:color w:val="09002E" w:themeColor="text2"/>
      <w:sz w:val="32"/>
      <w:szCs w:val="32"/>
    </w:rPr>
  </w:style>
  <w:style w:type="paragraph" w:customStyle="1" w:styleId="AppendixHeading">
    <w:name w:val="Appendix Heading"/>
    <w:basedOn w:val="Heading3"/>
    <w:uiPriority w:val="11"/>
    <w:rsid w:val="00F41D03"/>
    <w:pPr>
      <w:pageBreakBefore/>
      <w:numPr>
        <w:ilvl w:val="0"/>
        <w:numId w:val="0"/>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3"/>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3"/>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3"/>
      </w:numPr>
    </w:pPr>
  </w:style>
  <w:style w:type="paragraph" w:customStyle="1" w:styleId="Bullet1">
    <w:name w:val="Bullet 1"/>
    <w:basedOn w:val="Normal"/>
    <w:uiPriority w:val="2"/>
    <w:qFormat/>
    <w:rsid w:val="0022668B"/>
    <w:pPr>
      <w:numPr>
        <w:numId w:val="4"/>
      </w:numPr>
    </w:pPr>
  </w:style>
  <w:style w:type="paragraph" w:customStyle="1" w:styleId="Bullet2">
    <w:name w:val="Bullet 2"/>
    <w:basedOn w:val="Normal"/>
    <w:uiPriority w:val="2"/>
    <w:qFormat/>
    <w:rsid w:val="0022668B"/>
    <w:pPr>
      <w:numPr>
        <w:ilvl w:val="1"/>
        <w:numId w:val="4"/>
      </w:numPr>
    </w:pPr>
  </w:style>
  <w:style w:type="paragraph" w:customStyle="1" w:styleId="Bullet3">
    <w:name w:val="Bullet 3"/>
    <w:basedOn w:val="Normal"/>
    <w:uiPriority w:val="2"/>
    <w:qFormat/>
    <w:rsid w:val="0022668B"/>
    <w:pPr>
      <w:numPr>
        <w:ilvl w:val="2"/>
        <w:numId w:val="4"/>
      </w:numPr>
    </w:pPr>
  </w:style>
  <w:style w:type="paragraph" w:styleId="Caption">
    <w:name w:val="caption"/>
    <w:basedOn w:val="Normal"/>
    <w:next w:val="Normal"/>
    <w:uiPriority w:val="19"/>
    <w:qFormat/>
    <w:rsid w:val="00F31715"/>
    <w:pPr>
      <w:spacing w:after="200"/>
    </w:pPr>
    <w:rPr>
      <w:rFonts w:ascii="Gotham Medium" w:hAnsi="Gotham Medium"/>
      <w:iCs/>
    </w:rPr>
  </w:style>
  <w:style w:type="numbering" w:customStyle="1" w:styleId="DefaultBullets">
    <w:name w:val="Default Bullets"/>
    <w:uiPriority w:val="99"/>
    <w:rsid w:val="0022668B"/>
    <w:pPr>
      <w:numPr>
        <w:numId w:val="4"/>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Pr>
    <w:tcPr>
      <w:shd w:val="clear" w:color="auto" w:fill="F2F2F2" w:themeFill="background1" w:themeFillShade="F2"/>
    </w:tc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20"/>
    <w:qFormat/>
    <w:rsid w:val="0022668B"/>
    <w:rPr>
      <w:i/>
      <w:iCs/>
    </w:rPr>
  </w:style>
  <w:style w:type="numbering" w:customStyle="1" w:styleId="FigureNumbers">
    <w:name w:val="Figure Numbers"/>
    <w:uiPriority w:val="99"/>
    <w:rsid w:val="0022668B"/>
    <w:pPr>
      <w:numPr>
        <w:numId w:val="5"/>
      </w:numPr>
    </w:pPr>
  </w:style>
  <w:style w:type="paragraph" w:customStyle="1" w:styleId="FigureTitle">
    <w:name w:val="Figure Title"/>
    <w:basedOn w:val="Normal"/>
    <w:next w:val="Normal"/>
    <w:uiPriority w:val="12"/>
    <w:qFormat/>
    <w:rsid w:val="00133DD8"/>
    <w:pPr>
      <w:keepNext/>
      <w:numPr>
        <w:numId w:val="6"/>
      </w:numPr>
      <w:spacing w:before="240"/>
      <w:ind w:left="1844"/>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rsid w:val="00BF7429"/>
  </w:style>
  <w:style w:type="paragraph" w:customStyle="1" w:styleId="Heading2noline">
    <w:name w:val="Heading 2 no line"/>
    <w:basedOn w:val="Heading2"/>
    <w:uiPriority w:val="9"/>
    <w:rsid w:val="00BD2D3E"/>
    <w:pPr>
      <w:pBdr>
        <w:bottom w:val="none" w:sz="0" w:space="0" w:color="auto"/>
      </w:pBdr>
      <w:spacing w:line="360" w:lineRule="atLeast"/>
    </w:pPr>
  </w:style>
  <w:style w:type="paragraph" w:customStyle="1" w:styleId="Heading2Numbered">
    <w:name w:val="Heading 2 Numbered"/>
    <w:basedOn w:val="Heading1Numbered"/>
    <w:uiPriority w:val="10"/>
    <w:qFormat/>
    <w:rsid w:val="00B52199"/>
    <w:pPr>
      <w:numPr>
        <w:numId w:val="32"/>
      </w:numPr>
      <w:tabs>
        <w:tab w:val="left" w:pos="1134"/>
      </w:tabs>
      <w:outlineLvl w:val="1"/>
    </w:pPr>
  </w:style>
  <w:style w:type="character" w:customStyle="1" w:styleId="Heading3Char">
    <w:name w:val="Heading 3 Char"/>
    <w:basedOn w:val="DefaultParagraphFont"/>
    <w:link w:val="Heading3"/>
    <w:uiPriority w:val="9"/>
    <w:rsid w:val="00E02DC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D16D6E"/>
    <w:pPr>
      <w:numPr>
        <w:ilvl w:val="1"/>
      </w:numPr>
    </w:pPr>
    <w:rPr>
      <w:sz w:val="32"/>
      <w:szCs w:val="36"/>
    </w:rPr>
  </w:style>
  <w:style w:type="character" w:customStyle="1" w:styleId="Heading4Char">
    <w:name w:val="Heading 4 Char"/>
    <w:basedOn w:val="DefaultParagraphFont"/>
    <w:link w:val="Heading4"/>
    <w:uiPriority w:val="9"/>
    <w:rsid w:val="007D4380"/>
    <w:rPr>
      <w:rFonts w:ascii="Gotham Medium" w:eastAsiaTheme="majorEastAsia" w:hAnsi="Gotham Medium" w:cstheme="majorBidi"/>
      <w:i/>
      <w:color w:val="09002E" w:themeColor="text2"/>
      <w:sz w:val="20"/>
      <w:szCs w:val="24"/>
    </w:rPr>
  </w:style>
  <w:style w:type="paragraph" w:customStyle="1" w:styleId="Heading4Numbered">
    <w:name w:val="Heading 4 Numbered"/>
    <w:basedOn w:val="Heading1Numbered"/>
    <w:uiPriority w:val="10"/>
    <w:unhideWhenUsed/>
    <w:qFormat/>
    <w:rsid w:val="00B52199"/>
    <w:pPr>
      <w:tabs>
        <w:tab w:val="left" w:pos="1134"/>
      </w:tabs>
      <w:ind w:left="852" w:hanging="284"/>
      <w:outlineLvl w:val="3"/>
    </w:pPr>
    <w:rPr>
      <w:sz w:val="28"/>
      <w:szCs w:val="28"/>
    </w:rPr>
  </w:style>
  <w:style w:type="character" w:customStyle="1" w:styleId="Heading5Char">
    <w:name w:val="Heading 5 Char"/>
    <w:basedOn w:val="DefaultParagraphFont"/>
    <w:link w:val="Heading5"/>
    <w:uiPriority w:val="9"/>
    <w:rsid w:val="009452A9"/>
    <w:rPr>
      <w:rFonts w:ascii="Gotham Book" w:eastAsiaTheme="majorEastAsia" w:hAnsi="Gotham Book" w:cstheme="majorBid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spacing w:before="240" w:after="120" w:line="400" w:lineRule="atLeast"/>
      <w:ind w:left="1728" w:hanging="648"/>
      <w:outlineLvl w:val="4"/>
    </w:pPr>
    <w:rPr>
      <w:sz w:val="24"/>
      <w:szCs w:val="24"/>
    </w:rPr>
  </w:style>
  <w:style w:type="character" w:customStyle="1" w:styleId="Heading6Char">
    <w:name w:val="Heading 6 Char"/>
    <w:basedOn w:val="DefaultParagraphFont"/>
    <w:link w:val="Heading6"/>
    <w:uiPriority w:val="9"/>
    <w:rsid w:val="00A72DC7"/>
    <w:rPr>
      <w:rFonts w:ascii="Gotham Medium" w:eastAsiaTheme="majorEastAsia" w:hAnsi="Gotham Medium" w:cstheme="majorBidi"/>
      <w:iCs/>
      <w:color w:val="09002E" w:themeColor="text2"/>
      <w:sz w:val="28"/>
      <w:szCs w:val="20"/>
    </w:rPr>
  </w:style>
  <w:style w:type="paragraph" w:customStyle="1" w:styleId="Heading6Numbered">
    <w:name w:val="Heading 6 Numbered"/>
    <w:basedOn w:val="Heading5Numbered"/>
    <w:next w:val="Normal"/>
    <w:uiPriority w:val="10"/>
    <w:unhideWhenUsed/>
    <w:rsid w:val="00B52199"/>
    <w:pPr>
      <w:keepNext w:val="0"/>
      <w:ind w:left="1134" w:hanging="1134"/>
      <w:outlineLvl w:val="5"/>
    </w:pPr>
    <w:rPr>
      <w:sz w:val="22"/>
    </w:rPr>
  </w:style>
  <w:style w:type="character" w:customStyle="1" w:styleId="Heading7Char">
    <w:name w:val="Heading 7 Char"/>
    <w:basedOn w:val="DefaultParagraphFont"/>
    <w:link w:val="Heading7"/>
    <w:uiPriority w:val="9"/>
    <w:rsid w:val="00F40D46"/>
    <w:rPr>
      <w:rFonts w:ascii="Gotham Book" w:eastAsiaTheme="majorEastAsia" w:hAnsi="Gotham Book" w:cstheme="majorBid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8"/>
      </w:numPr>
    </w:pPr>
  </w:style>
  <w:style w:type="numbering" w:customStyle="1" w:styleId="List1Numbered">
    <w:name w:val="List 1 Numbered"/>
    <w:uiPriority w:val="99"/>
    <w:rsid w:val="0022668B"/>
    <w:pPr>
      <w:numPr>
        <w:numId w:val="9"/>
      </w:numPr>
    </w:pPr>
  </w:style>
  <w:style w:type="paragraph" w:customStyle="1" w:styleId="List1Numbered1">
    <w:name w:val="List 1 Numbered 1"/>
    <w:basedOn w:val="Normal"/>
    <w:uiPriority w:val="2"/>
    <w:qFormat/>
    <w:rsid w:val="0022668B"/>
    <w:pPr>
      <w:numPr>
        <w:numId w:val="10"/>
      </w:numPr>
    </w:pPr>
  </w:style>
  <w:style w:type="paragraph" w:customStyle="1" w:styleId="List1Numbered2">
    <w:name w:val="List 1 Numbered 2"/>
    <w:basedOn w:val="Normal"/>
    <w:uiPriority w:val="2"/>
    <w:qFormat/>
    <w:rsid w:val="0022668B"/>
    <w:pPr>
      <w:numPr>
        <w:ilvl w:val="1"/>
        <w:numId w:val="10"/>
      </w:numPr>
    </w:pPr>
  </w:style>
  <w:style w:type="paragraph" w:customStyle="1" w:styleId="List1Numbered3">
    <w:name w:val="List 1 Numbered 3"/>
    <w:basedOn w:val="Normal"/>
    <w:uiPriority w:val="2"/>
    <w:qFormat/>
    <w:rsid w:val="0022668B"/>
    <w:pPr>
      <w:numPr>
        <w:ilvl w:val="2"/>
        <w:numId w:val="10"/>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7"/>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1"/>
      </w:numPr>
    </w:pPr>
  </w:style>
  <w:style w:type="character" w:styleId="Strong">
    <w:name w:val="Strong"/>
    <w:basedOn w:val="DefaultParagraphFont"/>
    <w:uiPriority w:val="99"/>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2"/>
      </w:numPr>
    </w:pPr>
  </w:style>
  <w:style w:type="paragraph" w:customStyle="1" w:styleId="TableTitle">
    <w:name w:val="Table Title"/>
    <w:basedOn w:val="FigureTitle"/>
    <w:uiPriority w:val="12"/>
    <w:qFormat/>
    <w:rsid w:val="0022668B"/>
    <w:pPr>
      <w:numPr>
        <w:numId w:val="13"/>
      </w:numPr>
    </w:pPr>
  </w:style>
  <w:style w:type="paragraph" w:styleId="TOC1">
    <w:name w:val="toc 1"/>
    <w:basedOn w:val="Normal"/>
    <w:next w:val="Normal"/>
    <w:autoRedefine/>
    <w:uiPriority w:val="39"/>
    <w:rsid w:val="008F600D"/>
    <w:pPr>
      <w:keepNext/>
      <w:pBdr>
        <w:bottom w:val="single" w:sz="4" w:space="2" w:color="auto"/>
      </w:pBdr>
      <w:tabs>
        <w:tab w:val="right" w:pos="9781"/>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5B513D"/>
    <w:pPr>
      <w:tabs>
        <w:tab w:val="right" w:pos="9781"/>
      </w:tabs>
      <w:ind w:left="567" w:hanging="567"/>
    </w:pPr>
    <w:rPr>
      <w:rFonts w:ascii="Gotham Medium" w:hAnsi="Gotham Medium"/>
    </w:rPr>
  </w:style>
  <w:style w:type="paragraph" w:styleId="TOC3">
    <w:name w:val="toc 3"/>
    <w:basedOn w:val="Normal"/>
    <w:next w:val="Normal"/>
    <w:autoRedefine/>
    <w:uiPriority w:val="39"/>
    <w:rsid w:val="005B513D"/>
    <w:pPr>
      <w:tabs>
        <w:tab w:val="right" w:pos="9781"/>
      </w:tabs>
      <w:spacing w:before="60"/>
      <w:ind w:left="567" w:hanging="567"/>
    </w:pPr>
    <w:rPr>
      <w:noProof/>
    </w:rPr>
  </w:style>
  <w:style w:type="paragraph" w:styleId="TOC4">
    <w:name w:val="toc 4"/>
    <w:basedOn w:val="Normal"/>
    <w:next w:val="Normal"/>
    <w:autoRedefine/>
    <w:uiPriority w:val="39"/>
    <w:rsid w:val="005B513D"/>
    <w:pPr>
      <w:tabs>
        <w:tab w:val="right" w:pos="9781"/>
      </w:tabs>
      <w:spacing w:before="60"/>
      <w:ind w:left="1135" w:hanging="851"/>
    </w:pPr>
  </w:style>
  <w:style w:type="paragraph" w:styleId="TOCHeading">
    <w:name w:val="TOC Heading"/>
    <w:basedOn w:val="Heading1"/>
    <w:next w:val="Normal"/>
    <w:uiPriority w:val="39"/>
    <w:qFormat/>
    <w:rsid w:val="009C2345"/>
    <w:pPr>
      <w:numPr>
        <w:numId w:val="0"/>
      </w:numPr>
      <w:tabs>
        <w:tab w:val="right" w:pos="9781"/>
      </w:tabs>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character" w:styleId="CommentReference">
    <w:name w:val="annotation reference"/>
    <w:basedOn w:val="DefaultParagraphFont"/>
    <w:uiPriority w:val="99"/>
    <w:semiHidden/>
    <w:unhideWhenUsed/>
    <w:rsid w:val="00770C7C"/>
    <w:rPr>
      <w:sz w:val="16"/>
      <w:szCs w:val="16"/>
    </w:rPr>
  </w:style>
  <w:style w:type="paragraph" w:styleId="CommentText">
    <w:name w:val="annotation text"/>
    <w:basedOn w:val="Normal"/>
    <w:link w:val="CommentTextChar"/>
    <w:uiPriority w:val="99"/>
    <w:unhideWhenUsed/>
    <w:rsid w:val="00770C7C"/>
    <w:pPr>
      <w:spacing w:line="240" w:lineRule="auto"/>
    </w:pPr>
    <w:rPr>
      <w:szCs w:val="20"/>
    </w:rPr>
  </w:style>
  <w:style w:type="character" w:customStyle="1" w:styleId="CommentTextChar">
    <w:name w:val="Comment Text Char"/>
    <w:basedOn w:val="DefaultParagraphFont"/>
    <w:link w:val="CommentText"/>
    <w:uiPriority w:val="99"/>
    <w:rsid w:val="00770C7C"/>
    <w:rPr>
      <w:rFonts w:ascii="Gotham Book" w:hAnsi="Gotham Book"/>
      <w:sz w:val="20"/>
      <w:szCs w:val="20"/>
    </w:rPr>
  </w:style>
  <w:style w:type="paragraph" w:styleId="CommentSubject">
    <w:name w:val="annotation subject"/>
    <w:basedOn w:val="CommentText"/>
    <w:next w:val="CommentText"/>
    <w:link w:val="CommentSubjectChar"/>
    <w:semiHidden/>
    <w:unhideWhenUsed/>
    <w:rsid w:val="00770C7C"/>
    <w:rPr>
      <w:b/>
      <w:bCs/>
    </w:rPr>
  </w:style>
  <w:style w:type="character" w:customStyle="1" w:styleId="CommentSubjectChar">
    <w:name w:val="Comment Subject Char"/>
    <w:basedOn w:val="CommentTextChar"/>
    <w:link w:val="CommentSubject"/>
    <w:semiHidden/>
    <w:rsid w:val="00770C7C"/>
    <w:rPr>
      <w:rFonts w:ascii="Gotham Book" w:hAnsi="Gotham Book"/>
      <w:b/>
      <w:bCs/>
      <w:sz w:val="20"/>
      <w:szCs w:val="20"/>
    </w:rPr>
  </w:style>
  <w:style w:type="character" w:customStyle="1" w:styleId="ListParagraphChar">
    <w:name w:val="List Paragraph Char"/>
    <w:aliases w:val="#List Paragraph Char,Bullet point Char,List Paragraph1 Char,List Paragraph11 Char,Recommendation Char,Table text Char,Body Text1 Char,Bullet Point Char,Bulletr List Paragraph Char,Bullets Char,Content descriptions Char,L Char,列 Char"/>
    <w:basedOn w:val="DefaultParagraphFont"/>
    <w:link w:val="ListParagraph"/>
    <w:uiPriority w:val="34"/>
    <w:rsid w:val="00A666F3"/>
    <w:rPr>
      <w:rFonts w:ascii="Gotham Book" w:hAnsi="Gotham Book"/>
      <w:sz w:val="20"/>
    </w:rPr>
  </w:style>
  <w:style w:type="paragraph" w:customStyle="1" w:styleId="Table-ExpText">
    <w:name w:val="Table - Exp Text"/>
    <w:basedOn w:val="Normal"/>
    <w:uiPriority w:val="99"/>
    <w:rsid w:val="001A5455"/>
    <w:pPr>
      <w:widowControl w:val="0"/>
      <w:autoSpaceDE w:val="0"/>
      <w:autoSpaceDN w:val="0"/>
      <w:adjustRightInd w:val="0"/>
      <w:spacing w:before="60" w:line="240" w:lineRule="auto"/>
    </w:pPr>
    <w:rPr>
      <w:rFonts w:asciiTheme="minorHAnsi" w:eastAsia="Times New Roman" w:hAnsiTheme="minorHAnsi" w:cstheme="minorBidi"/>
      <w:color w:val="auto"/>
      <w:sz w:val="18"/>
      <w:szCs w:val="17"/>
    </w:rPr>
  </w:style>
  <w:style w:type="paragraph" w:customStyle="1" w:styleId="Footnote">
    <w:name w:val="Footnote"/>
    <w:basedOn w:val="FootnoteText"/>
    <w:link w:val="FootnoteChar"/>
    <w:qFormat/>
    <w:rsid w:val="00146232"/>
    <w:rPr>
      <w:sz w:val="18"/>
    </w:rPr>
  </w:style>
  <w:style w:type="character" w:customStyle="1" w:styleId="FootnoteChar">
    <w:name w:val="Footnote Char"/>
    <w:basedOn w:val="FootnoteTextChar"/>
    <w:link w:val="Footnote"/>
    <w:rsid w:val="00146232"/>
    <w:rPr>
      <w:rFonts w:ascii="Gotham Book" w:eastAsiaTheme="minorHAnsi" w:hAnsi="Gotham Book" w:cstheme="minorBidi"/>
      <w:color w:val="828188" w:themeColor="accent5"/>
      <w:sz w:val="14"/>
      <w:szCs w:val="18"/>
      <w:lang w:eastAsia="en-US"/>
    </w:rPr>
  </w:style>
  <w:style w:type="paragraph" w:customStyle="1" w:styleId="EndNoteBibliographyTitle">
    <w:name w:val="EndNote Bibliography Title"/>
    <w:basedOn w:val="Normal"/>
    <w:link w:val="EndNoteBibliographyTitleChar"/>
    <w:rsid w:val="00DC7893"/>
    <w:pPr>
      <w:spacing w:after="0"/>
      <w:jc w:val="center"/>
    </w:pPr>
    <w:rPr>
      <w:noProof/>
    </w:rPr>
  </w:style>
  <w:style w:type="character" w:customStyle="1" w:styleId="EndNoteBibliographyTitleChar">
    <w:name w:val="EndNote Bibliography Title Char"/>
    <w:basedOn w:val="DefaultParagraphFont"/>
    <w:link w:val="EndNoteBibliographyTitle"/>
    <w:rsid w:val="00DC7893"/>
    <w:rPr>
      <w:rFonts w:ascii="Gotham Book" w:hAnsi="Gotham Book"/>
      <w:noProof/>
      <w:sz w:val="20"/>
    </w:rPr>
  </w:style>
  <w:style w:type="paragraph" w:customStyle="1" w:styleId="EndNoteBibliography">
    <w:name w:val="EndNote Bibliography"/>
    <w:basedOn w:val="Normal"/>
    <w:link w:val="EndNoteBibliographyChar"/>
    <w:rsid w:val="00DC7893"/>
    <w:pPr>
      <w:spacing w:line="240" w:lineRule="atLeast"/>
    </w:pPr>
    <w:rPr>
      <w:noProof/>
    </w:rPr>
  </w:style>
  <w:style w:type="character" w:customStyle="1" w:styleId="EndNoteBibliographyChar">
    <w:name w:val="EndNote Bibliography Char"/>
    <w:basedOn w:val="DefaultParagraphFont"/>
    <w:link w:val="EndNoteBibliography"/>
    <w:rsid w:val="00DC7893"/>
    <w:rPr>
      <w:rFonts w:ascii="Gotham Book" w:hAnsi="Gotham Book"/>
      <w:noProof/>
      <w:sz w:val="20"/>
    </w:rPr>
  </w:style>
  <w:style w:type="paragraph" w:customStyle="1" w:styleId="Bodytext-ULdoc">
    <w:name w:val="Body text - UL doc"/>
    <w:basedOn w:val="Normal"/>
    <w:link w:val="Bodytext-ULdocChar"/>
    <w:qFormat/>
    <w:rsid w:val="007C0F72"/>
    <w:pPr>
      <w:widowControl w:val="0"/>
      <w:spacing w:after="120" w:line="240" w:lineRule="auto"/>
      <w:ind w:right="261"/>
    </w:pPr>
    <w:rPr>
      <w:rFonts w:ascii="Calibri" w:eastAsia="Calibri" w:hAnsi="Calibri"/>
      <w:color w:val="auto"/>
      <w:spacing w:val="-1"/>
      <w:sz w:val="22"/>
      <w:szCs w:val="22"/>
      <w:lang w:val="en-US" w:eastAsia="en-US"/>
    </w:rPr>
  </w:style>
  <w:style w:type="character" w:customStyle="1" w:styleId="Bodytext-ULdocChar">
    <w:name w:val="Body text - UL doc Char"/>
    <w:basedOn w:val="DefaultParagraphFont"/>
    <w:link w:val="Bodytext-ULdoc"/>
    <w:rsid w:val="007C0F72"/>
    <w:rPr>
      <w:rFonts w:ascii="Calibri" w:eastAsia="Calibri" w:hAnsi="Calibri"/>
      <w:color w:val="auto"/>
      <w:spacing w:val="-1"/>
      <w:sz w:val="22"/>
      <w:szCs w:val="22"/>
      <w:lang w:val="en-US" w:eastAsia="en-US"/>
    </w:rPr>
  </w:style>
  <w:style w:type="paragraph" w:customStyle="1" w:styleId="notopmargin">
    <w:name w:val="no_top_margin"/>
    <w:basedOn w:val="Normal"/>
    <w:rsid w:val="00401249"/>
    <w:pPr>
      <w:spacing w:before="100" w:beforeAutospacing="1" w:after="100" w:afterAutospacing="1" w:line="240" w:lineRule="auto"/>
    </w:pPr>
    <w:rPr>
      <w:rFonts w:ascii="Times New Roman" w:eastAsia="Times New Roman" w:hAnsi="Times New Roman"/>
      <w:color w:val="auto"/>
      <w:sz w:val="24"/>
      <w:szCs w:val="24"/>
    </w:rPr>
  </w:style>
  <w:style w:type="paragraph" w:styleId="Revision">
    <w:name w:val="Revision"/>
    <w:hidden/>
    <w:uiPriority w:val="99"/>
    <w:semiHidden/>
    <w:rsid w:val="00401249"/>
    <w:pPr>
      <w:spacing w:before="0" w:after="0" w:line="240" w:lineRule="auto"/>
    </w:pPr>
    <w:rPr>
      <w:rFonts w:ascii="Gotham Book" w:hAnsi="Gotham Book"/>
      <w:sz w:val="20"/>
    </w:rPr>
  </w:style>
  <w:style w:type="paragraph" w:styleId="NormalWeb">
    <w:name w:val="Normal (Web)"/>
    <w:basedOn w:val="Normal"/>
    <w:uiPriority w:val="99"/>
    <w:semiHidden/>
    <w:unhideWhenUsed/>
    <w:rsid w:val="00791A70"/>
    <w:pPr>
      <w:spacing w:before="100" w:beforeAutospacing="1" w:after="100" w:afterAutospacing="1" w:line="240" w:lineRule="auto"/>
    </w:pPr>
    <w:rPr>
      <w:rFonts w:ascii="Times New Roman" w:eastAsia="Times New Roman" w:hAnsi="Times New Roman"/>
      <w:color w:val="auto"/>
      <w:sz w:val="24"/>
      <w:szCs w:val="24"/>
    </w:rPr>
  </w:style>
  <w:style w:type="paragraph" w:customStyle="1" w:styleId="above-list">
    <w:name w:val="above-list"/>
    <w:basedOn w:val="Normal"/>
    <w:rsid w:val="00791A70"/>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citationsource-journal">
    <w:name w:val="citation_source-journal"/>
    <w:basedOn w:val="DefaultParagraphFont"/>
    <w:rsid w:val="00A60580"/>
  </w:style>
  <w:style w:type="character" w:customStyle="1" w:styleId="xlinks-container">
    <w:name w:val="xlinks-container"/>
    <w:basedOn w:val="DefaultParagraphFont"/>
    <w:rsid w:val="00A60580"/>
  </w:style>
  <w:style w:type="character" w:customStyle="1" w:styleId="googlescholar-container">
    <w:name w:val="googlescholar-container"/>
    <w:basedOn w:val="DefaultParagraphFont"/>
    <w:rsid w:val="00A60580"/>
  </w:style>
  <w:style w:type="character" w:customStyle="1" w:styleId="contrib">
    <w:name w:val="contrib"/>
    <w:basedOn w:val="DefaultParagraphFont"/>
    <w:rsid w:val="006C7008"/>
  </w:style>
  <w:style w:type="character" w:customStyle="1" w:styleId="authorname">
    <w:name w:val="authorname"/>
    <w:basedOn w:val="DefaultParagraphFont"/>
    <w:rsid w:val="006C7008"/>
  </w:style>
  <w:style w:type="character" w:customStyle="1" w:styleId="separator">
    <w:name w:val="separator"/>
    <w:basedOn w:val="DefaultParagraphFont"/>
    <w:rsid w:val="006C7008"/>
  </w:style>
  <w:style w:type="character" w:customStyle="1" w:styleId="Date1">
    <w:name w:val="Date1"/>
    <w:basedOn w:val="DefaultParagraphFont"/>
    <w:rsid w:val="00EB56E5"/>
  </w:style>
  <w:style w:type="character" w:customStyle="1" w:styleId="arttitle">
    <w:name w:val="art_title"/>
    <w:basedOn w:val="DefaultParagraphFont"/>
    <w:rsid w:val="006C7008"/>
  </w:style>
  <w:style w:type="character" w:customStyle="1" w:styleId="serialtitle">
    <w:name w:val="serial_title"/>
    <w:basedOn w:val="DefaultParagraphFont"/>
    <w:rsid w:val="006C7008"/>
  </w:style>
  <w:style w:type="character" w:customStyle="1" w:styleId="volumeissue">
    <w:name w:val="volume_issue"/>
    <w:basedOn w:val="DefaultParagraphFont"/>
    <w:rsid w:val="006C7008"/>
  </w:style>
  <w:style w:type="character" w:customStyle="1" w:styleId="pagerange">
    <w:name w:val="page_range"/>
    <w:basedOn w:val="DefaultParagraphFont"/>
    <w:rsid w:val="006C7008"/>
  </w:style>
  <w:style w:type="character" w:customStyle="1" w:styleId="doilink">
    <w:name w:val="doi_link"/>
    <w:basedOn w:val="DefaultParagraphFont"/>
    <w:rsid w:val="006C7008"/>
  </w:style>
  <w:style w:type="character" w:styleId="Mention">
    <w:name w:val="Mention"/>
    <w:basedOn w:val="DefaultParagraphFont"/>
    <w:uiPriority w:val="99"/>
    <w:unhideWhenUsed/>
    <w:rsid w:val="00690D25"/>
    <w:rPr>
      <w:color w:val="2B579A"/>
      <w:shd w:val="clear" w:color="auto" w:fill="E1DFDD"/>
    </w:rPr>
  </w:style>
  <w:style w:type="table" w:customStyle="1" w:styleId="TableGrid1">
    <w:name w:val="Table Grid1"/>
    <w:basedOn w:val="TableNormal"/>
    <w:next w:val="TableGrid"/>
    <w:rsid w:val="0085498B"/>
    <w:pPr>
      <w:spacing w:before="0" w:after="0" w:line="240" w:lineRule="auto"/>
    </w:pPr>
    <w:rPr>
      <w:rFonts w:eastAsia="Calibri" w:cs="Arial"/>
      <w:color w:val="auto"/>
      <w:sz w:val="22"/>
      <w:szCs w:val="22"/>
      <w:lang w:eastAsia="en-US"/>
    </w:rPr>
    <w:tblPr/>
  </w:style>
  <w:style w:type="character" w:styleId="PageNumber">
    <w:name w:val="page number"/>
    <w:basedOn w:val="DefaultParagraphFont"/>
    <w:rsid w:val="002662C1"/>
    <w:rPr>
      <w:rFonts w:ascii="Times New Roman" w:hAnsi="Times New Roman"/>
      <w:caps/>
      <w:smallCaps w:val="0"/>
      <w:vanish w:val="0"/>
      <w:color w:val="auto"/>
      <w:sz w:val="18"/>
    </w:rPr>
  </w:style>
  <w:style w:type="paragraph" w:customStyle="1" w:styleId="AgendaItem">
    <w:name w:val="AgendaItem"/>
    <w:qFormat/>
    <w:rsid w:val="002662C1"/>
    <w:pPr>
      <w:spacing w:before="0" w:after="0" w:line="240" w:lineRule="auto"/>
      <w:jc w:val="right"/>
    </w:pPr>
    <w:rPr>
      <w:rFonts w:ascii="Arial" w:eastAsia="Times New Roman" w:hAnsi="Arial"/>
      <w:sz w:val="20"/>
      <w:szCs w:val="24"/>
    </w:rPr>
  </w:style>
  <w:style w:type="paragraph" w:styleId="BodyText">
    <w:name w:val="Body Text"/>
    <w:basedOn w:val="Normal"/>
    <w:link w:val="BodyTextChar"/>
    <w:uiPriority w:val="1"/>
    <w:qFormat/>
    <w:rsid w:val="002662C1"/>
    <w:pPr>
      <w:widowControl w:val="0"/>
      <w:autoSpaceDE w:val="0"/>
      <w:autoSpaceDN w:val="0"/>
      <w:spacing w:before="0" w:after="0" w:line="240" w:lineRule="auto"/>
    </w:pPr>
    <w:rPr>
      <w:rFonts w:ascii="Book Antiqua" w:eastAsia="Book Antiqua" w:hAnsi="Book Antiqua" w:cs="Book Antiqua"/>
      <w:color w:val="auto"/>
      <w:szCs w:val="20"/>
      <w:lang w:val="en-US" w:eastAsia="en-US"/>
    </w:rPr>
  </w:style>
  <w:style w:type="character" w:customStyle="1" w:styleId="BodyTextChar">
    <w:name w:val="Body Text Char"/>
    <w:basedOn w:val="DefaultParagraphFont"/>
    <w:link w:val="BodyText"/>
    <w:uiPriority w:val="1"/>
    <w:rsid w:val="002662C1"/>
    <w:rPr>
      <w:rFonts w:ascii="Book Antiqua" w:eastAsia="Book Antiqua" w:hAnsi="Book Antiqua" w:cs="Book Antiqua"/>
      <w:color w:val="auto"/>
      <w:sz w:val="20"/>
      <w:szCs w:val="20"/>
      <w:lang w:val="en-US" w:eastAsia="en-US"/>
    </w:rPr>
  </w:style>
  <w:style w:type="character" w:customStyle="1" w:styleId="cf01">
    <w:name w:val="cf01"/>
    <w:basedOn w:val="DefaultParagraphFont"/>
    <w:rsid w:val="002662C1"/>
    <w:rPr>
      <w:rFonts w:ascii="Segoe UI" w:hAnsi="Segoe UI" w:cs="Segoe UI" w:hint="default"/>
      <w:sz w:val="18"/>
      <w:szCs w:val="18"/>
    </w:rPr>
  </w:style>
  <w:style w:type="paragraph" w:customStyle="1" w:styleId="pf0">
    <w:name w:val="pf0"/>
    <w:basedOn w:val="Normal"/>
    <w:rsid w:val="00CE4498"/>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cf11">
    <w:name w:val="cf11"/>
    <w:basedOn w:val="DefaultParagraphFont"/>
    <w:rsid w:val="00CA5001"/>
    <w:rPr>
      <w:rFonts w:ascii="Segoe UI" w:hAnsi="Segoe UI" w:cs="Segoe UI" w:hint="default"/>
      <w:sz w:val="18"/>
      <w:szCs w:val="18"/>
    </w:rPr>
  </w:style>
  <w:style w:type="paragraph" w:styleId="TOC5">
    <w:name w:val="toc 5"/>
    <w:basedOn w:val="Normal"/>
    <w:next w:val="Normal"/>
    <w:autoRedefine/>
    <w:uiPriority w:val="39"/>
    <w:unhideWhenUsed/>
    <w:rsid w:val="00C20E2D"/>
    <w:pPr>
      <w:tabs>
        <w:tab w:val="left" w:pos="1959"/>
        <w:tab w:val="right" w:pos="9781"/>
      </w:tabs>
      <w:spacing w:before="0" w:after="100" w:line="259" w:lineRule="auto"/>
      <w:ind w:left="880"/>
    </w:pPr>
    <w:rPr>
      <w:rFonts w:cstheme="minorBidi"/>
      <w:noProof/>
      <w:color w:val="auto"/>
      <w:kern w:val="2"/>
      <w:szCs w:val="20"/>
    </w:rPr>
  </w:style>
  <w:style w:type="paragraph" w:styleId="TOC6">
    <w:name w:val="toc 6"/>
    <w:basedOn w:val="Normal"/>
    <w:next w:val="Normal"/>
    <w:autoRedefine/>
    <w:uiPriority w:val="39"/>
    <w:unhideWhenUsed/>
    <w:rsid w:val="00C20E2D"/>
    <w:pPr>
      <w:tabs>
        <w:tab w:val="left" w:pos="2470"/>
        <w:tab w:val="right" w:pos="9781"/>
      </w:tabs>
      <w:ind w:left="567" w:hanging="567"/>
    </w:pPr>
    <w:rPr>
      <w:rFonts w:ascii="Gotham Medium" w:hAnsi="Gotham Medium" w:cstheme="minorBidi"/>
      <w:color w:val="auto"/>
      <w:kern w:val="2"/>
      <w:szCs w:val="22"/>
    </w:rPr>
  </w:style>
  <w:style w:type="paragraph" w:styleId="TOC7">
    <w:name w:val="toc 7"/>
    <w:basedOn w:val="TOC4"/>
    <w:next w:val="Normal"/>
    <w:autoRedefine/>
    <w:uiPriority w:val="39"/>
    <w:unhideWhenUsed/>
    <w:rsid w:val="002364CD"/>
    <w:rPr>
      <w:noProof/>
    </w:rPr>
  </w:style>
  <w:style w:type="paragraph" w:styleId="TOC8">
    <w:name w:val="toc 8"/>
    <w:basedOn w:val="Normal"/>
    <w:next w:val="Normal"/>
    <w:autoRedefine/>
    <w:uiPriority w:val="39"/>
    <w:unhideWhenUsed/>
    <w:rsid w:val="00FB27A9"/>
    <w:pPr>
      <w:spacing w:before="0" w:after="100" w:line="259" w:lineRule="auto"/>
      <w:ind w:left="1540"/>
    </w:pPr>
    <w:rPr>
      <w:rFonts w:asciiTheme="minorHAnsi" w:hAnsiTheme="minorHAnsi" w:cstheme="minorBidi"/>
      <w:color w:val="auto"/>
      <w:kern w:val="2"/>
      <w:sz w:val="22"/>
      <w:szCs w:val="22"/>
    </w:rPr>
  </w:style>
  <w:style w:type="paragraph" w:styleId="TOC9">
    <w:name w:val="toc 9"/>
    <w:basedOn w:val="Normal"/>
    <w:next w:val="Normal"/>
    <w:autoRedefine/>
    <w:uiPriority w:val="39"/>
    <w:unhideWhenUsed/>
    <w:rsid w:val="00FB27A9"/>
    <w:pPr>
      <w:spacing w:before="0" w:after="100" w:line="259" w:lineRule="auto"/>
      <w:ind w:left="1760"/>
    </w:pPr>
    <w:rPr>
      <w:rFonts w:asciiTheme="minorHAnsi" w:hAnsiTheme="minorHAnsi" w:cstheme="minorBidi"/>
      <w:color w:val="auto"/>
      <w:kern w:val="2"/>
      <w:sz w:val="22"/>
      <w:szCs w:val="22"/>
    </w:rPr>
  </w:style>
  <w:style w:type="paragraph" w:styleId="BodyText2">
    <w:name w:val="Body Text 2"/>
    <w:basedOn w:val="Normal"/>
    <w:link w:val="BodyText2Char"/>
    <w:unhideWhenUsed/>
    <w:rsid w:val="009835CB"/>
    <w:pPr>
      <w:spacing w:after="120" w:line="480" w:lineRule="auto"/>
    </w:pPr>
  </w:style>
  <w:style w:type="character" w:customStyle="1" w:styleId="BodyText2Char">
    <w:name w:val="Body Text 2 Char"/>
    <w:basedOn w:val="DefaultParagraphFont"/>
    <w:link w:val="BodyText2"/>
    <w:rsid w:val="009835CB"/>
    <w:rPr>
      <w:rFonts w:ascii="Gotham Book" w:hAnsi="Gotham Book"/>
      <w:sz w:val="20"/>
    </w:rPr>
  </w:style>
  <w:style w:type="paragraph" w:styleId="BodyText3">
    <w:name w:val="Body Text 3"/>
    <w:basedOn w:val="Normal"/>
    <w:link w:val="BodyText3Char"/>
    <w:semiHidden/>
    <w:unhideWhenUsed/>
    <w:rsid w:val="009835CB"/>
    <w:pPr>
      <w:spacing w:after="120"/>
    </w:pPr>
    <w:rPr>
      <w:sz w:val="16"/>
      <w:szCs w:val="16"/>
    </w:rPr>
  </w:style>
  <w:style w:type="character" w:customStyle="1" w:styleId="BodyText3Char">
    <w:name w:val="Body Text 3 Char"/>
    <w:basedOn w:val="DefaultParagraphFont"/>
    <w:link w:val="BodyText3"/>
    <w:semiHidden/>
    <w:rsid w:val="009835CB"/>
    <w:rPr>
      <w:rFonts w:ascii="Gotham Book" w:hAnsi="Gotham Book"/>
      <w:sz w:val="16"/>
      <w:szCs w:val="16"/>
    </w:rPr>
  </w:style>
  <w:style w:type="paragraph" w:customStyle="1" w:styleId="NoteLevel11">
    <w:name w:val="Note Level 11"/>
    <w:basedOn w:val="Normal"/>
    <w:autoRedefine/>
    <w:uiPriority w:val="99"/>
    <w:rsid w:val="009835CB"/>
    <w:pPr>
      <w:tabs>
        <w:tab w:val="left" w:pos="1134"/>
        <w:tab w:val="right" w:leader="dot" w:pos="9639"/>
      </w:tabs>
      <w:suppressAutoHyphens/>
      <w:autoSpaceDE w:val="0"/>
      <w:autoSpaceDN w:val="0"/>
      <w:adjustRightInd w:val="0"/>
      <w:spacing w:before="160" w:after="0" w:line="190" w:lineRule="atLeast"/>
      <w:textAlignment w:val="center"/>
    </w:pPr>
    <w:rPr>
      <w:rFonts w:ascii="Arial" w:eastAsia="Times New Roman" w:hAnsi="Arial" w:cs="TradeGothic-Light"/>
      <w:color w:val="000000"/>
      <w:sz w:val="15"/>
      <w:szCs w:val="15"/>
      <w:lang w:val="en-US" w:eastAsia="en-US"/>
    </w:rPr>
  </w:style>
  <w:style w:type="character" w:customStyle="1" w:styleId="Superscript">
    <w:name w:val="Superscript"/>
    <w:uiPriority w:val="99"/>
    <w:rsid w:val="009835CB"/>
    <w:rPr>
      <w:u w:val="none"/>
      <w:vertAlign w:val="superscript"/>
    </w:rPr>
  </w:style>
  <w:style w:type="paragraph" w:customStyle="1" w:styleId="Heading5TableHeading">
    <w:name w:val="Heading 5 (Table Heading)"/>
    <w:basedOn w:val="Normal"/>
    <w:autoRedefine/>
    <w:qFormat/>
    <w:rsid w:val="009835CB"/>
    <w:pPr>
      <w:keepNext/>
      <w:tabs>
        <w:tab w:val="left" w:pos="1134"/>
        <w:tab w:val="right" w:leader="dot" w:pos="9639"/>
      </w:tabs>
      <w:suppressAutoHyphens/>
      <w:autoSpaceDE w:val="0"/>
      <w:autoSpaceDN w:val="0"/>
      <w:adjustRightInd w:val="0"/>
      <w:spacing w:before="320" w:after="160" w:line="220" w:lineRule="atLeast"/>
      <w:ind w:left="1134" w:hanging="1134"/>
      <w:textAlignment w:val="center"/>
    </w:pPr>
    <w:rPr>
      <w:rFonts w:ascii="Arial" w:eastAsia="Times New Roman" w:hAnsi="Arial" w:cs="TradeGothic-Bold"/>
      <w:b/>
      <w:color w:val="000000"/>
      <w:sz w:val="18"/>
      <w:lang w:val="en-US" w:eastAsia="en-US"/>
    </w:rPr>
  </w:style>
  <w:style w:type="paragraph" w:styleId="EndnoteText">
    <w:name w:val="endnote text"/>
    <w:basedOn w:val="Normal"/>
    <w:link w:val="EndnoteTextChar"/>
    <w:semiHidden/>
    <w:unhideWhenUsed/>
    <w:rsid w:val="00CF23F9"/>
    <w:pPr>
      <w:spacing w:before="0" w:after="0" w:line="240" w:lineRule="auto"/>
    </w:pPr>
    <w:rPr>
      <w:szCs w:val="20"/>
    </w:rPr>
  </w:style>
  <w:style w:type="character" w:customStyle="1" w:styleId="EndnoteTextChar">
    <w:name w:val="Endnote Text Char"/>
    <w:basedOn w:val="DefaultParagraphFont"/>
    <w:link w:val="EndnoteText"/>
    <w:semiHidden/>
    <w:rsid w:val="00CF23F9"/>
    <w:rPr>
      <w:rFonts w:ascii="Gotham Book" w:hAnsi="Gotham Book"/>
      <w:sz w:val="20"/>
      <w:szCs w:val="20"/>
    </w:rPr>
  </w:style>
  <w:style w:type="character" w:styleId="EndnoteReference">
    <w:name w:val="endnote reference"/>
    <w:basedOn w:val="DefaultParagraphFont"/>
    <w:semiHidden/>
    <w:unhideWhenUsed/>
    <w:rsid w:val="00CF23F9"/>
    <w:rPr>
      <w:vertAlign w:val="superscript"/>
    </w:rPr>
  </w:style>
  <w:style w:type="paragraph" w:customStyle="1" w:styleId="Default">
    <w:name w:val="Default"/>
    <w:rsid w:val="009F1D1A"/>
    <w:pPr>
      <w:autoSpaceDE w:val="0"/>
      <w:autoSpaceDN w:val="0"/>
      <w:adjustRightInd w:val="0"/>
      <w:spacing w:before="0" w:after="0" w:line="240" w:lineRule="auto"/>
    </w:pPr>
    <w:rPr>
      <w:rFonts w:ascii="Calibri" w:eastAsiaTheme="minorHAnsi" w:hAnsi="Calibri" w:cs="Calibri"/>
      <w:color w:val="000000"/>
      <w:sz w:val="24"/>
      <w:szCs w:val="24"/>
      <w:lang w:eastAsia="en-US"/>
    </w:rPr>
  </w:style>
  <w:style w:type="paragraph" w:styleId="ListNumber">
    <w:name w:val="List Number"/>
    <w:basedOn w:val="Normal"/>
    <w:rsid w:val="00570F8A"/>
    <w:pPr>
      <w:numPr>
        <w:numId w:val="76"/>
      </w:numPr>
      <w:contextualSpacing/>
    </w:pPr>
  </w:style>
  <w:style w:type="paragraph" w:styleId="ListBullet">
    <w:name w:val="List Bullet"/>
    <w:basedOn w:val="Normal"/>
    <w:qFormat/>
    <w:rsid w:val="00565261"/>
    <w:pPr>
      <w:numPr>
        <w:numId w:val="80"/>
      </w:numPr>
      <w:contextualSpacing/>
    </w:pPr>
  </w:style>
  <w:style w:type="paragraph" w:customStyle="1" w:styleId="Heading2Chapter">
    <w:name w:val="Heading 2 Chapter"/>
    <w:basedOn w:val="Heading1"/>
    <w:qFormat/>
    <w:rsid w:val="003449C9"/>
    <w:pPr>
      <w:outlineLvl w:val="1"/>
    </w:pPr>
  </w:style>
  <w:style w:type="paragraph" w:customStyle="1" w:styleId="Heading30">
    <w:name w:val="Heading 3 #"/>
    <w:basedOn w:val="Heading2"/>
    <w:qFormat/>
    <w:rsid w:val="003449C9"/>
    <w:pPr>
      <w:outlineLvl w:val="2"/>
    </w:pPr>
  </w:style>
  <w:style w:type="paragraph" w:customStyle="1" w:styleId="Heading40">
    <w:name w:val="Heading 4 #"/>
    <w:basedOn w:val="Heading3"/>
    <w:qFormat/>
    <w:rsid w:val="00E072FD"/>
    <w:pPr>
      <w:spacing w:after="240"/>
      <w:outlineLvl w:val="3"/>
    </w:pPr>
  </w:style>
  <w:style w:type="paragraph" w:customStyle="1" w:styleId="Heading50">
    <w:name w:val="Heading 5 #"/>
    <w:basedOn w:val="Heading4"/>
    <w:qFormat/>
    <w:rsid w:val="003E2E95"/>
    <w:pPr>
      <w:ind w:left="862" w:hanging="862"/>
      <w:outlineLvl w:val="4"/>
    </w:pPr>
  </w:style>
  <w:style w:type="paragraph" w:customStyle="1" w:styleId="Heading3-Appendix">
    <w:name w:val="Heading 3 - Appendix"/>
    <w:basedOn w:val="Heading6"/>
    <w:qFormat/>
    <w:rsid w:val="003E2E95"/>
    <w:pPr>
      <w:outlineLvl w:val="2"/>
    </w:pPr>
  </w:style>
  <w:style w:type="paragraph" w:customStyle="1" w:styleId="Heading4-Appendix">
    <w:name w:val="Heading 4 - Appendix"/>
    <w:basedOn w:val="Heading7"/>
    <w:qFormat/>
    <w:rsid w:val="00561D83"/>
    <w:pPr>
      <w:ind w:left="357" w:hanging="357"/>
      <w:outlineLvl w:val="3"/>
    </w:pPr>
    <w:rPr>
      <w:rFonts w:ascii="Gotham Medium" w:hAnsi="Gotham Medium"/>
      <w:sz w:val="24"/>
    </w:rPr>
  </w:style>
  <w:style w:type="paragraph" w:customStyle="1" w:styleId="Heading60">
    <w:name w:val="Heading 6 #"/>
    <w:basedOn w:val="Heading5"/>
    <w:qFormat/>
    <w:rsid w:val="00F31715"/>
    <w:pPr>
      <w:ind w:left="1009" w:hanging="1009"/>
      <w:outlineLvl w:val="5"/>
    </w:pPr>
  </w:style>
  <w:style w:type="paragraph" w:customStyle="1" w:styleId="Yellowbox">
    <w:name w:val="Yellow box"/>
    <w:basedOn w:val="Boxed1Text"/>
    <w:qFormat/>
    <w:rsid w:val="00366AD9"/>
    <w:pPr>
      <w:pBdr>
        <w:top w:val="single" w:sz="4" w:space="14" w:color="F9A54F"/>
        <w:left w:val="single" w:sz="4" w:space="14" w:color="F9A54F"/>
        <w:bottom w:val="single" w:sz="4" w:space="14" w:color="F9A54F"/>
        <w:right w:val="single" w:sz="4" w:space="14" w:color="F9A54F"/>
      </w:pBdr>
      <w:shd w:val="clear" w:color="auto" w:fill="auto"/>
      <w:spacing w:before="240" w:after="240"/>
    </w:pPr>
    <w:rPr>
      <w:i/>
      <w:iCs/>
    </w:rPr>
  </w:style>
  <w:style w:type="character" w:styleId="PlaceholderText">
    <w:name w:val="Placeholder Text"/>
    <w:basedOn w:val="DefaultParagraphFont"/>
    <w:uiPriority w:val="99"/>
    <w:semiHidden/>
    <w:rsid w:val="00366A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591">
      <w:bodyDiv w:val="1"/>
      <w:marLeft w:val="0"/>
      <w:marRight w:val="0"/>
      <w:marTop w:val="0"/>
      <w:marBottom w:val="0"/>
      <w:divBdr>
        <w:top w:val="none" w:sz="0" w:space="0" w:color="auto"/>
        <w:left w:val="none" w:sz="0" w:space="0" w:color="auto"/>
        <w:bottom w:val="none" w:sz="0" w:space="0" w:color="auto"/>
        <w:right w:val="none" w:sz="0" w:space="0" w:color="auto"/>
      </w:divBdr>
    </w:div>
    <w:div w:id="86076865">
      <w:bodyDiv w:val="1"/>
      <w:marLeft w:val="0"/>
      <w:marRight w:val="0"/>
      <w:marTop w:val="0"/>
      <w:marBottom w:val="0"/>
      <w:divBdr>
        <w:top w:val="none" w:sz="0" w:space="0" w:color="auto"/>
        <w:left w:val="none" w:sz="0" w:space="0" w:color="auto"/>
        <w:bottom w:val="none" w:sz="0" w:space="0" w:color="auto"/>
        <w:right w:val="none" w:sz="0" w:space="0" w:color="auto"/>
      </w:divBdr>
    </w:div>
    <w:div w:id="101995917">
      <w:bodyDiv w:val="1"/>
      <w:marLeft w:val="0"/>
      <w:marRight w:val="0"/>
      <w:marTop w:val="0"/>
      <w:marBottom w:val="0"/>
      <w:divBdr>
        <w:top w:val="none" w:sz="0" w:space="0" w:color="auto"/>
        <w:left w:val="none" w:sz="0" w:space="0" w:color="auto"/>
        <w:bottom w:val="none" w:sz="0" w:space="0" w:color="auto"/>
        <w:right w:val="none" w:sz="0" w:space="0" w:color="auto"/>
      </w:divBdr>
    </w:div>
    <w:div w:id="115026555">
      <w:bodyDiv w:val="1"/>
      <w:marLeft w:val="0"/>
      <w:marRight w:val="0"/>
      <w:marTop w:val="0"/>
      <w:marBottom w:val="0"/>
      <w:divBdr>
        <w:top w:val="none" w:sz="0" w:space="0" w:color="auto"/>
        <w:left w:val="none" w:sz="0" w:space="0" w:color="auto"/>
        <w:bottom w:val="none" w:sz="0" w:space="0" w:color="auto"/>
        <w:right w:val="none" w:sz="0" w:space="0" w:color="auto"/>
      </w:divBdr>
    </w:div>
    <w:div w:id="132599858">
      <w:bodyDiv w:val="1"/>
      <w:marLeft w:val="0"/>
      <w:marRight w:val="0"/>
      <w:marTop w:val="0"/>
      <w:marBottom w:val="0"/>
      <w:divBdr>
        <w:top w:val="none" w:sz="0" w:space="0" w:color="auto"/>
        <w:left w:val="none" w:sz="0" w:space="0" w:color="auto"/>
        <w:bottom w:val="none" w:sz="0" w:space="0" w:color="auto"/>
        <w:right w:val="none" w:sz="0" w:space="0" w:color="auto"/>
      </w:divBdr>
    </w:div>
    <w:div w:id="169495084">
      <w:bodyDiv w:val="1"/>
      <w:marLeft w:val="0"/>
      <w:marRight w:val="0"/>
      <w:marTop w:val="0"/>
      <w:marBottom w:val="0"/>
      <w:divBdr>
        <w:top w:val="none" w:sz="0" w:space="0" w:color="auto"/>
        <w:left w:val="none" w:sz="0" w:space="0" w:color="auto"/>
        <w:bottom w:val="none" w:sz="0" w:space="0" w:color="auto"/>
        <w:right w:val="none" w:sz="0" w:space="0" w:color="auto"/>
      </w:divBdr>
    </w:div>
    <w:div w:id="221790850">
      <w:bodyDiv w:val="1"/>
      <w:marLeft w:val="0"/>
      <w:marRight w:val="0"/>
      <w:marTop w:val="0"/>
      <w:marBottom w:val="0"/>
      <w:divBdr>
        <w:top w:val="none" w:sz="0" w:space="0" w:color="auto"/>
        <w:left w:val="none" w:sz="0" w:space="0" w:color="auto"/>
        <w:bottom w:val="none" w:sz="0" w:space="0" w:color="auto"/>
        <w:right w:val="none" w:sz="0" w:space="0" w:color="auto"/>
      </w:divBdr>
    </w:div>
    <w:div w:id="240648828">
      <w:bodyDiv w:val="1"/>
      <w:marLeft w:val="0"/>
      <w:marRight w:val="0"/>
      <w:marTop w:val="0"/>
      <w:marBottom w:val="0"/>
      <w:divBdr>
        <w:top w:val="none" w:sz="0" w:space="0" w:color="auto"/>
        <w:left w:val="none" w:sz="0" w:space="0" w:color="auto"/>
        <w:bottom w:val="none" w:sz="0" w:space="0" w:color="auto"/>
        <w:right w:val="none" w:sz="0" w:space="0" w:color="auto"/>
      </w:divBdr>
      <w:divsChild>
        <w:div w:id="221184978">
          <w:marLeft w:val="0"/>
          <w:marRight w:val="0"/>
          <w:marTop w:val="0"/>
          <w:marBottom w:val="0"/>
          <w:divBdr>
            <w:top w:val="none" w:sz="0" w:space="0" w:color="auto"/>
            <w:left w:val="none" w:sz="0" w:space="0" w:color="auto"/>
            <w:bottom w:val="none" w:sz="0" w:space="0" w:color="auto"/>
            <w:right w:val="none" w:sz="0" w:space="0" w:color="auto"/>
          </w:divBdr>
        </w:div>
      </w:divsChild>
    </w:div>
    <w:div w:id="241572671">
      <w:bodyDiv w:val="1"/>
      <w:marLeft w:val="0"/>
      <w:marRight w:val="0"/>
      <w:marTop w:val="0"/>
      <w:marBottom w:val="0"/>
      <w:divBdr>
        <w:top w:val="none" w:sz="0" w:space="0" w:color="auto"/>
        <w:left w:val="none" w:sz="0" w:space="0" w:color="auto"/>
        <w:bottom w:val="none" w:sz="0" w:space="0" w:color="auto"/>
        <w:right w:val="none" w:sz="0" w:space="0" w:color="auto"/>
      </w:divBdr>
    </w:div>
    <w:div w:id="245114456">
      <w:bodyDiv w:val="1"/>
      <w:marLeft w:val="0"/>
      <w:marRight w:val="0"/>
      <w:marTop w:val="0"/>
      <w:marBottom w:val="0"/>
      <w:divBdr>
        <w:top w:val="none" w:sz="0" w:space="0" w:color="auto"/>
        <w:left w:val="none" w:sz="0" w:space="0" w:color="auto"/>
        <w:bottom w:val="none" w:sz="0" w:space="0" w:color="auto"/>
        <w:right w:val="none" w:sz="0" w:space="0" w:color="auto"/>
      </w:divBdr>
    </w:div>
    <w:div w:id="251083208">
      <w:bodyDiv w:val="1"/>
      <w:marLeft w:val="0"/>
      <w:marRight w:val="0"/>
      <w:marTop w:val="0"/>
      <w:marBottom w:val="0"/>
      <w:divBdr>
        <w:top w:val="none" w:sz="0" w:space="0" w:color="auto"/>
        <w:left w:val="none" w:sz="0" w:space="0" w:color="auto"/>
        <w:bottom w:val="none" w:sz="0" w:space="0" w:color="auto"/>
        <w:right w:val="none" w:sz="0" w:space="0" w:color="auto"/>
      </w:divBdr>
    </w:div>
    <w:div w:id="255335236">
      <w:bodyDiv w:val="1"/>
      <w:marLeft w:val="0"/>
      <w:marRight w:val="0"/>
      <w:marTop w:val="0"/>
      <w:marBottom w:val="0"/>
      <w:divBdr>
        <w:top w:val="none" w:sz="0" w:space="0" w:color="auto"/>
        <w:left w:val="none" w:sz="0" w:space="0" w:color="auto"/>
        <w:bottom w:val="none" w:sz="0" w:space="0" w:color="auto"/>
        <w:right w:val="none" w:sz="0" w:space="0" w:color="auto"/>
      </w:divBdr>
      <w:divsChild>
        <w:div w:id="199438623">
          <w:marLeft w:val="547"/>
          <w:marRight w:val="0"/>
          <w:marTop w:val="0"/>
          <w:marBottom w:val="0"/>
          <w:divBdr>
            <w:top w:val="none" w:sz="0" w:space="0" w:color="auto"/>
            <w:left w:val="none" w:sz="0" w:space="0" w:color="auto"/>
            <w:bottom w:val="none" w:sz="0" w:space="0" w:color="auto"/>
            <w:right w:val="none" w:sz="0" w:space="0" w:color="auto"/>
          </w:divBdr>
        </w:div>
        <w:div w:id="1581790881">
          <w:marLeft w:val="547"/>
          <w:marRight w:val="0"/>
          <w:marTop w:val="0"/>
          <w:marBottom w:val="0"/>
          <w:divBdr>
            <w:top w:val="none" w:sz="0" w:space="0" w:color="auto"/>
            <w:left w:val="none" w:sz="0" w:space="0" w:color="auto"/>
            <w:bottom w:val="none" w:sz="0" w:space="0" w:color="auto"/>
            <w:right w:val="none" w:sz="0" w:space="0" w:color="auto"/>
          </w:divBdr>
        </w:div>
        <w:div w:id="1741101255">
          <w:marLeft w:val="547"/>
          <w:marRight w:val="0"/>
          <w:marTop w:val="0"/>
          <w:marBottom w:val="0"/>
          <w:divBdr>
            <w:top w:val="none" w:sz="0" w:space="0" w:color="auto"/>
            <w:left w:val="none" w:sz="0" w:space="0" w:color="auto"/>
            <w:bottom w:val="none" w:sz="0" w:space="0" w:color="auto"/>
            <w:right w:val="none" w:sz="0" w:space="0" w:color="auto"/>
          </w:divBdr>
        </w:div>
      </w:divsChild>
    </w:div>
    <w:div w:id="297610742">
      <w:bodyDiv w:val="1"/>
      <w:marLeft w:val="0"/>
      <w:marRight w:val="0"/>
      <w:marTop w:val="0"/>
      <w:marBottom w:val="0"/>
      <w:divBdr>
        <w:top w:val="none" w:sz="0" w:space="0" w:color="auto"/>
        <w:left w:val="none" w:sz="0" w:space="0" w:color="auto"/>
        <w:bottom w:val="none" w:sz="0" w:space="0" w:color="auto"/>
        <w:right w:val="none" w:sz="0" w:space="0" w:color="auto"/>
      </w:divBdr>
    </w:div>
    <w:div w:id="330261695">
      <w:bodyDiv w:val="1"/>
      <w:marLeft w:val="0"/>
      <w:marRight w:val="0"/>
      <w:marTop w:val="0"/>
      <w:marBottom w:val="0"/>
      <w:divBdr>
        <w:top w:val="none" w:sz="0" w:space="0" w:color="auto"/>
        <w:left w:val="none" w:sz="0" w:space="0" w:color="auto"/>
        <w:bottom w:val="none" w:sz="0" w:space="0" w:color="auto"/>
        <w:right w:val="none" w:sz="0" w:space="0" w:color="auto"/>
      </w:divBdr>
    </w:div>
    <w:div w:id="361323743">
      <w:bodyDiv w:val="1"/>
      <w:marLeft w:val="0"/>
      <w:marRight w:val="0"/>
      <w:marTop w:val="0"/>
      <w:marBottom w:val="0"/>
      <w:divBdr>
        <w:top w:val="none" w:sz="0" w:space="0" w:color="auto"/>
        <w:left w:val="none" w:sz="0" w:space="0" w:color="auto"/>
        <w:bottom w:val="none" w:sz="0" w:space="0" w:color="auto"/>
        <w:right w:val="none" w:sz="0" w:space="0" w:color="auto"/>
      </w:divBdr>
    </w:div>
    <w:div w:id="404884079">
      <w:bodyDiv w:val="1"/>
      <w:marLeft w:val="0"/>
      <w:marRight w:val="0"/>
      <w:marTop w:val="0"/>
      <w:marBottom w:val="0"/>
      <w:divBdr>
        <w:top w:val="none" w:sz="0" w:space="0" w:color="auto"/>
        <w:left w:val="none" w:sz="0" w:space="0" w:color="auto"/>
        <w:bottom w:val="none" w:sz="0" w:space="0" w:color="auto"/>
        <w:right w:val="none" w:sz="0" w:space="0" w:color="auto"/>
      </w:divBdr>
      <w:divsChild>
        <w:div w:id="628903512">
          <w:marLeft w:val="547"/>
          <w:marRight w:val="0"/>
          <w:marTop w:val="0"/>
          <w:marBottom w:val="0"/>
          <w:divBdr>
            <w:top w:val="none" w:sz="0" w:space="0" w:color="auto"/>
            <w:left w:val="none" w:sz="0" w:space="0" w:color="auto"/>
            <w:bottom w:val="none" w:sz="0" w:space="0" w:color="auto"/>
            <w:right w:val="none" w:sz="0" w:space="0" w:color="auto"/>
          </w:divBdr>
        </w:div>
      </w:divsChild>
    </w:div>
    <w:div w:id="445150955">
      <w:bodyDiv w:val="1"/>
      <w:marLeft w:val="0"/>
      <w:marRight w:val="0"/>
      <w:marTop w:val="0"/>
      <w:marBottom w:val="0"/>
      <w:divBdr>
        <w:top w:val="none" w:sz="0" w:space="0" w:color="auto"/>
        <w:left w:val="none" w:sz="0" w:space="0" w:color="auto"/>
        <w:bottom w:val="none" w:sz="0" w:space="0" w:color="auto"/>
        <w:right w:val="none" w:sz="0" w:space="0" w:color="auto"/>
      </w:divBdr>
    </w:div>
    <w:div w:id="489370384">
      <w:bodyDiv w:val="1"/>
      <w:marLeft w:val="0"/>
      <w:marRight w:val="0"/>
      <w:marTop w:val="0"/>
      <w:marBottom w:val="0"/>
      <w:divBdr>
        <w:top w:val="none" w:sz="0" w:space="0" w:color="auto"/>
        <w:left w:val="none" w:sz="0" w:space="0" w:color="auto"/>
        <w:bottom w:val="none" w:sz="0" w:space="0" w:color="auto"/>
        <w:right w:val="none" w:sz="0" w:space="0" w:color="auto"/>
      </w:divBdr>
    </w:div>
    <w:div w:id="508299160">
      <w:bodyDiv w:val="1"/>
      <w:marLeft w:val="0"/>
      <w:marRight w:val="0"/>
      <w:marTop w:val="0"/>
      <w:marBottom w:val="0"/>
      <w:divBdr>
        <w:top w:val="none" w:sz="0" w:space="0" w:color="auto"/>
        <w:left w:val="none" w:sz="0" w:space="0" w:color="auto"/>
        <w:bottom w:val="none" w:sz="0" w:space="0" w:color="auto"/>
        <w:right w:val="none" w:sz="0" w:space="0" w:color="auto"/>
      </w:divBdr>
    </w:div>
    <w:div w:id="516775938">
      <w:bodyDiv w:val="1"/>
      <w:marLeft w:val="0"/>
      <w:marRight w:val="0"/>
      <w:marTop w:val="0"/>
      <w:marBottom w:val="0"/>
      <w:divBdr>
        <w:top w:val="none" w:sz="0" w:space="0" w:color="auto"/>
        <w:left w:val="none" w:sz="0" w:space="0" w:color="auto"/>
        <w:bottom w:val="none" w:sz="0" w:space="0" w:color="auto"/>
        <w:right w:val="none" w:sz="0" w:space="0" w:color="auto"/>
      </w:divBdr>
    </w:div>
    <w:div w:id="529488688">
      <w:bodyDiv w:val="1"/>
      <w:marLeft w:val="0"/>
      <w:marRight w:val="0"/>
      <w:marTop w:val="0"/>
      <w:marBottom w:val="0"/>
      <w:divBdr>
        <w:top w:val="none" w:sz="0" w:space="0" w:color="auto"/>
        <w:left w:val="none" w:sz="0" w:space="0" w:color="auto"/>
        <w:bottom w:val="none" w:sz="0" w:space="0" w:color="auto"/>
        <w:right w:val="none" w:sz="0" w:space="0" w:color="auto"/>
      </w:divBdr>
      <w:divsChild>
        <w:div w:id="185102034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578249912">
      <w:bodyDiv w:val="1"/>
      <w:marLeft w:val="0"/>
      <w:marRight w:val="0"/>
      <w:marTop w:val="0"/>
      <w:marBottom w:val="0"/>
      <w:divBdr>
        <w:top w:val="none" w:sz="0" w:space="0" w:color="auto"/>
        <w:left w:val="none" w:sz="0" w:space="0" w:color="auto"/>
        <w:bottom w:val="none" w:sz="0" w:space="0" w:color="auto"/>
        <w:right w:val="none" w:sz="0" w:space="0" w:color="auto"/>
      </w:divBdr>
    </w:div>
    <w:div w:id="594441903">
      <w:bodyDiv w:val="1"/>
      <w:marLeft w:val="0"/>
      <w:marRight w:val="0"/>
      <w:marTop w:val="0"/>
      <w:marBottom w:val="0"/>
      <w:divBdr>
        <w:top w:val="none" w:sz="0" w:space="0" w:color="auto"/>
        <w:left w:val="none" w:sz="0" w:space="0" w:color="auto"/>
        <w:bottom w:val="none" w:sz="0" w:space="0" w:color="auto"/>
        <w:right w:val="none" w:sz="0" w:space="0" w:color="auto"/>
      </w:divBdr>
    </w:div>
    <w:div w:id="618730486">
      <w:bodyDiv w:val="1"/>
      <w:marLeft w:val="0"/>
      <w:marRight w:val="0"/>
      <w:marTop w:val="0"/>
      <w:marBottom w:val="0"/>
      <w:divBdr>
        <w:top w:val="none" w:sz="0" w:space="0" w:color="auto"/>
        <w:left w:val="none" w:sz="0" w:space="0" w:color="auto"/>
        <w:bottom w:val="none" w:sz="0" w:space="0" w:color="auto"/>
        <w:right w:val="none" w:sz="0" w:space="0" w:color="auto"/>
      </w:divBdr>
    </w:div>
    <w:div w:id="644120477">
      <w:bodyDiv w:val="1"/>
      <w:marLeft w:val="0"/>
      <w:marRight w:val="0"/>
      <w:marTop w:val="0"/>
      <w:marBottom w:val="0"/>
      <w:divBdr>
        <w:top w:val="none" w:sz="0" w:space="0" w:color="auto"/>
        <w:left w:val="none" w:sz="0" w:space="0" w:color="auto"/>
        <w:bottom w:val="none" w:sz="0" w:space="0" w:color="auto"/>
        <w:right w:val="none" w:sz="0" w:space="0" w:color="auto"/>
      </w:divBdr>
      <w:divsChild>
        <w:div w:id="931668158">
          <w:marLeft w:val="0"/>
          <w:marRight w:val="0"/>
          <w:marTop w:val="0"/>
          <w:marBottom w:val="0"/>
          <w:divBdr>
            <w:top w:val="none" w:sz="0" w:space="0" w:color="auto"/>
            <w:left w:val="none" w:sz="0" w:space="0" w:color="auto"/>
            <w:bottom w:val="none" w:sz="0" w:space="0" w:color="auto"/>
            <w:right w:val="none" w:sz="0" w:space="0" w:color="auto"/>
          </w:divBdr>
        </w:div>
      </w:divsChild>
    </w:div>
    <w:div w:id="671107800">
      <w:bodyDiv w:val="1"/>
      <w:marLeft w:val="0"/>
      <w:marRight w:val="0"/>
      <w:marTop w:val="0"/>
      <w:marBottom w:val="0"/>
      <w:divBdr>
        <w:top w:val="none" w:sz="0" w:space="0" w:color="auto"/>
        <w:left w:val="none" w:sz="0" w:space="0" w:color="auto"/>
        <w:bottom w:val="none" w:sz="0" w:space="0" w:color="auto"/>
        <w:right w:val="none" w:sz="0" w:space="0" w:color="auto"/>
      </w:divBdr>
    </w:div>
    <w:div w:id="671953325">
      <w:bodyDiv w:val="1"/>
      <w:marLeft w:val="0"/>
      <w:marRight w:val="0"/>
      <w:marTop w:val="0"/>
      <w:marBottom w:val="0"/>
      <w:divBdr>
        <w:top w:val="none" w:sz="0" w:space="0" w:color="auto"/>
        <w:left w:val="none" w:sz="0" w:space="0" w:color="auto"/>
        <w:bottom w:val="none" w:sz="0" w:space="0" w:color="auto"/>
        <w:right w:val="none" w:sz="0" w:space="0" w:color="auto"/>
      </w:divBdr>
    </w:div>
    <w:div w:id="677578290">
      <w:bodyDiv w:val="1"/>
      <w:marLeft w:val="0"/>
      <w:marRight w:val="0"/>
      <w:marTop w:val="0"/>
      <w:marBottom w:val="0"/>
      <w:divBdr>
        <w:top w:val="none" w:sz="0" w:space="0" w:color="auto"/>
        <w:left w:val="none" w:sz="0" w:space="0" w:color="auto"/>
        <w:bottom w:val="none" w:sz="0" w:space="0" w:color="auto"/>
        <w:right w:val="none" w:sz="0" w:space="0" w:color="auto"/>
      </w:divBdr>
    </w:div>
    <w:div w:id="683440880">
      <w:bodyDiv w:val="1"/>
      <w:marLeft w:val="0"/>
      <w:marRight w:val="0"/>
      <w:marTop w:val="0"/>
      <w:marBottom w:val="0"/>
      <w:divBdr>
        <w:top w:val="none" w:sz="0" w:space="0" w:color="auto"/>
        <w:left w:val="none" w:sz="0" w:space="0" w:color="auto"/>
        <w:bottom w:val="none" w:sz="0" w:space="0" w:color="auto"/>
        <w:right w:val="none" w:sz="0" w:space="0" w:color="auto"/>
      </w:divBdr>
    </w:div>
    <w:div w:id="707683635">
      <w:bodyDiv w:val="1"/>
      <w:marLeft w:val="0"/>
      <w:marRight w:val="0"/>
      <w:marTop w:val="0"/>
      <w:marBottom w:val="0"/>
      <w:divBdr>
        <w:top w:val="none" w:sz="0" w:space="0" w:color="auto"/>
        <w:left w:val="none" w:sz="0" w:space="0" w:color="auto"/>
        <w:bottom w:val="none" w:sz="0" w:space="0" w:color="auto"/>
        <w:right w:val="none" w:sz="0" w:space="0" w:color="auto"/>
      </w:divBdr>
    </w:div>
    <w:div w:id="716903846">
      <w:bodyDiv w:val="1"/>
      <w:marLeft w:val="0"/>
      <w:marRight w:val="0"/>
      <w:marTop w:val="0"/>
      <w:marBottom w:val="0"/>
      <w:divBdr>
        <w:top w:val="none" w:sz="0" w:space="0" w:color="auto"/>
        <w:left w:val="none" w:sz="0" w:space="0" w:color="auto"/>
        <w:bottom w:val="none" w:sz="0" w:space="0" w:color="auto"/>
        <w:right w:val="none" w:sz="0" w:space="0" w:color="auto"/>
      </w:divBdr>
    </w:div>
    <w:div w:id="725682903">
      <w:bodyDiv w:val="1"/>
      <w:marLeft w:val="0"/>
      <w:marRight w:val="0"/>
      <w:marTop w:val="0"/>
      <w:marBottom w:val="0"/>
      <w:divBdr>
        <w:top w:val="none" w:sz="0" w:space="0" w:color="auto"/>
        <w:left w:val="none" w:sz="0" w:space="0" w:color="auto"/>
        <w:bottom w:val="none" w:sz="0" w:space="0" w:color="auto"/>
        <w:right w:val="none" w:sz="0" w:space="0" w:color="auto"/>
      </w:divBdr>
    </w:div>
    <w:div w:id="742025617">
      <w:bodyDiv w:val="1"/>
      <w:marLeft w:val="0"/>
      <w:marRight w:val="0"/>
      <w:marTop w:val="0"/>
      <w:marBottom w:val="0"/>
      <w:divBdr>
        <w:top w:val="none" w:sz="0" w:space="0" w:color="auto"/>
        <w:left w:val="none" w:sz="0" w:space="0" w:color="auto"/>
        <w:bottom w:val="none" w:sz="0" w:space="0" w:color="auto"/>
        <w:right w:val="none" w:sz="0" w:space="0" w:color="auto"/>
      </w:divBdr>
    </w:div>
    <w:div w:id="764810800">
      <w:bodyDiv w:val="1"/>
      <w:marLeft w:val="0"/>
      <w:marRight w:val="0"/>
      <w:marTop w:val="0"/>
      <w:marBottom w:val="0"/>
      <w:divBdr>
        <w:top w:val="none" w:sz="0" w:space="0" w:color="auto"/>
        <w:left w:val="none" w:sz="0" w:space="0" w:color="auto"/>
        <w:bottom w:val="none" w:sz="0" w:space="0" w:color="auto"/>
        <w:right w:val="none" w:sz="0" w:space="0" w:color="auto"/>
      </w:divBdr>
    </w:div>
    <w:div w:id="797574963">
      <w:bodyDiv w:val="1"/>
      <w:marLeft w:val="0"/>
      <w:marRight w:val="0"/>
      <w:marTop w:val="0"/>
      <w:marBottom w:val="0"/>
      <w:divBdr>
        <w:top w:val="none" w:sz="0" w:space="0" w:color="auto"/>
        <w:left w:val="none" w:sz="0" w:space="0" w:color="auto"/>
        <w:bottom w:val="none" w:sz="0" w:space="0" w:color="auto"/>
        <w:right w:val="none" w:sz="0" w:space="0" w:color="auto"/>
      </w:divBdr>
    </w:div>
    <w:div w:id="838353571">
      <w:bodyDiv w:val="1"/>
      <w:marLeft w:val="0"/>
      <w:marRight w:val="0"/>
      <w:marTop w:val="0"/>
      <w:marBottom w:val="0"/>
      <w:divBdr>
        <w:top w:val="none" w:sz="0" w:space="0" w:color="auto"/>
        <w:left w:val="none" w:sz="0" w:space="0" w:color="auto"/>
        <w:bottom w:val="none" w:sz="0" w:space="0" w:color="auto"/>
        <w:right w:val="none" w:sz="0" w:space="0" w:color="auto"/>
      </w:divBdr>
    </w:div>
    <w:div w:id="841435450">
      <w:bodyDiv w:val="1"/>
      <w:marLeft w:val="0"/>
      <w:marRight w:val="0"/>
      <w:marTop w:val="0"/>
      <w:marBottom w:val="0"/>
      <w:divBdr>
        <w:top w:val="none" w:sz="0" w:space="0" w:color="auto"/>
        <w:left w:val="none" w:sz="0" w:space="0" w:color="auto"/>
        <w:bottom w:val="none" w:sz="0" w:space="0" w:color="auto"/>
        <w:right w:val="none" w:sz="0" w:space="0" w:color="auto"/>
      </w:divBdr>
    </w:div>
    <w:div w:id="863592833">
      <w:bodyDiv w:val="1"/>
      <w:marLeft w:val="0"/>
      <w:marRight w:val="0"/>
      <w:marTop w:val="0"/>
      <w:marBottom w:val="0"/>
      <w:divBdr>
        <w:top w:val="none" w:sz="0" w:space="0" w:color="auto"/>
        <w:left w:val="none" w:sz="0" w:space="0" w:color="auto"/>
        <w:bottom w:val="none" w:sz="0" w:space="0" w:color="auto"/>
        <w:right w:val="none" w:sz="0" w:space="0" w:color="auto"/>
      </w:divBdr>
    </w:div>
    <w:div w:id="879174388">
      <w:bodyDiv w:val="1"/>
      <w:marLeft w:val="0"/>
      <w:marRight w:val="0"/>
      <w:marTop w:val="0"/>
      <w:marBottom w:val="0"/>
      <w:divBdr>
        <w:top w:val="none" w:sz="0" w:space="0" w:color="auto"/>
        <w:left w:val="none" w:sz="0" w:space="0" w:color="auto"/>
        <w:bottom w:val="none" w:sz="0" w:space="0" w:color="auto"/>
        <w:right w:val="none" w:sz="0" w:space="0" w:color="auto"/>
      </w:divBdr>
    </w:div>
    <w:div w:id="915242100">
      <w:bodyDiv w:val="1"/>
      <w:marLeft w:val="0"/>
      <w:marRight w:val="0"/>
      <w:marTop w:val="0"/>
      <w:marBottom w:val="0"/>
      <w:divBdr>
        <w:top w:val="none" w:sz="0" w:space="0" w:color="auto"/>
        <w:left w:val="none" w:sz="0" w:space="0" w:color="auto"/>
        <w:bottom w:val="none" w:sz="0" w:space="0" w:color="auto"/>
        <w:right w:val="none" w:sz="0" w:space="0" w:color="auto"/>
      </w:divBdr>
    </w:div>
    <w:div w:id="922254364">
      <w:bodyDiv w:val="1"/>
      <w:marLeft w:val="0"/>
      <w:marRight w:val="0"/>
      <w:marTop w:val="0"/>
      <w:marBottom w:val="0"/>
      <w:divBdr>
        <w:top w:val="none" w:sz="0" w:space="0" w:color="auto"/>
        <w:left w:val="none" w:sz="0" w:space="0" w:color="auto"/>
        <w:bottom w:val="none" w:sz="0" w:space="0" w:color="auto"/>
        <w:right w:val="none" w:sz="0" w:space="0" w:color="auto"/>
      </w:divBdr>
    </w:div>
    <w:div w:id="927886587">
      <w:bodyDiv w:val="1"/>
      <w:marLeft w:val="0"/>
      <w:marRight w:val="0"/>
      <w:marTop w:val="0"/>
      <w:marBottom w:val="0"/>
      <w:divBdr>
        <w:top w:val="none" w:sz="0" w:space="0" w:color="auto"/>
        <w:left w:val="none" w:sz="0" w:space="0" w:color="auto"/>
        <w:bottom w:val="none" w:sz="0" w:space="0" w:color="auto"/>
        <w:right w:val="none" w:sz="0" w:space="0" w:color="auto"/>
      </w:divBdr>
    </w:div>
    <w:div w:id="928277229">
      <w:bodyDiv w:val="1"/>
      <w:marLeft w:val="0"/>
      <w:marRight w:val="0"/>
      <w:marTop w:val="0"/>
      <w:marBottom w:val="0"/>
      <w:divBdr>
        <w:top w:val="none" w:sz="0" w:space="0" w:color="auto"/>
        <w:left w:val="none" w:sz="0" w:space="0" w:color="auto"/>
        <w:bottom w:val="none" w:sz="0" w:space="0" w:color="auto"/>
        <w:right w:val="none" w:sz="0" w:space="0" w:color="auto"/>
      </w:divBdr>
    </w:div>
    <w:div w:id="936911474">
      <w:bodyDiv w:val="1"/>
      <w:marLeft w:val="0"/>
      <w:marRight w:val="0"/>
      <w:marTop w:val="0"/>
      <w:marBottom w:val="0"/>
      <w:divBdr>
        <w:top w:val="none" w:sz="0" w:space="0" w:color="auto"/>
        <w:left w:val="none" w:sz="0" w:space="0" w:color="auto"/>
        <w:bottom w:val="none" w:sz="0" w:space="0" w:color="auto"/>
        <w:right w:val="none" w:sz="0" w:space="0" w:color="auto"/>
      </w:divBdr>
    </w:div>
    <w:div w:id="944847752">
      <w:bodyDiv w:val="1"/>
      <w:marLeft w:val="0"/>
      <w:marRight w:val="0"/>
      <w:marTop w:val="0"/>
      <w:marBottom w:val="0"/>
      <w:divBdr>
        <w:top w:val="none" w:sz="0" w:space="0" w:color="auto"/>
        <w:left w:val="none" w:sz="0" w:space="0" w:color="auto"/>
        <w:bottom w:val="none" w:sz="0" w:space="0" w:color="auto"/>
        <w:right w:val="none" w:sz="0" w:space="0" w:color="auto"/>
      </w:divBdr>
    </w:div>
    <w:div w:id="964239804">
      <w:bodyDiv w:val="1"/>
      <w:marLeft w:val="0"/>
      <w:marRight w:val="0"/>
      <w:marTop w:val="0"/>
      <w:marBottom w:val="0"/>
      <w:divBdr>
        <w:top w:val="none" w:sz="0" w:space="0" w:color="auto"/>
        <w:left w:val="none" w:sz="0" w:space="0" w:color="auto"/>
        <w:bottom w:val="none" w:sz="0" w:space="0" w:color="auto"/>
        <w:right w:val="none" w:sz="0" w:space="0" w:color="auto"/>
      </w:divBdr>
    </w:div>
    <w:div w:id="965962174">
      <w:bodyDiv w:val="1"/>
      <w:marLeft w:val="0"/>
      <w:marRight w:val="0"/>
      <w:marTop w:val="0"/>
      <w:marBottom w:val="0"/>
      <w:divBdr>
        <w:top w:val="none" w:sz="0" w:space="0" w:color="auto"/>
        <w:left w:val="none" w:sz="0" w:space="0" w:color="auto"/>
        <w:bottom w:val="none" w:sz="0" w:space="0" w:color="auto"/>
        <w:right w:val="none" w:sz="0" w:space="0" w:color="auto"/>
      </w:divBdr>
    </w:div>
    <w:div w:id="1014767461">
      <w:bodyDiv w:val="1"/>
      <w:marLeft w:val="0"/>
      <w:marRight w:val="0"/>
      <w:marTop w:val="0"/>
      <w:marBottom w:val="0"/>
      <w:divBdr>
        <w:top w:val="none" w:sz="0" w:space="0" w:color="auto"/>
        <w:left w:val="none" w:sz="0" w:space="0" w:color="auto"/>
        <w:bottom w:val="none" w:sz="0" w:space="0" w:color="auto"/>
        <w:right w:val="none" w:sz="0" w:space="0" w:color="auto"/>
      </w:divBdr>
    </w:div>
    <w:div w:id="1024139710">
      <w:bodyDiv w:val="1"/>
      <w:marLeft w:val="0"/>
      <w:marRight w:val="0"/>
      <w:marTop w:val="0"/>
      <w:marBottom w:val="0"/>
      <w:divBdr>
        <w:top w:val="none" w:sz="0" w:space="0" w:color="auto"/>
        <w:left w:val="none" w:sz="0" w:space="0" w:color="auto"/>
        <w:bottom w:val="none" w:sz="0" w:space="0" w:color="auto"/>
        <w:right w:val="none" w:sz="0" w:space="0" w:color="auto"/>
      </w:divBdr>
      <w:divsChild>
        <w:div w:id="97144576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106077123">
      <w:bodyDiv w:val="1"/>
      <w:marLeft w:val="0"/>
      <w:marRight w:val="0"/>
      <w:marTop w:val="0"/>
      <w:marBottom w:val="0"/>
      <w:divBdr>
        <w:top w:val="none" w:sz="0" w:space="0" w:color="auto"/>
        <w:left w:val="none" w:sz="0" w:space="0" w:color="auto"/>
        <w:bottom w:val="none" w:sz="0" w:space="0" w:color="auto"/>
        <w:right w:val="none" w:sz="0" w:space="0" w:color="auto"/>
      </w:divBdr>
    </w:div>
    <w:div w:id="1117724663">
      <w:bodyDiv w:val="1"/>
      <w:marLeft w:val="0"/>
      <w:marRight w:val="0"/>
      <w:marTop w:val="0"/>
      <w:marBottom w:val="0"/>
      <w:divBdr>
        <w:top w:val="none" w:sz="0" w:space="0" w:color="auto"/>
        <w:left w:val="none" w:sz="0" w:space="0" w:color="auto"/>
        <w:bottom w:val="none" w:sz="0" w:space="0" w:color="auto"/>
        <w:right w:val="none" w:sz="0" w:space="0" w:color="auto"/>
      </w:divBdr>
    </w:div>
    <w:div w:id="1194075231">
      <w:bodyDiv w:val="1"/>
      <w:marLeft w:val="0"/>
      <w:marRight w:val="0"/>
      <w:marTop w:val="0"/>
      <w:marBottom w:val="0"/>
      <w:divBdr>
        <w:top w:val="none" w:sz="0" w:space="0" w:color="auto"/>
        <w:left w:val="none" w:sz="0" w:space="0" w:color="auto"/>
        <w:bottom w:val="none" w:sz="0" w:space="0" w:color="auto"/>
        <w:right w:val="none" w:sz="0" w:space="0" w:color="auto"/>
      </w:divBdr>
      <w:divsChild>
        <w:div w:id="274943509">
          <w:marLeft w:val="0"/>
          <w:marRight w:val="0"/>
          <w:marTop w:val="0"/>
          <w:marBottom w:val="0"/>
          <w:divBdr>
            <w:top w:val="none" w:sz="0" w:space="0" w:color="auto"/>
            <w:left w:val="none" w:sz="0" w:space="0" w:color="auto"/>
            <w:bottom w:val="none" w:sz="0" w:space="0" w:color="auto"/>
            <w:right w:val="none" w:sz="0" w:space="0" w:color="auto"/>
          </w:divBdr>
        </w:div>
        <w:div w:id="465704605">
          <w:marLeft w:val="0"/>
          <w:marRight w:val="0"/>
          <w:marTop w:val="0"/>
          <w:marBottom w:val="0"/>
          <w:divBdr>
            <w:top w:val="none" w:sz="0" w:space="0" w:color="auto"/>
            <w:left w:val="none" w:sz="0" w:space="0" w:color="auto"/>
            <w:bottom w:val="none" w:sz="0" w:space="0" w:color="auto"/>
            <w:right w:val="none" w:sz="0" w:space="0" w:color="auto"/>
          </w:divBdr>
        </w:div>
        <w:div w:id="551385890">
          <w:marLeft w:val="0"/>
          <w:marRight w:val="0"/>
          <w:marTop w:val="0"/>
          <w:marBottom w:val="0"/>
          <w:divBdr>
            <w:top w:val="none" w:sz="0" w:space="0" w:color="auto"/>
            <w:left w:val="none" w:sz="0" w:space="0" w:color="auto"/>
            <w:bottom w:val="none" w:sz="0" w:space="0" w:color="auto"/>
            <w:right w:val="none" w:sz="0" w:space="0" w:color="auto"/>
          </w:divBdr>
        </w:div>
        <w:div w:id="1853449158">
          <w:marLeft w:val="0"/>
          <w:marRight w:val="0"/>
          <w:marTop w:val="0"/>
          <w:marBottom w:val="0"/>
          <w:divBdr>
            <w:top w:val="none" w:sz="0" w:space="0" w:color="auto"/>
            <w:left w:val="none" w:sz="0" w:space="0" w:color="auto"/>
            <w:bottom w:val="none" w:sz="0" w:space="0" w:color="auto"/>
            <w:right w:val="none" w:sz="0" w:space="0" w:color="auto"/>
          </w:divBdr>
        </w:div>
        <w:div w:id="2129810834">
          <w:marLeft w:val="0"/>
          <w:marRight w:val="0"/>
          <w:marTop w:val="0"/>
          <w:marBottom w:val="0"/>
          <w:divBdr>
            <w:top w:val="none" w:sz="0" w:space="0" w:color="auto"/>
            <w:left w:val="none" w:sz="0" w:space="0" w:color="auto"/>
            <w:bottom w:val="none" w:sz="0" w:space="0" w:color="auto"/>
            <w:right w:val="none" w:sz="0" w:space="0" w:color="auto"/>
          </w:divBdr>
        </w:div>
      </w:divsChild>
    </w:div>
    <w:div w:id="1202285820">
      <w:bodyDiv w:val="1"/>
      <w:marLeft w:val="0"/>
      <w:marRight w:val="0"/>
      <w:marTop w:val="0"/>
      <w:marBottom w:val="0"/>
      <w:divBdr>
        <w:top w:val="none" w:sz="0" w:space="0" w:color="auto"/>
        <w:left w:val="none" w:sz="0" w:space="0" w:color="auto"/>
        <w:bottom w:val="none" w:sz="0" w:space="0" w:color="auto"/>
        <w:right w:val="none" w:sz="0" w:space="0" w:color="auto"/>
      </w:divBdr>
    </w:div>
    <w:div w:id="1203404235">
      <w:bodyDiv w:val="1"/>
      <w:marLeft w:val="0"/>
      <w:marRight w:val="0"/>
      <w:marTop w:val="0"/>
      <w:marBottom w:val="0"/>
      <w:divBdr>
        <w:top w:val="none" w:sz="0" w:space="0" w:color="auto"/>
        <w:left w:val="none" w:sz="0" w:space="0" w:color="auto"/>
        <w:bottom w:val="none" w:sz="0" w:space="0" w:color="auto"/>
        <w:right w:val="none" w:sz="0" w:space="0" w:color="auto"/>
      </w:divBdr>
    </w:div>
    <w:div w:id="1233269601">
      <w:bodyDiv w:val="1"/>
      <w:marLeft w:val="0"/>
      <w:marRight w:val="0"/>
      <w:marTop w:val="0"/>
      <w:marBottom w:val="0"/>
      <w:divBdr>
        <w:top w:val="none" w:sz="0" w:space="0" w:color="auto"/>
        <w:left w:val="none" w:sz="0" w:space="0" w:color="auto"/>
        <w:bottom w:val="none" w:sz="0" w:space="0" w:color="auto"/>
        <w:right w:val="none" w:sz="0" w:space="0" w:color="auto"/>
      </w:divBdr>
      <w:divsChild>
        <w:div w:id="1855419552">
          <w:marLeft w:val="547"/>
          <w:marRight w:val="0"/>
          <w:marTop w:val="0"/>
          <w:marBottom w:val="0"/>
          <w:divBdr>
            <w:top w:val="none" w:sz="0" w:space="0" w:color="auto"/>
            <w:left w:val="none" w:sz="0" w:space="0" w:color="auto"/>
            <w:bottom w:val="none" w:sz="0" w:space="0" w:color="auto"/>
            <w:right w:val="none" w:sz="0" w:space="0" w:color="auto"/>
          </w:divBdr>
        </w:div>
      </w:divsChild>
    </w:div>
    <w:div w:id="1247960083">
      <w:bodyDiv w:val="1"/>
      <w:marLeft w:val="0"/>
      <w:marRight w:val="0"/>
      <w:marTop w:val="0"/>
      <w:marBottom w:val="0"/>
      <w:divBdr>
        <w:top w:val="none" w:sz="0" w:space="0" w:color="auto"/>
        <w:left w:val="none" w:sz="0" w:space="0" w:color="auto"/>
        <w:bottom w:val="none" w:sz="0" w:space="0" w:color="auto"/>
        <w:right w:val="none" w:sz="0" w:space="0" w:color="auto"/>
      </w:divBdr>
    </w:div>
    <w:div w:id="1276861112">
      <w:bodyDiv w:val="1"/>
      <w:marLeft w:val="0"/>
      <w:marRight w:val="0"/>
      <w:marTop w:val="0"/>
      <w:marBottom w:val="0"/>
      <w:divBdr>
        <w:top w:val="none" w:sz="0" w:space="0" w:color="auto"/>
        <w:left w:val="none" w:sz="0" w:space="0" w:color="auto"/>
        <w:bottom w:val="none" w:sz="0" w:space="0" w:color="auto"/>
        <w:right w:val="none" w:sz="0" w:space="0" w:color="auto"/>
      </w:divBdr>
      <w:divsChild>
        <w:div w:id="1995140229">
          <w:marLeft w:val="547"/>
          <w:marRight w:val="0"/>
          <w:marTop w:val="0"/>
          <w:marBottom w:val="0"/>
          <w:divBdr>
            <w:top w:val="none" w:sz="0" w:space="0" w:color="auto"/>
            <w:left w:val="none" w:sz="0" w:space="0" w:color="auto"/>
            <w:bottom w:val="none" w:sz="0" w:space="0" w:color="auto"/>
            <w:right w:val="none" w:sz="0" w:space="0" w:color="auto"/>
          </w:divBdr>
        </w:div>
      </w:divsChild>
    </w:div>
    <w:div w:id="1296329783">
      <w:bodyDiv w:val="1"/>
      <w:marLeft w:val="0"/>
      <w:marRight w:val="0"/>
      <w:marTop w:val="0"/>
      <w:marBottom w:val="0"/>
      <w:divBdr>
        <w:top w:val="none" w:sz="0" w:space="0" w:color="auto"/>
        <w:left w:val="none" w:sz="0" w:space="0" w:color="auto"/>
        <w:bottom w:val="none" w:sz="0" w:space="0" w:color="auto"/>
        <w:right w:val="none" w:sz="0" w:space="0" w:color="auto"/>
      </w:divBdr>
    </w:div>
    <w:div w:id="1305742523">
      <w:bodyDiv w:val="1"/>
      <w:marLeft w:val="0"/>
      <w:marRight w:val="0"/>
      <w:marTop w:val="0"/>
      <w:marBottom w:val="0"/>
      <w:divBdr>
        <w:top w:val="none" w:sz="0" w:space="0" w:color="auto"/>
        <w:left w:val="none" w:sz="0" w:space="0" w:color="auto"/>
        <w:bottom w:val="none" w:sz="0" w:space="0" w:color="auto"/>
        <w:right w:val="none" w:sz="0" w:space="0" w:color="auto"/>
      </w:divBdr>
    </w:div>
    <w:div w:id="1330331224">
      <w:bodyDiv w:val="1"/>
      <w:marLeft w:val="0"/>
      <w:marRight w:val="0"/>
      <w:marTop w:val="0"/>
      <w:marBottom w:val="0"/>
      <w:divBdr>
        <w:top w:val="none" w:sz="0" w:space="0" w:color="auto"/>
        <w:left w:val="none" w:sz="0" w:space="0" w:color="auto"/>
        <w:bottom w:val="none" w:sz="0" w:space="0" w:color="auto"/>
        <w:right w:val="none" w:sz="0" w:space="0" w:color="auto"/>
      </w:divBdr>
    </w:div>
    <w:div w:id="1339888221">
      <w:bodyDiv w:val="1"/>
      <w:marLeft w:val="0"/>
      <w:marRight w:val="0"/>
      <w:marTop w:val="0"/>
      <w:marBottom w:val="0"/>
      <w:divBdr>
        <w:top w:val="none" w:sz="0" w:space="0" w:color="auto"/>
        <w:left w:val="none" w:sz="0" w:space="0" w:color="auto"/>
        <w:bottom w:val="none" w:sz="0" w:space="0" w:color="auto"/>
        <w:right w:val="none" w:sz="0" w:space="0" w:color="auto"/>
      </w:divBdr>
      <w:divsChild>
        <w:div w:id="1843816434">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343823719">
      <w:bodyDiv w:val="1"/>
      <w:marLeft w:val="0"/>
      <w:marRight w:val="0"/>
      <w:marTop w:val="0"/>
      <w:marBottom w:val="0"/>
      <w:divBdr>
        <w:top w:val="none" w:sz="0" w:space="0" w:color="auto"/>
        <w:left w:val="none" w:sz="0" w:space="0" w:color="auto"/>
        <w:bottom w:val="none" w:sz="0" w:space="0" w:color="auto"/>
        <w:right w:val="none" w:sz="0" w:space="0" w:color="auto"/>
      </w:divBdr>
      <w:divsChild>
        <w:div w:id="1514148713">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358461797">
      <w:bodyDiv w:val="1"/>
      <w:marLeft w:val="0"/>
      <w:marRight w:val="0"/>
      <w:marTop w:val="0"/>
      <w:marBottom w:val="0"/>
      <w:divBdr>
        <w:top w:val="none" w:sz="0" w:space="0" w:color="auto"/>
        <w:left w:val="none" w:sz="0" w:space="0" w:color="auto"/>
        <w:bottom w:val="none" w:sz="0" w:space="0" w:color="auto"/>
        <w:right w:val="none" w:sz="0" w:space="0" w:color="auto"/>
      </w:divBdr>
    </w:div>
    <w:div w:id="1421759199">
      <w:bodyDiv w:val="1"/>
      <w:marLeft w:val="0"/>
      <w:marRight w:val="0"/>
      <w:marTop w:val="0"/>
      <w:marBottom w:val="0"/>
      <w:divBdr>
        <w:top w:val="none" w:sz="0" w:space="0" w:color="auto"/>
        <w:left w:val="none" w:sz="0" w:space="0" w:color="auto"/>
        <w:bottom w:val="none" w:sz="0" w:space="0" w:color="auto"/>
        <w:right w:val="none" w:sz="0" w:space="0" w:color="auto"/>
      </w:divBdr>
    </w:div>
    <w:div w:id="1425956373">
      <w:bodyDiv w:val="1"/>
      <w:marLeft w:val="0"/>
      <w:marRight w:val="0"/>
      <w:marTop w:val="0"/>
      <w:marBottom w:val="0"/>
      <w:divBdr>
        <w:top w:val="none" w:sz="0" w:space="0" w:color="auto"/>
        <w:left w:val="none" w:sz="0" w:space="0" w:color="auto"/>
        <w:bottom w:val="none" w:sz="0" w:space="0" w:color="auto"/>
        <w:right w:val="none" w:sz="0" w:space="0" w:color="auto"/>
      </w:divBdr>
    </w:div>
    <w:div w:id="1432243760">
      <w:bodyDiv w:val="1"/>
      <w:marLeft w:val="0"/>
      <w:marRight w:val="0"/>
      <w:marTop w:val="0"/>
      <w:marBottom w:val="0"/>
      <w:divBdr>
        <w:top w:val="none" w:sz="0" w:space="0" w:color="auto"/>
        <w:left w:val="none" w:sz="0" w:space="0" w:color="auto"/>
        <w:bottom w:val="none" w:sz="0" w:space="0" w:color="auto"/>
        <w:right w:val="none" w:sz="0" w:space="0" w:color="auto"/>
      </w:divBdr>
    </w:div>
    <w:div w:id="1447238848">
      <w:bodyDiv w:val="1"/>
      <w:marLeft w:val="0"/>
      <w:marRight w:val="0"/>
      <w:marTop w:val="0"/>
      <w:marBottom w:val="0"/>
      <w:divBdr>
        <w:top w:val="none" w:sz="0" w:space="0" w:color="auto"/>
        <w:left w:val="none" w:sz="0" w:space="0" w:color="auto"/>
        <w:bottom w:val="none" w:sz="0" w:space="0" w:color="auto"/>
        <w:right w:val="none" w:sz="0" w:space="0" w:color="auto"/>
      </w:divBdr>
    </w:div>
    <w:div w:id="1450392863">
      <w:bodyDiv w:val="1"/>
      <w:marLeft w:val="0"/>
      <w:marRight w:val="0"/>
      <w:marTop w:val="0"/>
      <w:marBottom w:val="0"/>
      <w:divBdr>
        <w:top w:val="none" w:sz="0" w:space="0" w:color="auto"/>
        <w:left w:val="none" w:sz="0" w:space="0" w:color="auto"/>
        <w:bottom w:val="none" w:sz="0" w:space="0" w:color="auto"/>
        <w:right w:val="none" w:sz="0" w:space="0" w:color="auto"/>
      </w:divBdr>
    </w:div>
    <w:div w:id="1517386108">
      <w:bodyDiv w:val="1"/>
      <w:marLeft w:val="0"/>
      <w:marRight w:val="0"/>
      <w:marTop w:val="0"/>
      <w:marBottom w:val="0"/>
      <w:divBdr>
        <w:top w:val="none" w:sz="0" w:space="0" w:color="auto"/>
        <w:left w:val="none" w:sz="0" w:space="0" w:color="auto"/>
        <w:bottom w:val="none" w:sz="0" w:space="0" w:color="auto"/>
        <w:right w:val="none" w:sz="0" w:space="0" w:color="auto"/>
      </w:divBdr>
    </w:div>
    <w:div w:id="1588343352">
      <w:bodyDiv w:val="1"/>
      <w:marLeft w:val="0"/>
      <w:marRight w:val="0"/>
      <w:marTop w:val="0"/>
      <w:marBottom w:val="0"/>
      <w:divBdr>
        <w:top w:val="none" w:sz="0" w:space="0" w:color="auto"/>
        <w:left w:val="none" w:sz="0" w:space="0" w:color="auto"/>
        <w:bottom w:val="none" w:sz="0" w:space="0" w:color="auto"/>
        <w:right w:val="none" w:sz="0" w:space="0" w:color="auto"/>
      </w:divBdr>
    </w:div>
    <w:div w:id="1609040826">
      <w:bodyDiv w:val="1"/>
      <w:marLeft w:val="0"/>
      <w:marRight w:val="0"/>
      <w:marTop w:val="0"/>
      <w:marBottom w:val="0"/>
      <w:divBdr>
        <w:top w:val="none" w:sz="0" w:space="0" w:color="auto"/>
        <w:left w:val="none" w:sz="0" w:space="0" w:color="auto"/>
        <w:bottom w:val="none" w:sz="0" w:space="0" w:color="auto"/>
        <w:right w:val="none" w:sz="0" w:space="0" w:color="auto"/>
      </w:divBdr>
    </w:div>
    <w:div w:id="1687437176">
      <w:bodyDiv w:val="1"/>
      <w:marLeft w:val="0"/>
      <w:marRight w:val="0"/>
      <w:marTop w:val="0"/>
      <w:marBottom w:val="0"/>
      <w:divBdr>
        <w:top w:val="none" w:sz="0" w:space="0" w:color="auto"/>
        <w:left w:val="none" w:sz="0" w:space="0" w:color="auto"/>
        <w:bottom w:val="none" w:sz="0" w:space="0" w:color="auto"/>
        <w:right w:val="none" w:sz="0" w:space="0" w:color="auto"/>
      </w:divBdr>
    </w:div>
    <w:div w:id="1699886926">
      <w:bodyDiv w:val="1"/>
      <w:marLeft w:val="0"/>
      <w:marRight w:val="0"/>
      <w:marTop w:val="0"/>
      <w:marBottom w:val="0"/>
      <w:divBdr>
        <w:top w:val="none" w:sz="0" w:space="0" w:color="auto"/>
        <w:left w:val="none" w:sz="0" w:space="0" w:color="auto"/>
        <w:bottom w:val="none" w:sz="0" w:space="0" w:color="auto"/>
        <w:right w:val="none" w:sz="0" w:space="0" w:color="auto"/>
      </w:divBdr>
    </w:div>
    <w:div w:id="1705666137">
      <w:bodyDiv w:val="1"/>
      <w:marLeft w:val="0"/>
      <w:marRight w:val="0"/>
      <w:marTop w:val="0"/>
      <w:marBottom w:val="0"/>
      <w:divBdr>
        <w:top w:val="none" w:sz="0" w:space="0" w:color="auto"/>
        <w:left w:val="none" w:sz="0" w:space="0" w:color="auto"/>
        <w:bottom w:val="none" w:sz="0" w:space="0" w:color="auto"/>
        <w:right w:val="none" w:sz="0" w:space="0" w:color="auto"/>
      </w:divBdr>
    </w:div>
    <w:div w:id="1752967471">
      <w:bodyDiv w:val="1"/>
      <w:marLeft w:val="0"/>
      <w:marRight w:val="0"/>
      <w:marTop w:val="0"/>
      <w:marBottom w:val="0"/>
      <w:divBdr>
        <w:top w:val="none" w:sz="0" w:space="0" w:color="auto"/>
        <w:left w:val="none" w:sz="0" w:space="0" w:color="auto"/>
        <w:bottom w:val="none" w:sz="0" w:space="0" w:color="auto"/>
        <w:right w:val="none" w:sz="0" w:space="0" w:color="auto"/>
      </w:divBdr>
    </w:div>
    <w:div w:id="1767996576">
      <w:bodyDiv w:val="1"/>
      <w:marLeft w:val="0"/>
      <w:marRight w:val="0"/>
      <w:marTop w:val="0"/>
      <w:marBottom w:val="0"/>
      <w:divBdr>
        <w:top w:val="none" w:sz="0" w:space="0" w:color="auto"/>
        <w:left w:val="none" w:sz="0" w:space="0" w:color="auto"/>
        <w:bottom w:val="none" w:sz="0" w:space="0" w:color="auto"/>
        <w:right w:val="none" w:sz="0" w:space="0" w:color="auto"/>
      </w:divBdr>
      <w:divsChild>
        <w:div w:id="590823248">
          <w:marLeft w:val="547"/>
          <w:marRight w:val="0"/>
          <w:marTop w:val="0"/>
          <w:marBottom w:val="0"/>
          <w:divBdr>
            <w:top w:val="none" w:sz="0" w:space="0" w:color="auto"/>
            <w:left w:val="none" w:sz="0" w:space="0" w:color="auto"/>
            <w:bottom w:val="none" w:sz="0" w:space="0" w:color="auto"/>
            <w:right w:val="none" w:sz="0" w:space="0" w:color="auto"/>
          </w:divBdr>
        </w:div>
      </w:divsChild>
    </w:div>
    <w:div w:id="1782718726">
      <w:bodyDiv w:val="1"/>
      <w:marLeft w:val="0"/>
      <w:marRight w:val="0"/>
      <w:marTop w:val="0"/>
      <w:marBottom w:val="0"/>
      <w:divBdr>
        <w:top w:val="none" w:sz="0" w:space="0" w:color="auto"/>
        <w:left w:val="none" w:sz="0" w:space="0" w:color="auto"/>
        <w:bottom w:val="none" w:sz="0" w:space="0" w:color="auto"/>
        <w:right w:val="none" w:sz="0" w:space="0" w:color="auto"/>
      </w:divBdr>
    </w:div>
    <w:div w:id="1802065644">
      <w:bodyDiv w:val="1"/>
      <w:marLeft w:val="0"/>
      <w:marRight w:val="0"/>
      <w:marTop w:val="0"/>
      <w:marBottom w:val="0"/>
      <w:divBdr>
        <w:top w:val="none" w:sz="0" w:space="0" w:color="auto"/>
        <w:left w:val="none" w:sz="0" w:space="0" w:color="auto"/>
        <w:bottom w:val="none" w:sz="0" w:space="0" w:color="auto"/>
        <w:right w:val="none" w:sz="0" w:space="0" w:color="auto"/>
      </w:divBdr>
    </w:div>
    <w:div w:id="1808084620">
      <w:bodyDiv w:val="1"/>
      <w:marLeft w:val="0"/>
      <w:marRight w:val="0"/>
      <w:marTop w:val="0"/>
      <w:marBottom w:val="0"/>
      <w:divBdr>
        <w:top w:val="none" w:sz="0" w:space="0" w:color="auto"/>
        <w:left w:val="none" w:sz="0" w:space="0" w:color="auto"/>
        <w:bottom w:val="none" w:sz="0" w:space="0" w:color="auto"/>
        <w:right w:val="none" w:sz="0" w:space="0" w:color="auto"/>
      </w:divBdr>
    </w:div>
    <w:div w:id="1834493932">
      <w:bodyDiv w:val="1"/>
      <w:marLeft w:val="0"/>
      <w:marRight w:val="0"/>
      <w:marTop w:val="0"/>
      <w:marBottom w:val="0"/>
      <w:divBdr>
        <w:top w:val="none" w:sz="0" w:space="0" w:color="auto"/>
        <w:left w:val="none" w:sz="0" w:space="0" w:color="auto"/>
        <w:bottom w:val="none" w:sz="0" w:space="0" w:color="auto"/>
        <w:right w:val="none" w:sz="0" w:space="0" w:color="auto"/>
      </w:divBdr>
    </w:div>
    <w:div w:id="1883203133">
      <w:bodyDiv w:val="1"/>
      <w:marLeft w:val="0"/>
      <w:marRight w:val="0"/>
      <w:marTop w:val="0"/>
      <w:marBottom w:val="0"/>
      <w:divBdr>
        <w:top w:val="none" w:sz="0" w:space="0" w:color="auto"/>
        <w:left w:val="none" w:sz="0" w:space="0" w:color="auto"/>
        <w:bottom w:val="none" w:sz="0" w:space="0" w:color="auto"/>
        <w:right w:val="none" w:sz="0" w:space="0" w:color="auto"/>
      </w:divBdr>
    </w:div>
    <w:div w:id="1916160839">
      <w:bodyDiv w:val="1"/>
      <w:marLeft w:val="0"/>
      <w:marRight w:val="0"/>
      <w:marTop w:val="0"/>
      <w:marBottom w:val="0"/>
      <w:divBdr>
        <w:top w:val="none" w:sz="0" w:space="0" w:color="auto"/>
        <w:left w:val="none" w:sz="0" w:space="0" w:color="auto"/>
        <w:bottom w:val="none" w:sz="0" w:space="0" w:color="auto"/>
        <w:right w:val="none" w:sz="0" w:space="0" w:color="auto"/>
      </w:divBdr>
    </w:div>
    <w:div w:id="1970092489">
      <w:bodyDiv w:val="1"/>
      <w:marLeft w:val="0"/>
      <w:marRight w:val="0"/>
      <w:marTop w:val="0"/>
      <w:marBottom w:val="0"/>
      <w:divBdr>
        <w:top w:val="none" w:sz="0" w:space="0" w:color="auto"/>
        <w:left w:val="none" w:sz="0" w:space="0" w:color="auto"/>
        <w:bottom w:val="none" w:sz="0" w:space="0" w:color="auto"/>
        <w:right w:val="none" w:sz="0" w:space="0" w:color="auto"/>
      </w:divBdr>
    </w:div>
    <w:div w:id="1972200519">
      <w:bodyDiv w:val="1"/>
      <w:marLeft w:val="0"/>
      <w:marRight w:val="0"/>
      <w:marTop w:val="0"/>
      <w:marBottom w:val="0"/>
      <w:divBdr>
        <w:top w:val="none" w:sz="0" w:space="0" w:color="auto"/>
        <w:left w:val="none" w:sz="0" w:space="0" w:color="auto"/>
        <w:bottom w:val="none" w:sz="0" w:space="0" w:color="auto"/>
        <w:right w:val="none" w:sz="0" w:space="0" w:color="auto"/>
      </w:divBdr>
      <w:divsChild>
        <w:div w:id="87195470">
          <w:marLeft w:val="547"/>
          <w:marRight w:val="0"/>
          <w:marTop w:val="0"/>
          <w:marBottom w:val="0"/>
          <w:divBdr>
            <w:top w:val="none" w:sz="0" w:space="0" w:color="auto"/>
            <w:left w:val="none" w:sz="0" w:space="0" w:color="auto"/>
            <w:bottom w:val="none" w:sz="0" w:space="0" w:color="auto"/>
            <w:right w:val="none" w:sz="0" w:space="0" w:color="auto"/>
          </w:divBdr>
        </w:div>
      </w:divsChild>
    </w:div>
    <w:div w:id="1974600187">
      <w:bodyDiv w:val="1"/>
      <w:marLeft w:val="0"/>
      <w:marRight w:val="0"/>
      <w:marTop w:val="0"/>
      <w:marBottom w:val="0"/>
      <w:divBdr>
        <w:top w:val="none" w:sz="0" w:space="0" w:color="auto"/>
        <w:left w:val="none" w:sz="0" w:space="0" w:color="auto"/>
        <w:bottom w:val="none" w:sz="0" w:space="0" w:color="auto"/>
        <w:right w:val="none" w:sz="0" w:space="0" w:color="auto"/>
      </w:divBdr>
    </w:div>
    <w:div w:id="2033724524">
      <w:bodyDiv w:val="1"/>
      <w:marLeft w:val="0"/>
      <w:marRight w:val="0"/>
      <w:marTop w:val="0"/>
      <w:marBottom w:val="0"/>
      <w:divBdr>
        <w:top w:val="none" w:sz="0" w:space="0" w:color="auto"/>
        <w:left w:val="none" w:sz="0" w:space="0" w:color="auto"/>
        <w:bottom w:val="none" w:sz="0" w:space="0" w:color="auto"/>
        <w:right w:val="none" w:sz="0" w:space="0" w:color="auto"/>
      </w:divBdr>
      <w:divsChild>
        <w:div w:id="588463640">
          <w:marLeft w:val="547"/>
          <w:marRight w:val="0"/>
          <w:marTop w:val="0"/>
          <w:marBottom w:val="0"/>
          <w:divBdr>
            <w:top w:val="none" w:sz="0" w:space="0" w:color="auto"/>
            <w:left w:val="none" w:sz="0" w:space="0" w:color="auto"/>
            <w:bottom w:val="none" w:sz="0" w:space="0" w:color="auto"/>
            <w:right w:val="none" w:sz="0" w:space="0" w:color="auto"/>
          </w:divBdr>
        </w:div>
        <w:div w:id="1691713318">
          <w:marLeft w:val="547"/>
          <w:marRight w:val="0"/>
          <w:marTop w:val="0"/>
          <w:marBottom w:val="0"/>
          <w:divBdr>
            <w:top w:val="none" w:sz="0" w:space="0" w:color="auto"/>
            <w:left w:val="none" w:sz="0" w:space="0" w:color="auto"/>
            <w:bottom w:val="none" w:sz="0" w:space="0" w:color="auto"/>
            <w:right w:val="none" w:sz="0" w:space="0" w:color="auto"/>
          </w:divBdr>
        </w:div>
      </w:divsChild>
    </w:div>
    <w:div w:id="2035229727">
      <w:bodyDiv w:val="1"/>
      <w:marLeft w:val="0"/>
      <w:marRight w:val="0"/>
      <w:marTop w:val="0"/>
      <w:marBottom w:val="0"/>
      <w:divBdr>
        <w:top w:val="none" w:sz="0" w:space="0" w:color="auto"/>
        <w:left w:val="none" w:sz="0" w:space="0" w:color="auto"/>
        <w:bottom w:val="none" w:sz="0" w:space="0" w:color="auto"/>
        <w:right w:val="none" w:sz="0" w:space="0" w:color="auto"/>
      </w:divBdr>
    </w:div>
    <w:div w:id="2079091375">
      <w:bodyDiv w:val="1"/>
      <w:marLeft w:val="0"/>
      <w:marRight w:val="0"/>
      <w:marTop w:val="0"/>
      <w:marBottom w:val="0"/>
      <w:divBdr>
        <w:top w:val="none" w:sz="0" w:space="0" w:color="auto"/>
        <w:left w:val="none" w:sz="0" w:space="0" w:color="auto"/>
        <w:bottom w:val="none" w:sz="0" w:space="0" w:color="auto"/>
        <w:right w:val="none" w:sz="0" w:space="0" w:color="auto"/>
      </w:divBdr>
    </w:div>
    <w:div w:id="2101103196">
      <w:bodyDiv w:val="1"/>
      <w:marLeft w:val="0"/>
      <w:marRight w:val="0"/>
      <w:marTop w:val="0"/>
      <w:marBottom w:val="0"/>
      <w:divBdr>
        <w:top w:val="none" w:sz="0" w:space="0" w:color="auto"/>
        <w:left w:val="none" w:sz="0" w:space="0" w:color="auto"/>
        <w:bottom w:val="none" w:sz="0" w:space="0" w:color="auto"/>
        <w:right w:val="none" w:sz="0" w:space="0" w:color="auto"/>
      </w:divBdr>
    </w:div>
    <w:div w:id="2132552878">
      <w:bodyDiv w:val="1"/>
      <w:marLeft w:val="0"/>
      <w:marRight w:val="0"/>
      <w:marTop w:val="0"/>
      <w:marBottom w:val="0"/>
      <w:divBdr>
        <w:top w:val="none" w:sz="0" w:space="0" w:color="auto"/>
        <w:left w:val="none" w:sz="0" w:space="0" w:color="auto"/>
        <w:bottom w:val="none" w:sz="0" w:space="0" w:color="auto"/>
        <w:right w:val="none" w:sz="0" w:space="0" w:color="auto"/>
      </w:divBdr>
    </w:div>
    <w:div w:id="2142459187">
      <w:bodyDiv w:val="1"/>
      <w:marLeft w:val="0"/>
      <w:marRight w:val="0"/>
      <w:marTop w:val="0"/>
      <w:marBottom w:val="0"/>
      <w:divBdr>
        <w:top w:val="none" w:sz="0" w:space="0" w:color="auto"/>
        <w:left w:val="none" w:sz="0" w:space="0" w:color="auto"/>
        <w:bottom w:val="none" w:sz="0" w:space="0" w:color="auto"/>
        <w:right w:val="none" w:sz="0" w:space="0" w:color="auto"/>
      </w:divBdr>
      <w:divsChild>
        <w:div w:id="69233923">
          <w:marLeft w:val="0"/>
          <w:marRight w:val="0"/>
          <w:marTop w:val="0"/>
          <w:marBottom w:val="0"/>
          <w:divBdr>
            <w:top w:val="single" w:sz="6" w:space="0" w:color="5B616B"/>
            <w:left w:val="single" w:sz="6" w:space="0" w:color="5B616B"/>
            <w:bottom w:val="single" w:sz="6" w:space="0" w:color="5B616B"/>
            <w:right w:val="single" w:sz="6" w:space="0" w:color="5B616B"/>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4060/cb9380en" TargetMode="External"/><Relationship Id="rId21" Type="http://schemas.openxmlformats.org/officeDocument/2006/relationships/diagramColors" Target="diagrams/colors1.xml"/><Relationship Id="rId42" Type="http://schemas.openxmlformats.org/officeDocument/2006/relationships/hyperlink" Target="https://www.foodstandards.gov.au/consumer/food-fortification/vitamin-added" TargetMode="External"/><Relationship Id="rId63" Type="http://schemas.openxmlformats.org/officeDocument/2006/relationships/hyperlink" Target="https://doi.org/10.1080/10408398.2012.749209" TargetMode="External"/><Relationship Id="rId84" Type="http://schemas.openxmlformats.org/officeDocument/2006/relationships/hyperlink" Target="https://doi.org/10.17226/25148%20-%20Chapter%203" TargetMode="External"/><Relationship Id="rId138" Type="http://schemas.openxmlformats.org/officeDocument/2006/relationships/hyperlink" Target="http://intranet.nhmrc.gov.au/procurement/home" TargetMode="External"/><Relationship Id="rId159" Type="http://schemas.openxmlformats.org/officeDocument/2006/relationships/hyperlink" Target="https://doi.org/10.1136/bmj.39238.399444.55" TargetMode="External"/><Relationship Id="rId170" Type="http://schemas.openxmlformats.org/officeDocument/2006/relationships/hyperlink" Target="https://doi.org/10.2903/j.efsa.2024.9052" TargetMode="External"/><Relationship Id="rId191" Type="http://schemas.openxmlformats.org/officeDocument/2006/relationships/hyperlink" Target="https://minhealthnz.shinyapps.io/nz-health-survey-2018-19-annual-data-explorer/" TargetMode="External"/><Relationship Id="rId205" Type="http://schemas.openxmlformats.org/officeDocument/2006/relationships/hyperlink" Target="https://www.nhmrc.gov.au/guidelinesforguidelines/develop/forming-questions" TargetMode="External"/><Relationship Id="rId226" Type="http://schemas.openxmlformats.org/officeDocument/2006/relationships/hyperlink" Target="https://doi.org/10.1093/advances/nmy121" TargetMode="External"/><Relationship Id="rId247" Type="http://schemas.openxmlformats.org/officeDocument/2006/relationships/footer" Target="footer13.xml"/><Relationship Id="rId107" Type="http://schemas.openxmlformats.org/officeDocument/2006/relationships/hyperlink" Target="https://doi.org/10.1080/15459624.2015.1060325" TargetMode="External"/><Relationship Id="rId11" Type="http://schemas.openxmlformats.org/officeDocument/2006/relationships/endnotes" Target="endnotes.xml"/><Relationship Id="rId32" Type="http://schemas.openxmlformats.org/officeDocument/2006/relationships/hyperlink" Target="https://www.nhmrc.gov.au/guidelinesforguidelines/plan/identifying-and-managing-conflicts-interest" TargetMode="External"/><Relationship Id="rId53" Type="http://schemas.openxmlformats.org/officeDocument/2006/relationships/footer" Target="footer8.xml"/><Relationship Id="rId74" Type="http://schemas.openxmlformats.org/officeDocument/2006/relationships/hyperlink" Target="https://www.nhmrc.gov.au/guidelinesforguidelines/develop/assessing-risk-bias" TargetMode="External"/><Relationship Id="rId128" Type="http://schemas.openxmlformats.org/officeDocument/2006/relationships/hyperlink" Target="file:///P:/Corporate%20Governance/Internal%20Policies%20-%20Procedures/EAG%20SOPs%20%26%20Templates/Templates%20linked%20to%20SOPs/Guideline%20SOP/Template%20for%20Project%20Plan%20v3.0.docx" TargetMode="External"/><Relationship Id="rId149" Type="http://schemas.openxmlformats.org/officeDocument/2006/relationships/hyperlink" Target="https://doi.org/10.1186/s12961-018-0320-2" TargetMode="External"/><Relationship Id="rId5" Type="http://schemas.openxmlformats.org/officeDocument/2006/relationships/customXml" Target="../customXml/item5.xml"/><Relationship Id="rId95" Type="http://schemas.openxmlformats.org/officeDocument/2006/relationships/hyperlink" Target="https://doi.org/10.2903/j.efsa.2024.9052" TargetMode="External"/><Relationship Id="rId160" Type="http://schemas.openxmlformats.org/officeDocument/2006/relationships/hyperlink" Target="https://doi.org/10.1080/15459624.2015.1060325" TargetMode="External"/><Relationship Id="rId181" Type="http://schemas.openxmlformats.org/officeDocument/2006/relationships/hyperlink" Target="https://www.sciencedirect.com/special-issue/10F8V3S0J7V" TargetMode="External"/><Relationship Id="rId216" Type="http://schemas.openxmlformats.org/officeDocument/2006/relationships/hyperlink" Target="https://doi.org/10.1080/10408398.2012.742857" TargetMode="External"/><Relationship Id="rId237" Type="http://schemas.openxmlformats.org/officeDocument/2006/relationships/hyperlink" Target="https://open.efsa.europa.eu/questions/EFSA-Q-2020-00618" TargetMode="External"/><Relationship Id="rId258" Type="http://schemas.openxmlformats.org/officeDocument/2006/relationships/fontTable" Target="fontTable.xml"/><Relationship Id="rId22" Type="http://schemas.microsoft.com/office/2007/relationships/diagramDrawing" Target="diagrams/drawing1.xml"/><Relationship Id="rId43" Type="http://schemas.openxmlformats.org/officeDocument/2006/relationships/hyperlink" Target="https://www.foodstandards.gov.au/consumer/food-fortification/vitamin-added" TargetMode="External"/><Relationship Id="rId64" Type="http://schemas.openxmlformats.org/officeDocument/2006/relationships/header" Target="header19.xml"/><Relationship Id="rId118" Type="http://schemas.openxmlformats.org/officeDocument/2006/relationships/hyperlink" Target="file:///P:/Corporate%20Governance/Internal%20Policies%20-%20Procedures/EAG%20SOPs%20%26%20Templates/Templates%20linked%20to%20SOPs/Guideline%20SOP/Template%20for%20Project%20Scoping.docx" TargetMode="External"/><Relationship Id="rId139" Type="http://schemas.openxmlformats.org/officeDocument/2006/relationships/hyperlink" Target="http://intranet.nhmrc.gov.au/contracts-procurement/contracts/panels" TargetMode="External"/><Relationship Id="rId85" Type="http://schemas.openxmlformats.org/officeDocument/2006/relationships/hyperlink" Target="https://nutritionalassessment.org/nrv/" TargetMode="External"/><Relationship Id="rId150" Type="http://schemas.openxmlformats.org/officeDocument/2006/relationships/hyperlink" Target="https://www.abs.gov.au/statistics/health/health-conditions-and-risks/australian-health-survey-nutrition-first-results-foods-and-nutrients/latest-release" TargetMode="External"/><Relationship Id="rId171" Type="http://schemas.openxmlformats.org/officeDocument/2006/relationships/hyperlink" Target="https://doi.org/10.2903/j.efsa.2024.8946" TargetMode="External"/><Relationship Id="rId192" Type="http://schemas.openxmlformats.org/officeDocument/2006/relationships/hyperlink" Target="https://minhealthnz.shinyapps.io/nz-health-survey-2019-20-annual-data-explorer/" TargetMode="External"/><Relationship Id="rId206" Type="http://schemas.openxmlformats.org/officeDocument/2006/relationships/hyperlink" Target="https://www.nhmrc.gov.au/guidelinesforguidelines/develop/identifying-evidence" TargetMode="External"/><Relationship Id="rId227" Type="http://schemas.openxmlformats.org/officeDocument/2006/relationships/hyperlink" Target="https://doi.org/10.3945/ajcn.116.139097" TargetMode="External"/><Relationship Id="rId248" Type="http://schemas.openxmlformats.org/officeDocument/2006/relationships/header" Target="header25.xml"/><Relationship Id="rId12" Type="http://schemas.openxmlformats.org/officeDocument/2006/relationships/image" Target="media/image1.png"/><Relationship Id="rId33" Type="http://schemas.openxmlformats.org/officeDocument/2006/relationships/image" Target="media/image5.png"/><Relationship Id="rId108" Type="http://schemas.openxmlformats.org/officeDocument/2006/relationships/hyperlink" Target="https://doi.org/doi:10.17226/24828" TargetMode="External"/><Relationship Id="rId129" Type="http://schemas.openxmlformats.org/officeDocument/2006/relationships/hyperlink" Target="http://www.clinicalguidelines.gov.au/" TargetMode="External"/><Relationship Id="rId54" Type="http://schemas.openxmlformats.org/officeDocument/2006/relationships/hyperlink" Target="https://www.nhmrc.gov.au/guidelinesforguidelines/develop/forming-questions" TargetMode="External"/><Relationship Id="rId75" Type="http://schemas.openxmlformats.org/officeDocument/2006/relationships/hyperlink" Target="https://www.nhmrc.gov.au/guidelinesforguidelines/develop/assessing-certainty-evidence" TargetMode="External"/><Relationship Id="rId96" Type="http://schemas.openxmlformats.org/officeDocument/2006/relationships/hyperlink" Target="https://doi.org/10.17226/25148" TargetMode="External"/><Relationship Id="rId140" Type="http://schemas.openxmlformats.org/officeDocument/2006/relationships/hyperlink" Target="http://intranet.nhmrc.gov.au/procurement/evaluate" TargetMode="External"/><Relationship Id="rId161" Type="http://schemas.openxmlformats.org/officeDocument/2006/relationships/hyperlink" Target="https://doi.org/10.1016/j.jclinepi.2017.01.016" TargetMode="External"/><Relationship Id="rId182" Type="http://schemas.openxmlformats.org/officeDocument/2006/relationships/hyperlink" Target="https://doi.org/10.1093/oxfordjournals.aje.a116237" TargetMode="External"/><Relationship Id="rId217" Type="http://schemas.openxmlformats.org/officeDocument/2006/relationships/hyperlink" Target="https://doi.org/10.1016/j.jclinepi.2015.06.005" TargetMode="External"/><Relationship Id="rId6" Type="http://schemas.openxmlformats.org/officeDocument/2006/relationships/numbering" Target="numbering.xml"/><Relationship Id="rId238" Type="http://schemas.openxmlformats.org/officeDocument/2006/relationships/hyperlink" Target="https://www.nhmrc.gov.au/about-us/publications/nutrient-reference-values-australia-and-new-zealand-including-recommended-dietary-intakes" TargetMode="External"/><Relationship Id="rId259" Type="http://schemas.openxmlformats.org/officeDocument/2006/relationships/theme" Target="theme/theme1.xml"/><Relationship Id="rId23" Type="http://schemas.openxmlformats.org/officeDocument/2006/relationships/header" Target="header4.xml"/><Relationship Id="rId119" Type="http://schemas.openxmlformats.org/officeDocument/2006/relationships/hyperlink" Target="file://tgfilp04/NHMRC_New/KNOWLEDGE%20AND%20DEVELOPMENT/Health%20Evidence%20and%20Advice/Common/1.%20RTC%20BRANCH%20ADMIN/Branch%20SOP%20%26%20Templates/Templates%20linked%20to%20SOPs/Guideline%20SOP/NHMRC%20Guidance%20documents%20-%20FINAL.docx" TargetMode="External"/><Relationship Id="rId44" Type="http://schemas.openxmlformats.org/officeDocument/2006/relationships/hyperlink" Target="https://doi.org/10.1080/10408398.2012.749209" TargetMode="External"/><Relationship Id="rId65" Type="http://schemas.openxmlformats.org/officeDocument/2006/relationships/footer" Target="footer9.xml"/><Relationship Id="rId86" Type="http://schemas.openxmlformats.org/officeDocument/2006/relationships/image" Target="media/image6.png"/><Relationship Id="rId130" Type="http://schemas.openxmlformats.org/officeDocument/2006/relationships/hyperlink" Target="file://domain.internal/corpdata/Corporate%20Governance/Internal%20Policies%20-%20Procedures/EAG%20SOPs%20%26%20Templates/SOP%20for%20Section%2039%20Committee%20Establishment" TargetMode="External"/><Relationship Id="rId151" Type="http://schemas.openxmlformats.org/officeDocument/2006/relationships/hyperlink" Target="https://www.abs.gov.au/statistics/health/health-conditions-and-risks/national-health-survey/latest-release" TargetMode="External"/><Relationship Id="rId172" Type="http://schemas.openxmlformats.org/officeDocument/2006/relationships/hyperlink" Target="https://doi.org/10.2903/j.efsa.2012.2579" TargetMode="External"/><Relationship Id="rId193" Type="http://schemas.openxmlformats.org/officeDocument/2006/relationships/hyperlink" Target="https://doi.org/10.1186/s12961-018-0320-2" TargetMode="External"/><Relationship Id="rId207" Type="http://schemas.openxmlformats.org/officeDocument/2006/relationships/hyperlink" Target="https://www.nhmrc.gov.au/guidelinesforguidelines/develop/synthesising-evidence" TargetMode="External"/><Relationship Id="rId228" Type="http://schemas.openxmlformats.org/officeDocument/2006/relationships/hyperlink" Target="https://www.nhmrc.gov.au/about-us/publications/prioritisation-process-report" TargetMode="External"/><Relationship Id="rId249" Type="http://schemas.openxmlformats.org/officeDocument/2006/relationships/footer" Target="footer14.xml"/><Relationship Id="rId13" Type="http://schemas.openxmlformats.org/officeDocument/2006/relationships/header" Target="header1.xml"/><Relationship Id="rId109" Type="http://schemas.openxmlformats.org/officeDocument/2006/relationships/hyperlink" Target="https://doi.org/10.3945/ajcn.116.139097" TargetMode="External"/><Relationship Id="rId34" Type="http://schemas.openxmlformats.org/officeDocument/2006/relationships/header" Target="header7.xml"/><Relationship Id="rId55" Type="http://schemas.openxmlformats.org/officeDocument/2006/relationships/hyperlink" Target="https://doi.org/10.1080/10408398.2012.749209" TargetMode="External"/><Relationship Id="rId76" Type="http://schemas.openxmlformats.org/officeDocument/2006/relationships/hyperlink" Target="https://doi.org/10.29219/fnr" TargetMode="External"/><Relationship Id="rId97" Type="http://schemas.openxmlformats.org/officeDocument/2006/relationships/image" Target="media/image7.png"/><Relationship Id="rId120" Type="http://schemas.openxmlformats.org/officeDocument/2006/relationships/hyperlink" Target="https://www.legislation.gov.au/Details/C2014C00364" TargetMode="External"/><Relationship Id="rId141" Type="http://schemas.openxmlformats.org/officeDocument/2006/relationships/hyperlink" Target="http://intranet.nhmrc.gov.au/procurement/home" TargetMode="External"/><Relationship Id="rId7" Type="http://schemas.openxmlformats.org/officeDocument/2006/relationships/styles" Target="styles.xml"/><Relationship Id="rId162" Type="http://schemas.openxmlformats.org/officeDocument/2006/relationships/hyperlink" Target="https://www.cochrane.org/authors/handbooks-and-manuals/handbook/current/chapter-10" TargetMode="External"/><Relationship Id="rId183" Type="http://schemas.openxmlformats.org/officeDocument/2006/relationships/hyperlink" Target="https://doi.org/10.1016/j.jclinepi.2010.04.026" TargetMode="External"/><Relationship Id="rId218" Type="http://schemas.openxmlformats.org/officeDocument/2006/relationships/hyperlink" Target="https://www.who.int/tools/child-growth-standards/standards/weight-for-age" TargetMode="External"/><Relationship Id="rId239" Type="http://schemas.openxmlformats.org/officeDocument/2006/relationships/header" Target="header20.xml"/><Relationship Id="rId250" Type="http://schemas.openxmlformats.org/officeDocument/2006/relationships/hyperlink" Target="https://doi.org/10.17226/27031" TargetMode="External"/><Relationship Id="rId24" Type="http://schemas.openxmlformats.org/officeDocument/2006/relationships/header" Target="header5.xml"/><Relationship Id="rId45" Type="http://schemas.openxmlformats.org/officeDocument/2006/relationships/hyperlink" Target="https://doi.org/doi:10.17226/24828" TargetMode="External"/><Relationship Id="rId66" Type="http://schemas.openxmlformats.org/officeDocument/2006/relationships/hyperlink" Target="https://www.nhmrc.gov.au/guidelinesforguidelines/plan/adopt-adapt-or-start-scratch" TargetMode="External"/><Relationship Id="rId87" Type="http://schemas.openxmlformats.org/officeDocument/2006/relationships/hyperlink" Target="https://doi.org/10.1080/10408398.2012.749209" TargetMode="External"/><Relationship Id="rId110" Type="http://schemas.openxmlformats.org/officeDocument/2006/relationships/hyperlink" Target="https://doi.org/10.1093/advances/nmy121" TargetMode="External"/><Relationship Id="rId131" Type="http://schemas.openxmlformats.org/officeDocument/2006/relationships/hyperlink" Target="file://domain.internal/corpdata/Corporate%20Governance/Internal%20Policies%20-%20Procedures/EAG%20SOPs%20%26%20Templates/SOP%20for%20Section%2039%20Committee%20Establishment/Templates/M2GH%20-%20Establishment%20of%20Committee.docx" TargetMode="External"/><Relationship Id="rId152" Type="http://schemas.openxmlformats.org/officeDocument/2006/relationships/hyperlink" Target="https://doi.org/10.29219/fnr" TargetMode="External"/><Relationship Id="rId173" Type="http://schemas.openxmlformats.org/officeDocument/2006/relationships/hyperlink" Target="https://doi.org/10.2903/j.efsa.2018.5123" TargetMode="External"/><Relationship Id="rId194" Type="http://schemas.openxmlformats.org/officeDocument/2006/relationships/hyperlink" Target="https://doi.org/doi:10.17226/24828" TargetMode="External"/><Relationship Id="rId208" Type="http://schemas.openxmlformats.org/officeDocument/2006/relationships/hyperlink" Target="https://www.nhmrc.gov.au/guidelinesforguidelines/develop/selecting-studies-and-data-extraction" TargetMode="External"/><Relationship Id="rId229" Type="http://schemas.openxmlformats.org/officeDocument/2006/relationships/hyperlink" Target="https://open.efsa.europa.eu/questions/EFSA-Q-2021-00365" TargetMode="External"/><Relationship Id="rId240" Type="http://schemas.openxmlformats.org/officeDocument/2006/relationships/footer" Target="footer10.xml"/><Relationship Id="rId14" Type="http://schemas.openxmlformats.org/officeDocument/2006/relationships/header" Target="header2.xml"/><Relationship Id="rId35" Type="http://schemas.openxmlformats.org/officeDocument/2006/relationships/header" Target="header8.xml"/><Relationship Id="rId56" Type="http://schemas.openxmlformats.org/officeDocument/2006/relationships/hyperlink" Target="https://doi.org/doi:10.17226/24828" TargetMode="External"/><Relationship Id="rId77" Type="http://schemas.openxmlformats.org/officeDocument/2006/relationships/hyperlink" Target="https://book.gradepro.org/" TargetMode="External"/><Relationship Id="rId100" Type="http://schemas.openxmlformats.org/officeDocument/2006/relationships/hyperlink" Target="https://doi.org/10.4060/cb9380en" TargetMode="External"/><Relationship Id="rId8" Type="http://schemas.openxmlformats.org/officeDocument/2006/relationships/settings" Target="settings.xml"/><Relationship Id="rId98" Type="http://schemas.microsoft.com/office/2007/relationships/hdphoto" Target="media/hdphoto1.wdp"/><Relationship Id="rId121" Type="http://schemas.openxmlformats.org/officeDocument/2006/relationships/hyperlink" Target="http://intranet.nhmrc.gov.au/search/node/procurement%20proposal%20plan" TargetMode="External"/><Relationship Id="rId142" Type="http://schemas.openxmlformats.org/officeDocument/2006/relationships/hyperlink" Target="http://intranet.nhmrc.gov.au/contracts-procurement/contracts/panels" TargetMode="External"/><Relationship Id="rId163" Type="http://schemas.openxmlformats.org/officeDocument/2006/relationships/hyperlink" Target="https://doi.org/10.1080/10408398.2012.749209" TargetMode="External"/><Relationship Id="rId184" Type="http://schemas.openxmlformats.org/officeDocument/2006/relationships/hyperlink" Target="https://doi.org/10.1016/j.jclinepi.2012.01.006" TargetMode="External"/><Relationship Id="rId219" Type="http://schemas.openxmlformats.org/officeDocument/2006/relationships/hyperlink" Target="https://www.who.int/publications/i/item/9789241548960" TargetMode="External"/><Relationship Id="rId230" Type="http://schemas.openxmlformats.org/officeDocument/2006/relationships/hyperlink" Target="https://open.efsa.europa.eu/questions/EFSA-Q-2021-00369" TargetMode="External"/><Relationship Id="rId251" Type="http://schemas.openxmlformats.org/officeDocument/2006/relationships/header" Target="header26.xml"/><Relationship Id="rId25" Type="http://schemas.openxmlformats.org/officeDocument/2006/relationships/footer" Target="footer3.xml"/><Relationship Id="rId46" Type="http://schemas.openxmlformats.org/officeDocument/2006/relationships/header" Target="header13.xml"/><Relationship Id="rId67" Type="http://schemas.openxmlformats.org/officeDocument/2006/relationships/hyperlink" Target="https://doi.org/10.1016/j.jclinepi.2024.111494" TargetMode="External"/><Relationship Id="rId88" Type="http://schemas.openxmlformats.org/officeDocument/2006/relationships/hyperlink" Target="https://doi.org/10.17226/25148%20-%20pp.%2055-56" TargetMode="External"/><Relationship Id="rId111" Type="http://schemas.openxmlformats.org/officeDocument/2006/relationships/hyperlink" Target="https://doi.org/10.17226/27957" TargetMode="External"/><Relationship Id="rId132" Type="http://schemas.openxmlformats.org/officeDocument/2006/relationships/hyperlink" Target="file://domain.internal/corpdata/Corporate%20Governance/Internal%20Policies%20-%20Procedures/EAG%20SOPs%20%26%20Templates/SOP%20for%20Section%2039%20Committee%20Establishment/Templates/M2GH%20-%20Appoint%20Members.doc" TargetMode="External"/><Relationship Id="rId153" Type="http://schemas.openxmlformats.org/officeDocument/2006/relationships/hyperlink" Target="https://nap.nationalacademies.org/read/12086/chapter/9" TargetMode="External"/><Relationship Id="rId174" Type="http://schemas.openxmlformats.org/officeDocument/2006/relationships/hyperlink" Target="https://doi.org/10.2903/j.efsa.2017.4658" TargetMode="External"/><Relationship Id="rId195" Type="http://schemas.openxmlformats.org/officeDocument/2006/relationships/hyperlink" Target="https://doi.org/10.17226/25148" TargetMode="External"/><Relationship Id="rId209" Type="http://schemas.openxmlformats.org/officeDocument/2006/relationships/hyperlink" Target="https://www.nhmrc.gov.au/research-policy/gender-equity/statement-sex-and-gender-health-and-medical-research" TargetMode="External"/><Relationship Id="rId220" Type="http://schemas.openxmlformats.org/officeDocument/2006/relationships/hyperlink" Target="https://www.who.int/publications/i/item/9789240073593" TargetMode="External"/><Relationship Id="rId241" Type="http://schemas.openxmlformats.org/officeDocument/2006/relationships/header" Target="header21.xml"/><Relationship Id="rId15" Type="http://schemas.openxmlformats.org/officeDocument/2006/relationships/footer" Target="footer1.xml"/><Relationship Id="rId36" Type="http://schemas.openxmlformats.org/officeDocument/2006/relationships/header" Target="header9.xml"/><Relationship Id="rId57" Type="http://schemas.openxmlformats.org/officeDocument/2006/relationships/hyperlink" Target="https://doi.org/https://doi.org/10.1093/advances/nmab095" TargetMode="External"/><Relationship Id="rId78" Type="http://schemas.openxmlformats.org/officeDocument/2006/relationships/hyperlink" Target="https://gdt.gradepro.org/app/handbook/handbook.html" TargetMode="External"/><Relationship Id="rId99" Type="http://schemas.openxmlformats.org/officeDocument/2006/relationships/hyperlink" Target="https://doi.org/10.1080/10408398.2012.749209" TargetMode="External"/><Relationship Id="rId101" Type="http://schemas.openxmlformats.org/officeDocument/2006/relationships/hyperlink" Target="https://doi.org/10.2903/j.efsa.2024.9052" TargetMode="External"/><Relationship Id="rId122" Type="http://schemas.openxmlformats.org/officeDocument/2006/relationships/hyperlink" Target="file:///P:/Corporate%20Governance/Internal%20Policies%20-%20Procedures/EAG%20SOPs%20%26%20Templates/Templates%20linked%20to%20SOPs/Guideline%20SOP/Template%20for%20Project%20Plan%20v3.0.docx" TargetMode="External"/><Relationship Id="rId143" Type="http://schemas.openxmlformats.org/officeDocument/2006/relationships/hyperlink" Target="http://intranet.nhmrc.gov.au/procurement/evaluate" TargetMode="External"/><Relationship Id="rId164" Type="http://schemas.openxmlformats.org/officeDocument/2006/relationships/hyperlink" Target="https://www.eatforhealth.gov.au/sites/default/files/files/the_guidelines/n55c_dietary_guidelines_food_modelling.pdf" TargetMode="External"/><Relationship Id="rId185" Type="http://schemas.openxmlformats.org/officeDocument/2006/relationships/hyperlink" Target="https://doi.org/10.1016/j.jclinepi.2012.08.001" TargetMode="External"/><Relationship Id="rId9" Type="http://schemas.openxmlformats.org/officeDocument/2006/relationships/webSettings" Target="webSettings.xml"/><Relationship Id="rId210" Type="http://schemas.openxmlformats.org/officeDocument/2006/relationships/hyperlink" Target="https://doi.org/10.1136/bmj.n71" TargetMode="External"/><Relationship Id="rId26" Type="http://schemas.openxmlformats.org/officeDocument/2006/relationships/header" Target="header6.xml"/><Relationship Id="rId231" Type="http://schemas.openxmlformats.org/officeDocument/2006/relationships/hyperlink" Target="https://open.efsa.europa.eu/questions/EFSA-Q-2021-00367" TargetMode="External"/><Relationship Id="rId252" Type="http://schemas.openxmlformats.org/officeDocument/2006/relationships/header" Target="header27.xml"/><Relationship Id="rId47" Type="http://schemas.openxmlformats.org/officeDocument/2006/relationships/header" Target="header14.xml"/><Relationship Id="rId68" Type="http://schemas.openxmlformats.org/officeDocument/2006/relationships/hyperlink" Target="http://www.g-i-n.net" TargetMode="External"/><Relationship Id="rId89" Type="http://schemas.openxmlformats.org/officeDocument/2006/relationships/hyperlink" Target="https://doi.org/10.4060/cb9380en" TargetMode="External"/><Relationship Id="rId112" Type="http://schemas.openxmlformats.org/officeDocument/2006/relationships/image" Target="media/image8.png"/><Relationship Id="rId133" Type="http://schemas.openxmlformats.org/officeDocument/2006/relationships/hyperlink" Target="https://www.nhmrc.gov.au/guidelines-publications/information-guideline-developers/guideline-development-and-conflicts-interes" TargetMode="External"/><Relationship Id="rId154" Type="http://schemas.openxmlformats.org/officeDocument/2006/relationships/hyperlink" Target="https://www.eatforhealth.gov.au/nutrient-reference-values/resources" TargetMode="External"/><Relationship Id="rId175" Type="http://schemas.openxmlformats.org/officeDocument/2006/relationships/hyperlink" Target="https://doi.org/10.1186/s12913-019-4567-2" TargetMode="External"/><Relationship Id="rId196" Type="http://schemas.openxmlformats.org/officeDocument/2006/relationships/hyperlink" Target="https://doi.org/https://doi.org/10.17226/26733" TargetMode="External"/><Relationship Id="rId200" Type="http://schemas.openxmlformats.org/officeDocument/2006/relationships/hyperlink" Target="https://www.nhmrc.gov.au/about-us/publications/nutrient-reference-values-australia-and-new-zealand-including-recommended-dietary-intakes" TargetMode="External"/><Relationship Id="rId16" Type="http://schemas.openxmlformats.org/officeDocument/2006/relationships/header" Target="header3.xml"/><Relationship Id="rId221" Type="http://schemas.openxmlformats.org/officeDocument/2006/relationships/hyperlink" Target="https://www.who.int/publications/i/item/9789240073630" TargetMode="External"/><Relationship Id="rId242" Type="http://schemas.openxmlformats.org/officeDocument/2006/relationships/footer" Target="footer11.xml"/><Relationship Id="rId37" Type="http://schemas.openxmlformats.org/officeDocument/2006/relationships/header" Target="header10.xml"/><Relationship Id="rId58" Type="http://schemas.openxmlformats.org/officeDocument/2006/relationships/hyperlink" Target="https://doi.org/10.1080/10408398.2012.749209" TargetMode="External"/><Relationship Id="rId79" Type="http://schemas.openxmlformats.org/officeDocument/2006/relationships/hyperlink" Target="https://www.sciencedirect.com/special-issue/10F8V3S0J7V" TargetMode="External"/><Relationship Id="rId102" Type="http://schemas.openxmlformats.org/officeDocument/2006/relationships/hyperlink" Target="https://doi.org/doi:10.17226/24828" TargetMode="External"/><Relationship Id="rId123" Type="http://schemas.openxmlformats.org/officeDocument/2006/relationships/hyperlink" Target="http://www.clinicalguidelines.gov.au/" TargetMode="External"/><Relationship Id="rId144" Type="http://schemas.openxmlformats.org/officeDocument/2006/relationships/hyperlink" Target="https://www.gradepro.org/" TargetMode="External"/><Relationship Id="rId90" Type="http://schemas.openxmlformats.org/officeDocument/2006/relationships/hyperlink" Target="https://doi.org/10.1024/0300-9831/a000031" TargetMode="External"/><Relationship Id="rId165" Type="http://schemas.openxmlformats.org/officeDocument/2006/relationships/hyperlink" Target="https://www.efsa.europa.eu/sites/default/files/2024-05/ul-summary-report.pdf" TargetMode="External"/><Relationship Id="rId186" Type="http://schemas.openxmlformats.org/officeDocument/2006/relationships/hyperlink" Target="https://www.cochrane.org/authors/handbooks-and-manuals/mecir-manual" TargetMode="External"/><Relationship Id="rId211" Type="http://schemas.openxmlformats.org/officeDocument/2006/relationships/hyperlink" Target="https://www.crd.york.ac.uk/prospero/" TargetMode="External"/><Relationship Id="rId232" Type="http://schemas.openxmlformats.org/officeDocument/2006/relationships/hyperlink" Target="https://open.efsa.europa.eu/questions/EFSA-Q-2021-00368" TargetMode="External"/><Relationship Id="rId253" Type="http://schemas.openxmlformats.org/officeDocument/2006/relationships/footer" Target="footer15.xml"/><Relationship Id="rId27" Type="http://schemas.openxmlformats.org/officeDocument/2006/relationships/footer" Target="footer4.xml"/><Relationship Id="rId48" Type="http://schemas.openxmlformats.org/officeDocument/2006/relationships/header" Target="header15.xml"/><Relationship Id="rId69" Type="http://schemas.openxmlformats.org/officeDocument/2006/relationships/hyperlink" Target="https://doi.org/10.1016/j.jclinepi.2017.01.016" TargetMode="External"/><Relationship Id="rId113" Type="http://schemas.openxmlformats.org/officeDocument/2006/relationships/hyperlink" Target="https://doi.org/10.2903/j.efsa.2010.1458" TargetMode="External"/><Relationship Id="rId134" Type="http://schemas.openxmlformats.org/officeDocument/2006/relationships/hyperlink" Target="file://domain.internal/corpdata/Corporate%20Governance/Internal%20Policies%20-%20Procedures/EAG%20SOPs%20%26%20Templates/SOP%20for%20Section%2039%20Committee%20Establishment" TargetMode="External"/><Relationship Id="rId80" Type="http://schemas.openxmlformats.org/officeDocument/2006/relationships/hyperlink" Target="https://www.cochrane.org/authors/handbooks-and-manuals/handbook/current/chapter-10" TargetMode="External"/><Relationship Id="rId155" Type="http://schemas.openxmlformats.org/officeDocument/2006/relationships/hyperlink" Target="https://doi.org/https://doi.org/10.1093/advances/nmab095" TargetMode="External"/><Relationship Id="rId176" Type="http://schemas.openxmlformats.org/officeDocument/2006/relationships/hyperlink" Target="https://doi.org/10.1024/0300-9831/a000031" TargetMode="External"/><Relationship Id="rId197" Type="http://schemas.openxmlformats.org/officeDocument/2006/relationships/hyperlink" Target="https://doi.org/https://doi.org/10.17226/27031" TargetMode="External"/><Relationship Id="rId201" Type="http://schemas.openxmlformats.org/officeDocument/2006/relationships/hyperlink" Target="https://www.eatforhealth.gov.au/sites/default/files/files/the_guidelines/n55c_dietary_guidelines_food_modelling.pdf" TargetMode="External"/><Relationship Id="rId222" Type="http://schemas.openxmlformats.org/officeDocument/2006/relationships/hyperlink" Target="https://iris.who.int/handle/10665/372275" TargetMode="External"/><Relationship Id="rId243" Type="http://schemas.openxmlformats.org/officeDocument/2006/relationships/header" Target="header22.xml"/><Relationship Id="rId17" Type="http://schemas.openxmlformats.org/officeDocument/2006/relationships/footer" Target="footer2.xml"/><Relationship Id="rId38" Type="http://schemas.openxmlformats.org/officeDocument/2006/relationships/header" Target="header11.xml"/><Relationship Id="rId59" Type="http://schemas.openxmlformats.org/officeDocument/2006/relationships/hyperlink" Target="https://www.nhmrc.gov.au/research-policy/gender-equity/statement-sex-and-gender-health-and-medical-research" TargetMode="External"/><Relationship Id="rId103" Type="http://schemas.openxmlformats.org/officeDocument/2006/relationships/hyperlink" Target="https://doi.org/10.2903/j.efsa.2024.9052" TargetMode="External"/><Relationship Id="rId124" Type="http://schemas.openxmlformats.org/officeDocument/2006/relationships/hyperlink" Target="file:///P:/Corporate%20Governance/Internal%20Policies%20-%20Procedures/EAG%20SOPs%20%26%20Templates/Templates%20linked%20to%20SOPs/Guideline%20SOP/Template%20for%20Project%20Scoping.docx" TargetMode="External"/><Relationship Id="rId70" Type="http://schemas.openxmlformats.org/officeDocument/2006/relationships/hyperlink" Target="https://www.nhmrc.gov.au/guidelinesforguidelines/develop/identifying-evidence" TargetMode="External"/><Relationship Id="rId91" Type="http://schemas.openxmlformats.org/officeDocument/2006/relationships/hyperlink" Target="https://doi.org/10.1080/10408398.2012.749209" TargetMode="External"/><Relationship Id="rId145" Type="http://schemas.openxmlformats.org/officeDocument/2006/relationships/hyperlink" Target="https://book.gradepro.org/" TargetMode="External"/><Relationship Id="rId166" Type="http://schemas.openxmlformats.org/officeDocument/2006/relationships/hyperlink" Target="https://doi.org/10.2903/j.efsa.2019.5520" TargetMode="External"/><Relationship Id="rId187" Type="http://schemas.openxmlformats.org/officeDocument/2006/relationships/hyperlink" Target="https://ezproxy.lib.monash.edu.au/login?url=https://onlinelibrary.wiley.com/doi/book/10.1002/9781119536604" TargetMode="External"/><Relationship Id="rId1" Type="http://schemas.openxmlformats.org/officeDocument/2006/relationships/customXml" Target="../customXml/item1.xml"/><Relationship Id="rId212" Type="http://schemas.openxmlformats.org/officeDocument/2006/relationships/hyperlink" Target="https://doi.org/10.1038/srep27966" TargetMode="External"/><Relationship Id="rId233" Type="http://schemas.openxmlformats.org/officeDocument/2006/relationships/hyperlink" Target="https://open.efsa.europa.eu/questions/EFSA-Q-2021-00372" TargetMode="External"/><Relationship Id="rId254" Type="http://schemas.openxmlformats.org/officeDocument/2006/relationships/header" Target="header28.xml"/><Relationship Id="rId28" Type="http://schemas.openxmlformats.org/officeDocument/2006/relationships/hyperlink" Target="https://www.sciencedirect.com/special-issue/10F8V3S0J7V" TargetMode="External"/><Relationship Id="rId49" Type="http://schemas.openxmlformats.org/officeDocument/2006/relationships/footer" Target="footer7.xml"/><Relationship Id="rId114" Type="http://schemas.openxmlformats.org/officeDocument/2006/relationships/hyperlink" Target="https://doi.org/10.2903/j.efsa.2024.9052" TargetMode="External"/><Relationship Id="rId60" Type="http://schemas.openxmlformats.org/officeDocument/2006/relationships/hyperlink" Target="https://doi.org/10.1080/10408398.2012.749209" TargetMode="External"/><Relationship Id="rId81" Type="http://schemas.openxmlformats.org/officeDocument/2006/relationships/hyperlink" Target="https://www.nhmrc.gov.au/guidelinesforguidelines/develop/assessing-certainty-evidence" TargetMode="External"/><Relationship Id="rId135" Type="http://schemas.openxmlformats.org/officeDocument/2006/relationships/hyperlink" Target="file://domain.internal/corpdata/Corporate%20Governance/Internal%20Policies%20-%20Procedures/EAG%20SOPs%20%26%20Templates/SOP%20for%20Section%2039%20Committee%20Establishment/Templates/M2GH%20-%20Establishment%20of%20Committee.docx" TargetMode="External"/><Relationship Id="rId156" Type="http://schemas.openxmlformats.org/officeDocument/2006/relationships/hyperlink" Target="https://doi.org/10.29219/fnr" TargetMode="External"/><Relationship Id="rId177" Type="http://schemas.openxmlformats.org/officeDocument/2006/relationships/hyperlink" Target="https://doi.org/10.4060/cb9380en" TargetMode="External"/><Relationship Id="rId198" Type="http://schemas.openxmlformats.org/officeDocument/2006/relationships/hyperlink" Target="https://doi.org/10.17226/27957" TargetMode="External"/><Relationship Id="rId202" Type="http://schemas.openxmlformats.org/officeDocument/2006/relationships/hyperlink" Target="https://www.nhmrc.gov.au/guidelinesforguidelines/plan/adopt-adapt-or-start-scratch" TargetMode="External"/><Relationship Id="rId223" Type="http://schemas.openxmlformats.org/officeDocument/2006/relationships/hyperlink" Target="https://www.who.int/publications/i/item/9789240073654" TargetMode="External"/><Relationship Id="rId244" Type="http://schemas.openxmlformats.org/officeDocument/2006/relationships/footer" Target="footer12.xml"/><Relationship Id="rId18" Type="http://schemas.openxmlformats.org/officeDocument/2006/relationships/diagramData" Target="diagrams/data1.xml"/><Relationship Id="rId39" Type="http://schemas.openxmlformats.org/officeDocument/2006/relationships/footer" Target="footer5.xml"/><Relationship Id="rId50" Type="http://schemas.openxmlformats.org/officeDocument/2006/relationships/header" Target="header16.xml"/><Relationship Id="rId104" Type="http://schemas.openxmlformats.org/officeDocument/2006/relationships/hyperlink" Target="https://doi.org/10.2903/j.efsa.2018.5123" TargetMode="External"/><Relationship Id="rId125" Type="http://schemas.openxmlformats.org/officeDocument/2006/relationships/hyperlink" Target="file://tgfilp04/NHMRC_New/KNOWLEDGE%20AND%20DEVELOPMENT/Health%20Evidence%20and%20Advice/Common/1.%20RTC%20BRANCH%20ADMIN/Branch%20SOP%20%26%20Templates/Templates%20linked%20to%20SOPs/Guideline%20SOP/NHMRC%20Guidance%20documents%20-%20FINAL.docx" TargetMode="External"/><Relationship Id="rId146" Type="http://schemas.openxmlformats.org/officeDocument/2006/relationships/hyperlink" Target="https://gdt.gradepro.org/app/handbook/handbook.html" TargetMode="External"/><Relationship Id="rId167" Type="http://schemas.openxmlformats.org/officeDocument/2006/relationships/hyperlink" Target="https://doi.org/10.2903/j.efsa.2010.1458" TargetMode="External"/><Relationship Id="rId188" Type="http://schemas.openxmlformats.org/officeDocument/2006/relationships/hyperlink" Target="https://doi.org/10.1177/15648265070281S103" TargetMode="External"/><Relationship Id="rId71" Type="http://schemas.openxmlformats.org/officeDocument/2006/relationships/hyperlink" Target="https://www.nhmrc.gov.au/guidelinesforguidelines/develop/identifying-evidence" TargetMode="External"/><Relationship Id="rId92" Type="http://schemas.openxmlformats.org/officeDocument/2006/relationships/hyperlink" Target="https://doi.org/10.17226/25148" TargetMode="External"/><Relationship Id="rId213" Type="http://schemas.openxmlformats.org/officeDocument/2006/relationships/hyperlink" Target="https://doi.org/10.1136/bmj.j4008" TargetMode="External"/><Relationship Id="rId234" Type="http://schemas.openxmlformats.org/officeDocument/2006/relationships/hyperlink" Target="https://open.efsa.europa.eu/questions/EFSA-Q-2021-00370" TargetMode="External"/><Relationship Id="rId2" Type="http://schemas.openxmlformats.org/officeDocument/2006/relationships/customXml" Target="../customXml/item2.xml"/><Relationship Id="rId29" Type="http://schemas.openxmlformats.org/officeDocument/2006/relationships/hyperlink" Target="https://www.nhmrc.gov.au/guidelinesforguidelines" TargetMode="External"/><Relationship Id="rId255" Type="http://schemas.openxmlformats.org/officeDocument/2006/relationships/footer" Target="footer16.xml"/><Relationship Id="rId40" Type="http://schemas.openxmlformats.org/officeDocument/2006/relationships/header" Target="header12.xml"/><Relationship Id="rId115" Type="http://schemas.openxmlformats.org/officeDocument/2006/relationships/hyperlink" Target="https://doi.org/10.17226/25148" TargetMode="External"/><Relationship Id="rId136" Type="http://schemas.openxmlformats.org/officeDocument/2006/relationships/hyperlink" Target="file://domain.internal/corpdata/Corporate%20Governance/Internal%20Policies%20-%20Procedures/EAG%20SOPs%20%26%20Templates/SOP%20for%20Section%2039%20Committee%20Establishment/Templates/M2GH%20-%20Appoint%20Members.doc" TargetMode="External"/><Relationship Id="rId157" Type="http://schemas.openxmlformats.org/officeDocument/2006/relationships/hyperlink" Target="https://doi.org/https://doi.org/10.1080/10408398.2012.742864" TargetMode="External"/><Relationship Id="rId178" Type="http://schemas.openxmlformats.org/officeDocument/2006/relationships/hyperlink" Target="https://www.foodstandards.gov.au/consumer/food-fortification/vitamin-added" TargetMode="External"/><Relationship Id="rId61" Type="http://schemas.openxmlformats.org/officeDocument/2006/relationships/hyperlink" Target="https://doi.org/doi:10.17226/24828" TargetMode="External"/><Relationship Id="rId82" Type="http://schemas.openxmlformats.org/officeDocument/2006/relationships/hyperlink" Target="https://doi.org/doi:10.17226/24828" TargetMode="External"/><Relationship Id="rId199" Type="http://schemas.openxmlformats.org/officeDocument/2006/relationships/hyperlink" Target="https://book.gradepro.org/" TargetMode="External"/><Relationship Id="rId203" Type="http://schemas.openxmlformats.org/officeDocument/2006/relationships/hyperlink" Target="https://www.nhmrc.gov.au/guidelinesforguidelines/develop/assessing-certainty-evidence" TargetMode="External"/><Relationship Id="rId19" Type="http://schemas.openxmlformats.org/officeDocument/2006/relationships/diagramLayout" Target="diagrams/layout1.xml"/><Relationship Id="rId224" Type="http://schemas.openxmlformats.org/officeDocument/2006/relationships/hyperlink" Target="https://doi.org/10.1111/j.1651-2227.2006.tb02378.x" TargetMode="External"/><Relationship Id="rId245" Type="http://schemas.openxmlformats.org/officeDocument/2006/relationships/header" Target="header23.xml"/><Relationship Id="rId30" Type="http://schemas.openxmlformats.org/officeDocument/2006/relationships/hyperlink" Target="https://www.nhmrc.gov.au/guidelinesforguidelines/review/independent-review" TargetMode="External"/><Relationship Id="rId105" Type="http://schemas.openxmlformats.org/officeDocument/2006/relationships/hyperlink" Target="https://doi.org/10.2903/j.efsa.2019.5520" TargetMode="External"/><Relationship Id="rId126" Type="http://schemas.openxmlformats.org/officeDocument/2006/relationships/hyperlink" Target="https://www.legislation.gov.au/Details/C2014C00364" TargetMode="External"/><Relationship Id="rId147" Type="http://schemas.openxmlformats.org/officeDocument/2006/relationships/hyperlink" Target="https://www.sciencedirect.com/special-issue/10F8V3S0J7V" TargetMode="External"/><Relationship Id="rId168" Type="http://schemas.openxmlformats.org/officeDocument/2006/relationships/hyperlink" Target="https://doi.org/10.2903/j.efsa.2012.2557" TargetMode="External"/><Relationship Id="rId51" Type="http://schemas.openxmlformats.org/officeDocument/2006/relationships/header" Target="header17.xml"/><Relationship Id="rId72" Type="http://schemas.openxmlformats.org/officeDocument/2006/relationships/hyperlink" Target="https://www.nhmrc.gov.au/guidelinesforguidelines/develop/selecting-studies-and-data-extraction" TargetMode="External"/><Relationship Id="rId93" Type="http://schemas.openxmlformats.org/officeDocument/2006/relationships/hyperlink" Target="https://doi.org/doi:10.17226/24828" TargetMode="External"/><Relationship Id="rId189" Type="http://schemas.openxmlformats.org/officeDocument/2006/relationships/hyperlink" Target="https://doi.org/10.1016/j.jclinepi.2024.111494" TargetMode="External"/><Relationship Id="rId3" Type="http://schemas.openxmlformats.org/officeDocument/2006/relationships/customXml" Target="../customXml/item3.xml"/><Relationship Id="rId214" Type="http://schemas.openxmlformats.org/officeDocument/2006/relationships/hyperlink" Target="http://www.g-i-n.net" TargetMode="External"/><Relationship Id="rId235" Type="http://schemas.openxmlformats.org/officeDocument/2006/relationships/hyperlink" Target="https://open.efsa.europa.eu/questions/EFSA-Q-2021-00371" TargetMode="External"/><Relationship Id="rId256" Type="http://schemas.openxmlformats.org/officeDocument/2006/relationships/header" Target="header29.xml"/><Relationship Id="rId116" Type="http://schemas.openxmlformats.org/officeDocument/2006/relationships/hyperlink" Target="https://nap.nationalacademies.org/read/12086/chapter/9" TargetMode="External"/><Relationship Id="rId137" Type="http://schemas.openxmlformats.org/officeDocument/2006/relationships/hyperlink" Target="https://www.nhmrc.gov.au/guidelines-publications/information-guideline-developers/guideline-development-and-conflicts-interes" TargetMode="External"/><Relationship Id="rId158" Type="http://schemas.openxmlformats.org/officeDocument/2006/relationships/hyperlink" Target="https://doi.org/https://doi.org/10.1136/bmj.320.7244.1240" TargetMode="External"/><Relationship Id="rId20" Type="http://schemas.openxmlformats.org/officeDocument/2006/relationships/diagramQuickStyle" Target="diagrams/quickStyle1.xml"/><Relationship Id="rId41" Type="http://schemas.openxmlformats.org/officeDocument/2006/relationships/footer" Target="footer6.xml"/><Relationship Id="rId62" Type="http://schemas.openxmlformats.org/officeDocument/2006/relationships/hyperlink" Target="https://doi.org/doi:10.17226/24828" TargetMode="External"/><Relationship Id="rId83" Type="http://schemas.openxmlformats.org/officeDocument/2006/relationships/hyperlink" Target="https://doi.org/10.1080/10408398.2012.749209" TargetMode="External"/><Relationship Id="rId179" Type="http://schemas.openxmlformats.org/officeDocument/2006/relationships/hyperlink" Target="https://doi.org/10.2903/j.efsa.2024.NNNN" TargetMode="External"/><Relationship Id="rId190" Type="http://schemas.openxmlformats.org/officeDocument/2006/relationships/hyperlink" Target="https://doi.org/10.1024/0300-9831/a000071" TargetMode="External"/><Relationship Id="rId204" Type="http://schemas.openxmlformats.org/officeDocument/2006/relationships/hyperlink" Target="https://www.nhmrc.gov.au/guidelinesforguidelines/develop/assessing-risk-bias" TargetMode="External"/><Relationship Id="rId225" Type="http://schemas.openxmlformats.org/officeDocument/2006/relationships/hyperlink" Target="https://doi.org/10.1093/advances/nmaa048" TargetMode="External"/><Relationship Id="rId246" Type="http://schemas.openxmlformats.org/officeDocument/2006/relationships/header" Target="header24.xml"/><Relationship Id="rId106" Type="http://schemas.openxmlformats.org/officeDocument/2006/relationships/hyperlink" Target="https://doi.org/10.2903/j.efsa.2012.2579" TargetMode="External"/><Relationship Id="rId127" Type="http://schemas.openxmlformats.org/officeDocument/2006/relationships/hyperlink" Target="http://intranet.nhmrc.gov.au/search/node/procurement%20proposal%20plan" TargetMode="External"/><Relationship Id="rId10" Type="http://schemas.openxmlformats.org/officeDocument/2006/relationships/footnotes" Target="footnotes.xml"/><Relationship Id="rId31" Type="http://schemas.openxmlformats.org/officeDocument/2006/relationships/hyperlink" Target="https://www.nhmrc.gov.au/guidelinesforguidelines/review/public-consultation" TargetMode="External"/><Relationship Id="rId52" Type="http://schemas.openxmlformats.org/officeDocument/2006/relationships/header" Target="header18.xml"/><Relationship Id="rId73" Type="http://schemas.openxmlformats.org/officeDocument/2006/relationships/hyperlink" Target="https://www.nhmrc.gov.au/guidelinesforguidelines/develop/synthesising-evidence" TargetMode="External"/><Relationship Id="rId94" Type="http://schemas.openxmlformats.org/officeDocument/2006/relationships/hyperlink" Target="https://doi.org/10.1093/oxfordjournals.aje.a116237" TargetMode="External"/><Relationship Id="rId148" Type="http://schemas.openxmlformats.org/officeDocument/2006/relationships/hyperlink" Target="https://www.nhmrc.gov.au/guidelinesforguidelines/develop/evidence-decision" TargetMode="External"/><Relationship Id="rId169" Type="http://schemas.openxmlformats.org/officeDocument/2006/relationships/hyperlink" Target="https://doi.org/10.2903/j.efsa.2015.4185" TargetMode="External"/><Relationship Id="rId4" Type="http://schemas.openxmlformats.org/officeDocument/2006/relationships/customXml" Target="../customXml/item4.xml"/><Relationship Id="rId180" Type="http://schemas.openxmlformats.org/officeDocument/2006/relationships/hyperlink" Target="https://nutritionalassessment.org/nrv/" TargetMode="External"/><Relationship Id="rId215" Type="http://schemas.openxmlformats.org/officeDocument/2006/relationships/hyperlink" Target="https://gdt.gradepro.org/app/handbook/handbook.html" TargetMode="External"/><Relationship Id="rId236" Type="http://schemas.openxmlformats.org/officeDocument/2006/relationships/hyperlink" Target="https://open.efsa.europa.eu/questions/EFSA-Q-2021-00366" TargetMode="External"/><Relationship Id="rId257" Type="http://schemas.openxmlformats.org/officeDocument/2006/relationships/footer" Target="footer17.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1" Type="http://schemas.openxmlformats.org/officeDocument/2006/relationships/image" Target="media/image3.png"/></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s>
</file>

<file path=word/_rels/footer12.xml.rels><?xml version="1.0" encoding="UTF-8" standalone="yes"?>
<Relationships xmlns="http://schemas.openxmlformats.org/package/2006/relationships"><Relationship Id="rId1" Type="http://schemas.openxmlformats.org/officeDocument/2006/relationships/image" Target="media/image3.png"/></Relationships>
</file>

<file path=word/_rels/footer13.xml.rels><?xml version="1.0" encoding="UTF-8" standalone="yes"?>
<Relationships xmlns="http://schemas.openxmlformats.org/package/2006/relationships"><Relationship Id="rId1" Type="http://schemas.openxmlformats.org/officeDocument/2006/relationships/image" Target="media/image3.png"/></Relationships>
</file>

<file path=word/_rels/footer15.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sciencedirect.com/special-issue/10F8V3S0J7V" TargetMode="External"/></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293A9B-AEF4-4367-8619-DBAD1D29B58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AU"/>
        </a:p>
      </dgm:t>
    </dgm:pt>
    <dgm:pt modelId="{6F2FFAF9-4B36-4BB2-B204-0F86714C6102}">
      <dgm:prSet phldrT="[Text]" custT="1"/>
      <dgm:spPr/>
      <dgm:t>
        <a:bodyPr/>
        <a:lstStyle/>
        <a:p>
          <a:r>
            <a:rPr lang="en-AU" sz="1200">
              <a:solidFill>
                <a:sysClr val="windowText" lastClr="000000"/>
              </a:solidFill>
              <a:latin typeface="Gotham Book" pitchFamily="50" charset="0"/>
            </a:rPr>
            <a:t>Identify priority NRVs for review </a:t>
          </a:r>
        </a:p>
        <a:p>
          <a:r>
            <a:rPr lang="en-AU" sz="1000" i="1">
              <a:solidFill>
                <a:sysClr val="windowText" lastClr="000000"/>
              </a:solidFill>
              <a:latin typeface="Gotham Book" pitchFamily="50" charset="0"/>
            </a:rPr>
            <a:t>(Chapter 3)</a:t>
          </a:r>
        </a:p>
      </dgm:t>
    </dgm:pt>
    <dgm:pt modelId="{F3EF0889-EDA2-45DE-9D43-AB38A3A8F29D}" type="parTrans" cxnId="{89AF72CB-3B8C-48AE-B1AC-A12EDA62C369}">
      <dgm:prSet/>
      <dgm:spPr/>
      <dgm:t>
        <a:bodyPr/>
        <a:lstStyle/>
        <a:p>
          <a:endParaRPr lang="en-AU">
            <a:solidFill>
              <a:sysClr val="windowText" lastClr="000000"/>
            </a:solidFill>
            <a:latin typeface="Gotham Book" pitchFamily="50" charset="0"/>
          </a:endParaRPr>
        </a:p>
      </dgm:t>
    </dgm:pt>
    <dgm:pt modelId="{6C897F94-9A38-4E5D-B439-42F0D6CCE581}" type="sibTrans" cxnId="{89AF72CB-3B8C-48AE-B1AC-A12EDA62C369}">
      <dgm:prSet/>
      <dgm:spPr/>
      <dgm:t>
        <a:bodyPr/>
        <a:lstStyle/>
        <a:p>
          <a:endParaRPr lang="en-AU">
            <a:solidFill>
              <a:sysClr val="windowText" lastClr="000000"/>
            </a:solidFill>
            <a:latin typeface="Gotham Book" pitchFamily="50" charset="0"/>
          </a:endParaRPr>
        </a:p>
      </dgm:t>
    </dgm:pt>
    <dgm:pt modelId="{FD7C1884-EE5C-4AED-80C0-C1A51339CC92}">
      <dgm:prSet phldrT="[Text]" custT="1"/>
      <dgm:spPr/>
      <dgm:t>
        <a:bodyPr/>
        <a:lstStyle/>
        <a:p>
          <a:r>
            <a:rPr lang="en-AU" sz="1200">
              <a:solidFill>
                <a:sysClr val="windowText" lastClr="000000"/>
              </a:solidFill>
              <a:latin typeface="Gotham Book" pitchFamily="50" charset="0"/>
            </a:rPr>
            <a:t>Scope NRVs under review</a:t>
          </a:r>
        </a:p>
        <a:p>
          <a:r>
            <a:rPr lang="en-AU" sz="1000" i="1">
              <a:solidFill>
                <a:sysClr val="windowText" lastClr="000000"/>
              </a:solidFill>
              <a:latin typeface="Gotham Book" pitchFamily="50" charset="0"/>
            </a:rPr>
            <a:t>(Chapter 4)</a:t>
          </a:r>
        </a:p>
      </dgm:t>
    </dgm:pt>
    <dgm:pt modelId="{A882ED62-033F-492C-897F-34B0E464D1F3}" type="parTrans" cxnId="{0C2E4895-87F7-4D24-90BF-21F19FED8871}">
      <dgm:prSet/>
      <dgm:spPr/>
      <dgm:t>
        <a:bodyPr/>
        <a:lstStyle/>
        <a:p>
          <a:endParaRPr lang="en-AU">
            <a:solidFill>
              <a:sysClr val="windowText" lastClr="000000"/>
            </a:solidFill>
            <a:latin typeface="Gotham Book" pitchFamily="50" charset="0"/>
          </a:endParaRPr>
        </a:p>
      </dgm:t>
    </dgm:pt>
    <dgm:pt modelId="{ED839816-C1B3-405A-9C97-5C95A117E36B}" type="sibTrans" cxnId="{0C2E4895-87F7-4D24-90BF-21F19FED8871}">
      <dgm:prSet/>
      <dgm:spPr/>
      <dgm:t>
        <a:bodyPr/>
        <a:lstStyle/>
        <a:p>
          <a:endParaRPr lang="en-AU">
            <a:solidFill>
              <a:sysClr val="windowText" lastClr="000000"/>
            </a:solidFill>
            <a:latin typeface="Gotham Book" pitchFamily="50" charset="0"/>
          </a:endParaRPr>
        </a:p>
      </dgm:t>
    </dgm:pt>
    <dgm:pt modelId="{5DA39ACD-C895-4E52-9E2B-2D18310D639E}">
      <dgm:prSet phldrT="[Text]" custT="1"/>
      <dgm:spPr/>
      <dgm:t>
        <a:bodyPr/>
        <a:lstStyle/>
        <a:p>
          <a:r>
            <a:rPr lang="en-AU" sz="1200">
              <a:solidFill>
                <a:sysClr val="windowText" lastClr="000000"/>
              </a:solidFill>
              <a:latin typeface="Gotham Book" pitchFamily="50" charset="0"/>
            </a:rPr>
            <a:t>Identify available evidence sources and gaps</a:t>
          </a:r>
        </a:p>
        <a:p>
          <a:r>
            <a:rPr lang="en-AU" sz="1000" i="1">
              <a:solidFill>
                <a:sysClr val="windowText" lastClr="000000"/>
              </a:solidFill>
              <a:latin typeface="Gotham Book" pitchFamily="50" charset="0"/>
            </a:rPr>
            <a:t>(Chapter 5: Section 5.1)</a:t>
          </a:r>
        </a:p>
      </dgm:t>
    </dgm:pt>
    <dgm:pt modelId="{C56B8DD9-7249-4999-B1EB-4C2F5F6244CD}" type="parTrans" cxnId="{44EDF631-5707-460B-87A1-4EE12AD37A11}">
      <dgm:prSet/>
      <dgm:spPr/>
      <dgm:t>
        <a:bodyPr/>
        <a:lstStyle/>
        <a:p>
          <a:endParaRPr lang="en-AU">
            <a:solidFill>
              <a:sysClr val="windowText" lastClr="000000"/>
            </a:solidFill>
            <a:latin typeface="Gotham Book" pitchFamily="50" charset="0"/>
          </a:endParaRPr>
        </a:p>
      </dgm:t>
    </dgm:pt>
    <dgm:pt modelId="{3D790C62-28C8-40D4-BE7B-0B8BAB198A8E}" type="sibTrans" cxnId="{44EDF631-5707-460B-87A1-4EE12AD37A11}">
      <dgm:prSet/>
      <dgm:spPr/>
      <dgm:t>
        <a:bodyPr/>
        <a:lstStyle/>
        <a:p>
          <a:endParaRPr lang="en-AU">
            <a:solidFill>
              <a:sysClr val="windowText" lastClr="000000"/>
            </a:solidFill>
            <a:latin typeface="Gotham Book" pitchFamily="50" charset="0"/>
          </a:endParaRPr>
        </a:p>
      </dgm:t>
    </dgm:pt>
    <dgm:pt modelId="{CD36F561-6BE2-4187-82A3-0C002F2CA3B3}">
      <dgm:prSet phldrT="[Text]" custT="1"/>
      <dgm:spPr/>
      <dgm:t>
        <a:bodyPr/>
        <a:lstStyle/>
        <a:p>
          <a:r>
            <a:rPr lang="en-AU" sz="1200">
              <a:solidFill>
                <a:sysClr val="windowText" lastClr="000000"/>
              </a:solidFill>
              <a:latin typeface="Gotham Book" pitchFamily="50" charset="0"/>
            </a:rPr>
            <a:t>Review evidence</a:t>
          </a:r>
        </a:p>
        <a:p>
          <a:r>
            <a:rPr lang="en-AU" sz="1000" i="1">
              <a:solidFill>
                <a:sysClr val="windowText" lastClr="000000"/>
              </a:solidFill>
              <a:latin typeface="Gotham Book" pitchFamily="50" charset="0"/>
            </a:rPr>
            <a:t>(Chapter 5: Section 5.2) </a:t>
          </a:r>
        </a:p>
      </dgm:t>
    </dgm:pt>
    <dgm:pt modelId="{5720F164-8DBE-4D92-ABCF-15511DC1B73E}" type="parTrans" cxnId="{2F405515-F80B-49DD-8C57-88ED382D2AB9}">
      <dgm:prSet/>
      <dgm:spPr/>
      <dgm:t>
        <a:bodyPr/>
        <a:lstStyle/>
        <a:p>
          <a:endParaRPr lang="en-AU">
            <a:solidFill>
              <a:sysClr val="windowText" lastClr="000000"/>
            </a:solidFill>
            <a:latin typeface="Gotham Book" pitchFamily="50" charset="0"/>
          </a:endParaRPr>
        </a:p>
      </dgm:t>
    </dgm:pt>
    <dgm:pt modelId="{E0FB3DF7-58F1-4BE6-911D-7FC650FAC23C}" type="sibTrans" cxnId="{2F405515-F80B-49DD-8C57-88ED382D2AB9}">
      <dgm:prSet/>
      <dgm:spPr/>
      <dgm:t>
        <a:bodyPr/>
        <a:lstStyle/>
        <a:p>
          <a:endParaRPr lang="en-AU">
            <a:solidFill>
              <a:sysClr val="windowText" lastClr="000000"/>
            </a:solidFill>
            <a:latin typeface="Gotham Book" pitchFamily="50" charset="0"/>
          </a:endParaRPr>
        </a:p>
      </dgm:t>
    </dgm:pt>
    <dgm:pt modelId="{6C7ABF24-D70F-40A4-A515-2D8D09A6BE4A}">
      <dgm:prSet phldrT="[Text]" custT="1"/>
      <dgm:spPr/>
      <dgm:t>
        <a:bodyPr/>
        <a:lstStyle/>
        <a:p>
          <a:r>
            <a:rPr lang="en-AU" sz="900">
              <a:solidFill>
                <a:sysClr val="windowText" lastClr="000000"/>
              </a:solidFill>
              <a:latin typeface="Gotham Book" pitchFamily="50" charset="0"/>
            </a:rPr>
            <a:t>Nutrient-specific context (function, physiology, biochemistry, bioavailability, homeostasis and accumulation, hazard identification, hazard characterisation and measurement methods). </a:t>
          </a:r>
        </a:p>
      </dgm:t>
    </dgm:pt>
    <dgm:pt modelId="{38A26F01-1437-4C22-8E43-42F4F075CD61}" type="parTrans" cxnId="{15CC13FF-5789-44E1-B777-BF54E50A17CC}">
      <dgm:prSet/>
      <dgm:spPr/>
      <dgm:t>
        <a:bodyPr/>
        <a:lstStyle/>
        <a:p>
          <a:endParaRPr lang="en-AU">
            <a:solidFill>
              <a:sysClr val="windowText" lastClr="000000"/>
            </a:solidFill>
            <a:latin typeface="Gotham Book" pitchFamily="50" charset="0"/>
          </a:endParaRPr>
        </a:p>
      </dgm:t>
    </dgm:pt>
    <dgm:pt modelId="{9D0EBF51-EC80-486F-B0BB-AD5B8CA55D0A}" type="sibTrans" cxnId="{15CC13FF-5789-44E1-B777-BF54E50A17CC}">
      <dgm:prSet/>
      <dgm:spPr/>
      <dgm:t>
        <a:bodyPr/>
        <a:lstStyle/>
        <a:p>
          <a:endParaRPr lang="en-AU">
            <a:solidFill>
              <a:sysClr val="windowText" lastClr="000000"/>
            </a:solidFill>
            <a:latin typeface="Gotham Book" pitchFamily="50" charset="0"/>
          </a:endParaRPr>
        </a:p>
      </dgm:t>
    </dgm:pt>
    <dgm:pt modelId="{680AFB8D-CAEA-4F96-9F3F-0EE12A565288}">
      <dgm:prSet phldrT="[Text]" custT="1"/>
      <dgm:spPr/>
      <dgm:t>
        <a:bodyPr/>
        <a:lstStyle/>
        <a:p>
          <a:r>
            <a:rPr lang="en-AU" sz="900">
              <a:solidFill>
                <a:sysClr val="windowText" lastClr="000000"/>
              </a:solidFill>
              <a:latin typeface="Gotham Book" pitchFamily="50" charset="0"/>
            </a:rPr>
            <a:t>Conduct evidence review, including GRADE certainty of evidence</a:t>
          </a:r>
        </a:p>
      </dgm:t>
    </dgm:pt>
    <dgm:pt modelId="{CFB0BA40-61EC-4B8F-AFA9-8A1F4E7B6246}" type="parTrans" cxnId="{68F4F6F9-0FFD-4849-9DD1-250D88588EE3}">
      <dgm:prSet/>
      <dgm:spPr/>
      <dgm:t>
        <a:bodyPr/>
        <a:lstStyle/>
        <a:p>
          <a:endParaRPr lang="en-AU">
            <a:solidFill>
              <a:sysClr val="windowText" lastClr="000000"/>
            </a:solidFill>
            <a:latin typeface="Gotham Book" pitchFamily="50" charset="0"/>
          </a:endParaRPr>
        </a:p>
      </dgm:t>
    </dgm:pt>
    <dgm:pt modelId="{AFFE8743-CFE9-4D35-8916-D0BC378C8E27}" type="sibTrans" cxnId="{68F4F6F9-0FFD-4849-9DD1-250D88588EE3}">
      <dgm:prSet/>
      <dgm:spPr/>
      <dgm:t>
        <a:bodyPr/>
        <a:lstStyle/>
        <a:p>
          <a:endParaRPr lang="en-AU">
            <a:solidFill>
              <a:sysClr val="windowText" lastClr="000000"/>
            </a:solidFill>
            <a:latin typeface="Gotham Book" pitchFamily="50" charset="0"/>
          </a:endParaRPr>
        </a:p>
      </dgm:t>
    </dgm:pt>
    <dgm:pt modelId="{5E9626A2-77BC-404C-9B01-6D8C2B83CD0D}">
      <dgm:prSet phldrT="[Text]" custT="1"/>
      <dgm:spPr/>
      <dgm:t>
        <a:bodyPr/>
        <a:lstStyle/>
        <a:p>
          <a:r>
            <a:rPr lang="en-AU" sz="900">
              <a:solidFill>
                <a:sysClr val="windowText" lastClr="000000"/>
              </a:solidFill>
              <a:latin typeface="Gotham Book" pitchFamily="50" charset="0"/>
            </a:rPr>
            <a:t>Adjust draft value to account for Australian and New Zealand nutrition context</a:t>
          </a:r>
        </a:p>
      </dgm:t>
    </dgm:pt>
    <dgm:pt modelId="{7E100C03-C193-4735-BDD1-C6369B05246B}" type="parTrans" cxnId="{890817D7-41A2-4CBF-828D-AE6E75FB13C6}">
      <dgm:prSet/>
      <dgm:spPr/>
      <dgm:t>
        <a:bodyPr/>
        <a:lstStyle/>
        <a:p>
          <a:endParaRPr lang="en-AU">
            <a:solidFill>
              <a:sysClr val="windowText" lastClr="000000"/>
            </a:solidFill>
            <a:latin typeface="Gotham Book" pitchFamily="50" charset="0"/>
          </a:endParaRPr>
        </a:p>
      </dgm:t>
    </dgm:pt>
    <dgm:pt modelId="{FDAD49B1-2513-4D9E-A52B-B47FDBEC800C}" type="sibTrans" cxnId="{890817D7-41A2-4CBF-828D-AE6E75FB13C6}">
      <dgm:prSet/>
      <dgm:spPr/>
      <dgm:t>
        <a:bodyPr/>
        <a:lstStyle/>
        <a:p>
          <a:endParaRPr lang="en-AU">
            <a:solidFill>
              <a:sysClr val="windowText" lastClr="000000"/>
            </a:solidFill>
            <a:latin typeface="Gotham Book" pitchFamily="50" charset="0"/>
          </a:endParaRPr>
        </a:p>
      </dgm:t>
    </dgm:pt>
    <dgm:pt modelId="{B3B28540-AA55-4428-80E4-5CFE885195C7}">
      <dgm:prSet phldrT="[Text]" custT="1"/>
      <dgm:spPr/>
      <dgm:t>
        <a:bodyPr/>
        <a:lstStyle/>
        <a:p>
          <a:r>
            <a:rPr lang="en-AU" sz="1200">
              <a:solidFill>
                <a:sysClr val="windowText" lastClr="000000"/>
              </a:solidFill>
              <a:latin typeface="Gotham Book" pitchFamily="50" charset="0"/>
            </a:rPr>
            <a:t>Determine approach for calculating NRVs</a:t>
          </a:r>
        </a:p>
        <a:p>
          <a:r>
            <a:rPr lang="en-AU" sz="1000" i="1">
              <a:solidFill>
                <a:sysClr val="windowText" lastClr="000000"/>
              </a:solidFill>
              <a:latin typeface="Gotham Book" pitchFamily="50" charset="0"/>
            </a:rPr>
            <a:t>(Chapter 6: Section 6.1)</a:t>
          </a:r>
        </a:p>
      </dgm:t>
    </dgm:pt>
    <dgm:pt modelId="{6DB0283F-1343-45ED-AC14-21A37668FF81}" type="parTrans" cxnId="{21BE4A01-785D-4562-AE6D-348B5B15EAE4}">
      <dgm:prSet/>
      <dgm:spPr/>
      <dgm:t>
        <a:bodyPr/>
        <a:lstStyle/>
        <a:p>
          <a:endParaRPr lang="en-AU">
            <a:solidFill>
              <a:sysClr val="windowText" lastClr="000000"/>
            </a:solidFill>
            <a:latin typeface="Gotham Book" pitchFamily="50" charset="0"/>
          </a:endParaRPr>
        </a:p>
      </dgm:t>
    </dgm:pt>
    <dgm:pt modelId="{70EF405A-4B4A-4FBF-85F1-417D79443FAB}" type="sibTrans" cxnId="{21BE4A01-785D-4562-AE6D-348B5B15EAE4}">
      <dgm:prSet/>
      <dgm:spPr/>
      <dgm:t>
        <a:bodyPr/>
        <a:lstStyle/>
        <a:p>
          <a:endParaRPr lang="en-AU">
            <a:solidFill>
              <a:sysClr val="windowText" lastClr="000000"/>
            </a:solidFill>
            <a:latin typeface="Gotham Book" pitchFamily="50" charset="0"/>
          </a:endParaRPr>
        </a:p>
      </dgm:t>
    </dgm:pt>
    <dgm:pt modelId="{436D99FE-3A91-41B4-B49B-3314A34FC62E}">
      <dgm:prSet phldrT="[Text]" custT="1"/>
      <dgm:spPr/>
      <dgm:t>
        <a:bodyPr/>
        <a:lstStyle/>
        <a:p>
          <a:r>
            <a:rPr lang="en-AU" sz="900">
              <a:solidFill>
                <a:sysClr val="windowText" lastClr="000000"/>
              </a:solidFill>
              <a:latin typeface="Gotham Book" pitchFamily="50" charset="0"/>
            </a:rPr>
            <a:t>Consider suitability of adapting or adopting International reference value/s</a:t>
          </a:r>
        </a:p>
      </dgm:t>
    </dgm:pt>
    <dgm:pt modelId="{BCB15507-35D3-4382-AB6E-57586BBA7EF7}" type="parTrans" cxnId="{46D7A846-F257-4EBB-B9B1-EC1F2BFEC923}">
      <dgm:prSet/>
      <dgm:spPr/>
      <dgm:t>
        <a:bodyPr/>
        <a:lstStyle/>
        <a:p>
          <a:endParaRPr lang="en-AU">
            <a:solidFill>
              <a:sysClr val="windowText" lastClr="000000"/>
            </a:solidFill>
            <a:latin typeface="Gotham Book" pitchFamily="50" charset="0"/>
          </a:endParaRPr>
        </a:p>
      </dgm:t>
    </dgm:pt>
    <dgm:pt modelId="{682CAE8A-DEAF-42E7-9662-4BBAB75A8CAB}" type="sibTrans" cxnId="{46D7A846-F257-4EBB-B9B1-EC1F2BFEC923}">
      <dgm:prSet/>
      <dgm:spPr/>
      <dgm:t>
        <a:bodyPr/>
        <a:lstStyle/>
        <a:p>
          <a:endParaRPr lang="en-AU">
            <a:solidFill>
              <a:sysClr val="windowText" lastClr="000000"/>
            </a:solidFill>
            <a:latin typeface="Gotham Book" pitchFamily="50" charset="0"/>
          </a:endParaRPr>
        </a:p>
      </dgm:t>
    </dgm:pt>
    <dgm:pt modelId="{97D115D7-D897-4F3F-AA04-D9670C0F4B69}">
      <dgm:prSet phldrT="[Text]" custT="1"/>
      <dgm:spPr/>
      <dgm:t>
        <a:bodyPr/>
        <a:lstStyle/>
        <a:p>
          <a:r>
            <a:rPr lang="en-AU" sz="900">
              <a:solidFill>
                <a:sysClr val="windowText" lastClr="000000"/>
              </a:solidFill>
              <a:latin typeface="Gotham Book" pitchFamily="50" charset="0"/>
            </a:rPr>
            <a:t>Determine methods for calculating NRVs (factorial, dose-response and/or risk based)</a:t>
          </a:r>
        </a:p>
      </dgm:t>
    </dgm:pt>
    <dgm:pt modelId="{ED7FC05D-7B5A-4B8A-B38F-6948F6856CE5}" type="parTrans" cxnId="{A675FA99-AF50-4C72-88C1-D379CD595174}">
      <dgm:prSet/>
      <dgm:spPr/>
      <dgm:t>
        <a:bodyPr/>
        <a:lstStyle/>
        <a:p>
          <a:endParaRPr lang="en-AU">
            <a:solidFill>
              <a:sysClr val="windowText" lastClr="000000"/>
            </a:solidFill>
            <a:latin typeface="Gotham Book" pitchFamily="50" charset="0"/>
          </a:endParaRPr>
        </a:p>
      </dgm:t>
    </dgm:pt>
    <dgm:pt modelId="{96A02DCE-CE71-4736-8890-5F50F22C39EE}" type="sibTrans" cxnId="{A675FA99-AF50-4C72-88C1-D379CD595174}">
      <dgm:prSet/>
      <dgm:spPr/>
      <dgm:t>
        <a:bodyPr/>
        <a:lstStyle/>
        <a:p>
          <a:endParaRPr lang="en-AU">
            <a:solidFill>
              <a:sysClr val="windowText" lastClr="000000"/>
            </a:solidFill>
            <a:latin typeface="Gotham Book" pitchFamily="50" charset="0"/>
          </a:endParaRPr>
        </a:p>
      </dgm:t>
    </dgm:pt>
    <dgm:pt modelId="{AF52F129-49A1-4706-BD70-BED00FD1CE26}">
      <dgm:prSet phldrT="[Text]" custT="1"/>
      <dgm:spPr/>
      <dgm:t>
        <a:bodyPr/>
        <a:lstStyle/>
        <a:p>
          <a:r>
            <a:rPr lang="en-AU" sz="900">
              <a:solidFill>
                <a:sysClr val="windowText" lastClr="000000"/>
              </a:solidFill>
              <a:latin typeface="Gotham Book" pitchFamily="50" charset="0"/>
            </a:rPr>
            <a:t>Australian and New Zealand nutrient context (intakes, status, prevalence of associated health outcomes)</a:t>
          </a:r>
        </a:p>
      </dgm:t>
    </dgm:pt>
    <dgm:pt modelId="{DCAC7919-30F9-4392-9F93-FD5E57A6D346}" type="parTrans" cxnId="{7014E0C8-990A-412D-A304-4A464144D2B2}">
      <dgm:prSet/>
      <dgm:spPr/>
      <dgm:t>
        <a:bodyPr/>
        <a:lstStyle/>
        <a:p>
          <a:endParaRPr lang="en-AU"/>
        </a:p>
      </dgm:t>
    </dgm:pt>
    <dgm:pt modelId="{E8524AEE-6630-47EF-8723-79D68E2DC0BB}" type="sibTrans" cxnId="{7014E0C8-990A-412D-A304-4A464144D2B2}">
      <dgm:prSet/>
      <dgm:spPr/>
      <dgm:t>
        <a:bodyPr/>
        <a:lstStyle/>
        <a:p>
          <a:endParaRPr lang="en-AU"/>
        </a:p>
      </dgm:t>
    </dgm:pt>
    <dgm:pt modelId="{F7A303F7-E819-4760-99AE-361DB1B81719}">
      <dgm:prSet phldrT="[Text]" custT="1"/>
      <dgm:spPr/>
      <dgm:t>
        <a:bodyPr/>
        <a:lstStyle/>
        <a:p>
          <a:r>
            <a:rPr lang="en-AU" sz="900">
              <a:solidFill>
                <a:sysClr val="windowText" lastClr="000000"/>
              </a:solidFill>
              <a:latin typeface="Gotham Book" pitchFamily="50" charset="0"/>
            </a:rPr>
            <a:t>Identify existing sources of evidence</a:t>
          </a:r>
        </a:p>
      </dgm:t>
    </dgm:pt>
    <dgm:pt modelId="{9E7F79F6-17B0-44AF-A447-30DF283F2FEC}" type="parTrans" cxnId="{2A7411AD-3BD5-4215-BC45-5EDC0E6B7653}">
      <dgm:prSet/>
      <dgm:spPr/>
      <dgm:t>
        <a:bodyPr/>
        <a:lstStyle/>
        <a:p>
          <a:endParaRPr lang="en-AU"/>
        </a:p>
      </dgm:t>
    </dgm:pt>
    <dgm:pt modelId="{B958EE93-0B4D-473B-A6B7-1BF8AB632360}" type="sibTrans" cxnId="{2A7411AD-3BD5-4215-BC45-5EDC0E6B7653}">
      <dgm:prSet/>
      <dgm:spPr/>
      <dgm:t>
        <a:bodyPr/>
        <a:lstStyle/>
        <a:p>
          <a:endParaRPr lang="en-AU"/>
        </a:p>
      </dgm:t>
    </dgm:pt>
    <dgm:pt modelId="{614AFD97-AF1C-4AE2-B2A8-E317DE7073F4}">
      <dgm:prSet phldrT="[Text]" custT="1"/>
      <dgm:spPr/>
      <dgm:t>
        <a:bodyPr/>
        <a:lstStyle/>
        <a:p>
          <a:r>
            <a:rPr lang="en-AU" sz="900">
              <a:solidFill>
                <a:sysClr val="windowText" lastClr="000000"/>
              </a:solidFill>
              <a:latin typeface="Gotham Book" pitchFamily="50" charset="0"/>
            </a:rPr>
            <a:t>Identify required data/evidence/information for NRV development (linked to Evidence-to-Decision Framework)</a:t>
          </a:r>
        </a:p>
      </dgm:t>
    </dgm:pt>
    <dgm:pt modelId="{2B98BEAC-31DE-4415-B069-0A887ED0615E}" type="parTrans" cxnId="{325BA6A9-3A28-42F0-B7F7-E895F88BEC8E}">
      <dgm:prSet/>
      <dgm:spPr/>
      <dgm:t>
        <a:bodyPr/>
        <a:lstStyle/>
        <a:p>
          <a:endParaRPr lang="en-AU"/>
        </a:p>
      </dgm:t>
    </dgm:pt>
    <dgm:pt modelId="{7E1A59FA-351C-4022-AC8B-4C86C661B08D}" type="sibTrans" cxnId="{325BA6A9-3A28-42F0-B7F7-E895F88BEC8E}">
      <dgm:prSet/>
      <dgm:spPr/>
      <dgm:t>
        <a:bodyPr/>
        <a:lstStyle/>
        <a:p>
          <a:endParaRPr lang="en-AU"/>
        </a:p>
      </dgm:t>
    </dgm:pt>
    <dgm:pt modelId="{8AA15C5F-2AA6-468E-A03B-07F05ED9DDD7}">
      <dgm:prSet phldrT="[Text]" custT="1"/>
      <dgm:spPr/>
      <dgm:t>
        <a:bodyPr/>
        <a:lstStyle/>
        <a:p>
          <a:r>
            <a:rPr lang="en-AU" sz="900">
              <a:solidFill>
                <a:sysClr val="windowText" lastClr="000000"/>
              </a:solidFill>
              <a:latin typeface="Gotham Book" pitchFamily="50" charset="0"/>
            </a:rPr>
            <a:t>Document judgements using GRADE evidence-to-decision Framework (ongoing process throughout)</a:t>
          </a:r>
        </a:p>
      </dgm:t>
    </dgm:pt>
    <dgm:pt modelId="{1FFC6EC8-5C58-4EB6-B3D9-28343FC8DC0F}" type="parTrans" cxnId="{C321EE8C-651E-4780-AACF-B64FBA36B9F6}">
      <dgm:prSet/>
      <dgm:spPr/>
      <dgm:t>
        <a:bodyPr/>
        <a:lstStyle/>
        <a:p>
          <a:endParaRPr lang="en-AU"/>
        </a:p>
      </dgm:t>
    </dgm:pt>
    <dgm:pt modelId="{4019749B-C3A5-4A21-9553-C75927E7F823}" type="sibTrans" cxnId="{C321EE8C-651E-4780-AACF-B64FBA36B9F6}">
      <dgm:prSet/>
      <dgm:spPr/>
      <dgm:t>
        <a:bodyPr/>
        <a:lstStyle/>
        <a:p>
          <a:endParaRPr lang="en-AU"/>
        </a:p>
      </dgm:t>
    </dgm:pt>
    <dgm:pt modelId="{6A06B286-C6B7-469C-84A3-B360C6BD38B4}">
      <dgm:prSet phldrT="[Text]" custT="1"/>
      <dgm:spPr/>
      <dgm:t>
        <a:bodyPr/>
        <a:lstStyle/>
        <a:p>
          <a:endParaRPr lang="en-AU" sz="900">
            <a:solidFill>
              <a:sysClr val="windowText" lastClr="000000"/>
            </a:solidFill>
            <a:latin typeface="Gotham Book" pitchFamily="50" charset="0"/>
          </a:endParaRPr>
        </a:p>
      </dgm:t>
    </dgm:pt>
    <dgm:pt modelId="{74E11F9D-1C8B-4B9C-893A-54CB0081A534}" type="parTrans" cxnId="{48569E31-9449-437A-AD63-D142D5B890DB}">
      <dgm:prSet/>
      <dgm:spPr/>
      <dgm:t>
        <a:bodyPr/>
        <a:lstStyle/>
        <a:p>
          <a:endParaRPr lang="en-AU"/>
        </a:p>
      </dgm:t>
    </dgm:pt>
    <dgm:pt modelId="{F81E3D40-1AA3-4DBB-80D5-48C40D5DA662}" type="sibTrans" cxnId="{48569E31-9449-437A-AD63-D142D5B890DB}">
      <dgm:prSet/>
      <dgm:spPr/>
      <dgm:t>
        <a:bodyPr/>
        <a:lstStyle/>
        <a:p>
          <a:endParaRPr lang="en-AU"/>
        </a:p>
      </dgm:t>
    </dgm:pt>
    <dgm:pt modelId="{49593D86-F901-47AD-8529-35E3A5A89595}">
      <dgm:prSet phldrT="[Text]" custT="1"/>
      <dgm:spPr/>
      <dgm:t>
        <a:bodyPr/>
        <a:lstStyle/>
        <a:p>
          <a:r>
            <a:rPr lang="en-AU" sz="1200">
              <a:solidFill>
                <a:sysClr val="windowText" lastClr="000000"/>
              </a:solidFill>
              <a:latin typeface="Gotham Book" pitchFamily="50" charset="0"/>
            </a:rPr>
            <a:t>Establish NRV and recommendations </a:t>
          </a:r>
        </a:p>
        <a:p>
          <a:r>
            <a:rPr lang="en-AU" sz="1000" i="1">
              <a:solidFill>
                <a:sysClr val="windowText" lastClr="000000"/>
              </a:solidFill>
              <a:latin typeface="Gotham Book" pitchFamily="50" charset="0"/>
            </a:rPr>
            <a:t>(Chapter 6: Section 6.2 - 6.7, Chapter 7)</a:t>
          </a:r>
          <a:endParaRPr lang="en-AU" sz="1000">
            <a:solidFill>
              <a:sysClr val="windowText" lastClr="000000"/>
            </a:solidFill>
            <a:latin typeface="Gotham Book" pitchFamily="50" charset="0"/>
          </a:endParaRPr>
        </a:p>
      </dgm:t>
    </dgm:pt>
    <dgm:pt modelId="{C28D9813-18ED-4B4B-9277-033144CA629B}" type="sibTrans" cxnId="{CA010BC7-FF0D-41FD-974B-57A3F62F6344}">
      <dgm:prSet/>
      <dgm:spPr/>
      <dgm:t>
        <a:bodyPr/>
        <a:lstStyle/>
        <a:p>
          <a:endParaRPr lang="en-AU">
            <a:solidFill>
              <a:sysClr val="windowText" lastClr="000000"/>
            </a:solidFill>
            <a:latin typeface="Gotham Book" pitchFamily="50" charset="0"/>
          </a:endParaRPr>
        </a:p>
      </dgm:t>
    </dgm:pt>
    <dgm:pt modelId="{26C3E9EB-5A86-45EC-AAC7-A5115BD38147}" type="parTrans" cxnId="{CA010BC7-FF0D-41FD-974B-57A3F62F6344}">
      <dgm:prSet/>
      <dgm:spPr/>
      <dgm:t>
        <a:bodyPr/>
        <a:lstStyle/>
        <a:p>
          <a:endParaRPr lang="en-AU">
            <a:solidFill>
              <a:sysClr val="windowText" lastClr="000000"/>
            </a:solidFill>
            <a:latin typeface="Gotham Book" pitchFamily="50" charset="0"/>
          </a:endParaRPr>
        </a:p>
      </dgm:t>
    </dgm:pt>
    <dgm:pt modelId="{D6454DE1-0E5C-4C4D-8AB9-9C0C16723804}">
      <dgm:prSet phldrT="[Text]" custT="1"/>
      <dgm:spPr/>
      <dgm:t>
        <a:bodyPr/>
        <a:lstStyle/>
        <a:p>
          <a:r>
            <a:rPr lang="en-AU" sz="900">
              <a:solidFill>
                <a:sysClr val="windowText" lastClr="000000"/>
              </a:solidFill>
              <a:latin typeface="Gotham Book" pitchFamily="50" charset="0"/>
            </a:rPr>
            <a:t>Steering group considers nutrition- and region-specific factors (context) driving priorities</a:t>
          </a:r>
        </a:p>
      </dgm:t>
    </dgm:pt>
    <dgm:pt modelId="{C4EE20AE-E086-4D32-A449-59C3433F5040}" type="parTrans" cxnId="{E7435629-F158-4580-95BA-7237A438C5A3}">
      <dgm:prSet/>
      <dgm:spPr/>
      <dgm:t>
        <a:bodyPr/>
        <a:lstStyle/>
        <a:p>
          <a:endParaRPr lang="en-AU"/>
        </a:p>
      </dgm:t>
    </dgm:pt>
    <dgm:pt modelId="{C22B0186-FCCB-49F7-8AB0-FB9C065CD877}" type="sibTrans" cxnId="{E7435629-F158-4580-95BA-7237A438C5A3}">
      <dgm:prSet/>
      <dgm:spPr/>
      <dgm:t>
        <a:bodyPr/>
        <a:lstStyle/>
        <a:p>
          <a:endParaRPr lang="en-AU"/>
        </a:p>
      </dgm:t>
    </dgm:pt>
    <dgm:pt modelId="{0D978F81-F819-463A-B379-793E217636D0}">
      <dgm:prSet phldrT="[Text]" custT="1"/>
      <dgm:spPr/>
      <dgm:t>
        <a:bodyPr/>
        <a:lstStyle/>
        <a:p>
          <a:r>
            <a:rPr lang="en-AU" sz="900">
              <a:solidFill>
                <a:sysClr val="windowText" lastClr="000000"/>
              </a:solidFill>
              <a:latin typeface="Gotham Book" pitchFamily="50" charset="0"/>
            </a:rPr>
            <a:t>Identify gaps to be addressed by </a:t>
          </a:r>
          <a:r>
            <a:rPr lang="en-AU" sz="900" i="1">
              <a:solidFill>
                <a:sysClr val="windowText" lastClr="000000"/>
              </a:solidFill>
              <a:latin typeface="Gotham Book" pitchFamily="50" charset="0"/>
            </a:rPr>
            <a:t>de novo </a:t>
          </a:r>
          <a:r>
            <a:rPr lang="en-AU" sz="900">
              <a:solidFill>
                <a:sysClr val="windowText" lastClr="000000"/>
              </a:solidFill>
              <a:latin typeface="Gotham Book" pitchFamily="50" charset="0"/>
            </a:rPr>
            <a:t>review and define research question</a:t>
          </a:r>
        </a:p>
      </dgm:t>
    </dgm:pt>
    <dgm:pt modelId="{B7C750D3-98D0-45BA-A131-DB1B4441B449}" type="parTrans" cxnId="{C4DEBAC3-5516-4521-B4EA-18BD70893AEA}">
      <dgm:prSet/>
      <dgm:spPr/>
      <dgm:t>
        <a:bodyPr/>
        <a:lstStyle/>
        <a:p>
          <a:endParaRPr lang="en-AU"/>
        </a:p>
      </dgm:t>
    </dgm:pt>
    <dgm:pt modelId="{8148D4EA-7341-4100-A29F-AD14504D84B9}" type="sibTrans" cxnId="{C4DEBAC3-5516-4521-B4EA-18BD70893AEA}">
      <dgm:prSet/>
      <dgm:spPr/>
      <dgm:t>
        <a:bodyPr/>
        <a:lstStyle/>
        <a:p>
          <a:endParaRPr lang="en-AU"/>
        </a:p>
      </dgm:t>
    </dgm:pt>
    <dgm:pt modelId="{84837534-083A-4B8A-A6A4-89CB7EA1AD00}">
      <dgm:prSet phldrT="[Text]" custT="1"/>
      <dgm:spPr/>
      <dgm:t>
        <a:bodyPr/>
        <a:lstStyle/>
        <a:p>
          <a:r>
            <a:rPr lang="en-AU" sz="900">
              <a:solidFill>
                <a:sysClr val="windowText" lastClr="000000"/>
              </a:solidFill>
              <a:latin typeface="Gotham Book" pitchFamily="50" charset="0"/>
            </a:rPr>
            <a:t>Calculate draft NRVs</a:t>
          </a:r>
        </a:p>
      </dgm:t>
    </dgm:pt>
    <dgm:pt modelId="{91B186FA-2D19-4297-85B0-9610965BE18E}" type="parTrans" cxnId="{F4664F6F-135A-48E6-8DA9-87C476790832}">
      <dgm:prSet/>
      <dgm:spPr/>
      <dgm:t>
        <a:bodyPr/>
        <a:lstStyle/>
        <a:p>
          <a:endParaRPr lang="en-AU"/>
        </a:p>
      </dgm:t>
    </dgm:pt>
    <dgm:pt modelId="{95722B2A-63BE-4EAA-8C74-CBD8FD473E05}" type="sibTrans" cxnId="{F4664F6F-135A-48E6-8DA9-87C476790832}">
      <dgm:prSet/>
      <dgm:spPr/>
      <dgm:t>
        <a:bodyPr/>
        <a:lstStyle/>
        <a:p>
          <a:endParaRPr lang="en-AU"/>
        </a:p>
      </dgm:t>
    </dgm:pt>
    <dgm:pt modelId="{C1741E0C-3841-401B-81CF-96F9D2F44D6E}">
      <dgm:prSet phldrT="[Text]" custT="1"/>
      <dgm:spPr/>
      <dgm:t>
        <a:bodyPr/>
        <a:lstStyle/>
        <a:p>
          <a:r>
            <a:rPr lang="en-AU" sz="900">
              <a:solidFill>
                <a:sysClr val="windowText" lastClr="000000"/>
              </a:solidFill>
              <a:latin typeface="Gotham Book" pitchFamily="50" charset="0"/>
            </a:rPr>
            <a:t>Consider methods for scaling or extrapolation for populations with insufficient data to derive NRV</a:t>
          </a:r>
        </a:p>
      </dgm:t>
    </dgm:pt>
    <dgm:pt modelId="{FFCD8414-E929-46EE-8F8F-E3DFA956A11D}" type="parTrans" cxnId="{F133BFCA-724B-4EFD-A6F7-871469A7613D}">
      <dgm:prSet/>
      <dgm:spPr/>
      <dgm:t>
        <a:bodyPr/>
        <a:lstStyle/>
        <a:p>
          <a:endParaRPr lang="en-AU"/>
        </a:p>
      </dgm:t>
    </dgm:pt>
    <dgm:pt modelId="{D76A3E7D-9291-4495-B984-0551FEBFAA05}" type="sibTrans" cxnId="{F133BFCA-724B-4EFD-A6F7-871469A7613D}">
      <dgm:prSet/>
      <dgm:spPr/>
      <dgm:t>
        <a:bodyPr/>
        <a:lstStyle/>
        <a:p>
          <a:endParaRPr lang="en-AU"/>
        </a:p>
      </dgm:t>
    </dgm:pt>
    <dgm:pt modelId="{87DA3F05-9D9E-4D11-8F0A-DA6A3B589290}">
      <dgm:prSet phldrT="[Text]" custT="1"/>
      <dgm:spPr/>
      <dgm:t>
        <a:bodyPr/>
        <a:lstStyle/>
        <a:p>
          <a:r>
            <a:rPr lang="en-AU" sz="900">
              <a:solidFill>
                <a:sysClr val="windowText" lastClr="000000"/>
              </a:solidFill>
              <a:latin typeface="Gotham Book" pitchFamily="50" charset="0"/>
            </a:rPr>
            <a:t>Develop research protocol specifying inclusion criteria (PICO, study designs) and methods for review</a:t>
          </a:r>
        </a:p>
      </dgm:t>
    </dgm:pt>
    <dgm:pt modelId="{89553040-530E-4379-A938-0964F9502131}" type="parTrans" cxnId="{A65BBD6F-2AB7-4223-80E2-2EF9F29D0495}">
      <dgm:prSet/>
      <dgm:spPr/>
      <dgm:t>
        <a:bodyPr/>
        <a:lstStyle/>
        <a:p>
          <a:endParaRPr lang="en-AU"/>
        </a:p>
      </dgm:t>
    </dgm:pt>
    <dgm:pt modelId="{E5AA5FF8-2FCA-4FFC-BF9B-A6D5DBDE4470}" type="sibTrans" cxnId="{A65BBD6F-2AB7-4223-80E2-2EF9F29D0495}">
      <dgm:prSet/>
      <dgm:spPr/>
      <dgm:t>
        <a:bodyPr/>
        <a:lstStyle/>
        <a:p>
          <a:endParaRPr lang="en-AU"/>
        </a:p>
      </dgm:t>
    </dgm:pt>
    <dgm:pt modelId="{2C1859ED-1FFF-42B5-B465-438DFB769D62}">
      <dgm:prSet phldrT="[Text]" custT="1"/>
      <dgm:spPr/>
      <dgm:t>
        <a:bodyPr/>
        <a:lstStyle/>
        <a:p>
          <a:endParaRPr lang="en-AU" sz="900">
            <a:solidFill>
              <a:sysClr val="windowText" lastClr="000000"/>
            </a:solidFill>
            <a:latin typeface="Gotham Book" pitchFamily="50" charset="0"/>
          </a:endParaRPr>
        </a:p>
      </dgm:t>
    </dgm:pt>
    <dgm:pt modelId="{4C76C687-D68A-42CB-96FD-CEA285C25301}" type="parTrans" cxnId="{1DCC1A9C-4309-4A3F-AA8D-EE17849D1C39}">
      <dgm:prSet/>
      <dgm:spPr/>
      <dgm:t>
        <a:bodyPr/>
        <a:lstStyle/>
        <a:p>
          <a:endParaRPr lang="en-AU"/>
        </a:p>
      </dgm:t>
    </dgm:pt>
    <dgm:pt modelId="{7031BF35-40ED-408B-9D7F-657001058040}" type="sibTrans" cxnId="{1DCC1A9C-4309-4A3F-AA8D-EE17849D1C39}">
      <dgm:prSet/>
      <dgm:spPr/>
      <dgm:t>
        <a:bodyPr/>
        <a:lstStyle/>
        <a:p>
          <a:endParaRPr lang="en-AU"/>
        </a:p>
      </dgm:t>
    </dgm:pt>
    <dgm:pt modelId="{E0A46429-E0C0-429E-8758-8A63F1CE9E64}">
      <dgm:prSet phldrT="[Text]" custT="1"/>
      <dgm:spPr/>
      <dgm:t>
        <a:bodyPr/>
        <a:lstStyle/>
        <a:p>
          <a:r>
            <a:rPr lang="en-AU" sz="900">
              <a:solidFill>
                <a:sysClr val="windowText" lastClr="000000"/>
              </a:solidFill>
              <a:latin typeface="Gotham Book" pitchFamily="50" charset="0"/>
            </a:rPr>
            <a:t>Identify supplementary analyses required to calculate NRVs</a:t>
          </a:r>
        </a:p>
      </dgm:t>
    </dgm:pt>
    <dgm:pt modelId="{3C47DBE4-93F1-4056-8D4E-A39159CC3A4A}" type="parTrans" cxnId="{9BC72F35-B05C-4964-BB1B-39443EE4F979}">
      <dgm:prSet/>
      <dgm:spPr/>
      <dgm:t>
        <a:bodyPr/>
        <a:lstStyle/>
        <a:p>
          <a:endParaRPr lang="en-AU"/>
        </a:p>
      </dgm:t>
    </dgm:pt>
    <dgm:pt modelId="{A9C97E48-A3D4-495B-80D7-AA338A56E09E}" type="sibTrans" cxnId="{9BC72F35-B05C-4964-BB1B-39443EE4F979}">
      <dgm:prSet/>
      <dgm:spPr/>
      <dgm:t>
        <a:bodyPr/>
        <a:lstStyle/>
        <a:p>
          <a:endParaRPr lang="en-AU"/>
        </a:p>
      </dgm:t>
    </dgm:pt>
    <dgm:pt modelId="{FEBF4B07-4B4E-481D-9962-65C4520366A0}">
      <dgm:prSet phldrT="[Text]" custT="1"/>
      <dgm:spPr/>
      <dgm:t>
        <a:bodyPr/>
        <a:lstStyle/>
        <a:p>
          <a:r>
            <a:rPr lang="en-AU" sz="900">
              <a:solidFill>
                <a:sysClr val="windowText" lastClr="000000"/>
              </a:solidFill>
              <a:latin typeface="Gotham Book" pitchFamily="50" charset="0"/>
            </a:rPr>
            <a:t>Steering group identifies priority NRVs for review, applying established prioritisation principles</a:t>
          </a:r>
        </a:p>
      </dgm:t>
    </dgm:pt>
    <dgm:pt modelId="{F078DB2D-43D2-42E4-BB78-7EFA14DF5BAC}" type="sibTrans" cxnId="{EB8BBE1D-E917-4F40-91A0-6CC288532E76}">
      <dgm:prSet/>
      <dgm:spPr/>
      <dgm:t>
        <a:bodyPr/>
        <a:lstStyle/>
        <a:p>
          <a:endParaRPr lang="en-AU"/>
        </a:p>
      </dgm:t>
    </dgm:pt>
    <dgm:pt modelId="{EBD8B7BF-899B-43CC-AEF1-C2D98B3616AD}" type="parTrans" cxnId="{EB8BBE1D-E917-4F40-91A0-6CC288532E76}">
      <dgm:prSet/>
      <dgm:spPr/>
      <dgm:t>
        <a:bodyPr/>
        <a:lstStyle/>
        <a:p>
          <a:endParaRPr lang="en-AU"/>
        </a:p>
      </dgm:t>
    </dgm:pt>
    <dgm:pt modelId="{5E12FF05-B1CD-4998-BC58-DE17086812B9}" type="pres">
      <dgm:prSet presAssocID="{ED293A9B-AEF4-4367-8619-DBAD1D29B58D}" presName="Name0" presStyleCnt="0">
        <dgm:presLayoutVars>
          <dgm:dir/>
          <dgm:animLvl val="lvl"/>
          <dgm:resizeHandles val="exact"/>
        </dgm:presLayoutVars>
      </dgm:prSet>
      <dgm:spPr/>
    </dgm:pt>
    <dgm:pt modelId="{16C7159C-15C8-410A-ABC9-25941EE938B6}" type="pres">
      <dgm:prSet presAssocID="{6F2FFAF9-4B36-4BB2-B204-0F86714C6102}" presName="linNode" presStyleCnt="0"/>
      <dgm:spPr/>
    </dgm:pt>
    <dgm:pt modelId="{941F4CD1-3568-416A-856E-0E53A114F753}" type="pres">
      <dgm:prSet presAssocID="{6F2FFAF9-4B36-4BB2-B204-0F86714C6102}" presName="parentText" presStyleLbl="node1" presStyleIdx="0" presStyleCnt="6">
        <dgm:presLayoutVars>
          <dgm:chMax val="1"/>
          <dgm:bulletEnabled val="1"/>
        </dgm:presLayoutVars>
      </dgm:prSet>
      <dgm:spPr/>
    </dgm:pt>
    <dgm:pt modelId="{DDAA4A41-5169-4298-B4B2-3FC926478651}" type="pres">
      <dgm:prSet presAssocID="{6F2FFAF9-4B36-4BB2-B204-0F86714C6102}" presName="descendantText" presStyleLbl="alignAccFollowNode1" presStyleIdx="0" presStyleCnt="6">
        <dgm:presLayoutVars>
          <dgm:bulletEnabled val="1"/>
        </dgm:presLayoutVars>
      </dgm:prSet>
      <dgm:spPr/>
    </dgm:pt>
    <dgm:pt modelId="{380D77A1-5403-4D4B-8D45-7E45DACC5072}" type="pres">
      <dgm:prSet presAssocID="{6C897F94-9A38-4E5D-B439-42F0D6CCE581}" presName="sp" presStyleCnt="0"/>
      <dgm:spPr/>
    </dgm:pt>
    <dgm:pt modelId="{0FC8117A-EB0F-4356-8B81-E34D0538ACD2}" type="pres">
      <dgm:prSet presAssocID="{FD7C1884-EE5C-4AED-80C0-C1A51339CC92}" presName="linNode" presStyleCnt="0"/>
      <dgm:spPr/>
    </dgm:pt>
    <dgm:pt modelId="{7F589D6A-923C-4C2D-BD81-30B776B2DCA2}" type="pres">
      <dgm:prSet presAssocID="{FD7C1884-EE5C-4AED-80C0-C1A51339CC92}" presName="parentText" presStyleLbl="node1" presStyleIdx="1" presStyleCnt="6">
        <dgm:presLayoutVars>
          <dgm:chMax val="1"/>
          <dgm:bulletEnabled val="1"/>
        </dgm:presLayoutVars>
      </dgm:prSet>
      <dgm:spPr/>
    </dgm:pt>
    <dgm:pt modelId="{460AFF9E-B9A8-49B5-9643-F87587AE6B9B}" type="pres">
      <dgm:prSet presAssocID="{FD7C1884-EE5C-4AED-80C0-C1A51339CC92}" presName="descendantText" presStyleLbl="alignAccFollowNode1" presStyleIdx="1" presStyleCnt="6" custScaleY="130605" custLinFactNeighborY="-1544">
        <dgm:presLayoutVars>
          <dgm:bulletEnabled val="1"/>
        </dgm:presLayoutVars>
      </dgm:prSet>
      <dgm:spPr/>
    </dgm:pt>
    <dgm:pt modelId="{EE6A21A2-55A0-45F9-BC22-B3538C88933A}" type="pres">
      <dgm:prSet presAssocID="{ED839816-C1B3-405A-9C97-5C95A117E36B}" presName="sp" presStyleCnt="0"/>
      <dgm:spPr/>
    </dgm:pt>
    <dgm:pt modelId="{2AEBF0C8-3663-49CD-8970-FDE5258B7F31}" type="pres">
      <dgm:prSet presAssocID="{5DA39ACD-C895-4E52-9E2B-2D18310D639E}" presName="linNode" presStyleCnt="0"/>
      <dgm:spPr/>
    </dgm:pt>
    <dgm:pt modelId="{381CE4A8-C761-44F0-ACA2-EC3DA813DC8A}" type="pres">
      <dgm:prSet presAssocID="{5DA39ACD-C895-4E52-9E2B-2D18310D639E}" presName="parentText" presStyleLbl="node1" presStyleIdx="2" presStyleCnt="6" custLinFactNeighborX="330">
        <dgm:presLayoutVars>
          <dgm:chMax val="1"/>
          <dgm:bulletEnabled val="1"/>
        </dgm:presLayoutVars>
      </dgm:prSet>
      <dgm:spPr/>
    </dgm:pt>
    <dgm:pt modelId="{026AC4FF-D2AF-47C9-B1EF-248FFFDC667D}" type="pres">
      <dgm:prSet presAssocID="{5DA39ACD-C895-4E52-9E2B-2D18310D639E}" presName="descendantText" presStyleLbl="alignAccFollowNode1" presStyleIdx="2" presStyleCnt="6">
        <dgm:presLayoutVars>
          <dgm:bulletEnabled val="1"/>
        </dgm:presLayoutVars>
      </dgm:prSet>
      <dgm:spPr/>
    </dgm:pt>
    <dgm:pt modelId="{688D5B4A-BD6F-4D31-94F3-CCCD14D50843}" type="pres">
      <dgm:prSet presAssocID="{3D790C62-28C8-40D4-BE7B-0B8BAB198A8E}" presName="sp" presStyleCnt="0"/>
      <dgm:spPr/>
    </dgm:pt>
    <dgm:pt modelId="{4A5D35D2-4A3C-434F-A538-C81D4C961FC4}" type="pres">
      <dgm:prSet presAssocID="{CD36F561-6BE2-4187-82A3-0C002F2CA3B3}" presName="linNode" presStyleCnt="0"/>
      <dgm:spPr/>
    </dgm:pt>
    <dgm:pt modelId="{6E7D3873-6CB2-43C1-8462-612C9C46BBDA}" type="pres">
      <dgm:prSet presAssocID="{CD36F561-6BE2-4187-82A3-0C002F2CA3B3}" presName="parentText" presStyleLbl="node1" presStyleIdx="3" presStyleCnt="6" custLinFactNeighborX="330">
        <dgm:presLayoutVars>
          <dgm:chMax val="1"/>
          <dgm:bulletEnabled val="1"/>
        </dgm:presLayoutVars>
      </dgm:prSet>
      <dgm:spPr/>
    </dgm:pt>
    <dgm:pt modelId="{73BA80CF-1A13-46EE-A91A-4D50C6317B93}" type="pres">
      <dgm:prSet presAssocID="{CD36F561-6BE2-4187-82A3-0C002F2CA3B3}" presName="descendantText" presStyleLbl="alignAccFollowNode1" presStyleIdx="3" presStyleCnt="6" custLinFactNeighborY="630">
        <dgm:presLayoutVars>
          <dgm:bulletEnabled val="1"/>
        </dgm:presLayoutVars>
      </dgm:prSet>
      <dgm:spPr/>
    </dgm:pt>
    <dgm:pt modelId="{C5DA00AC-DAE4-4746-B57D-EFB871D6B935}" type="pres">
      <dgm:prSet presAssocID="{E0FB3DF7-58F1-4BE6-911D-7FC650FAC23C}" presName="sp" presStyleCnt="0"/>
      <dgm:spPr/>
    </dgm:pt>
    <dgm:pt modelId="{D890B986-71E6-4D73-B40F-CDB2A78E4BAD}" type="pres">
      <dgm:prSet presAssocID="{B3B28540-AA55-4428-80E4-5CFE885195C7}" presName="linNode" presStyleCnt="0"/>
      <dgm:spPr/>
    </dgm:pt>
    <dgm:pt modelId="{6B495935-EDF6-4B0E-B098-EB73B0EE4738}" type="pres">
      <dgm:prSet presAssocID="{B3B28540-AA55-4428-80E4-5CFE885195C7}" presName="parentText" presStyleLbl="node1" presStyleIdx="4" presStyleCnt="6" custLinFactNeighborX="330">
        <dgm:presLayoutVars>
          <dgm:chMax val="1"/>
          <dgm:bulletEnabled val="1"/>
        </dgm:presLayoutVars>
      </dgm:prSet>
      <dgm:spPr/>
    </dgm:pt>
    <dgm:pt modelId="{78475ACA-7724-40EE-8E52-BD66C067DDAC}" type="pres">
      <dgm:prSet presAssocID="{B3B28540-AA55-4428-80E4-5CFE885195C7}" presName="descendantText" presStyleLbl="alignAccFollowNode1" presStyleIdx="4" presStyleCnt="6" custScaleX="102010" custScaleY="87843">
        <dgm:presLayoutVars>
          <dgm:bulletEnabled val="1"/>
        </dgm:presLayoutVars>
      </dgm:prSet>
      <dgm:spPr/>
    </dgm:pt>
    <dgm:pt modelId="{E08748BC-43FF-4DEE-9FAB-2BE450722514}" type="pres">
      <dgm:prSet presAssocID="{70EF405A-4B4A-4FBF-85F1-417D79443FAB}" presName="sp" presStyleCnt="0"/>
      <dgm:spPr/>
    </dgm:pt>
    <dgm:pt modelId="{5A83BF8E-3B40-4F1F-B8BC-FD146F1A7361}" type="pres">
      <dgm:prSet presAssocID="{49593D86-F901-47AD-8529-35E3A5A89595}" presName="linNode" presStyleCnt="0"/>
      <dgm:spPr/>
    </dgm:pt>
    <dgm:pt modelId="{DB341F08-15CC-42E0-B838-D6E5F868F8DE}" type="pres">
      <dgm:prSet presAssocID="{49593D86-F901-47AD-8529-35E3A5A89595}" presName="parentText" presStyleLbl="node1" presStyleIdx="5" presStyleCnt="6" custLinFactNeighborX="330">
        <dgm:presLayoutVars>
          <dgm:chMax val="1"/>
          <dgm:bulletEnabled val="1"/>
        </dgm:presLayoutVars>
      </dgm:prSet>
      <dgm:spPr/>
    </dgm:pt>
    <dgm:pt modelId="{115740A6-9533-4F73-BF6D-9D4170014E29}" type="pres">
      <dgm:prSet presAssocID="{49593D86-F901-47AD-8529-35E3A5A89595}" presName="descendantText" presStyleLbl="alignAccFollowNode1" presStyleIdx="5" presStyleCnt="6" custScaleY="111354">
        <dgm:presLayoutVars>
          <dgm:bulletEnabled val="1"/>
        </dgm:presLayoutVars>
      </dgm:prSet>
      <dgm:spPr/>
    </dgm:pt>
  </dgm:ptLst>
  <dgm:cxnLst>
    <dgm:cxn modelId="{21BE4A01-785D-4562-AE6D-348B5B15EAE4}" srcId="{ED293A9B-AEF4-4367-8619-DBAD1D29B58D}" destId="{B3B28540-AA55-4428-80E4-5CFE885195C7}" srcOrd="4" destOrd="0" parTransId="{6DB0283F-1343-45ED-AC14-21A37668FF81}" sibTransId="{70EF405A-4B4A-4FBF-85F1-417D79443FAB}"/>
    <dgm:cxn modelId="{444E7004-94C7-4A5F-BFB4-5B6DBA584BD8}" type="presOf" srcId="{5E9626A2-77BC-404C-9B01-6D8C2B83CD0D}" destId="{115740A6-9533-4F73-BF6D-9D4170014E29}" srcOrd="0" destOrd="1" presId="urn:microsoft.com/office/officeart/2005/8/layout/vList5"/>
    <dgm:cxn modelId="{E5ABF708-4250-42CD-BCD8-96DA74FAE60A}" type="presOf" srcId="{87DA3F05-9D9E-4D11-8F0A-DA6A3B589290}" destId="{73BA80CF-1A13-46EE-A91A-4D50C6317B93}" srcOrd="0" destOrd="0" presId="urn:microsoft.com/office/officeart/2005/8/layout/vList5"/>
    <dgm:cxn modelId="{426F6B0C-3849-4108-8678-3A3B84E70BAC}" type="presOf" srcId="{2C1859ED-1FFF-42B5-B465-438DFB769D62}" destId="{78475ACA-7724-40EE-8E52-BD66C067DDAC}" srcOrd="0" destOrd="0" presId="urn:microsoft.com/office/officeart/2005/8/layout/vList5"/>
    <dgm:cxn modelId="{2F405515-F80B-49DD-8C57-88ED382D2AB9}" srcId="{ED293A9B-AEF4-4367-8619-DBAD1D29B58D}" destId="{CD36F561-6BE2-4187-82A3-0C002F2CA3B3}" srcOrd="3" destOrd="0" parTransId="{5720F164-8DBE-4D92-ABCF-15511DC1B73E}" sibTransId="{E0FB3DF7-58F1-4BE6-911D-7FC650FAC23C}"/>
    <dgm:cxn modelId="{EB8BBE1D-E917-4F40-91A0-6CC288532E76}" srcId="{6F2FFAF9-4B36-4BB2-B204-0F86714C6102}" destId="{FEBF4B07-4B4E-481D-9962-65C4520366A0}" srcOrd="1" destOrd="0" parTransId="{EBD8B7BF-899B-43CC-AEF1-C2D98B3616AD}" sibTransId="{F078DB2D-43D2-42E4-BB78-7EFA14DF5BAC}"/>
    <dgm:cxn modelId="{7846C828-6EDC-4AAF-9D2B-2AF2B1BB3D35}" type="presOf" srcId="{AF52F129-49A1-4706-BD70-BED00FD1CE26}" destId="{460AFF9E-B9A8-49B5-9643-F87587AE6B9B}" srcOrd="0" destOrd="1" presId="urn:microsoft.com/office/officeart/2005/8/layout/vList5"/>
    <dgm:cxn modelId="{E7435629-F158-4580-95BA-7237A438C5A3}" srcId="{6F2FFAF9-4B36-4BB2-B204-0F86714C6102}" destId="{D6454DE1-0E5C-4C4D-8AB9-9C0C16723804}" srcOrd="0" destOrd="0" parTransId="{C4EE20AE-E086-4D32-A449-59C3433F5040}" sibTransId="{C22B0186-FCCB-49F7-8AB0-FB9C065CD877}"/>
    <dgm:cxn modelId="{3BFC5E2E-D995-40CC-B8D5-B2957DCC1071}" type="presOf" srcId="{E0A46429-E0C0-429E-8758-8A63F1CE9E64}" destId="{73BA80CF-1A13-46EE-A91A-4D50C6317B93}" srcOrd="0" destOrd="2" presId="urn:microsoft.com/office/officeart/2005/8/layout/vList5"/>
    <dgm:cxn modelId="{48569E31-9449-437A-AD63-D142D5B890DB}" srcId="{B3B28540-AA55-4428-80E4-5CFE885195C7}" destId="{6A06B286-C6B7-469C-84A3-B360C6BD38B4}" srcOrd="3" destOrd="0" parTransId="{74E11F9D-1C8B-4B9C-893A-54CB0081A534}" sibTransId="{F81E3D40-1AA3-4DBB-80D5-48C40D5DA662}"/>
    <dgm:cxn modelId="{44EDF631-5707-460B-87A1-4EE12AD37A11}" srcId="{ED293A9B-AEF4-4367-8619-DBAD1D29B58D}" destId="{5DA39ACD-C895-4E52-9E2B-2D18310D639E}" srcOrd="2" destOrd="0" parTransId="{C56B8DD9-7249-4999-B1EB-4C2F5F6244CD}" sibTransId="{3D790C62-28C8-40D4-BE7B-0B8BAB198A8E}"/>
    <dgm:cxn modelId="{9BC72F35-B05C-4964-BB1B-39443EE4F979}" srcId="{CD36F561-6BE2-4187-82A3-0C002F2CA3B3}" destId="{E0A46429-E0C0-429E-8758-8A63F1CE9E64}" srcOrd="2" destOrd="0" parTransId="{3C47DBE4-93F1-4056-8D4E-A39159CC3A4A}" sibTransId="{A9C97E48-A3D4-495B-80D7-AA338A56E09E}"/>
    <dgm:cxn modelId="{0F511F3C-4C08-40ED-B33B-F346D391F79A}" type="presOf" srcId="{97D115D7-D897-4F3F-AA04-D9670C0F4B69}" destId="{78475ACA-7724-40EE-8E52-BD66C067DDAC}" srcOrd="0" destOrd="1" presId="urn:microsoft.com/office/officeart/2005/8/layout/vList5"/>
    <dgm:cxn modelId="{5D94AA5E-C49E-4ACA-A74C-CF8A6AAD087E}" type="presOf" srcId="{680AFB8D-CAEA-4F96-9F3F-0EE12A565288}" destId="{73BA80CF-1A13-46EE-A91A-4D50C6317B93}" srcOrd="0" destOrd="1" presId="urn:microsoft.com/office/officeart/2005/8/layout/vList5"/>
    <dgm:cxn modelId="{3E1D9A43-FCFE-4FC8-9EEA-4EDDF47C418D}" type="presOf" srcId="{B3B28540-AA55-4428-80E4-5CFE885195C7}" destId="{6B495935-EDF6-4B0E-B098-EB73B0EE4738}" srcOrd="0" destOrd="0" presId="urn:microsoft.com/office/officeart/2005/8/layout/vList5"/>
    <dgm:cxn modelId="{68D0A744-7591-4017-A797-8B6EDAB4D1B7}" type="presOf" srcId="{FD7C1884-EE5C-4AED-80C0-C1A51339CC92}" destId="{7F589D6A-923C-4C2D-BD81-30B776B2DCA2}" srcOrd="0" destOrd="0" presId="urn:microsoft.com/office/officeart/2005/8/layout/vList5"/>
    <dgm:cxn modelId="{45EF2446-CC60-4DE7-AAE2-6002B1DB0797}" type="presOf" srcId="{6F2FFAF9-4B36-4BB2-B204-0F86714C6102}" destId="{941F4CD1-3568-416A-856E-0E53A114F753}" srcOrd="0" destOrd="0" presId="urn:microsoft.com/office/officeart/2005/8/layout/vList5"/>
    <dgm:cxn modelId="{46D7A846-F257-4EBB-B9B1-EC1F2BFEC923}" srcId="{5DA39ACD-C895-4E52-9E2B-2D18310D639E}" destId="{436D99FE-3A91-41B4-B49B-3314A34FC62E}" srcOrd="0" destOrd="0" parTransId="{BCB15507-35D3-4382-AB6E-57586BBA7EF7}" sibTransId="{682CAE8A-DEAF-42E7-9662-4BBAB75A8CAB}"/>
    <dgm:cxn modelId="{06D0B64D-288E-4295-8B17-2EB0C87056A9}" type="presOf" srcId="{F7A303F7-E819-4760-99AE-361DB1B81719}" destId="{026AC4FF-D2AF-47C9-B1EF-248FFFDC667D}" srcOrd="0" destOrd="1" presId="urn:microsoft.com/office/officeart/2005/8/layout/vList5"/>
    <dgm:cxn modelId="{8A4E706E-8846-4619-AE1D-EE21D35D7937}" type="presOf" srcId="{D6454DE1-0E5C-4C4D-8AB9-9C0C16723804}" destId="{DDAA4A41-5169-4298-B4B2-3FC926478651}" srcOrd="0" destOrd="0" presId="urn:microsoft.com/office/officeart/2005/8/layout/vList5"/>
    <dgm:cxn modelId="{F4664F6F-135A-48E6-8DA9-87C476790832}" srcId="{49593D86-F901-47AD-8529-35E3A5A89595}" destId="{84837534-083A-4B8A-A6A4-89CB7EA1AD00}" srcOrd="0" destOrd="0" parTransId="{91B186FA-2D19-4297-85B0-9610965BE18E}" sibTransId="{95722B2A-63BE-4EAA-8C74-CBD8FD473E05}"/>
    <dgm:cxn modelId="{A65BBD6F-2AB7-4223-80E2-2EF9F29D0495}" srcId="{CD36F561-6BE2-4187-82A3-0C002F2CA3B3}" destId="{87DA3F05-9D9E-4D11-8F0A-DA6A3B589290}" srcOrd="0" destOrd="0" parTransId="{89553040-530E-4379-A938-0964F9502131}" sibTransId="{E5AA5FF8-2FCA-4FFC-BF9B-A6D5DBDE4470}"/>
    <dgm:cxn modelId="{BC640C50-3312-461E-9839-8C401C636470}" type="presOf" srcId="{84837534-083A-4B8A-A6A4-89CB7EA1AD00}" destId="{115740A6-9533-4F73-BF6D-9D4170014E29}" srcOrd="0" destOrd="0" presId="urn:microsoft.com/office/officeart/2005/8/layout/vList5"/>
    <dgm:cxn modelId="{A25BB176-DC11-4D07-ACBA-00F9E0C68F7A}" type="presOf" srcId="{CD36F561-6BE2-4187-82A3-0C002F2CA3B3}" destId="{6E7D3873-6CB2-43C1-8462-612C9C46BBDA}" srcOrd="0" destOrd="0" presId="urn:microsoft.com/office/officeart/2005/8/layout/vList5"/>
    <dgm:cxn modelId="{C321EE8C-651E-4780-AACF-B64FBA36B9F6}" srcId="{49593D86-F901-47AD-8529-35E3A5A89595}" destId="{8AA15C5F-2AA6-468E-A03B-07F05ED9DDD7}" srcOrd="2" destOrd="0" parTransId="{1FFC6EC8-5C58-4EB6-B3D9-28343FC8DC0F}" sibTransId="{4019749B-C3A5-4A21-9553-C75927E7F823}"/>
    <dgm:cxn modelId="{BC4A838F-A231-44BA-BCF0-07F64DFBC2F8}" type="presOf" srcId="{436D99FE-3A91-41B4-B49B-3314A34FC62E}" destId="{026AC4FF-D2AF-47C9-B1EF-248FFFDC667D}" srcOrd="0" destOrd="0" presId="urn:microsoft.com/office/officeart/2005/8/layout/vList5"/>
    <dgm:cxn modelId="{4884DC93-3705-4DD4-BAC0-F66A6E803A61}" type="presOf" srcId="{C1741E0C-3841-401B-81CF-96F9D2F44D6E}" destId="{78475ACA-7724-40EE-8E52-BD66C067DDAC}" srcOrd="0" destOrd="2" presId="urn:microsoft.com/office/officeart/2005/8/layout/vList5"/>
    <dgm:cxn modelId="{0C2E4895-87F7-4D24-90BF-21F19FED8871}" srcId="{ED293A9B-AEF4-4367-8619-DBAD1D29B58D}" destId="{FD7C1884-EE5C-4AED-80C0-C1A51339CC92}" srcOrd="1" destOrd="0" parTransId="{A882ED62-033F-492C-897F-34B0E464D1F3}" sibTransId="{ED839816-C1B3-405A-9C97-5C95A117E36B}"/>
    <dgm:cxn modelId="{5CEA3098-9A76-4026-A92B-99045845590A}" type="presOf" srcId="{ED293A9B-AEF4-4367-8619-DBAD1D29B58D}" destId="{5E12FF05-B1CD-4998-BC58-DE17086812B9}" srcOrd="0" destOrd="0" presId="urn:microsoft.com/office/officeart/2005/8/layout/vList5"/>
    <dgm:cxn modelId="{21734E98-A2CA-4664-ACDE-D8B7B3107EF6}" type="presOf" srcId="{6A06B286-C6B7-469C-84A3-B360C6BD38B4}" destId="{78475ACA-7724-40EE-8E52-BD66C067DDAC}" srcOrd="0" destOrd="3" presId="urn:microsoft.com/office/officeart/2005/8/layout/vList5"/>
    <dgm:cxn modelId="{7FA60B99-2591-492D-B582-E20BE25F22DE}" type="presOf" srcId="{6C7ABF24-D70F-40A4-A515-2D8D09A6BE4A}" destId="{460AFF9E-B9A8-49B5-9643-F87587AE6B9B}" srcOrd="0" destOrd="0" presId="urn:microsoft.com/office/officeart/2005/8/layout/vList5"/>
    <dgm:cxn modelId="{A675FA99-AF50-4C72-88C1-D379CD595174}" srcId="{B3B28540-AA55-4428-80E4-5CFE885195C7}" destId="{97D115D7-D897-4F3F-AA04-D9670C0F4B69}" srcOrd="1" destOrd="0" parTransId="{ED7FC05D-7B5A-4B8A-B38F-6948F6856CE5}" sibTransId="{96A02DCE-CE71-4736-8890-5F50F22C39EE}"/>
    <dgm:cxn modelId="{1DCC1A9C-4309-4A3F-AA8D-EE17849D1C39}" srcId="{B3B28540-AA55-4428-80E4-5CFE885195C7}" destId="{2C1859ED-1FFF-42B5-B465-438DFB769D62}" srcOrd="0" destOrd="0" parTransId="{4C76C687-D68A-42CB-96FD-CEA285C25301}" sibTransId="{7031BF35-40ED-408B-9D7F-657001058040}"/>
    <dgm:cxn modelId="{325BA6A9-3A28-42F0-B7F7-E895F88BEC8E}" srcId="{FD7C1884-EE5C-4AED-80C0-C1A51339CC92}" destId="{614AFD97-AF1C-4AE2-B2A8-E317DE7073F4}" srcOrd="2" destOrd="0" parTransId="{2B98BEAC-31DE-4415-B069-0A887ED0615E}" sibTransId="{7E1A59FA-351C-4022-AC8B-4C86C661B08D}"/>
    <dgm:cxn modelId="{2A7411AD-3BD5-4215-BC45-5EDC0E6B7653}" srcId="{5DA39ACD-C895-4E52-9E2B-2D18310D639E}" destId="{F7A303F7-E819-4760-99AE-361DB1B81719}" srcOrd="1" destOrd="0" parTransId="{9E7F79F6-17B0-44AF-A447-30DF283F2FEC}" sibTransId="{B958EE93-0B4D-473B-A6B7-1BF8AB632360}"/>
    <dgm:cxn modelId="{19D041B0-D7BA-444E-BC79-1AF84BFE0CF7}" type="presOf" srcId="{FEBF4B07-4B4E-481D-9962-65C4520366A0}" destId="{DDAA4A41-5169-4298-B4B2-3FC926478651}" srcOrd="0" destOrd="1" presId="urn:microsoft.com/office/officeart/2005/8/layout/vList5"/>
    <dgm:cxn modelId="{0C0335B6-6818-492B-9B60-9A953F505891}" type="presOf" srcId="{5DA39ACD-C895-4E52-9E2B-2D18310D639E}" destId="{381CE4A8-C761-44F0-ACA2-EC3DA813DC8A}" srcOrd="0" destOrd="0" presId="urn:microsoft.com/office/officeart/2005/8/layout/vList5"/>
    <dgm:cxn modelId="{08753DBC-3993-4B94-B2A8-F9771895F75A}" type="presOf" srcId="{614AFD97-AF1C-4AE2-B2A8-E317DE7073F4}" destId="{460AFF9E-B9A8-49B5-9643-F87587AE6B9B}" srcOrd="0" destOrd="2" presId="urn:microsoft.com/office/officeart/2005/8/layout/vList5"/>
    <dgm:cxn modelId="{B6035FC1-10D9-4A96-838A-AA2DCCE8552F}" type="presOf" srcId="{0D978F81-F819-463A-B379-793E217636D0}" destId="{026AC4FF-D2AF-47C9-B1EF-248FFFDC667D}" srcOrd="0" destOrd="2" presId="urn:microsoft.com/office/officeart/2005/8/layout/vList5"/>
    <dgm:cxn modelId="{C4DEBAC3-5516-4521-B4EA-18BD70893AEA}" srcId="{5DA39ACD-C895-4E52-9E2B-2D18310D639E}" destId="{0D978F81-F819-463A-B379-793E217636D0}" srcOrd="2" destOrd="0" parTransId="{B7C750D3-98D0-45BA-A131-DB1B4441B449}" sibTransId="{8148D4EA-7341-4100-A29F-AD14504D84B9}"/>
    <dgm:cxn modelId="{CA010BC7-FF0D-41FD-974B-57A3F62F6344}" srcId="{ED293A9B-AEF4-4367-8619-DBAD1D29B58D}" destId="{49593D86-F901-47AD-8529-35E3A5A89595}" srcOrd="5" destOrd="0" parTransId="{26C3E9EB-5A86-45EC-AAC7-A5115BD38147}" sibTransId="{C28D9813-18ED-4B4B-9277-033144CA629B}"/>
    <dgm:cxn modelId="{7014E0C8-990A-412D-A304-4A464144D2B2}" srcId="{FD7C1884-EE5C-4AED-80C0-C1A51339CC92}" destId="{AF52F129-49A1-4706-BD70-BED00FD1CE26}" srcOrd="1" destOrd="0" parTransId="{DCAC7919-30F9-4392-9F93-FD5E57A6D346}" sibTransId="{E8524AEE-6630-47EF-8723-79D68E2DC0BB}"/>
    <dgm:cxn modelId="{F133BFCA-724B-4EFD-A6F7-871469A7613D}" srcId="{B3B28540-AA55-4428-80E4-5CFE885195C7}" destId="{C1741E0C-3841-401B-81CF-96F9D2F44D6E}" srcOrd="2" destOrd="0" parTransId="{FFCD8414-E929-46EE-8F8F-E3DFA956A11D}" sibTransId="{D76A3E7D-9291-4495-B984-0551FEBFAA05}"/>
    <dgm:cxn modelId="{89AF72CB-3B8C-48AE-B1AC-A12EDA62C369}" srcId="{ED293A9B-AEF4-4367-8619-DBAD1D29B58D}" destId="{6F2FFAF9-4B36-4BB2-B204-0F86714C6102}" srcOrd="0" destOrd="0" parTransId="{F3EF0889-EDA2-45DE-9D43-AB38A3A8F29D}" sibTransId="{6C897F94-9A38-4E5D-B439-42F0D6CCE581}"/>
    <dgm:cxn modelId="{890817D7-41A2-4CBF-828D-AE6E75FB13C6}" srcId="{49593D86-F901-47AD-8529-35E3A5A89595}" destId="{5E9626A2-77BC-404C-9B01-6D8C2B83CD0D}" srcOrd="1" destOrd="0" parTransId="{7E100C03-C193-4735-BDD1-C6369B05246B}" sibTransId="{FDAD49B1-2513-4D9E-A52B-B47FDBEC800C}"/>
    <dgm:cxn modelId="{BDFA30DA-5876-4781-BCB7-EB70E64417CC}" type="presOf" srcId="{8AA15C5F-2AA6-468E-A03B-07F05ED9DDD7}" destId="{115740A6-9533-4F73-BF6D-9D4170014E29}" srcOrd="0" destOrd="2" presId="urn:microsoft.com/office/officeart/2005/8/layout/vList5"/>
    <dgm:cxn modelId="{5F3C6DF5-28B5-44EE-8984-AEC8C041A07B}" type="presOf" srcId="{49593D86-F901-47AD-8529-35E3A5A89595}" destId="{DB341F08-15CC-42E0-B838-D6E5F868F8DE}" srcOrd="0" destOrd="0" presId="urn:microsoft.com/office/officeart/2005/8/layout/vList5"/>
    <dgm:cxn modelId="{68F4F6F9-0FFD-4849-9DD1-250D88588EE3}" srcId="{CD36F561-6BE2-4187-82A3-0C002F2CA3B3}" destId="{680AFB8D-CAEA-4F96-9F3F-0EE12A565288}" srcOrd="1" destOrd="0" parTransId="{CFB0BA40-61EC-4B8F-AFA9-8A1F4E7B6246}" sibTransId="{AFFE8743-CFE9-4D35-8916-D0BC378C8E27}"/>
    <dgm:cxn modelId="{15CC13FF-5789-44E1-B777-BF54E50A17CC}" srcId="{FD7C1884-EE5C-4AED-80C0-C1A51339CC92}" destId="{6C7ABF24-D70F-40A4-A515-2D8D09A6BE4A}" srcOrd="0" destOrd="0" parTransId="{38A26F01-1437-4C22-8E43-42F4F075CD61}" sibTransId="{9D0EBF51-EC80-486F-B0BB-AD5B8CA55D0A}"/>
    <dgm:cxn modelId="{A9722A34-1D1E-4815-870E-7A171C158A39}" type="presParOf" srcId="{5E12FF05-B1CD-4998-BC58-DE17086812B9}" destId="{16C7159C-15C8-410A-ABC9-25941EE938B6}" srcOrd="0" destOrd="0" presId="urn:microsoft.com/office/officeart/2005/8/layout/vList5"/>
    <dgm:cxn modelId="{C279466B-8EBD-4AE8-9E47-FFA70C2B3ED0}" type="presParOf" srcId="{16C7159C-15C8-410A-ABC9-25941EE938B6}" destId="{941F4CD1-3568-416A-856E-0E53A114F753}" srcOrd="0" destOrd="0" presId="urn:microsoft.com/office/officeart/2005/8/layout/vList5"/>
    <dgm:cxn modelId="{E8AD2F5C-A35C-4327-A9A3-EBC2F578C0D7}" type="presParOf" srcId="{16C7159C-15C8-410A-ABC9-25941EE938B6}" destId="{DDAA4A41-5169-4298-B4B2-3FC926478651}" srcOrd="1" destOrd="0" presId="urn:microsoft.com/office/officeart/2005/8/layout/vList5"/>
    <dgm:cxn modelId="{A2C95825-4CD9-42AF-B082-2D3E065FF32A}" type="presParOf" srcId="{5E12FF05-B1CD-4998-BC58-DE17086812B9}" destId="{380D77A1-5403-4D4B-8D45-7E45DACC5072}" srcOrd="1" destOrd="0" presId="urn:microsoft.com/office/officeart/2005/8/layout/vList5"/>
    <dgm:cxn modelId="{494913D7-9667-4BD4-B859-1B8CB63CBCC0}" type="presParOf" srcId="{5E12FF05-B1CD-4998-BC58-DE17086812B9}" destId="{0FC8117A-EB0F-4356-8B81-E34D0538ACD2}" srcOrd="2" destOrd="0" presId="urn:microsoft.com/office/officeart/2005/8/layout/vList5"/>
    <dgm:cxn modelId="{2B43B565-BE60-4C21-AEFC-9E2605C2A4A1}" type="presParOf" srcId="{0FC8117A-EB0F-4356-8B81-E34D0538ACD2}" destId="{7F589D6A-923C-4C2D-BD81-30B776B2DCA2}" srcOrd="0" destOrd="0" presId="urn:microsoft.com/office/officeart/2005/8/layout/vList5"/>
    <dgm:cxn modelId="{808E4B47-537E-4383-AECB-331536356DC0}" type="presParOf" srcId="{0FC8117A-EB0F-4356-8B81-E34D0538ACD2}" destId="{460AFF9E-B9A8-49B5-9643-F87587AE6B9B}" srcOrd="1" destOrd="0" presId="urn:microsoft.com/office/officeart/2005/8/layout/vList5"/>
    <dgm:cxn modelId="{3F64376A-35AA-4B39-AC6D-69957B456721}" type="presParOf" srcId="{5E12FF05-B1CD-4998-BC58-DE17086812B9}" destId="{EE6A21A2-55A0-45F9-BC22-B3538C88933A}" srcOrd="3" destOrd="0" presId="urn:microsoft.com/office/officeart/2005/8/layout/vList5"/>
    <dgm:cxn modelId="{68246947-A444-4DD2-A341-E27B35AC771A}" type="presParOf" srcId="{5E12FF05-B1CD-4998-BC58-DE17086812B9}" destId="{2AEBF0C8-3663-49CD-8970-FDE5258B7F31}" srcOrd="4" destOrd="0" presId="urn:microsoft.com/office/officeart/2005/8/layout/vList5"/>
    <dgm:cxn modelId="{0FB3C1A3-0203-44F0-803E-482FFD70E3F6}" type="presParOf" srcId="{2AEBF0C8-3663-49CD-8970-FDE5258B7F31}" destId="{381CE4A8-C761-44F0-ACA2-EC3DA813DC8A}" srcOrd="0" destOrd="0" presId="urn:microsoft.com/office/officeart/2005/8/layout/vList5"/>
    <dgm:cxn modelId="{789FACC3-BA08-48B0-A9D1-82083A8F6CD5}" type="presParOf" srcId="{2AEBF0C8-3663-49CD-8970-FDE5258B7F31}" destId="{026AC4FF-D2AF-47C9-B1EF-248FFFDC667D}" srcOrd="1" destOrd="0" presId="urn:microsoft.com/office/officeart/2005/8/layout/vList5"/>
    <dgm:cxn modelId="{4E2C0303-A837-4D4B-AA1A-8E544271E553}" type="presParOf" srcId="{5E12FF05-B1CD-4998-BC58-DE17086812B9}" destId="{688D5B4A-BD6F-4D31-94F3-CCCD14D50843}" srcOrd="5" destOrd="0" presId="urn:microsoft.com/office/officeart/2005/8/layout/vList5"/>
    <dgm:cxn modelId="{FF7CAE1C-A517-4656-915C-9E9104A4A0FE}" type="presParOf" srcId="{5E12FF05-B1CD-4998-BC58-DE17086812B9}" destId="{4A5D35D2-4A3C-434F-A538-C81D4C961FC4}" srcOrd="6" destOrd="0" presId="urn:microsoft.com/office/officeart/2005/8/layout/vList5"/>
    <dgm:cxn modelId="{D12DDC23-0F87-4D55-B149-61D1DC8E3AD7}" type="presParOf" srcId="{4A5D35D2-4A3C-434F-A538-C81D4C961FC4}" destId="{6E7D3873-6CB2-43C1-8462-612C9C46BBDA}" srcOrd="0" destOrd="0" presId="urn:microsoft.com/office/officeart/2005/8/layout/vList5"/>
    <dgm:cxn modelId="{51938754-351C-41AC-A6BE-80B51984A134}" type="presParOf" srcId="{4A5D35D2-4A3C-434F-A538-C81D4C961FC4}" destId="{73BA80CF-1A13-46EE-A91A-4D50C6317B93}" srcOrd="1" destOrd="0" presId="urn:microsoft.com/office/officeart/2005/8/layout/vList5"/>
    <dgm:cxn modelId="{93745DD4-3817-4FB4-8BE1-2FC9FDBDCFC6}" type="presParOf" srcId="{5E12FF05-B1CD-4998-BC58-DE17086812B9}" destId="{C5DA00AC-DAE4-4746-B57D-EFB871D6B935}" srcOrd="7" destOrd="0" presId="urn:microsoft.com/office/officeart/2005/8/layout/vList5"/>
    <dgm:cxn modelId="{B21CACF3-77C3-4890-A202-209D6798D59C}" type="presParOf" srcId="{5E12FF05-B1CD-4998-BC58-DE17086812B9}" destId="{D890B986-71E6-4D73-B40F-CDB2A78E4BAD}" srcOrd="8" destOrd="0" presId="urn:microsoft.com/office/officeart/2005/8/layout/vList5"/>
    <dgm:cxn modelId="{DA38EF79-3EDC-4431-86AE-6BF737901CED}" type="presParOf" srcId="{D890B986-71E6-4D73-B40F-CDB2A78E4BAD}" destId="{6B495935-EDF6-4B0E-B098-EB73B0EE4738}" srcOrd="0" destOrd="0" presId="urn:microsoft.com/office/officeart/2005/8/layout/vList5"/>
    <dgm:cxn modelId="{663F0303-CA26-426D-82C3-347606656075}" type="presParOf" srcId="{D890B986-71E6-4D73-B40F-CDB2A78E4BAD}" destId="{78475ACA-7724-40EE-8E52-BD66C067DDAC}" srcOrd="1" destOrd="0" presId="urn:microsoft.com/office/officeart/2005/8/layout/vList5"/>
    <dgm:cxn modelId="{C076AFB1-D67A-4D47-B9D1-8B0C104E265E}" type="presParOf" srcId="{5E12FF05-B1CD-4998-BC58-DE17086812B9}" destId="{E08748BC-43FF-4DEE-9FAB-2BE450722514}" srcOrd="9" destOrd="0" presId="urn:microsoft.com/office/officeart/2005/8/layout/vList5"/>
    <dgm:cxn modelId="{9920A818-F590-41C2-B496-DAAA7695F9BA}" type="presParOf" srcId="{5E12FF05-B1CD-4998-BC58-DE17086812B9}" destId="{5A83BF8E-3B40-4F1F-B8BC-FD146F1A7361}" srcOrd="10" destOrd="0" presId="urn:microsoft.com/office/officeart/2005/8/layout/vList5"/>
    <dgm:cxn modelId="{795E130E-F723-463E-AD8C-C19922EA7267}" type="presParOf" srcId="{5A83BF8E-3B40-4F1F-B8BC-FD146F1A7361}" destId="{DB341F08-15CC-42E0-B838-D6E5F868F8DE}" srcOrd="0" destOrd="0" presId="urn:microsoft.com/office/officeart/2005/8/layout/vList5"/>
    <dgm:cxn modelId="{64ABF2E0-BEBC-43B7-A170-21383F1A6DE2}" type="presParOf" srcId="{5A83BF8E-3B40-4F1F-B8BC-FD146F1A7361}" destId="{115740A6-9533-4F73-BF6D-9D4170014E29}" srcOrd="1" destOrd="0" presId="urn:microsoft.com/office/officeart/2005/8/layout/vList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AA4A41-5169-4298-B4B2-3FC926478651}">
      <dsp:nvSpPr>
        <dsp:cNvPr id="0" name=""/>
        <dsp:cNvSpPr/>
      </dsp:nvSpPr>
      <dsp:spPr>
        <a:xfrm rot="5400000">
          <a:off x="3817415" y="-1471511"/>
          <a:ext cx="824893" cy="398104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Steering group considers nutrition- and region-specific factors (context) driving priorities</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Steering group identifies priority NRVs for review, applying established prioritisation principles</a:t>
          </a:r>
        </a:p>
      </dsp:txBody>
      <dsp:txXfrm rot="-5400000">
        <a:off x="2239339" y="146833"/>
        <a:ext cx="3940778" cy="744357"/>
      </dsp:txXfrm>
    </dsp:sp>
    <dsp:sp modelId="{941F4CD1-3568-416A-856E-0E53A114F753}">
      <dsp:nvSpPr>
        <dsp:cNvPr id="0" name=""/>
        <dsp:cNvSpPr/>
      </dsp:nvSpPr>
      <dsp:spPr>
        <a:xfrm>
          <a:off x="0" y="3453"/>
          <a:ext cx="2239338" cy="103111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solidFill>
                <a:sysClr val="windowText" lastClr="000000"/>
              </a:solidFill>
              <a:latin typeface="Gotham Book" pitchFamily="50" charset="0"/>
            </a:rPr>
            <a:t>Identify priority NRVs for review </a:t>
          </a:r>
        </a:p>
        <a:p>
          <a:pPr marL="0" lvl="0" indent="0" algn="ctr" defTabSz="533400">
            <a:lnSpc>
              <a:spcPct val="90000"/>
            </a:lnSpc>
            <a:spcBef>
              <a:spcPct val="0"/>
            </a:spcBef>
            <a:spcAft>
              <a:spcPct val="35000"/>
            </a:spcAft>
            <a:buNone/>
          </a:pPr>
          <a:r>
            <a:rPr lang="en-AU" sz="1000" i="1" kern="1200">
              <a:solidFill>
                <a:sysClr val="windowText" lastClr="000000"/>
              </a:solidFill>
              <a:latin typeface="Gotham Book" pitchFamily="50" charset="0"/>
            </a:rPr>
            <a:t>(Chapter 3)</a:t>
          </a:r>
        </a:p>
      </dsp:txBody>
      <dsp:txXfrm>
        <a:off x="50335" y="53788"/>
        <a:ext cx="2138668" cy="930446"/>
      </dsp:txXfrm>
    </dsp:sp>
    <dsp:sp modelId="{460AFF9E-B9A8-49B5-9643-F87587AE6B9B}">
      <dsp:nvSpPr>
        <dsp:cNvPr id="0" name=""/>
        <dsp:cNvSpPr/>
      </dsp:nvSpPr>
      <dsp:spPr>
        <a:xfrm rot="5400000">
          <a:off x="3687055" y="-376514"/>
          <a:ext cx="1077351" cy="3977158"/>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Nutrient-specific context (function, physiology, biochemistry, bioavailability, homeostasis and accumulation, hazard identification, hazard characterisation and measurement methods). </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Australian and New Zealand nutrient context (intakes, status, prevalence of associated health outcomes)</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Identify required data/evidence/information for NRV development (linked to Evidence-to-Decision Framework)</a:t>
          </a:r>
        </a:p>
      </dsp:txBody>
      <dsp:txXfrm rot="-5400000">
        <a:off x="2237152" y="1125981"/>
        <a:ext cx="3924566" cy="972167"/>
      </dsp:txXfrm>
    </dsp:sp>
    <dsp:sp modelId="{7F589D6A-923C-4C2D-BD81-30B776B2DCA2}">
      <dsp:nvSpPr>
        <dsp:cNvPr id="0" name=""/>
        <dsp:cNvSpPr/>
      </dsp:nvSpPr>
      <dsp:spPr>
        <a:xfrm>
          <a:off x="0" y="1109243"/>
          <a:ext cx="2237151" cy="103111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solidFill>
                <a:sysClr val="windowText" lastClr="000000"/>
              </a:solidFill>
              <a:latin typeface="Gotham Book" pitchFamily="50" charset="0"/>
            </a:rPr>
            <a:t>Scope NRVs under review</a:t>
          </a:r>
        </a:p>
        <a:p>
          <a:pPr marL="0" lvl="0" indent="0" algn="ctr" defTabSz="533400">
            <a:lnSpc>
              <a:spcPct val="90000"/>
            </a:lnSpc>
            <a:spcBef>
              <a:spcPct val="0"/>
            </a:spcBef>
            <a:spcAft>
              <a:spcPct val="35000"/>
            </a:spcAft>
            <a:buNone/>
          </a:pPr>
          <a:r>
            <a:rPr lang="en-AU" sz="1000" i="1" kern="1200">
              <a:solidFill>
                <a:sysClr val="windowText" lastClr="000000"/>
              </a:solidFill>
              <a:latin typeface="Gotham Book" pitchFamily="50" charset="0"/>
            </a:rPr>
            <a:t>(Chapter 4)</a:t>
          </a:r>
        </a:p>
      </dsp:txBody>
      <dsp:txXfrm>
        <a:off x="50335" y="1159578"/>
        <a:ext cx="2136481" cy="930446"/>
      </dsp:txXfrm>
    </dsp:sp>
    <dsp:sp modelId="{026AC4FF-D2AF-47C9-B1EF-248FFFDC667D}">
      <dsp:nvSpPr>
        <dsp:cNvPr id="0" name=""/>
        <dsp:cNvSpPr/>
      </dsp:nvSpPr>
      <dsp:spPr>
        <a:xfrm rot="5400000">
          <a:off x="3817415" y="740067"/>
          <a:ext cx="824893" cy="398104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Consider suitability of adapting or adopting International reference value/s</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Identify existing sources of evidence</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Identify gaps to be addressed by </a:t>
          </a:r>
          <a:r>
            <a:rPr lang="en-AU" sz="900" i="1" kern="1200">
              <a:solidFill>
                <a:sysClr val="windowText" lastClr="000000"/>
              </a:solidFill>
              <a:latin typeface="Gotham Book" pitchFamily="50" charset="0"/>
            </a:rPr>
            <a:t>de novo </a:t>
          </a:r>
          <a:r>
            <a:rPr lang="en-AU" sz="900" kern="1200">
              <a:solidFill>
                <a:sysClr val="windowText" lastClr="000000"/>
              </a:solidFill>
              <a:latin typeface="Gotham Book" pitchFamily="50" charset="0"/>
            </a:rPr>
            <a:t>review and define research question</a:t>
          </a:r>
        </a:p>
      </dsp:txBody>
      <dsp:txXfrm rot="-5400000">
        <a:off x="2239339" y="2358411"/>
        <a:ext cx="3940778" cy="744357"/>
      </dsp:txXfrm>
    </dsp:sp>
    <dsp:sp modelId="{381CE4A8-C761-44F0-ACA2-EC3DA813DC8A}">
      <dsp:nvSpPr>
        <dsp:cNvPr id="0" name=""/>
        <dsp:cNvSpPr/>
      </dsp:nvSpPr>
      <dsp:spPr>
        <a:xfrm>
          <a:off x="13137" y="2215032"/>
          <a:ext cx="2239338" cy="103111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solidFill>
                <a:sysClr val="windowText" lastClr="000000"/>
              </a:solidFill>
              <a:latin typeface="Gotham Book" pitchFamily="50" charset="0"/>
            </a:rPr>
            <a:t>Identify available evidence sources and gaps</a:t>
          </a:r>
        </a:p>
        <a:p>
          <a:pPr marL="0" lvl="0" indent="0" algn="ctr" defTabSz="533400">
            <a:lnSpc>
              <a:spcPct val="90000"/>
            </a:lnSpc>
            <a:spcBef>
              <a:spcPct val="0"/>
            </a:spcBef>
            <a:spcAft>
              <a:spcPct val="35000"/>
            </a:spcAft>
            <a:buNone/>
          </a:pPr>
          <a:r>
            <a:rPr lang="en-AU" sz="1000" i="1" kern="1200">
              <a:solidFill>
                <a:sysClr val="windowText" lastClr="000000"/>
              </a:solidFill>
              <a:latin typeface="Gotham Book" pitchFamily="50" charset="0"/>
            </a:rPr>
            <a:t>(Chapter 5: Section 5.1)</a:t>
          </a:r>
        </a:p>
      </dsp:txBody>
      <dsp:txXfrm>
        <a:off x="63472" y="2265367"/>
        <a:ext cx="2138668" cy="930446"/>
      </dsp:txXfrm>
    </dsp:sp>
    <dsp:sp modelId="{73BA80CF-1A13-46EE-A91A-4D50C6317B93}">
      <dsp:nvSpPr>
        <dsp:cNvPr id="0" name=""/>
        <dsp:cNvSpPr/>
      </dsp:nvSpPr>
      <dsp:spPr>
        <a:xfrm rot="5400000">
          <a:off x="3817415" y="1827936"/>
          <a:ext cx="824893" cy="398104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Develop research protocol specifying inclusion criteria (PICO, study designs) and methods for review</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Conduct evidence review, including GRADE certainty of evidence</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Identify supplementary analyses required to calculate NRVs</a:t>
          </a:r>
        </a:p>
      </dsp:txBody>
      <dsp:txXfrm rot="-5400000">
        <a:off x="2239339" y="3446280"/>
        <a:ext cx="3940778" cy="744357"/>
      </dsp:txXfrm>
    </dsp:sp>
    <dsp:sp modelId="{6E7D3873-6CB2-43C1-8462-612C9C46BBDA}">
      <dsp:nvSpPr>
        <dsp:cNvPr id="0" name=""/>
        <dsp:cNvSpPr/>
      </dsp:nvSpPr>
      <dsp:spPr>
        <a:xfrm>
          <a:off x="13137" y="3297705"/>
          <a:ext cx="2239338" cy="103111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solidFill>
                <a:sysClr val="windowText" lastClr="000000"/>
              </a:solidFill>
              <a:latin typeface="Gotham Book" pitchFamily="50" charset="0"/>
            </a:rPr>
            <a:t>Review evidence</a:t>
          </a:r>
        </a:p>
        <a:p>
          <a:pPr marL="0" lvl="0" indent="0" algn="ctr" defTabSz="533400">
            <a:lnSpc>
              <a:spcPct val="90000"/>
            </a:lnSpc>
            <a:spcBef>
              <a:spcPct val="0"/>
            </a:spcBef>
            <a:spcAft>
              <a:spcPct val="35000"/>
            </a:spcAft>
            <a:buNone/>
          </a:pPr>
          <a:r>
            <a:rPr lang="en-AU" sz="1000" i="1" kern="1200">
              <a:solidFill>
                <a:sysClr val="windowText" lastClr="000000"/>
              </a:solidFill>
              <a:latin typeface="Gotham Book" pitchFamily="50" charset="0"/>
            </a:rPr>
            <a:t>(Chapter 5: Section 5.2) </a:t>
          </a:r>
        </a:p>
      </dsp:txBody>
      <dsp:txXfrm>
        <a:off x="63472" y="3348040"/>
        <a:ext cx="2138668" cy="930446"/>
      </dsp:txXfrm>
    </dsp:sp>
    <dsp:sp modelId="{78475ACA-7724-40EE-8E52-BD66C067DDAC}">
      <dsp:nvSpPr>
        <dsp:cNvPr id="0" name=""/>
        <dsp:cNvSpPr/>
      </dsp:nvSpPr>
      <dsp:spPr>
        <a:xfrm rot="5400000">
          <a:off x="3849188" y="2893163"/>
          <a:ext cx="724610" cy="4005543"/>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endParaRPr lang="en-AU" sz="900" kern="1200">
            <a:solidFill>
              <a:sysClr val="windowText" lastClr="000000"/>
            </a:solidFill>
            <a:latin typeface="Gotham Book" pitchFamily="50" charset="0"/>
          </a:endParaRP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Determine methods for calculating NRVs (factorial, dose-response and/or risk based)</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Consider methods for scaling or extrapolation for populations with insufficient data to derive NRV</a:t>
          </a:r>
        </a:p>
        <a:p>
          <a:pPr marL="57150" lvl="1" indent="-57150" algn="l" defTabSz="400050">
            <a:lnSpc>
              <a:spcPct val="90000"/>
            </a:lnSpc>
            <a:spcBef>
              <a:spcPct val="0"/>
            </a:spcBef>
            <a:spcAft>
              <a:spcPct val="15000"/>
            </a:spcAft>
            <a:buChar char="•"/>
          </a:pPr>
          <a:endParaRPr lang="en-AU" sz="900" kern="1200">
            <a:solidFill>
              <a:sysClr val="windowText" lastClr="000000"/>
            </a:solidFill>
            <a:latin typeface="Gotham Book" pitchFamily="50" charset="0"/>
          </a:endParaRPr>
        </a:p>
      </dsp:txBody>
      <dsp:txXfrm rot="-5400000">
        <a:off x="2208722" y="4569003"/>
        <a:ext cx="3970170" cy="653864"/>
      </dsp:txXfrm>
    </dsp:sp>
    <dsp:sp modelId="{6B495935-EDF6-4B0E-B098-EB73B0EE4738}">
      <dsp:nvSpPr>
        <dsp:cNvPr id="0" name=""/>
        <dsp:cNvSpPr/>
      </dsp:nvSpPr>
      <dsp:spPr>
        <a:xfrm>
          <a:off x="12957" y="4380377"/>
          <a:ext cx="2208722" cy="103111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solidFill>
                <a:sysClr val="windowText" lastClr="000000"/>
              </a:solidFill>
              <a:latin typeface="Gotham Book" pitchFamily="50" charset="0"/>
            </a:rPr>
            <a:t>Determine approach for calculating NRVs</a:t>
          </a:r>
        </a:p>
        <a:p>
          <a:pPr marL="0" lvl="0" indent="0" algn="ctr" defTabSz="533400">
            <a:lnSpc>
              <a:spcPct val="90000"/>
            </a:lnSpc>
            <a:spcBef>
              <a:spcPct val="0"/>
            </a:spcBef>
            <a:spcAft>
              <a:spcPct val="35000"/>
            </a:spcAft>
            <a:buNone/>
          </a:pPr>
          <a:r>
            <a:rPr lang="en-AU" sz="1000" i="1" kern="1200">
              <a:solidFill>
                <a:sysClr val="windowText" lastClr="000000"/>
              </a:solidFill>
              <a:latin typeface="Gotham Book" pitchFamily="50" charset="0"/>
            </a:rPr>
            <a:t>(Chapter 6: Section 6.1)</a:t>
          </a:r>
        </a:p>
      </dsp:txBody>
      <dsp:txXfrm>
        <a:off x="63292" y="4430712"/>
        <a:ext cx="2108052" cy="930446"/>
      </dsp:txXfrm>
    </dsp:sp>
    <dsp:sp modelId="{115740A6-9533-4F73-BF6D-9D4170014E29}">
      <dsp:nvSpPr>
        <dsp:cNvPr id="0" name=""/>
        <dsp:cNvSpPr/>
      </dsp:nvSpPr>
      <dsp:spPr>
        <a:xfrm rot="5400000">
          <a:off x="3770586" y="3988084"/>
          <a:ext cx="918551" cy="398104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Calculate draft NRVs</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Adjust draft value to account for Australian and New Zealand nutrition context</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Gotham Book" pitchFamily="50" charset="0"/>
            </a:rPr>
            <a:t>Document judgements using GRADE evidence-to-decision Framework (ongoing process throughout)</a:t>
          </a:r>
        </a:p>
      </dsp:txBody>
      <dsp:txXfrm rot="-5400000">
        <a:off x="2239339" y="5564171"/>
        <a:ext cx="3936206" cy="828871"/>
      </dsp:txXfrm>
    </dsp:sp>
    <dsp:sp modelId="{DB341F08-15CC-42E0-B838-D6E5F868F8DE}">
      <dsp:nvSpPr>
        <dsp:cNvPr id="0" name=""/>
        <dsp:cNvSpPr/>
      </dsp:nvSpPr>
      <dsp:spPr>
        <a:xfrm>
          <a:off x="13137" y="5463049"/>
          <a:ext cx="2239338" cy="103111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AU" sz="1200" kern="1200">
              <a:solidFill>
                <a:sysClr val="windowText" lastClr="000000"/>
              </a:solidFill>
              <a:latin typeface="Gotham Book" pitchFamily="50" charset="0"/>
            </a:rPr>
            <a:t>Establish NRV and recommendations </a:t>
          </a:r>
        </a:p>
        <a:p>
          <a:pPr marL="0" lvl="0" indent="0" algn="ctr" defTabSz="533400">
            <a:lnSpc>
              <a:spcPct val="90000"/>
            </a:lnSpc>
            <a:spcBef>
              <a:spcPct val="0"/>
            </a:spcBef>
            <a:spcAft>
              <a:spcPct val="35000"/>
            </a:spcAft>
            <a:buNone/>
          </a:pPr>
          <a:r>
            <a:rPr lang="en-AU" sz="1000" i="1" kern="1200">
              <a:solidFill>
                <a:sysClr val="windowText" lastClr="000000"/>
              </a:solidFill>
              <a:latin typeface="Gotham Book" pitchFamily="50" charset="0"/>
            </a:rPr>
            <a:t>(Chapter 6: Section 6.2 - 6.7, Chapter 7)</a:t>
          </a:r>
          <a:endParaRPr lang="en-AU" sz="1000" kern="1200">
            <a:solidFill>
              <a:sysClr val="windowText" lastClr="000000"/>
            </a:solidFill>
            <a:latin typeface="Gotham Book" pitchFamily="50" charset="0"/>
          </a:endParaRPr>
        </a:p>
      </dsp:txBody>
      <dsp:txXfrm>
        <a:off x="63472" y="5513384"/>
        <a:ext cx="2138668" cy="93044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435887d3ce3390e25abb32a774e30047">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8aaa4424ea834ea0cc8d065d83610a3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ef8499da-f70f-48c9-a6de-e578977a26c0" xsi:nil="true"/>
    <_dlc_DocId xmlns="ef8499da-f70f-48c9-a6de-e578977a26c0">RESTRANS-1864802524-201136</_dlc_DocId>
    <_dlc_DocIdUrl xmlns="ef8499da-f70f-48c9-a6de-e578977a26c0">
      <Url>https://nhmrc.sharepoint.com/sites/restrans/_layouts/15/DocIdRedir.aspx?ID=RESTRANS-1864802524-201136</Url>
      <Description>RESTRANS-1864802524-201136</Description>
    </_dlc_DocIdUrl>
    <SharedWithUsers xmlns="ef8499da-f70f-48c9-a6de-e578977a26c0">
      <UserInfo>
        <DisplayName>Robbins, Rachel</DisplayName>
        <AccountId>94</AccountId>
        <AccountType/>
      </UserInfo>
      <UserInfo>
        <DisplayName>Reynolds, Emma</DisplayName>
        <AccountId>3119</AccountId>
        <AccountType/>
      </UserInfo>
      <UserInfo>
        <DisplayName>Mann, Davina</DisplayName>
        <AccountId>1558</AccountId>
        <AccountType/>
      </UserInfo>
      <UserInfo>
        <DisplayName>Savenake, Jennifer</DisplayName>
        <AccountId>93</AccountId>
        <AccountType/>
      </UserInfo>
      <UserInfo>
        <DisplayName>Li, Yixin</DisplayName>
        <AccountId>701</AccountId>
        <AccountType/>
      </UserInfo>
    </SharedWithUsers>
    <lcf76f155ced4ddcb4097134ff3c332f xmlns="f4994564-c68c-4417-8c9c-13eb9ecde3d6">
      <Terms xmlns="http://schemas.microsoft.com/office/infopath/2007/PartnerControls"/>
    </lcf76f155ced4ddcb4097134ff3c332f>
    <MediaLengthInSeconds xmlns="f4994564-c68c-4417-8c9c-13eb9ecde3d6" xsi:nil="true"/>
    <person xmlns="f4994564-c68c-4417-8c9c-13eb9ecde3d6">
      <UserInfo>
        <DisplayName/>
        <AccountId xsi:nil="true"/>
        <AccountType/>
      </UserInfo>
    </person>
    <Comments xmlns="f4994564-c68c-4417-8c9c-13eb9ecde3d6" xsi:nil="true"/>
    <Status xmlns="f4994564-c68c-4417-8c9c-13eb9ecde3d6" xsi:nil="true"/>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A551AD-B9CC-42E6-B144-40357CA05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customXml/itemProps3.xml><?xml version="1.0" encoding="utf-8"?>
<ds:datastoreItem xmlns:ds="http://schemas.openxmlformats.org/officeDocument/2006/customXml" ds:itemID="{A5186868-740F-484D-A59A-450ED949A7EB}">
  <ds:schemaRefs>
    <ds:schemaRef ds:uri="http://schemas.microsoft.com/sharepoint/events"/>
  </ds:schemaRefs>
</ds:datastoreItem>
</file>

<file path=customXml/itemProps4.xml><?xml version="1.0" encoding="utf-8"?>
<ds:datastoreItem xmlns:ds="http://schemas.openxmlformats.org/officeDocument/2006/customXml" ds:itemID="{58F98D35-E949-4B4C-B6EB-8834F1089BE6}">
  <ds:schemaRefs>
    <ds:schemaRef ds:uri="http://www.w3.org/XML/1998/namespace"/>
    <ds:schemaRef ds:uri="http://purl.org/dc/elements/1.1/"/>
    <ds:schemaRef ds:uri="http://purl.org/dc/dcmitype/"/>
    <ds:schemaRef ds:uri="http://schemas.microsoft.com/office/2006/metadata/properties"/>
    <ds:schemaRef ds:uri="http://purl.org/dc/terms/"/>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f4994564-c68c-4417-8c9c-13eb9ecde3d6"/>
    <ds:schemaRef ds:uri="ef8499da-f70f-48c9-a6de-e578977a26c0"/>
  </ds:schemaRefs>
</ds:datastoreItem>
</file>

<file path=customXml/itemProps5.xml><?xml version="1.0" encoding="utf-8"?>
<ds:datastoreItem xmlns:ds="http://schemas.openxmlformats.org/officeDocument/2006/customXml" ds:itemID="{EDADFDA9-8383-43FE-ABCB-9527F45D8D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93</Pages>
  <Words>47534</Words>
  <Characters>286637</Characters>
  <Application>Microsoft Office Word</Application>
  <DocSecurity>0</DocSecurity>
  <Lines>8685</Lines>
  <Paragraphs>5063</Paragraphs>
  <ScaleCrop>false</ScaleCrop>
  <HeadingPairs>
    <vt:vector size="2" baseType="variant">
      <vt:variant>
        <vt:lpstr>Title</vt:lpstr>
      </vt:variant>
      <vt:variant>
        <vt:i4>1</vt:i4>
      </vt:variant>
    </vt:vector>
  </HeadingPairs>
  <TitlesOfParts>
    <vt:vector size="1" baseType="lpstr">
      <vt:lpstr>Document with a title page, table contents</vt:lpstr>
    </vt:vector>
  </TitlesOfParts>
  <Company/>
  <LinksUpToDate>false</LinksUpToDate>
  <CharactersWithSpaces>329108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Draft Methodological Framework for the Review of Nutrient Reference Values</dc:title>
  <dc:subject/>
  <dc:creator>Emma Reynolds</dc:creator>
  <cp:keywords/>
  <dc:description/>
  <cp:lastModifiedBy>Mary Wasson</cp:lastModifiedBy>
  <cp:revision>39</cp:revision>
  <cp:lastPrinted>2025-08-15T04:42:00Z</cp:lastPrinted>
  <dcterms:created xsi:type="dcterms:W3CDTF">2025-10-16T03:01:00Z</dcterms:created>
  <dcterms:modified xsi:type="dcterms:W3CDTF">2025-11-07T00:23:00Z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MediaServiceImageTags">
    <vt:lpwstr/>
  </property>
  <property fmtid="{D5CDD505-2E9C-101B-9397-08002B2CF9AE}" pid="4" name="Order">
    <vt:r8>18409000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9a5e7792-7543-4db2-bcc9-9caeff0b8eb1_Enabled">
    <vt:lpwstr>true</vt:lpwstr>
  </property>
  <property fmtid="{D5CDD505-2E9C-101B-9397-08002B2CF9AE}" pid="12" name="MSIP_Label_9a5e7792-7543-4db2-bcc9-9caeff0b8eb1_SetDate">
    <vt:lpwstr>2024-02-15T04:56:56Z</vt:lpwstr>
  </property>
  <property fmtid="{D5CDD505-2E9C-101B-9397-08002B2CF9AE}" pid="13" name="MSIP_Label_9a5e7792-7543-4db2-bcc9-9caeff0b8eb1_Method">
    <vt:lpwstr>Privileged</vt:lpwstr>
  </property>
  <property fmtid="{D5CDD505-2E9C-101B-9397-08002B2CF9AE}" pid="14" name="MSIP_Label_9a5e7792-7543-4db2-bcc9-9caeff0b8eb1_Name">
    <vt:lpwstr>OFFICIAL</vt:lpwstr>
  </property>
  <property fmtid="{D5CDD505-2E9C-101B-9397-08002B2CF9AE}" pid="15" name="MSIP_Label_9a5e7792-7543-4db2-bcc9-9caeff0b8eb1_SiteId">
    <vt:lpwstr>402fca06-dc9c-412f-9bf9-1a335a4671f7</vt:lpwstr>
  </property>
  <property fmtid="{D5CDD505-2E9C-101B-9397-08002B2CF9AE}" pid="16" name="MSIP_Label_9a5e7792-7543-4db2-bcc9-9caeff0b8eb1_ActionId">
    <vt:lpwstr>faaa2a44-e605-4c3a-891e-82835d5c338e</vt:lpwstr>
  </property>
  <property fmtid="{D5CDD505-2E9C-101B-9397-08002B2CF9AE}" pid="17" name="MSIP_Label_9a5e7792-7543-4db2-bcc9-9caeff0b8eb1_ContentBits">
    <vt:lpwstr>0</vt:lpwstr>
  </property>
  <property fmtid="{D5CDD505-2E9C-101B-9397-08002B2CF9AE}" pid="18" name="MSIP_Label_fba3502d-09f9-4350-b49d-9cee4033cd14_Enabled">
    <vt:lpwstr>true</vt:lpwstr>
  </property>
  <property fmtid="{D5CDD505-2E9C-101B-9397-08002B2CF9AE}" pid="19" name="MSIP_Label_fba3502d-09f9-4350-b49d-9cee4033cd14_SetDate">
    <vt:lpwstr>2022-10-13T06:04:02Z</vt:lpwstr>
  </property>
  <property fmtid="{D5CDD505-2E9C-101B-9397-08002B2CF9AE}" pid="20" name="MSIP_Label_fba3502d-09f9-4350-b49d-9cee4033cd14_Method">
    <vt:lpwstr>Privileged</vt:lpwstr>
  </property>
  <property fmtid="{D5CDD505-2E9C-101B-9397-08002B2CF9AE}" pid="21" name="MSIP_Label_fba3502d-09f9-4350-b49d-9cee4033cd14_Name">
    <vt:lpwstr>UNOFFICIAL</vt:lpwstr>
  </property>
  <property fmtid="{D5CDD505-2E9C-101B-9397-08002B2CF9AE}" pid="22" name="MSIP_Label_fba3502d-09f9-4350-b49d-9cee4033cd14_SiteId">
    <vt:lpwstr>402fca06-dc9c-412f-9bf9-1a335a4671f7</vt:lpwstr>
  </property>
  <property fmtid="{D5CDD505-2E9C-101B-9397-08002B2CF9AE}" pid="23" name="MSIP_Label_fba3502d-09f9-4350-b49d-9cee4033cd14_ActionId">
    <vt:lpwstr>ef7eee2f-1119-4254-8ad8-5deea4bd6f59</vt:lpwstr>
  </property>
  <property fmtid="{D5CDD505-2E9C-101B-9397-08002B2CF9AE}" pid="24" name="MSIP_Label_fba3502d-09f9-4350-b49d-9cee4033cd14_ContentBits">
    <vt:lpwstr>0</vt:lpwstr>
  </property>
  <property fmtid="{D5CDD505-2E9C-101B-9397-08002B2CF9AE}" pid="25" name="_docset_NoMedatataSyncRequired">
    <vt:lpwstr>False</vt:lpwstr>
  </property>
  <property fmtid="{D5CDD505-2E9C-101B-9397-08002B2CF9AE}" pid="26" name="Comment">
    <vt:lpwstr>Includes comments made at the meeting.</vt:lpwstr>
  </property>
  <property fmtid="{D5CDD505-2E9C-101B-9397-08002B2CF9AE}" pid="27" name="_dlc_DocIdItemGuid">
    <vt:lpwstr>4904e26b-a19b-4c2b-ad27-0ec96c3b070c</vt:lpwstr>
  </property>
  <property fmtid="{D5CDD505-2E9C-101B-9397-08002B2CF9AE}" pid="28" name="docLang">
    <vt:lpwstr>en</vt:lpwstr>
  </property>
</Properties>
</file>